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8E2B" w14:textId="77777777" w:rsidR="00805D35" w:rsidRPr="00704FF8" w:rsidRDefault="00805D35" w:rsidP="00704FF8">
      <w:pPr>
        <w:pStyle w:val="OrdersTopLine"/>
      </w:pPr>
      <w:r w:rsidRPr="00704FF8">
        <w:t>HIGH COURT OF AUSTRALIA</w:t>
      </w:r>
    </w:p>
    <w:p w14:paraId="3FBBFA30" w14:textId="77777777" w:rsidR="00805D35" w:rsidRPr="00704FF8" w:rsidRDefault="00805D35" w:rsidP="00704FF8">
      <w:pPr>
        <w:pStyle w:val="OrderCentre"/>
      </w:pPr>
    </w:p>
    <w:p w14:paraId="2979D2F0" w14:textId="77777777" w:rsidR="00805D35" w:rsidRPr="00C46004" w:rsidRDefault="00805D35" w:rsidP="00704FF8">
      <w:pPr>
        <w:pStyle w:val="OrderCentre"/>
        <w:rPr>
          <w:spacing w:val="-4"/>
          <w:sz w:val="24"/>
          <w:szCs w:val="24"/>
        </w:rPr>
      </w:pPr>
      <w:r w:rsidRPr="00C46004">
        <w:rPr>
          <w:spacing w:val="-4"/>
          <w:sz w:val="24"/>
          <w:szCs w:val="24"/>
        </w:rPr>
        <w:t>GAGELER CJ,</w:t>
      </w:r>
    </w:p>
    <w:p w14:paraId="419E1050" w14:textId="77777777" w:rsidR="00805D35" w:rsidRPr="00704FF8" w:rsidRDefault="00805D35"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67E49FB5" w14:textId="77777777" w:rsidR="00805D35" w:rsidRPr="00427F3A" w:rsidRDefault="00805D35" w:rsidP="00EE5374">
      <w:pPr>
        <w:pStyle w:val="Centre"/>
        <w:rPr>
          <w:lang w:val="en-AU"/>
        </w:rPr>
      </w:pPr>
    </w:p>
    <w:p w14:paraId="48CFCA01" w14:textId="77777777" w:rsidR="00805D35" w:rsidRPr="00704FF8" w:rsidRDefault="00805D35" w:rsidP="00704FF8">
      <w:pPr>
        <w:pStyle w:val="OrdersCenteredBorder"/>
      </w:pPr>
    </w:p>
    <w:p w14:paraId="66856DBD" w14:textId="77777777" w:rsidR="00805D35" w:rsidRPr="00704FF8" w:rsidRDefault="00805D35" w:rsidP="0032341F">
      <w:pPr>
        <w:pStyle w:val="OrdersBodyHeading"/>
      </w:pPr>
    </w:p>
    <w:p w14:paraId="27CFE2A6" w14:textId="77777777" w:rsidR="00805D35" w:rsidRPr="0032341F" w:rsidRDefault="00805D35" w:rsidP="009362E8">
      <w:pPr>
        <w:pStyle w:val="OrdersPartyName"/>
        <w:ind w:right="-1"/>
      </w:pPr>
      <w:r w:rsidRPr="00083DE3">
        <w:t>BISHOP PAUL BERNARD</w:t>
      </w:r>
      <w:r>
        <w:t xml:space="preserve"> </w:t>
      </w:r>
      <w:r w:rsidRPr="00083DE3">
        <w:t>BIRD</w:t>
      </w:r>
      <w:r w:rsidRPr="0032341F">
        <w:tab/>
        <w:t>APPELLANT</w:t>
      </w:r>
    </w:p>
    <w:p w14:paraId="6D36BEDD" w14:textId="77777777" w:rsidR="00805D35" w:rsidRPr="0032341F" w:rsidRDefault="00805D35" w:rsidP="009362E8">
      <w:pPr>
        <w:pStyle w:val="OrdersPartyName"/>
        <w:ind w:right="-1"/>
      </w:pPr>
    </w:p>
    <w:p w14:paraId="684505D7" w14:textId="77777777" w:rsidR="00805D35" w:rsidRPr="0032341F" w:rsidRDefault="00805D35" w:rsidP="009362E8">
      <w:pPr>
        <w:pStyle w:val="OrdersPartyName"/>
        <w:ind w:right="-1"/>
      </w:pPr>
      <w:r w:rsidRPr="0032341F">
        <w:t>AND</w:t>
      </w:r>
    </w:p>
    <w:p w14:paraId="3AFDF620" w14:textId="77777777" w:rsidR="00805D35" w:rsidRPr="0032341F" w:rsidRDefault="00805D35" w:rsidP="009362E8">
      <w:pPr>
        <w:pStyle w:val="OrdersPartyName"/>
        <w:ind w:right="-1"/>
      </w:pPr>
    </w:p>
    <w:p w14:paraId="3BD80E7B" w14:textId="77777777" w:rsidR="00805D35" w:rsidRPr="0032341F" w:rsidRDefault="00805D35" w:rsidP="009362E8">
      <w:pPr>
        <w:pStyle w:val="OrdersPartyName"/>
        <w:ind w:right="-1"/>
      </w:pPr>
      <w:r w:rsidRPr="00083DE3">
        <w:t>DP (A PSEUDONYM)</w:t>
      </w:r>
      <w:r w:rsidRPr="0032341F">
        <w:tab/>
        <w:t>RESPONDENT</w:t>
      </w:r>
    </w:p>
    <w:p w14:paraId="6AB04AE4" w14:textId="77777777" w:rsidR="00805D35" w:rsidRPr="00427F3A" w:rsidRDefault="00805D35" w:rsidP="00AF0A5E">
      <w:pPr>
        <w:pStyle w:val="BodyHeading"/>
      </w:pPr>
    </w:p>
    <w:p w14:paraId="0835EE3D" w14:textId="77777777" w:rsidR="00805D35" w:rsidRPr="00427F3A" w:rsidRDefault="00805D35" w:rsidP="00BE0A6C">
      <w:pPr>
        <w:pStyle w:val="BodyHeading"/>
      </w:pPr>
    </w:p>
    <w:p w14:paraId="180152BC" w14:textId="77777777" w:rsidR="00805D35" w:rsidRPr="00427F3A" w:rsidRDefault="00805D35" w:rsidP="00EE5374">
      <w:pPr>
        <w:pStyle w:val="CentreItalics"/>
      </w:pPr>
      <w:r w:rsidRPr="00083DE3">
        <w:t>Bird v DP (</w:t>
      </w:r>
      <w:r>
        <w:t>a</w:t>
      </w:r>
      <w:r w:rsidRPr="00083DE3">
        <w:t xml:space="preserve"> </w:t>
      </w:r>
      <w:r>
        <w:t>p</w:t>
      </w:r>
      <w:r w:rsidRPr="00083DE3">
        <w:t>seudonym)</w:t>
      </w:r>
    </w:p>
    <w:p w14:paraId="05CFAF19" w14:textId="77777777" w:rsidR="00805D35" w:rsidRPr="00427F3A" w:rsidRDefault="00805D35" w:rsidP="00E90E4F">
      <w:pPr>
        <w:pStyle w:val="OrdersCentre"/>
      </w:pPr>
      <w:r>
        <w:t>[2024</w:t>
      </w:r>
      <w:r w:rsidRPr="00427F3A">
        <w:t xml:space="preserve">] HCA </w:t>
      </w:r>
      <w:r>
        <w:t>41</w:t>
      </w:r>
    </w:p>
    <w:p w14:paraId="0B7CF96C" w14:textId="77777777" w:rsidR="00805D35" w:rsidRDefault="00805D35" w:rsidP="00E90E4F">
      <w:pPr>
        <w:pStyle w:val="OrdersCentreItalics"/>
      </w:pPr>
      <w:r>
        <w:t xml:space="preserve">Date of Hearing: </w:t>
      </w:r>
      <w:r w:rsidRPr="00083DE3">
        <w:t>14 March 2024</w:t>
      </w:r>
    </w:p>
    <w:p w14:paraId="54796592" w14:textId="77777777" w:rsidR="00805D35" w:rsidRPr="00427F3A" w:rsidRDefault="00805D35" w:rsidP="00E90E4F">
      <w:pPr>
        <w:pStyle w:val="OrdersCentreItalics"/>
      </w:pPr>
      <w:r>
        <w:t>Date of Judgment: 13 November 2024</w:t>
      </w:r>
    </w:p>
    <w:p w14:paraId="503A7ADD" w14:textId="77777777" w:rsidR="00805D35" w:rsidRDefault="00805D35" w:rsidP="00E90E4F">
      <w:pPr>
        <w:pStyle w:val="OrdersCentre"/>
      </w:pPr>
      <w:r w:rsidRPr="00083DE3">
        <w:t>M82/2023</w:t>
      </w:r>
    </w:p>
    <w:p w14:paraId="6E884E8B" w14:textId="77777777" w:rsidR="00805D35" w:rsidRPr="00427F3A" w:rsidRDefault="00805D35" w:rsidP="00E90E4F">
      <w:pPr>
        <w:pStyle w:val="OrdersCentre"/>
      </w:pPr>
    </w:p>
    <w:p w14:paraId="7E3A17AA" w14:textId="77777777" w:rsidR="00805D35" w:rsidRPr="00BE0A6C" w:rsidRDefault="00805D35" w:rsidP="00E90E4F">
      <w:pPr>
        <w:pStyle w:val="OrderCentreBold"/>
      </w:pPr>
      <w:r w:rsidRPr="00BE0A6C">
        <w:t>ORDER</w:t>
      </w:r>
    </w:p>
    <w:p w14:paraId="15AAC7A0" w14:textId="77777777" w:rsidR="00805D35" w:rsidRPr="00427F3A" w:rsidRDefault="00805D35" w:rsidP="00736C52">
      <w:pPr>
        <w:pStyle w:val="Centre"/>
        <w:rPr>
          <w:lang w:val="en-AU"/>
        </w:rPr>
      </w:pPr>
    </w:p>
    <w:p w14:paraId="53B90A22" w14:textId="77777777" w:rsidR="00805D35" w:rsidRPr="00B038EA" w:rsidRDefault="00805D35" w:rsidP="00B038EA">
      <w:pPr>
        <w:pStyle w:val="OrdersText"/>
      </w:pPr>
      <w:r w:rsidRPr="00B038EA">
        <w:t>1.</w:t>
      </w:r>
      <w:r w:rsidRPr="00B038EA">
        <w:tab/>
        <w:t>Appeal allowed.</w:t>
      </w:r>
    </w:p>
    <w:p w14:paraId="7CC69F5A" w14:textId="77777777" w:rsidR="00805D35" w:rsidRPr="00B038EA" w:rsidRDefault="00805D35" w:rsidP="00B038EA">
      <w:pPr>
        <w:pStyle w:val="OrdersText"/>
      </w:pPr>
    </w:p>
    <w:p w14:paraId="6ADC3A33" w14:textId="77777777" w:rsidR="00805D35" w:rsidRPr="00B038EA" w:rsidRDefault="00805D35" w:rsidP="00B038EA">
      <w:pPr>
        <w:pStyle w:val="OrdersText"/>
      </w:pPr>
      <w:r w:rsidRPr="00B038EA">
        <w:t>2.</w:t>
      </w:r>
      <w:r w:rsidRPr="00B038EA">
        <w:tab/>
        <w:t>Set aside orders 2 and 5 of the Court of Appeal of the Supreme Court of Victoria made on 3 April 2023 and, in their place, order that:</w:t>
      </w:r>
    </w:p>
    <w:p w14:paraId="1DB1B622" w14:textId="77777777" w:rsidR="00805D35" w:rsidRPr="00B038EA" w:rsidRDefault="00805D35" w:rsidP="00B038EA">
      <w:pPr>
        <w:pStyle w:val="OrdersText"/>
      </w:pPr>
    </w:p>
    <w:p w14:paraId="45A4F6B7" w14:textId="77777777" w:rsidR="00805D35" w:rsidRPr="00B038EA" w:rsidRDefault="00805D35" w:rsidP="00B038EA">
      <w:pPr>
        <w:pStyle w:val="OrdersText"/>
        <w:ind w:left="1418"/>
      </w:pPr>
      <w:r w:rsidRPr="00B038EA">
        <w:t>(a)</w:t>
      </w:r>
      <w:r w:rsidRPr="00B038EA">
        <w:tab/>
        <w:t>The appeal be allowed with costs; and</w:t>
      </w:r>
    </w:p>
    <w:p w14:paraId="6499A571" w14:textId="77777777" w:rsidR="00805D35" w:rsidRPr="00B038EA" w:rsidRDefault="00805D35" w:rsidP="00B038EA">
      <w:pPr>
        <w:pStyle w:val="OrdersText"/>
        <w:ind w:left="1418"/>
      </w:pPr>
    </w:p>
    <w:p w14:paraId="756CCD85" w14:textId="77777777" w:rsidR="00805D35" w:rsidRPr="00B038EA" w:rsidRDefault="00805D35" w:rsidP="00B038EA">
      <w:pPr>
        <w:pStyle w:val="OrdersText"/>
        <w:ind w:left="1418"/>
      </w:pPr>
      <w:r w:rsidRPr="00B038EA">
        <w:t>(b)</w:t>
      </w:r>
      <w:r w:rsidRPr="00B038EA">
        <w:tab/>
        <w:t>The orders made by the Supreme Court of Victoria on 25 January 2022 and 28 February 2022 be set aside and, in their place, order that the proceeding be dismissed with costs.</w:t>
      </w:r>
    </w:p>
    <w:p w14:paraId="6A154F9D" w14:textId="77777777" w:rsidR="00805D35" w:rsidRPr="00B038EA" w:rsidRDefault="00805D35" w:rsidP="00B038EA">
      <w:pPr>
        <w:pStyle w:val="OrdersText"/>
      </w:pPr>
    </w:p>
    <w:p w14:paraId="4E9C343E" w14:textId="77777777" w:rsidR="00805D35" w:rsidRPr="00B038EA" w:rsidRDefault="00805D35" w:rsidP="00B038EA">
      <w:pPr>
        <w:pStyle w:val="OrdersText"/>
      </w:pPr>
      <w:r w:rsidRPr="00B038EA">
        <w:t>3.</w:t>
      </w:r>
      <w:r w:rsidRPr="00B038EA">
        <w:tab/>
        <w:t>The appellant pay the respondent's costs of and incidental to the application for special leave to appeal and the appeal to this Court.</w:t>
      </w:r>
    </w:p>
    <w:p w14:paraId="598D122D" w14:textId="77777777" w:rsidR="00805D35" w:rsidRDefault="00805D35" w:rsidP="00EE5374">
      <w:pPr>
        <w:pStyle w:val="Body"/>
      </w:pPr>
    </w:p>
    <w:p w14:paraId="13FF3885" w14:textId="77777777" w:rsidR="00805D35" w:rsidRPr="00427F3A" w:rsidRDefault="00805D35" w:rsidP="00EE5374">
      <w:pPr>
        <w:pStyle w:val="Body"/>
      </w:pPr>
    </w:p>
    <w:p w14:paraId="4127F692" w14:textId="77777777" w:rsidR="00805D35" w:rsidRPr="00427F3A" w:rsidRDefault="00805D35" w:rsidP="0032341F">
      <w:pPr>
        <w:pStyle w:val="OrdersBody"/>
      </w:pPr>
      <w:r w:rsidRPr="00427F3A">
        <w:t xml:space="preserve">On appeal from the </w:t>
      </w:r>
      <w:r w:rsidRPr="00083DE3">
        <w:t>Supreme Court of Victoria</w:t>
      </w:r>
    </w:p>
    <w:p w14:paraId="352B17FB" w14:textId="77777777" w:rsidR="00805D35" w:rsidRDefault="00805D35" w:rsidP="00EE5374">
      <w:pPr>
        <w:pStyle w:val="Body"/>
      </w:pPr>
    </w:p>
    <w:p w14:paraId="5143C2F6" w14:textId="77777777" w:rsidR="00805D35" w:rsidRDefault="00805D35" w:rsidP="00EE5374">
      <w:pPr>
        <w:pStyle w:val="Body"/>
      </w:pPr>
    </w:p>
    <w:p w14:paraId="2F9B3BD9" w14:textId="77777777" w:rsidR="00805D35" w:rsidRDefault="00805D35" w:rsidP="00EE5374">
      <w:pPr>
        <w:pStyle w:val="Body"/>
      </w:pPr>
    </w:p>
    <w:p w14:paraId="7153BD8F" w14:textId="77777777" w:rsidR="00805D35" w:rsidRDefault="00805D35" w:rsidP="00EE5374">
      <w:pPr>
        <w:pStyle w:val="Body"/>
      </w:pPr>
    </w:p>
    <w:p w14:paraId="349C0CF6" w14:textId="77777777" w:rsidR="00805D35" w:rsidRDefault="00805D35" w:rsidP="00EE5374">
      <w:pPr>
        <w:pStyle w:val="Body"/>
      </w:pPr>
    </w:p>
    <w:p w14:paraId="61AA1680" w14:textId="0909D618"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596712CF" w14:textId="624982F6"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3932098F" w14:textId="77777777" w:rsidR="00805D35" w:rsidRPr="00427F3A" w:rsidRDefault="00805D35" w:rsidP="00EE5374">
      <w:pPr>
        <w:pStyle w:val="Body"/>
      </w:pPr>
    </w:p>
    <w:p w14:paraId="552E243C" w14:textId="77777777" w:rsidR="00805D35" w:rsidRPr="00427F3A" w:rsidRDefault="00805D35" w:rsidP="00E90E4F">
      <w:pPr>
        <w:pStyle w:val="OrdersBodyHeading"/>
      </w:pPr>
      <w:r w:rsidRPr="00427F3A">
        <w:t>Representation</w:t>
      </w:r>
    </w:p>
    <w:p w14:paraId="6630F5AD" w14:textId="77777777" w:rsidR="00805D35" w:rsidRDefault="00805D35" w:rsidP="00EE5374">
      <w:pPr>
        <w:pStyle w:val="Body"/>
      </w:pPr>
    </w:p>
    <w:p w14:paraId="7F4DCC8E" w14:textId="77777777" w:rsidR="00805D35" w:rsidRPr="00083DE3" w:rsidRDefault="00805D35" w:rsidP="00E90E4F">
      <w:pPr>
        <w:pStyle w:val="OrdersBody"/>
      </w:pPr>
      <w:r w:rsidRPr="00083DE3">
        <w:t>B W Walker SC with A M Dinelli KC and A D James-Martin for the appellant (instructed by Colin Biggers &amp; Paisley Lawyers)</w:t>
      </w:r>
    </w:p>
    <w:p w14:paraId="66AD5433" w14:textId="77777777" w:rsidR="00805D35" w:rsidRPr="00083DE3" w:rsidRDefault="00805D35" w:rsidP="001B3C97">
      <w:pPr>
        <w:pStyle w:val="Body"/>
      </w:pPr>
    </w:p>
    <w:p w14:paraId="22842908" w14:textId="77777777" w:rsidR="00805D35" w:rsidRPr="00083DE3" w:rsidRDefault="00805D35" w:rsidP="00E90E4F">
      <w:pPr>
        <w:pStyle w:val="OrdersBody"/>
      </w:pPr>
      <w:r w:rsidRPr="00083DE3">
        <w:t>D R Campbell SC with G J Boas, J A G McComish and E H R Kelly for the respondent (instructed by Ken Cush &amp; Associates)</w:t>
      </w:r>
    </w:p>
    <w:p w14:paraId="4326DF17" w14:textId="77777777" w:rsidR="00805D35" w:rsidRDefault="00805D35" w:rsidP="00A01277">
      <w:pPr>
        <w:pStyle w:val="Body"/>
      </w:pPr>
    </w:p>
    <w:p w14:paraId="45493E43" w14:textId="77777777" w:rsidR="00805D35" w:rsidRDefault="00805D35" w:rsidP="00EE5374">
      <w:pPr>
        <w:pStyle w:val="Body"/>
      </w:pPr>
    </w:p>
    <w:p w14:paraId="25E66011" w14:textId="77777777" w:rsidR="00805D35" w:rsidRDefault="00805D35" w:rsidP="00EE5374">
      <w:pPr>
        <w:pStyle w:val="Body"/>
      </w:pPr>
    </w:p>
    <w:p w14:paraId="120029D8" w14:textId="77777777" w:rsidR="00805D35" w:rsidRDefault="00805D35" w:rsidP="00EE5374">
      <w:pPr>
        <w:pStyle w:val="Body"/>
      </w:pPr>
    </w:p>
    <w:p w14:paraId="2B5209C1" w14:textId="77777777" w:rsidR="00805D35" w:rsidRDefault="00805D35" w:rsidP="00EE5374">
      <w:pPr>
        <w:pStyle w:val="Body"/>
      </w:pPr>
    </w:p>
    <w:p w14:paraId="054CF321" w14:textId="77777777" w:rsidR="00805D35" w:rsidRDefault="00805D35" w:rsidP="00EE5374">
      <w:pPr>
        <w:pStyle w:val="Body"/>
      </w:pPr>
    </w:p>
    <w:p w14:paraId="7417ED6F" w14:textId="77777777" w:rsidR="00805D35" w:rsidRDefault="00805D35" w:rsidP="00EE5374">
      <w:pPr>
        <w:pStyle w:val="Body"/>
      </w:pPr>
    </w:p>
    <w:p w14:paraId="54FCC138" w14:textId="77777777" w:rsidR="00805D35" w:rsidRDefault="00805D35" w:rsidP="00EE5374">
      <w:pPr>
        <w:pStyle w:val="Body"/>
      </w:pPr>
    </w:p>
    <w:p w14:paraId="7F8D71F5" w14:textId="77777777" w:rsidR="00805D35" w:rsidRDefault="00805D35" w:rsidP="00EE5374">
      <w:pPr>
        <w:pStyle w:val="Body"/>
      </w:pPr>
    </w:p>
    <w:p w14:paraId="7059C46E" w14:textId="77777777" w:rsidR="00805D35" w:rsidRDefault="00805D35" w:rsidP="00EE5374">
      <w:pPr>
        <w:pStyle w:val="Body"/>
      </w:pPr>
    </w:p>
    <w:p w14:paraId="3ED196B0" w14:textId="77777777" w:rsidR="00805D35" w:rsidRDefault="00805D35" w:rsidP="00EE5374">
      <w:pPr>
        <w:pStyle w:val="Body"/>
      </w:pPr>
    </w:p>
    <w:p w14:paraId="098EB8FB" w14:textId="77777777" w:rsidR="00805D35" w:rsidRDefault="00805D35" w:rsidP="00EE5374">
      <w:pPr>
        <w:pStyle w:val="Body"/>
      </w:pPr>
    </w:p>
    <w:p w14:paraId="435B1CE5" w14:textId="77777777" w:rsidR="00805D35" w:rsidRDefault="00805D35" w:rsidP="00EE5374">
      <w:pPr>
        <w:pStyle w:val="Body"/>
      </w:pPr>
    </w:p>
    <w:p w14:paraId="19706160" w14:textId="77777777" w:rsidR="00805D35" w:rsidRDefault="00805D35" w:rsidP="00EE5374">
      <w:pPr>
        <w:pStyle w:val="Body"/>
      </w:pPr>
    </w:p>
    <w:p w14:paraId="07544DBC" w14:textId="77777777" w:rsidR="00805D35" w:rsidRDefault="00805D35" w:rsidP="00EE5374">
      <w:pPr>
        <w:pStyle w:val="Body"/>
      </w:pPr>
    </w:p>
    <w:p w14:paraId="4836DF11" w14:textId="77777777" w:rsidR="00805D35" w:rsidRDefault="00805D35" w:rsidP="00EE5374">
      <w:pPr>
        <w:pStyle w:val="Body"/>
      </w:pPr>
    </w:p>
    <w:p w14:paraId="7C186ABC" w14:textId="77777777" w:rsidR="00805D35" w:rsidRDefault="00805D35" w:rsidP="00EE5374">
      <w:pPr>
        <w:pStyle w:val="Body"/>
      </w:pPr>
    </w:p>
    <w:p w14:paraId="4FC3AD26" w14:textId="77777777" w:rsidR="00805D35" w:rsidRDefault="00805D35" w:rsidP="00EE5374">
      <w:pPr>
        <w:pStyle w:val="Body"/>
      </w:pPr>
    </w:p>
    <w:p w14:paraId="20D67894" w14:textId="77777777" w:rsidR="00805D35" w:rsidRDefault="00805D35" w:rsidP="00EE5374">
      <w:pPr>
        <w:pStyle w:val="Body"/>
      </w:pPr>
    </w:p>
    <w:p w14:paraId="5EDC7D36" w14:textId="77777777" w:rsidR="00805D35" w:rsidRDefault="00805D35" w:rsidP="00EE5374">
      <w:pPr>
        <w:pStyle w:val="Body"/>
      </w:pPr>
    </w:p>
    <w:p w14:paraId="4BBC6A57" w14:textId="77777777" w:rsidR="00805D35" w:rsidRDefault="00805D35" w:rsidP="00EE5374">
      <w:pPr>
        <w:pStyle w:val="Body"/>
      </w:pPr>
    </w:p>
    <w:p w14:paraId="164870C3" w14:textId="77777777" w:rsidR="00805D35" w:rsidRDefault="00805D35" w:rsidP="00EE5374">
      <w:pPr>
        <w:pStyle w:val="Body"/>
      </w:pPr>
    </w:p>
    <w:p w14:paraId="741AA48E" w14:textId="77777777" w:rsidR="00805D35" w:rsidRDefault="00805D35" w:rsidP="00EE5374">
      <w:pPr>
        <w:pStyle w:val="Body"/>
      </w:pPr>
    </w:p>
    <w:p w14:paraId="3D27D2DF" w14:textId="77777777" w:rsidR="00805D35" w:rsidRDefault="00805D35" w:rsidP="00EE5374">
      <w:pPr>
        <w:pStyle w:val="Body"/>
      </w:pPr>
    </w:p>
    <w:p w14:paraId="3BD19572" w14:textId="77777777" w:rsidR="00805D35" w:rsidRDefault="00805D35" w:rsidP="00EE5374">
      <w:pPr>
        <w:pStyle w:val="Body"/>
      </w:pPr>
    </w:p>
    <w:p w14:paraId="725F077C" w14:textId="77777777" w:rsidR="00805D35" w:rsidRDefault="00805D35" w:rsidP="00EE5374">
      <w:pPr>
        <w:pStyle w:val="Body"/>
      </w:pPr>
    </w:p>
    <w:p w14:paraId="42AF0E6B" w14:textId="77777777" w:rsidR="00805D35" w:rsidRDefault="00805D35" w:rsidP="00EE5374">
      <w:pPr>
        <w:pStyle w:val="Body"/>
      </w:pPr>
    </w:p>
    <w:p w14:paraId="50C8E7C7" w14:textId="77777777" w:rsidR="00805D35" w:rsidRDefault="00805D35" w:rsidP="00EE5374">
      <w:pPr>
        <w:pStyle w:val="Body"/>
      </w:pPr>
    </w:p>
    <w:p w14:paraId="46708D04" w14:textId="77777777" w:rsidR="00805D35" w:rsidRDefault="00805D35" w:rsidP="00EE5374">
      <w:pPr>
        <w:pStyle w:val="Body"/>
      </w:pPr>
    </w:p>
    <w:p w14:paraId="66DEB67B" w14:textId="77777777" w:rsidR="00805D35" w:rsidRDefault="00805D35" w:rsidP="00EE5374">
      <w:pPr>
        <w:pStyle w:val="Body"/>
      </w:pPr>
    </w:p>
    <w:p w14:paraId="090B7955" w14:textId="77777777" w:rsidR="00805D35" w:rsidRPr="00427F3A" w:rsidRDefault="00805D35" w:rsidP="00EE5374">
      <w:pPr>
        <w:pStyle w:val="Body"/>
      </w:pPr>
    </w:p>
    <w:p w14:paraId="183A73E5" w14:textId="77777777" w:rsidR="00805D35" w:rsidRPr="00427F3A" w:rsidRDefault="00805D35" w:rsidP="00F9713B">
      <w:pPr>
        <w:pStyle w:val="Notice"/>
        <w:rPr>
          <w:lang w:val="en-AU"/>
        </w:rPr>
      </w:pPr>
      <w:r w:rsidRPr="00427F3A">
        <w:rPr>
          <w:lang w:val="en-AU"/>
        </w:rPr>
        <w:t>Notice:  This copy of the Court's Reasons for Judgment is subject to formal revision prior to publication in the Commonwealth Law Reports.</w:t>
      </w:r>
    </w:p>
    <w:p w14:paraId="4CAC89E0" w14:textId="4E941FAA"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BCC0A79" w14:textId="77777777"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05D35" w:rsidSect="00805D35">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9D5CEB5" w14:textId="77777777" w:rsidR="00805D35" w:rsidRPr="00054C14" w:rsidRDefault="00805D35" w:rsidP="00805D35">
      <w:pPr>
        <w:pStyle w:val="CatchwordsBold"/>
      </w:pPr>
      <w:r w:rsidRPr="00054C14">
        <w:lastRenderedPageBreak/>
        <w:t>CATCHWORDS</w:t>
      </w:r>
    </w:p>
    <w:p w14:paraId="0A67BD8A" w14:textId="77777777" w:rsidR="00805D35" w:rsidRPr="00054C14" w:rsidRDefault="00805D35" w:rsidP="00805D35">
      <w:pPr>
        <w:pStyle w:val="CatchwordsBold"/>
      </w:pPr>
    </w:p>
    <w:p w14:paraId="48DF0B0F" w14:textId="77777777" w:rsidR="00805D35" w:rsidRDefault="00805D35" w:rsidP="00805D35">
      <w:pPr>
        <w:pStyle w:val="CatchwordsBold"/>
      </w:pPr>
      <w:r>
        <w:t>Bird v DP (a pseudonym)</w:t>
      </w:r>
    </w:p>
    <w:p w14:paraId="2FB81392" w14:textId="77777777" w:rsidR="00805D35" w:rsidRDefault="00805D35" w:rsidP="00805D35">
      <w:pPr>
        <w:spacing w:line="240" w:lineRule="auto"/>
        <w:ind w:right="0" w:firstLine="0"/>
        <w:jc w:val="both"/>
        <w:rPr>
          <w:rFonts w:ascii="Times New Roman" w:hAnsi="Times New Roman"/>
        </w:rPr>
      </w:pPr>
    </w:p>
    <w:p w14:paraId="43D388B4" w14:textId="6E958ACC" w:rsidR="00805D35" w:rsidRDefault="00805D35" w:rsidP="00805D35">
      <w:pPr>
        <w:pStyle w:val="CatchwordsText"/>
      </w:pPr>
      <w:r>
        <w:t xml:space="preserve">Torts </w:t>
      </w:r>
      <w:r w:rsidRPr="007318A6">
        <w:t>–</w:t>
      </w:r>
      <w:r>
        <w:t xml:space="preserve"> Intentional torts </w:t>
      </w:r>
      <w:r w:rsidRPr="007318A6">
        <w:t>–</w:t>
      </w:r>
      <w:r>
        <w:t xml:space="preserve"> Vicarious liability </w:t>
      </w:r>
      <w:r w:rsidRPr="007318A6">
        <w:t>–</w:t>
      </w:r>
      <w:r>
        <w:t xml:space="preserve"> Where priest committed sexual </w:t>
      </w:r>
      <w:r w:rsidR="00D341AB">
        <w:t>abuse</w:t>
      </w:r>
      <w:r>
        <w:t xml:space="preserve"> whilst carrying out pastoral duties as representative of Diocese </w:t>
      </w:r>
      <w:r w:rsidRPr="007318A6">
        <w:t>–</w:t>
      </w:r>
      <w:r>
        <w:t xml:space="preserve"> Where priest not agent or employee of Diocese </w:t>
      </w:r>
      <w:r w:rsidRPr="007318A6">
        <w:t>–</w:t>
      </w:r>
      <w:r>
        <w:t xml:space="preserve"> Whether Diocese vicariously liable for priest's sexual abuse </w:t>
      </w:r>
      <w:r w:rsidRPr="007318A6">
        <w:t>–</w:t>
      </w:r>
      <w:r>
        <w:t xml:space="preserve"> Whether vicarious liability extends beyond relationships of employment to relationships "akin to employment".</w:t>
      </w:r>
    </w:p>
    <w:p w14:paraId="253031DE" w14:textId="77777777" w:rsidR="00805D35" w:rsidRDefault="00805D35" w:rsidP="00805D35">
      <w:pPr>
        <w:pStyle w:val="CatchwordsText"/>
      </w:pPr>
    </w:p>
    <w:p w14:paraId="44F5C845" w14:textId="77777777" w:rsidR="00805D35" w:rsidRDefault="00805D35" w:rsidP="00805D35">
      <w:pPr>
        <w:pStyle w:val="CatchwordsText"/>
      </w:pPr>
      <w:r>
        <w:t xml:space="preserve">Appeals </w:t>
      </w:r>
      <w:r w:rsidRPr="00C56465">
        <w:t>–</w:t>
      </w:r>
      <w:r>
        <w:t xml:space="preserve"> Issue not raised at trial </w:t>
      </w:r>
      <w:r w:rsidRPr="007318A6">
        <w:t>–</w:t>
      </w:r>
      <w:r>
        <w:t xml:space="preserve"> Where respondent sought to rely on non-delegable duty </w:t>
      </w:r>
      <w:r w:rsidRPr="007318A6">
        <w:t>–</w:t>
      </w:r>
      <w:r>
        <w:t xml:space="preserve"> Where factual basis for duty not pleaded or tested at trial </w:t>
      </w:r>
      <w:r w:rsidRPr="007318A6">
        <w:t>–</w:t>
      </w:r>
      <w:r>
        <w:t xml:space="preserve"> Prejudice. </w:t>
      </w:r>
    </w:p>
    <w:p w14:paraId="2410E8DE" w14:textId="77777777" w:rsidR="00805D35" w:rsidRDefault="00805D35" w:rsidP="00805D35">
      <w:pPr>
        <w:pStyle w:val="CatchwordsText"/>
      </w:pPr>
    </w:p>
    <w:p w14:paraId="37C25268" w14:textId="77777777" w:rsidR="00805D35" w:rsidRDefault="00805D35" w:rsidP="00805D35">
      <w:pPr>
        <w:pStyle w:val="CatchwordsText"/>
      </w:pPr>
      <w:r w:rsidRPr="00294DEA">
        <w:t>Words and phrases –</w:t>
      </w:r>
      <w:r>
        <w:t xml:space="preserve"> "agency", "akin to employment", "course of employment", "negligence", "nominated defendant", "non-delegable duty", "prejudice", "representative", "scope of employment", "sexual abuse", "strict liability", "unincorporated association", "vicarious liability".</w:t>
      </w:r>
    </w:p>
    <w:p w14:paraId="34E03DBE" w14:textId="77777777" w:rsidR="00805D35" w:rsidRDefault="00805D35" w:rsidP="00805D35">
      <w:pPr>
        <w:pStyle w:val="CatchwordsText"/>
        <w:rPr>
          <w:i/>
        </w:rPr>
      </w:pPr>
    </w:p>
    <w:p w14:paraId="19AD7353" w14:textId="77777777" w:rsidR="00805D35" w:rsidRPr="001F7A5D" w:rsidRDefault="00805D35" w:rsidP="00805D35">
      <w:pPr>
        <w:pStyle w:val="CatchwordsText"/>
        <w:rPr>
          <w:iCs/>
        </w:rPr>
      </w:pPr>
      <w:r>
        <w:rPr>
          <w:i/>
        </w:rPr>
        <w:t xml:space="preserve">Legal Identity of Defendants (Organisational Child Abuse) Act 2018 </w:t>
      </w:r>
      <w:r>
        <w:rPr>
          <w:iCs/>
        </w:rPr>
        <w:t>(Vic), ss 1, 5, 7.</w:t>
      </w:r>
    </w:p>
    <w:p w14:paraId="238F989F" w14:textId="56DED9C3" w:rsidR="00805D35" w:rsidRDefault="00805D35" w:rsidP="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3E54EB0D" w14:textId="2D455597"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7F1497C" w14:textId="5E9D0CC3" w:rsidR="00805D35" w:rsidRDefault="00805D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49FF7233" w14:textId="77777777" w:rsidR="00805D35" w:rsidRDefault="00805D35" w:rsidP="006D4E15">
      <w:pPr>
        <w:pStyle w:val="FixListStyle"/>
        <w:tabs>
          <w:tab w:val="clear" w:pos="720"/>
          <w:tab w:val="left" w:pos="0"/>
        </w:tabs>
        <w:spacing w:after="260" w:line="280" w:lineRule="exact"/>
        <w:ind w:right="0"/>
        <w:jc w:val="both"/>
        <w:rPr>
          <w:rFonts w:ascii="Times New Roman" w:hAnsi="Times New Roman"/>
        </w:rPr>
        <w:sectPr w:rsidR="00805D35" w:rsidSect="00805D35">
          <w:pgSz w:w="11907" w:h="16839" w:code="9"/>
          <w:pgMar w:top="1440" w:right="1701" w:bottom="1984" w:left="1701" w:header="720" w:footer="720" w:gutter="0"/>
          <w:pgNumType w:start="1"/>
          <w:cols w:space="720"/>
          <w:titlePg/>
          <w:docGrid w:linePitch="354"/>
        </w:sectPr>
      </w:pPr>
    </w:p>
    <w:p w14:paraId="20174881" w14:textId="1BEA1A3E" w:rsidR="009B6CB1" w:rsidRPr="006D4E15" w:rsidRDefault="006D4E15" w:rsidP="006D4E15">
      <w:pPr>
        <w:pStyle w:val="FixListStyle"/>
        <w:tabs>
          <w:tab w:val="clear" w:pos="720"/>
          <w:tab w:val="left" w:pos="0"/>
        </w:tabs>
        <w:spacing w:after="260" w:line="280" w:lineRule="exact"/>
        <w:ind w:right="0"/>
        <w:jc w:val="both"/>
        <w:rPr>
          <w:rFonts w:ascii="Times New Roman" w:hAnsi="Times New Roman"/>
        </w:rPr>
      </w:pPr>
      <w:r w:rsidRPr="006D4E15">
        <w:rPr>
          <w:rFonts w:ascii="Times New Roman" w:hAnsi="Times New Roman"/>
        </w:rPr>
        <w:lastRenderedPageBreak/>
        <w:t xml:space="preserve">GAGELER CJ, GORDON, EDELMAN, STEWARD AND BEECH-JONES JJ.   </w:t>
      </w:r>
      <w:r w:rsidR="002D6DFF" w:rsidRPr="006D4E15">
        <w:rPr>
          <w:rFonts w:ascii="Times New Roman" w:hAnsi="Times New Roman"/>
        </w:rPr>
        <w:t>In 1971, at the age of five, the respondent ("DP") was</w:t>
      </w:r>
      <w:r w:rsidR="00796FEF" w:rsidRPr="006D4E15">
        <w:rPr>
          <w:rFonts w:ascii="Times New Roman" w:hAnsi="Times New Roman"/>
        </w:rPr>
        <w:t xml:space="preserve"> assaulted and</w:t>
      </w:r>
      <w:r w:rsidR="000E5597" w:rsidRPr="006D4E15">
        <w:rPr>
          <w:rFonts w:ascii="Times New Roman" w:hAnsi="Times New Roman"/>
        </w:rPr>
        <w:t> </w:t>
      </w:r>
      <w:r w:rsidR="002D6DFF" w:rsidRPr="006D4E15">
        <w:rPr>
          <w:rFonts w:ascii="Times New Roman" w:hAnsi="Times New Roman"/>
        </w:rPr>
        <w:t xml:space="preserve">sexually </w:t>
      </w:r>
      <w:r w:rsidR="003A545D" w:rsidRPr="006D4E15">
        <w:rPr>
          <w:rFonts w:ascii="Times New Roman" w:hAnsi="Times New Roman"/>
        </w:rPr>
        <w:t xml:space="preserve">abused </w:t>
      </w:r>
      <w:r w:rsidR="002D6DFF" w:rsidRPr="006D4E15">
        <w:rPr>
          <w:rFonts w:ascii="Times New Roman" w:hAnsi="Times New Roman"/>
        </w:rPr>
        <w:t xml:space="preserve">at his parents' home in Port Fairy on two separate occasions by </w:t>
      </w:r>
      <w:r w:rsidR="007B01C8" w:rsidRPr="006D4E15">
        <w:rPr>
          <w:rFonts w:ascii="Times New Roman" w:hAnsi="Times New Roman"/>
        </w:rPr>
        <w:t xml:space="preserve">Father Bryan Coffey </w:t>
      </w:r>
      <w:r w:rsidR="00AF34A3" w:rsidRPr="006D4E15">
        <w:rPr>
          <w:rFonts w:ascii="Times New Roman" w:hAnsi="Times New Roman"/>
        </w:rPr>
        <w:t xml:space="preserve">(now deceased) </w:t>
      </w:r>
      <w:r w:rsidR="007B01C8" w:rsidRPr="006D4E15">
        <w:rPr>
          <w:rFonts w:ascii="Times New Roman" w:hAnsi="Times New Roman"/>
        </w:rPr>
        <w:t xml:space="preserve">("Coffey"), </w:t>
      </w:r>
      <w:r w:rsidR="002D6DFF" w:rsidRPr="006D4E15">
        <w:rPr>
          <w:rFonts w:ascii="Times New Roman" w:hAnsi="Times New Roman"/>
        </w:rPr>
        <w:t>a</w:t>
      </w:r>
      <w:r w:rsidR="000E5597" w:rsidRPr="006D4E15">
        <w:rPr>
          <w:rFonts w:ascii="Times New Roman" w:hAnsi="Times New Roman"/>
        </w:rPr>
        <w:t> </w:t>
      </w:r>
      <w:r w:rsidR="002D6DFF" w:rsidRPr="006D4E15">
        <w:rPr>
          <w:rFonts w:ascii="Times New Roman" w:hAnsi="Times New Roman"/>
        </w:rPr>
        <w:t xml:space="preserve">Catholic priest from </w:t>
      </w:r>
      <w:r w:rsidR="00496CA1" w:rsidRPr="006D4E15">
        <w:rPr>
          <w:rFonts w:ascii="Times New Roman" w:hAnsi="Times New Roman"/>
        </w:rPr>
        <w:t xml:space="preserve">St Patrick's, </w:t>
      </w:r>
      <w:r w:rsidR="002D6DFF" w:rsidRPr="006D4E15">
        <w:rPr>
          <w:rFonts w:ascii="Times New Roman" w:hAnsi="Times New Roman"/>
        </w:rPr>
        <w:t>the</w:t>
      </w:r>
      <w:r w:rsidR="00A54126">
        <w:rPr>
          <w:rFonts w:ascii="Times New Roman" w:hAnsi="Times New Roman"/>
        </w:rPr>
        <w:t> </w:t>
      </w:r>
      <w:r w:rsidR="002D6DFF" w:rsidRPr="006D4E15">
        <w:rPr>
          <w:rFonts w:ascii="Times New Roman" w:hAnsi="Times New Roman"/>
        </w:rPr>
        <w:t xml:space="preserve">local </w:t>
      </w:r>
      <w:r w:rsidR="00A87486" w:rsidRPr="006D4E15">
        <w:rPr>
          <w:rFonts w:ascii="Times New Roman" w:hAnsi="Times New Roman"/>
        </w:rPr>
        <w:t xml:space="preserve">parish </w:t>
      </w:r>
      <w:r w:rsidR="002D6DFF" w:rsidRPr="006D4E15">
        <w:rPr>
          <w:rFonts w:ascii="Times New Roman" w:hAnsi="Times New Roman"/>
        </w:rPr>
        <w:t>church. The</w:t>
      </w:r>
      <w:r w:rsidR="009B6CB1" w:rsidRPr="006D4E15">
        <w:rPr>
          <w:rFonts w:ascii="Times New Roman" w:hAnsi="Times New Roman"/>
        </w:rPr>
        <w:t> </w:t>
      </w:r>
      <w:r w:rsidR="002D6DFF" w:rsidRPr="006D4E15">
        <w:rPr>
          <w:rFonts w:ascii="Times New Roman" w:hAnsi="Times New Roman"/>
        </w:rPr>
        <w:t xml:space="preserve">church was, and is, within the </w:t>
      </w:r>
      <w:r w:rsidR="006D1F05" w:rsidRPr="006D4E15">
        <w:rPr>
          <w:rFonts w:ascii="Times New Roman" w:hAnsi="Times New Roman"/>
        </w:rPr>
        <w:t xml:space="preserve">Roman Catholic </w:t>
      </w:r>
      <w:r w:rsidR="002D6DFF" w:rsidRPr="006D4E15">
        <w:rPr>
          <w:rFonts w:ascii="Times New Roman" w:hAnsi="Times New Roman"/>
        </w:rPr>
        <w:t>Diocese of Ballarat (</w:t>
      </w:r>
      <w:r w:rsidR="009B6CB1" w:rsidRPr="006D4E15">
        <w:rPr>
          <w:rFonts w:ascii="Times New Roman" w:hAnsi="Times New Roman"/>
        </w:rPr>
        <w:t>"</w:t>
      </w:r>
      <w:r w:rsidR="002D6DFF" w:rsidRPr="006D4E15">
        <w:rPr>
          <w:rFonts w:ascii="Times New Roman" w:hAnsi="Times New Roman"/>
          <w:bCs/>
        </w:rPr>
        <w:t>the</w:t>
      </w:r>
      <w:r w:rsidR="00F05048" w:rsidRPr="006D4E15">
        <w:rPr>
          <w:rFonts w:ascii="Times New Roman" w:hAnsi="Times New Roman"/>
          <w:bCs/>
        </w:rPr>
        <w:t> </w:t>
      </w:r>
      <w:r w:rsidR="002D6DFF" w:rsidRPr="006D4E15">
        <w:rPr>
          <w:rFonts w:ascii="Times New Roman" w:hAnsi="Times New Roman"/>
        </w:rPr>
        <w:t>Diocese</w:t>
      </w:r>
      <w:r w:rsidR="009B6CB1" w:rsidRPr="006D4E15">
        <w:rPr>
          <w:rFonts w:ascii="Times New Roman" w:hAnsi="Times New Roman"/>
          <w:bCs/>
        </w:rPr>
        <w:t>"</w:t>
      </w:r>
      <w:r w:rsidR="002D6DFF" w:rsidRPr="006D4E15">
        <w:rPr>
          <w:rFonts w:ascii="Times New Roman" w:hAnsi="Times New Roman"/>
        </w:rPr>
        <w:t xml:space="preserve">). </w:t>
      </w:r>
    </w:p>
    <w:p w14:paraId="5BB95AB5" w14:textId="114AFB99" w:rsidR="00714C14" w:rsidRPr="006D4E15" w:rsidRDefault="009B6CB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 xml:space="preserve">In 2020, DP commenced proceedings in the Supreme Court of Victoria claiming damages for psychological injuries he had sustained as a result of the assaults committed by </w:t>
      </w:r>
      <w:r w:rsidR="005712E1" w:rsidRPr="006D4E15">
        <w:rPr>
          <w:rFonts w:ascii="Times New Roman" w:hAnsi="Times New Roman"/>
        </w:rPr>
        <w:t>Coffey</w:t>
      </w:r>
      <w:r w:rsidR="002D6DFF" w:rsidRPr="006D4E15">
        <w:rPr>
          <w:rFonts w:ascii="Times New Roman" w:hAnsi="Times New Roman"/>
        </w:rPr>
        <w:t xml:space="preserve">. </w:t>
      </w:r>
      <w:r w:rsidR="005E6830" w:rsidRPr="006D4E15">
        <w:rPr>
          <w:rFonts w:ascii="Times New Roman" w:hAnsi="Times New Roman"/>
        </w:rPr>
        <w:t>DP alleged that the Diocese was vicariously liable for the actions of Coffey and</w:t>
      </w:r>
      <w:r w:rsidR="0025502F" w:rsidRPr="006D4E15">
        <w:rPr>
          <w:rFonts w:ascii="Times New Roman" w:hAnsi="Times New Roman"/>
        </w:rPr>
        <w:t>, additionally,</w:t>
      </w:r>
      <w:r w:rsidR="005E6830" w:rsidRPr="006D4E15">
        <w:rPr>
          <w:rFonts w:ascii="Times New Roman" w:hAnsi="Times New Roman"/>
        </w:rPr>
        <w:t xml:space="preserve"> that it was liable in negligence</w:t>
      </w:r>
      <w:r w:rsidR="00A51CAD" w:rsidRPr="006D4E15">
        <w:rPr>
          <w:rFonts w:ascii="Times New Roman" w:hAnsi="Times New Roman"/>
        </w:rPr>
        <w:t xml:space="preserve"> by reason of the Diocese's </w:t>
      </w:r>
      <w:r w:rsidR="00F06F7B" w:rsidRPr="006D4E15">
        <w:rPr>
          <w:rFonts w:ascii="Times New Roman" w:hAnsi="Times New Roman"/>
        </w:rPr>
        <w:t xml:space="preserve">(and the relevant Bishop's) </w:t>
      </w:r>
      <w:r w:rsidR="00A51CAD" w:rsidRPr="006D4E15">
        <w:rPr>
          <w:rFonts w:ascii="Times New Roman" w:hAnsi="Times New Roman"/>
        </w:rPr>
        <w:t>failure to exercise reasonable care in its authority, supervision and control of the conduct of Coffey</w:t>
      </w:r>
      <w:r w:rsidR="00282204" w:rsidRPr="006D4E15">
        <w:rPr>
          <w:rFonts w:ascii="Times New Roman" w:hAnsi="Times New Roman"/>
        </w:rPr>
        <w:t>.</w:t>
      </w:r>
      <w:r w:rsidR="00A51CAD" w:rsidRPr="006D4E15">
        <w:rPr>
          <w:rFonts w:ascii="Times New Roman" w:hAnsi="Times New Roman"/>
        </w:rPr>
        <w:t xml:space="preserve"> </w:t>
      </w:r>
      <w:r w:rsidR="00F14302" w:rsidRPr="006D4E15">
        <w:rPr>
          <w:rFonts w:ascii="Times New Roman" w:hAnsi="Times New Roman"/>
        </w:rPr>
        <w:t>As</w:t>
      </w:r>
      <w:r w:rsidR="00A54126">
        <w:rPr>
          <w:rFonts w:ascii="Times New Roman" w:hAnsi="Times New Roman"/>
        </w:rPr>
        <w:t> </w:t>
      </w:r>
      <w:r w:rsidR="00F14302" w:rsidRPr="006D4E15">
        <w:rPr>
          <w:rFonts w:ascii="Times New Roman" w:hAnsi="Times New Roman"/>
        </w:rPr>
        <w:t>t</w:t>
      </w:r>
      <w:r w:rsidR="0070770B" w:rsidRPr="006D4E15">
        <w:rPr>
          <w:rFonts w:ascii="Times New Roman" w:hAnsi="Times New Roman"/>
        </w:rPr>
        <w:t>he</w:t>
      </w:r>
      <w:r w:rsidR="00F14302" w:rsidRPr="006D4E15">
        <w:rPr>
          <w:rFonts w:ascii="Times New Roman" w:hAnsi="Times New Roman"/>
        </w:rPr>
        <w:t> </w:t>
      </w:r>
      <w:r w:rsidR="0070770B" w:rsidRPr="006D4E15">
        <w:rPr>
          <w:rFonts w:ascii="Times New Roman" w:hAnsi="Times New Roman"/>
        </w:rPr>
        <w:t>Diocese is an unincorporated association and not a legal person</w:t>
      </w:r>
      <w:r w:rsidR="00F14302" w:rsidRPr="006D4E15">
        <w:rPr>
          <w:rFonts w:ascii="Times New Roman" w:hAnsi="Times New Roman"/>
        </w:rPr>
        <w:t>,</w:t>
      </w:r>
      <w:r w:rsidR="00112F52" w:rsidRPr="006D4E15">
        <w:rPr>
          <w:rFonts w:ascii="Times New Roman" w:hAnsi="Times New Roman"/>
        </w:rPr>
        <w:t xml:space="preserve"> </w:t>
      </w:r>
      <w:r w:rsidR="002D6DFF" w:rsidRPr="006D4E15">
        <w:rPr>
          <w:rFonts w:ascii="Times New Roman" w:hAnsi="Times New Roman"/>
        </w:rPr>
        <w:t>DP</w:t>
      </w:r>
      <w:r w:rsidR="00BD3590">
        <w:rPr>
          <w:rFonts w:ascii="Times New Roman" w:hAnsi="Times New Roman"/>
        </w:rPr>
        <w:t> </w:t>
      </w:r>
      <w:r w:rsidR="002D6DFF" w:rsidRPr="006D4E15">
        <w:rPr>
          <w:rFonts w:ascii="Times New Roman" w:hAnsi="Times New Roman"/>
        </w:rPr>
        <w:t>instituted the proceeding against the Diocese through</w:t>
      </w:r>
      <w:r w:rsidR="00055F0E" w:rsidRPr="006D4E15">
        <w:rPr>
          <w:rFonts w:ascii="Times New Roman" w:hAnsi="Times New Roman"/>
        </w:rPr>
        <w:t xml:space="preserve"> </w:t>
      </w:r>
      <w:r w:rsidR="002D6DFF" w:rsidRPr="006D4E15">
        <w:rPr>
          <w:rFonts w:ascii="Times New Roman" w:hAnsi="Times New Roman"/>
        </w:rPr>
        <w:t>the current Bishop</w:t>
      </w:r>
      <w:r w:rsidR="00771D32" w:rsidRPr="006D4E15">
        <w:rPr>
          <w:rFonts w:ascii="Times New Roman" w:hAnsi="Times New Roman"/>
        </w:rPr>
        <w:t xml:space="preserve"> of Ballarat</w:t>
      </w:r>
      <w:r w:rsidR="002D6DFF" w:rsidRPr="006D4E15">
        <w:rPr>
          <w:rFonts w:ascii="Times New Roman" w:hAnsi="Times New Roman"/>
        </w:rPr>
        <w:t xml:space="preserve">, </w:t>
      </w:r>
      <w:r w:rsidR="00683F17" w:rsidRPr="006D4E15">
        <w:rPr>
          <w:rFonts w:ascii="Times New Roman" w:hAnsi="Times New Roman"/>
        </w:rPr>
        <w:t>Paul Bird</w:t>
      </w:r>
      <w:r w:rsidR="00320EBD" w:rsidRPr="006D4E15">
        <w:rPr>
          <w:rFonts w:ascii="Times New Roman" w:hAnsi="Times New Roman"/>
        </w:rPr>
        <w:t>,</w:t>
      </w:r>
      <w:r w:rsidR="00075AF6" w:rsidRPr="006D4E15">
        <w:rPr>
          <w:rFonts w:ascii="Times New Roman" w:hAnsi="Times New Roman"/>
        </w:rPr>
        <w:t xml:space="preserve"> </w:t>
      </w:r>
      <w:r w:rsidR="002D6DFF" w:rsidRPr="006D4E15">
        <w:rPr>
          <w:rFonts w:ascii="Times New Roman" w:hAnsi="Times New Roman"/>
        </w:rPr>
        <w:t>who was the nominated defendant for the purpose of the proceeding, pursuant to s</w:t>
      </w:r>
      <w:r w:rsidR="00472EE5" w:rsidRPr="006D4E15">
        <w:rPr>
          <w:rFonts w:ascii="Times New Roman" w:hAnsi="Times New Roman"/>
        </w:rPr>
        <w:t> </w:t>
      </w:r>
      <w:r w:rsidR="002D6DFF" w:rsidRPr="006D4E15">
        <w:rPr>
          <w:rFonts w:ascii="Times New Roman" w:hAnsi="Times New Roman"/>
        </w:rPr>
        <w:t xml:space="preserve">7 of the </w:t>
      </w:r>
      <w:r w:rsidR="002D6DFF" w:rsidRPr="006D4E15">
        <w:rPr>
          <w:rFonts w:ascii="Times New Roman" w:hAnsi="Times New Roman"/>
          <w:i/>
          <w:iCs/>
        </w:rPr>
        <w:t xml:space="preserve">Legal Identity of Defendants (Organisational Child Abuse) Act 2018 </w:t>
      </w:r>
      <w:r w:rsidR="00F0123A" w:rsidRPr="006D4E15">
        <w:rPr>
          <w:rFonts w:ascii="Times New Roman" w:hAnsi="Times New Roman"/>
        </w:rPr>
        <w:t xml:space="preserve">(Vic) </w:t>
      </w:r>
      <w:r w:rsidR="002D6DFF" w:rsidRPr="006D4E15">
        <w:rPr>
          <w:rFonts w:ascii="Times New Roman" w:hAnsi="Times New Roman"/>
          <w:bCs/>
        </w:rPr>
        <w:t>(</w:t>
      </w:r>
      <w:r w:rsidR="00F05048" w:rsidRPr="006D4E15">
        <w:rPr>
          <w:rFonts w:ascii="Times New Roman" w:hAnsi="Times New Roman"/>
          <w:bCs/>
        </w:rPr>
        <w:t>"the</w:t>
      </w:r>
      <w:r w:rsidR="00DC0212" w:rsidRPr="006D4E15">
        <w:rPr>
          <w:rFonts w:ascii="Times New Roman" w:hAnsi="Times New Roman"/>
          <w:bCs/>
        </w:rPr>
        <w:t> </w:t>
      </w:r>
      <w:r w:rsidR="003B0675" w:rsidRPr="006D4E15">
        <w:rPr>
          <w:rFonts w:ascii="Times New Roman" w:hAnsi="Times New Roman"/>
        </w:rPr>
        <w:t xml:space="preserve">Legal Identity </w:t>
      </w:r>
      <w:r w:rsidR="002D6DFF" w:rsidRPr="006D4E15">
        <w:rPr>
          <w:rFonts w:ascii="Times New Roman" w:hAnsi="Times New Roman"/>
        </w:rPr>
        <w:t>Act</w:t>
      </w:r>
      <w:r w:rsidR="00F05048" w:rsidRPr="006D4E15">
        <w:rPr>
          <w:rFonts w:ascii="Times New Roman" w:hAnsi="Times New Roman"/>
          <w:bCs/>
        </w:rPr>
        <w:t>"</w:t>
      </w:r>
      <w:r w:rsidR="002D6DFF" w:rsidRPr="006D4E15">
        <w:rPr>
          <w:rFonts w:ascii="Times New Roman" w:hAnsi="Times New Roman"/>
          <w:bCs/>
        </w:rPr>
        <w:t>)</w:t>
      </w:r>
      <w:r w:rsidR="002D6DFF" w:rsidRPr="006D4E15">
        <w:rPr>
          <w:rFonts w:ascii="Times New Roman" w:hAnsi="Times New Roman"/>
        </w:rPr>
        <w:t xml:space="preserve">. </w:t>
      </w:r>
    </w:p>
    <w:p w14:paraId="3BC1EDA4" w14:textId="6B42EA89" w:rsidR="00E91B81" w:rsidRPr="006D4E15" w:rsidRDefault="00714C1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The</w:t>
      </w:r>
      <w:r w:rsidR="00C23742" w:rsidRPr="006D4E15">
        <w:rPr>
          <w:rFonts w:ascii="Times New Roman" w:hAnsi="Times New Roman"/>
        </w:rPr>
        <w:t> </w:t>
      </w:r>
      <w:r w:rsidR="002D6DFF" w:rsidRPr="006D4E15">
        <w:rPr>
          <w:rFonts w:ascii="Times New Roman" w:hAnsi="Times New Roman"/>
        </w:rPr>
        <w:t xml:space="preserve">primary judge </w:t>
      </w:r>
      <w:r w:rsidR="00E65949" w:rsidRPr="006D4E15">
        <w:rPr>
          <w:rFonts w:ascii="Times New Roman" w:hAnsi="Times New Roman"/>
        </w:rPr>
        <w:t xml:space="preserve">held </w:t>
      </w:r>
      <w:r w:rsidR="002D6DFF" w:rsidRPr="006D4E15">
        <w:rPr>
          <w:rFonts w:ascii="Times New Roman" w:hAnsi="Times New Roman"/>
        </w:rPr>
        <w:t xml:space="preserve">the Diocese vicariously liable for the assaults, notwithstanding a finding that </w:t>
      </w:r>
      <w:r w:rsidR="0032195B" w:rsidRPr="006D4E15">
        <w:rPr>
          <w:rFonts w:ascii="Times New Roman" w:hAnsi="Times New Roman"/>
        </w:rPr>
        <w:t>Coffey</w:t>
      </w:r>
      <w:r w:rsidR="002D6DFF" w:rsidRPr="006D4E15">
        <w:rPr>
          <w:rFonts w:ascii="Times New Roman" w:hAnsi="Times New Roman"/>
        </w:rPr>
        <w:t xml:space="preserve"> was not an employee of the Diocese and in the absence of a finding that the assaults occurred in the course of an agency relationship between </w:t>
      </w:r>
      <w:r w:rsidR="0032195B" w:rsidRPr="006D4E15">
        <w:rPr>
          <w:rFonts w:ascii="Times New Roman" w:hAnsi="Times New Roman"/>
        </w:rPr>
        <w:t>Coffey</w:t>
      </w:r>
      <w:r w:rsidR="002D6DFF" w:rsidRPr="006D4E15">
        <w:rPr>
          <w:rFonts w:ascii="Times New Roman" w:hAnsi="Times New Roman"/>
        </w:rPr>
        <w:t xml:space="preserve"> and the Diocese. </w:t>
      </w:r>
      <w:r w:rsidR="008C0211" w:rsidRPr="006D4E15">
        <w:rPr>
          <w:rFonts w:ascii="Times New Roman" w:hAnsi="Times New Roman"/>
        </w:rPr>
        <w:t xml:space="preserve">DP's claim that the </w:t>
      </w:r>
      <w:r w:rsidR="00E91B81" w:rsidRPr="006D4E15">
        <w:rPr>
          <w:rFonts w:ascii="Times New Roman" w:hAnsi="Times New Roman"/>
        </w:rPr>
        <w:t>Diocese was directly liable to him</w:t>
      </w:r>
      <w:r w:rsidR="009D2819" w:rsidRPr="006D4E15" w:rsidDel="006A12A6">
        <w:rPr>
          <w:rFonts w:ascii="Times New Roman" w:hAnsi="Times New Roman"/>
        </w:rPr>
        <w:t xml:space="preserve"> in negligence </w:t>
      </w:r>
      <w:r w:rsidR="009D2819" w:rsidRPr="006D4E15">
        <w:rPr>
          <w:rFonts w:ascii="Times New Roman" w:hAnsi="Times New Roman"/>
        </w:rPr>
        <w:t>failed. The Diocese admitted that it owed a duty of care to DP in relation to the conduct of priests appointed to the parish in their dealings with parishioners and their families. The</w:t>
      </w:r>
      <w:r w:rsidR="009005E5" w:rsidRPr="006D4E15">
        <w:rPr>
          <w:rFonts w:ascii="Times New Roman" w:hAnsi="Times New Roman"/>
        </w:rPr>
        <w:t> </w:t>
      </w:r>
      <w:r w:rsidR="009D2819" w:rsidRPr="006D4E15">
        <w:rPr>
          <w:rFonts w:ascii="Times New Roman" w:hAnsi="Times New Roman"/>
        </w:rPr>
        <w:t>primary judge found that the relevant risk of harm was that Coffey in the course of his pastoral duties might assault a parishioner's child but did not accept that the Diocese knew or ought to have known of that risk prior to 1971 or during 1971. The</w:t>
      </w:r>
      <w:r w:rsidR="007B0F40" w:rsidRPr="006D4E15">
        <w:rPr>
          <w:rFonts w:ascii="Times New Roman" w:hAnsi="Times New Roman"/>
        </w:rPr>
        <w:t> </w:t>
      </w:r>
      <w:r w:rsidR="009D2819" w:rsidRPr="006D4E15">
        <w:rPr>
          <w:rFonts w:ascii="Times New Roman" w:hAnsi="Times New Roman"/>
        </w:rPr>
        <w:t>primary judge held that the second condition of DP's case on negligence – foreseeability of risk – was not met and that the Diocese was therefore not liable for the breach of duty it owed to DP. DP did not appeal that finding.</w:t>
      </w:r>
      <w:r w:rsidR="00451D04" w:rsidRPr="006D4E15">
        <w:rPr>
          <w:rFonts w:ascii="Times New Roman" w:hAnsi="Times New Roman"/>
        </w:rPr>
        <w:t xml:space="preserve"> </w:t>
      </w:r>
      <w:r w:rsidR="00E91B81" w:rsidRPr="006D4E15">
        <w:rPr>
          <w:rFonts w:ascii="Times New Roman" w:hAnsi="Times New Roman"/>
        </w:rPr>
        <w:t>The primary judge assessed DP's damages in the sum of $230,000.</w:t>
      </w:r>
      <w:r w:rsidR="008C0211" w:rsidRPr="006D4E15">
        <w:rPr>
          <w:rFonts w:ascii="Times New Roman" w:hAnsi="Times New Roman"/>
        </w:rPr>
        <w:t xml:space="preserve"> </w:t>
      </w:r>
      <w:r w:rsidR="004A33E0" w:rsidRPr="006D4E15">
        <w:rPr>
          <w:rFonts w:ascii="Times New Roman" w:hAnsi="Times New Roman"/>
        </w:rPr>
        <w:t>The</w:t>
      </w:r>
      <w:r w:rsidR="00221947" w:rsidRPr="006D4E15">
        <w:rPr>
          <w:rFonts w:ascii="Times New Roman" w:hAnsi="Times New Roman"/>
        </w:rPr>
        <w:t> </w:t>
      </w:r>
      <w:r w:rsidR="004A33E0" w:rsidRPr="006D4E15">
        <w:rPr>
          <w:rFonts w:ascii="Times New Roman" w:hAnsi="Times New Roman"/>
        </w:rPr>
        <w:t xml:space="preserve">Court of Appeal </w:t>
      </w:r>
      <w:r w:rsidR="00FF67BE" w:rsidRPr="006D4E15">
        <w:rPr>
          <w:rFonts w:ascii="Times New Roman" w:hAnsi="Times New Roman"/>
        </w:rPr>
        <w:t xml:space="preserve">unanimously </w:t>
      </w:r>
      <w:r w:rsidR="004A33E0" w:rsidRPr="006D4E15">
        <w:rPr>
          <w:rFonts w:ascii="Times New Roman" w:hAnsi="Times New Roman"/>
        </w:rPr>
        <w:t>dismissed the Diocese's appeal</w:t>
      </w:r>
      <w:r w:rsidR="00FF67BE" w:rsidRPr="006D4E15">
        <w:rPr>
          <w:rFonts w:ascii="Times New Roman" w:hAnsi="Times New Roman"/>
        </w:rPr>
        <w:t xml:space="preserve">. </w:t>
      </w:r>
      <w:r w:rsidR="00B20625" w:rsidRPr="006D4E15">
        <w:rPr>
          <w:rFonts w:ascii="Times New Roman" w:hAnsi="Times New Roman"/>
        </w:rPr>
        <w:t>The Diocese was granted special leave to appeal.</w:t>
      </w:r>
      <w:r w:rsidR="00E91B81" w:rsidRPr="006D4E15">
        <w:rPr>
          <w:rFonts w:ascii="Times New Roman" w:hAnsi="Times New Roman"/>
        </w:rPr>
        <w:t xml:space="preserve"> </w:t>
      </w:r>
    </w:p>
    <w:p w14:paraId="067E725B" w14:textId="68DF0ACA" w:rsidR="005409AA" w:rsidRPr="006D4E15" w:rsidRDefault="00A8074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6DFF" w:rsidRPr="006D4E15">
        <w:rPr>
          <w:rFonts w:ascii="Times New Roman" w:hAnsi="Times New Roman"/>
        </w:rPr>
        <w:t xml:space="preserve">This appeal </w:t>
      </w:r>
      <w:r w:rsidR="007369E2" w:rsidRPr="006D4E15">
        <w:rPr>
          <w:rFonts w:ascii="Times New Roman" w:hAnsi="Times New Roman"/>
        </w:rPr>
        <w:t>raises</w:t>
      </w:r>
      <w:r w:rsidR="002D6DFF" w:rsidRPr="006D4E15">
        <w:rPr>
          <w:rFonts w:ascii="Times New Roman" w:hAnsi="Times New Roman"/>
        </w:rPr>
        <w:t xml:space="preserve"> </w:t>
      </w:r>
      <w:r w:rsidR="00B20625" w:rsidRPr="006D4E15">
        <w:rPr>
          <w:rFonts w:ascii="Times New Roman" w:hAnsi="Times New Roman"/>
        </w:rPr>
        <w:t>three</w:t>
      </w:r>
      <w:r w:rsidR="002D6DFF" w:rsidRPr="006D4E15">
        <w:rPr>
          <w:rFonts w:ascii="Times New Roman" w:hAnsi="Times New Roman"/>
        </w:rPr>
        <w:t xml:space="preserve"> issues: </w:t>
      </w:r>
    </w:p>
    <w:p w14:paraId="353947D8" w14:textId="464EC925" w:rsidR="00EC7FDB" w:rsidRPr="006D4E15" w:rsidRDefault="005409AA"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(1)</w:t>
      </w:r>
      <w:r w:rsidRPr="006D4E15">
        <w:rPr>
          <w:rFonts w:ascii="Times New Roman" w:hAnsi="Times New Roman"/>
        </w:rPr>
        <w:tab/>
      </w:r>
      <w:r w:rsidR="002D6DFF" w:rsidRPr="006D4E15">
        <w:rPr>
          <w:rFonts w:ascii="Times New Roman" w:hAnsi="Times New Roman"/>
        </w:rPr>
        <w:t xml:space="preserve">whether, </w:t>
      </w:r>
      <w:r w:rsidRPr="006D4E15">
        <w:rPr>
          <w:rFonts w:ascii="Times New Roman" w:hAnsi="Times New Roman"/>
        </w:rPr>
        <w:t xml:space="preserve">under </w:t>
      </w:r>
      <w:r w:rsidR="002D6DFF" w:rsidRPr="006D4E15">
        <w:rPr>
          <w:rFonts w:ascii="Times New Roman" w:hAnsi="Times New Roman"/>
        </w:rPr>
        <w:t xml:space="preserve">the common law of Australia, </w:t>
      </w:r>
      <w:r w:rsidR="00193363" w:rsidRPr="006D4E15">
        <w:rPr>
          <w:rFonts w:ascii="Times New Roman" w:hAnsi="Times New Roman"/>
        </w:rPr>
        <w:t xml:space="preserve">absent a relationship of employment </w:t>
      </w:r>
      <w:r w:rsidR="009120B6" w:rsidRPr="006D4E15">
        <w:rPr>
          <w:rFonts w:ascii="Times New Roman" w:hAnsi="Times New Roman"/>
        </w:rPr>
        <w:t xml:space="preserve">between a wrongdoer and a defendant, </w:t>
      </w:r>
      <w:r w:rsidR="002D6DFF" w:rsidRPr="006D4E15">
        <w:rPr>
          <w:rFonts w:ascii="Times New Roman" w:hAnsi="Times New Roman"/>
        </w:rPr>
        <w:t xml:space="preserve">vicarious liability </w:t>
      </w:r>
      <w:r w:rsidR="002D6DFF" w:rsidRPr="006D4E15">
        <w:rPr>
          <w:rFonts w:ascii="Times New Roman" w:hAnsi="Times New Roman"/>
        </w:rPr>
        <w:lastRenderedPageBreak/>
        <w:t xml:space="preserve">applies </w:t>
      </w:r>
      <w:r w:rsidR="00DD0E0C" w:rsidRPr="006D4E15">
        <w:rPr>
          <w:rFonts w:ascii="Times New Roman" w:hAnsi="Times New Roman"/>
        </w:rPr>
        <w:t>–</w:t>
      </w:r>
      <w:r w:rsidR="002D6DFF" w:rsidRPr="006D4E15">
        <w:rPr>
          <w:rFonts w:ascii="Times New Roman" w:hAnsi="Times New Roman"/>
        </w:rPr>
        <w:t xml:space="preserve"> or should be extended </w:t>
      </w:r>
      <w:r w:rsidR="002A1AD1" w:rsidRPr="006D4E15">
        <w:rPr>
          <w:rFonts w:ascii="Times New Roman" w:hAnsi="Times New Roman"/>
        </w:rPr>
        <w:t>–</w:t>
      </w:r>
      <w:r w:rsidR="009120B6" w:rsidRPr="006D4E15">
        <w:rPr>
          <w:rFonts w:ascii="Times New Roman" w:hAnsi="Times New Roman"/>
        </w:rPr>
        <w:t xml:space="preserve"> </w:t>
      </w:r>
      <w:r w:rsidR="002D6DFF" w:rsidRPr="006D4E15">
        <w:rPr>
          <w:rFonts w:ascii="Times New Roman" w:hAnsi="Times New Roman"/>
        </w:rPr>
        <w:t xml:space="preserve">to a relationship which is </w:t>
      </w:r>
      <w:r w:rsidR="009F00CA" w:rsidRPr="006D4E15">
        <w:rPr>
          <w:rFonts w:ascii="Times New Roman" w:hAnsi="Times New Roman"/>
        </w:rPr>
        <w:t>not one of employment</w:t>
      </w:r>
      <w:r w:rsidR="00D42E3D" w:rsidRPr="006D4E15">
        <w:rPr>
          <w:rFonts w:ascii="Times New Roman" w:hAnsi="Times New Roman"/>
        </w:rPr>
        <w:t xml:space="preserve">, </w:t>
      </w:r>
      <w:r w:rsidR="00216759" w:rsidRPr="006D4E15">
        <w:rPr>
          <w:rFonts w:ascii="Times New Roman" w:hAnsi="Times New Roman"/>
        </w:rPr>
        <w:t>a</w:t>
      </w:r>
      <w:r w:rsidR="007B0F40" w:rsidRPr="006D4E15">
        <w:rPr>
          <w:rFonts w:ascii="Times New Roman" w:hAnsi="Times New Roman"/>
        </w:rPr>
        <w:t> </w:t>
      </w:r>
      <w:r w:rsidR="00216759" w:rsidRPr="006D4E15">
        <w:rPr>
          <w:rFonts w:ascii="Times New Roman" w:hAnsi="Times New Roman"/>
        </w:rPr>
        <w:t>relationship</w:t>
      </w:r>
      <w:r w:rsidR="002D6DFF" w:rsidRPr="006D4E15">
        <w:rPr>
          <w:rFonts w:ascii="Times New Roman" w:hAnsi="Times New Roman"/>
        </w:rPr>
        <w:t xml:space="preserve"> </w:t>
      </w:r>
      <w:r w:rsidR="00190011" w:rsidRPr="006D4E15">
        <w:rPr>
          <w:rFonts w:ascii="Times New Roman" w:hAnsi="Times New Roman"/>
        </w:rPr>
        <w:t xml:space="preserve">sometimes described as </w:t>
      </w:r>
      <w:r w:rsidR="0032428C" w:rsidRPr="006D4E15">
        <w:rPr>
          <w:rFonts w:ascii="Times New Roman" w:hAnsi="Times New Roman"/>
        </w:rPr>
        <w:t>akin to employment</w:t>
      </w:r>
      <w:r w:rsidR="002A1AD1" w:rsidRPr="006D4E15">
        <w:rPr>
          <w:rFonts w:ascii="Times New Roman" w:hAnsi="Times New Roman"/>
        </w:rPr>
        <w:t>;</w:t>
      </w:r>
      <w:r w:rsidR="00A638FF" w:rsidRPr="006D4E15">
        <w:rPr>
          <w:rStyle w:val="FootnoteReference"/>
          <w:rFonts w:ascii="Times New Roman" w:hAnsi="Times New Roman"/>
          <w:sz w:val="24"/>
        </w:rPr>
        <w:footnoteReference w:id="2"/>
      </w:r>
      <w:r w:rsidR="002D6DFF" w:rsidRPr="006D4E15">
        <w:rPr>
          <w:rFonts w:ascii="Times New Roman" w:hAnsi="Times New Roman"/>
        </w:rPr>
        <w:t xml:space="preserve"> </w:t>
      </w:r>
    </w:p>
    <w:p w14:paraId="152C8077" w14:textId="578777FE" w:rsidR="001B54FD" w:rsidRPr="006D4E15" w:rsidRDefault="001B54FD"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(2)</w:t>
      </w:r>
      <w:r w:rsidRPr="006D4E15">
        <w:rPr>
          <w:rFonts w:ascii="Times New Roman" w:hAnsi="Times New Roman"/>
        </w:rPr>
        <w:tab/>
      </w:r>
      <w:r w:rsidR="00486FAF" w:rsidRPr="006D4E15">
        <w:rPr>
          <w:rFonts w:ascii="Times New Roman" w:hAnsi="Times New Roman"/>
        </w:rPr>
        <w:t xml:space="preserve">if the relationship between </w:t>
      </w:r>
      <w:r w:rsidR="00C937DC" w:rsidRPr="006D4E15">
        <w:rPr>
          <w:rFonts w:ascii="Times New Roman" w:hAnsi="Times New Roman"/>
        </w:rPr>
        <w:t>Coffey</w:t>
      </w:r>
      <w:r w:rsidR="00486FAF" w:rsidRPr="006D4E15">
        <w:rPr>
          <w:rFonts w:ascii="Times New Roman" w:hAnsi="Times New Roman"/>
        </w:rPr>
        <w:t xml:space="preserve"> and the Diocese </w:t>
      </w:r>
      <w:r w:rsidR="00C65756" w:rsidRPr="006D4E15">
        <w:rPr>
          <w:rFonts w:ascii="Times New Roman" w:hAnsi="Times New Roman"/>
        </w:rPr>
        <w:t xml:space="preserve">was one </w:t>
      </w:r>
      <w:r w:rsidR="00295470" w:rsidRPr="006D4E15">
        <w:rPr>
          <w:rFonts w:ascii="Times New Roman" w:hAnsi="Times New Roman"/>
        </w:rPr>
        <w:t xml:space="preserve">which gave rise to a relationship </w:t>
      </w:r>
      <w:r w:rsidR="00156B7E" w:rsidRPr="006D4E15">
        <w:rPr>
          <w:rFonts w:ascii="Times New Roman" w:hAnsi="Times New Roman"/>
        </w:rPr>
        <w:t>of</w:t>
      </w:r>
      <w:r w:rsidR="00C65756" w:rsidRPr="006D4E15">
        <w:rPr>
          <w:rFonts w:ascii="Times New Roman" w:hAnsi="Times New Roman"/>
        </w:rPr>
        <w:t xml:space="preserve"> </w:t>
      </w:r>
      <w:r w:rsidR="00A7679B" w:rsidRPr="006D4E15">
        <w:rPr>
          <w:rFonts w:ascii="Times New Roman" w:hAnsi="Times New Roman"/>
        </w:rPr>
        <w:t>vicarious</w:t>
      </w:r>
      <w:r w:rsidR="00156B7E" w:rsidRPr="006D4E15">
        <w:rPr>
          <w:rFonts w:ascii="Times New Roman" w:hAnsi="Times New Roman"/>
        </w:rPr>
        <w:t xml:space="preserve"> </w:t>
      </w:r>
      <w:r w:rsidR="00C65756" w:rsidRPr="006D4E15">
        <w:rPr>
          <w:rFonts w:ascii="Times New Roman" w:hAnsi="Times New Roman"/>
        </w:rPr>
        <w:t>liab</w:t>
      </w:r>
      <w:r w:rsidR="00156B7E" w:rsidRPr="006D4E15">
        <w:rPr>
          <w:rFonts w:ascii="Times New Roman" w:hAnsi="Times New Roman"/>
        </w:rPr>
        <w:t xml:space="preserve">ility, </w:t>
      </w:r>
      <w:r w:rsidR="00676773" w:rsidRPr="006D4E15">
        <w:rPr>
          <w:rFonts w:ascii="Times New Roman" w:hAnsi="Times New Roman"/>
        </w:rPr>
        <w:t>whether</w:t>
      </w:r>
      <w:r w:rsidR="007B0F40" w:rsidRPr="006D4E15">
        <w:rPr>
          <w:rFonts w:ascii="Times New Roman" w:hAnsi="Times New Roman"/>
        </w:rPr>
        <w:t> </w:t>
      </w:r>
      <w:r w:rsidR="00676773" w:rsidRPr="006D4E15">
        <w:rPr>
          <w:rFonts w:ascii="Times New Roman" w:hAnsi="Times New Roman"/>
        </w:rPr>
        <w:t xml:space="preserve">the </w:t>
      </w:r>
      <w:r w:rsidR="00295470" w:rsidRPr="006D4E15">
        <w:rPr>
          <w:rFonts w:ascii="Times New Roman" w:hAnsi="Times New Roman"/>
        </w:rPr>
        <w:t xml:space="preserve">Diocese </w:t>
      </w:r>
      <w:r w:rsidR="00156B7E" w:rsidRPr="006D4E15">
        <w:rPr>
          <w:rFonts w:ascii="Times New Roman" w:hAnsi="Times New Roman"/>
        </w:rPr>
        <w:t xml:space="preserve">was liable for </w:t>
      </w:r>
      <w:r w:rsidR="00CF0E92" w:rsidRPr="006D4E15">
        <w:rPr>
          <w:rFonts w:ascii="Times New Roman" w:hAnsi="Times New Roman"/>
        </w:rPr>
        <w:t>Coffey's</w:t>
      </w:r>
      <w:r w:rsidR="00156B7E" w:rsidRPr="006D4E15">
        <w:rPr>
          <w:rFonts w:ascii="Times New Roman" w:hAnsi="Times New Roman"/>
        </w:rPr>
        <w:t xml:space="preserve"> conduct</w:t>
      </w:r>
      <w:r w:rsidR="00181072" w:rsidRPr="006D4E15">
        <w:rPr>
          <w:rFonts w:ascii="Times New Roman" w:hAnsi="Times New Roman"/>
        </w:rPr>
        <w:t>;</w:t>
      </w:r>
      <w:r w:rsidR="00E62215" w:rsidRPr="006D4E15">
        <w:rPr>
          <w:rFonts w:ascii="Times New Roman" w:hAnsi="Times New Roman"/>
        </w:rPr>
        <w:t xml:space="preserve"> and </w:t>
      </w:r>
    </w:p>
    <w:p w14:paraId="26E1FF7C" w14:textId="7F6749E8" w:rsidR="002D6DFF" w:rsidRPr="006D4E15" w:rsidRDefault="00EC7FDB" w:rsidP="006D4E15">
      <w:pPr>
        <w:pStyle w:val="NormalBody"/>
        <w:spacing w:after="260" w:line="280" w:lineRule="exact"/>
        <w:ind w:left="720" w:right="0" w:hanging="720"/>
        <w:jc w:val="both"/>
        <w:rPr>
          <w:rFonts w:ascii="Times New Roman" w:hAnsi="Times New Roman"/>
        </w:rPr>
      </w:pPr>
      <w:r w:rsidRPr="006D4E15">
        <w:rPr>
          <w:rFonts w:ascii="Times New Roman" w:hAnsi="Times New Roman"/>
          <w:bCs/>
        </w:rPr>
        <w:t>(</w:t>
      </w:r>
      <w:r w:rsidR="002A1AD1" w:rsidRPr="006D4E15">
        <w:rPr>
          <w:rFonts w:ascii="Times New Roman" w:hAnsi="Times New Roman"/>
          <w:bCs/>
        </w:rPr>
        <w:t>3</w:t>
      </w:r>
      <w:r w:rsidRPr="006D4E15">
        <w:rPr>
          <w:rFonts w:ascii="Times New Roman" w:hAnsi="Times New Roman"/>
          <w:bCs/>
        </w:rPr>
        <w:t>)</w:t>
      </w:r>
      <w:r w:rsidRPr="006D4E15">
        <w:rPr>
          <w:rFonts w:ascii="Times New Roman" w:hAnsi="Times New Roman"/>
          <w:bCs/>
        </w:rPr>
        <w:tab/>
      </w:r>
      <w:r w:rsidR="00295F74" w:rsidRPr="006D4E15">
        <w:rPr>
          <w:rFonts w:ascii="Times New Roman" w:hAnsi="Times New Roman"/>
          <w:bCs/>
        </w:rPr>
        <w:t xml:space="preserve">whether this Court should consider </w:t>
      </w:r>
      <w:r w:rsidRPr="006D4E15">
        <w:rPr>
          <w:rFonts w:ascii="Times New Roman" w:hAnsi="Times New Roman"/>
        </w:rPr>
        <w:t>DP's n</w:t>
      </w:r>
      <w:r w:rsidR="00295F74" w:rsidRPr="006D4E15">
        <w:rPr>
          <w:rFonts w:ascii="Times New Roman" w:hAnsi="Times New Roman"/>
        </w:rPr>
        <w:t xml:space="preserve">otice of contention that the </w:t>
      </w:r>
      <w:r w:rsidR="002D6DFF" w:rsidRPr="006D4E15">
        <w:rPr>
          <w:rFonts w:ascii="Times New Roman" w:hAnsi="Times New Roman"/>
        </w:rPr>
        <w:t xml:space="preserve">Diocese </w:t>
      </w:r>
      <w:r w:rsidR="001C5BF7" w:rsidRPr="006D4E15">
        <w:rPr>
          <w:rFonts w:ascii="Times New Roman" w:hAnsi="Times New Roman"/>
        </w:rPr>
        <w:t xml:space="preserve">is liable for breach of a non-delegable duty </w:t>
      </w:r>
      <w:r w:rsidR="002D6DFF" w:rsidRPr="006D4E15">
        <w:rPr>
          <w:rFonts w:ascii="Times New Roman" w:hAnsi="Times New Roman"/>
        </w:rPr>
        <w:t xml:space="preserve">owed </w:t>
      </w:r>
      <w:r w:rsidR="00A32AB6" w:rsidRPr="006D4E15">
        <w:rPr>
          <w:rFonts w:ascii="Times New Roman" w:hAnsi="Times New Roman"/>
        </w:rPr>
        <w:t xml:space="preserve">to </w:t>
      </w:r>
      <w:r w:rsidR="002D6DFF" w:rsidRPr="006D4E15">
        <w:rPr>
          <w:rFonts w:ascii="Times New Roman" w:hAnsi="Times New Roman"/>
        </w:rPr>
        <w:t>DP</w:t>
      </w:r>
      <w:r w:rsidR="006D2C74" w:rsidRPr="006D4E15">
        <w:rPr>
          <w:rFonts w:ascii="Times New Roman" w:hAnsi="Times New Roman"/>
        </w:rPr>
        <w:t xml:space="preserve">. </w:t>
      </w:r>
    </w:p>
    <w:p w14:paraId="4AD418D5" w14:textId="02FA6B1F" w:rsidR="00CF73AD" w:rsidRPr="006D4E15" w:rsidRDefault="006D2C7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A5E43" w:rsidRPr="006D4E15">
        <w:rPr>
          <w:rFonts w:ascii="Times New Roman" w:hAnsi="Times New Roman"/>
        </w:rPr>
        <w:t>This is the first time this Court has been asked to consider whether, absent</w:t>
      </w:r>
      <w:r w:rsidR="00603C3C">
        <w:rPr>
          <w:rFonts w:ascii="Times New Roman" w:hAnsi="Times New Roman"/>
        </w:rPr>
        <w:t> </w:t>
      </w:r>
      <w:r w:rsidR="008A5E43" w:rsidRPr="006D4E15">
        <w:rPr>
          <w:rFonts w:ascii="Times New Roman" w:hAnsi="Times New Roman"/>
        </w:rPr>
        <w:t>a relationship of employment between a wrongdoer and a defendant, a diocese or a bishop may be held vicariously liable for the unlawful actions of a priest who sexually abuses a child. That, in turn, raises the question whether a relationship of employment is a necessary precursor – or a threshold requirement – to a finding of vicarious liability. As will be explained, the position in Australia is that an employer may be vicariously liable for the acts of its employees</w:t>
      </w:r>
      <w:r w:rsidR="00453B77" w:rsidRPr="006D4E15">
        <w:rPr>
          <w:rFonts w:ascii="Times New Roman" w:hAnsi="Times New Roman"/>
        </w:rPr>
        <w:t>,</w:t>
      </w:r>
      <w:r w:rsidR="008A5E43" w:rsidRPr="006D4E15">
        <w:rPr>
          <w:rFonts w:ascii="Times New Roman" w:hAnsi="Times New Roman"/>
        </w:rPr>
        <w:t xml:space="preserve"> but there is no such liability for the acts of those who are not in an employment relationship but, instead, are, for example, independent contractors or in a relationship "akin to employment". </w:t>
      </w:r>
      <w:r w:rsidR="00DF7F07" w:rsidRPr="006D4E15">
        <w:rPr>
          <w:rFonts w:ascii="Times New Roman" w:hAnsi="Times New Roman"/>
        </w:rPr>
        <w:t>There being no finding of a relationship of employment between the Diocese and Coffey, t</w:t>
      </w:r>
      <w:r w:rsidR="00BB1F80" w:rsidRPr="006D4E15">
        <w:rPr>
          <w:rFonts w:ascii="Times New Roman" w:hAnsi="Times New Roman"/>
        </w:rPr>
        <w:t xml:space="preserve">he </w:t>
      </w:r>
      <w:r w:rsidR="007766EA" w:rsidRPr="006D4E15">
        <w:rPr>
          <w:rFonts w:ascii="Times New Roman" w:hAnsi="Times New Roman"/>
        </w:rPr>
        <w:t>appeal must be allowed. T</w:t>
      </w:r>
      <w:r w:rsidR="00BB1F80" w:rsidRPr="006D4E15">
        <w:rPr>
          <w:rFonts w:ascii="Times New Roman" w:hAnsi="Times New Roman"/>
        </w:rPr>
        <w:t xml:space="preserve">he second issue </w:t>
      </w:r>
      <w:r w:rsidR="007756EB" w:rsidRPr="006D4E15">
        <w:rPr>
          <w:rFonts w:ascii="Times New Roman" w:hAnsi="Times New Roman"/>
        </w:rPr>
        <w:t>is not reached. DP's notice of contention fails at the threshold</w:t>
      </w:r>
      <w:r w:rsidR="00A53EF9" w:rsidRPr="006D4E15">
        <w:rPr>
          <w:rFonts w:ascii="Times New Roman" w:hAnsi="Times New Roman"/>
        </w:rPr>
        <w:t>; it</w:t>
      </w:r>
      <w:r w:rsidR="007B0F40" w:rsidRPr="006D4E15">
        <w:rPr>
          <w:rFonts w:ascii="Times New Roman" w:hAnsi="Times New Roman"/>
        </w:rPr>
        <w:t> </w:t>
      </w:r>
      <w:r w:rsidR="005117C6" w:rsidRPr="006D4E15">
        <w:rPr>
          <w:rFonts w:ascii="Times New Roman" w:hAnsi="Times New Roman"/>
        </w:rPr>
        <w:t>was not raised in the courts below.</w:t>
      </w:r>
      <w:r w:rsidR="00CF73AD" w:rsidRPr="006D4E15">
        <w:rPr>
          <w:rFonts w:ascii="Times New Roman" w:hAnsi="Times New Roman"/>
        </w:rPr>
        <w:t xml:space="preserve"> </w:t>
      </w:r>
    </w:p>
    <w:p w14:paraId="67FC2394" w14:textId="4E2A60CC" w:rsidR="002010D9" w:rsidRPr="006D4E15" w:rsidRDefault="00FA3F36" w:rsidP="006D4E15">
      <w:pPr>
        <w:pStyle w:val="HeadingL1"/>
        <w:spacing w:after="260" w:line="280" w:lineRule="exact"/>
        <w:ind w:right="0"/>
        <w:jc w:val="both"/>
        <w:rPr>
          <w:rFonts w:ascii="Times New Roman" w:hAnsi="Times New Roman"/>
        </w:rPr>
      </w:pPr>
      <w:r w:rsidRPr="006D4E15">
        <w:rPr>
          <w:rFonts w:ascii="Times New Roman" w:hAnsi="Times New Roman"/>
        </w:rPr>
        <w:t>Background</w:t>
      </w:r>
    </w:p>
    <w:p w14:paraId="3B60C483" w14:textId="3F5F188F" w:rsidR="00455140" w:rsidRPr="006D4E15" w:rsidRDefault="00D458D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223D2" w:rsidRPr="006D4E15">
        <w:rPr>
          <w:rFonts w:ascii="Times New Roman" w:hAnsi="Times New Roman"/>
        </w:rPr>
        <w:t>The primary judge considered</w:t>
      </w:r>
      <w:r w:rsidR="00E45DB6" w:rsidRPr="006D4E15">
        <w:rPr>
          <w:rFonts w:ascii="Times New Roman" w:hAnsi="Times New Roman"/>
        </w:rPr>
        <w:t xml:space="preserve"> DP's claim</w:t>
      </w:r>
      <w:r w:rsidR="00D223D2" w:rsidRPr="006D4E15">
        <w:rPr>
          <w:rFonts w:ascii="Times New Roman" w:hAnsi="Times New Roman"/>
        </w:rPr>
        <w:t xml:space="preserve"> </w:t>
      </w:r>
      <w:r w:rsidR="00AA585B" w:rsidRPr="006D4E15">
        <w:rPr>
          <w:rFonts w:ascii="Times New Roman" w:hAnsi="Times New Roman"/>
        </w:rPr>
        <w:t>a</w:t>
      </w:r>
      <w:r w:rsidR="00D223D2" w:rsidRPr="006D4E15">
        <w:rPr>
          <w:rFonts w:ascii="Times New Roman" w:hAnsi="Times New Roman"/>
        </w:rPr>
        <w:t xml:space="preserve">s raising two fundamental and closely inter-related questions. First, was the relationship between Coffey and the Diocese or </w:t>
      </w:r>
      <w:r w:rsidR="007C5259" w:rsidRPr="006D4E15">
        <w:rPr>
          <w:rFonts w:ascii="Times New Roman" w:hAnsi="Times New Roman"/>
        </w:rPr>
        <w:t xml:space="preserve">the </w:t>
      </w:r>
      <w:r w:rsidR="00D223D2" w:rsidRPr="006D4E15">
        <w:rPr>
          <w:rFonts w:ascii="Times New Roman" w:hAnsi="Times New Roman"/>
        </w:rPr>
        <w:t xml:space="preserve">Bishop capable of </w:t>
      </w:r>
      <w:r w:rsidR="00A56863" w:rsidRPr="006D4E15">
        <w:rPr>
          <w:rFonts w:ascii="Times New Roman" w:hAnsi="Times New Roman"/>
        </w:rPr>
        <w:t xml:space="preserve">giving rise to </w:t>
      </w:r>
      <w:r w:rsidR="00D223D2" w:rsidRPr="006D4E15">
        <w:rPr>
          <w:rFonts w:ascii="Times New Roman" w:hAnsi="Times New Roman"/>
        </w:rPr>
        <w:t xml:space="preserve">a finding of vicarious liability on the part of the Diocese for Coffey's conduct? Second, </w:t>
      </w:r>
      <w:r w:rsidR="004B380D" w:rsidRPr="006D4E15">
        <w:rPr>
          <w:rFonts w:ascii="Times New Roman" w:hAnsi="Times New Roman"/>
        </w:rPr>
        <w:t xml:space="preserve">if </w:t>
      </w:r>
      <w:r w:rsidR="006F04D4" w:rsidRPr="006D4E15">
        <w:rPr>
          <w:rFonts w:ascii="Times New Roman" w:hAnsi="Times New Roman"/>
        </w:rPr>
        <w:t>there</w:t>
      </w:r>
      <w:r w:rsidR="006F04D4" w:rsidRPr="006D4E15" w:rsidDel="00474D91">
        <w:rPr>
          <w:rFonts w:ascii="Times New Roman" w:hAnsi="Times New Roman"/>
        </w:rPr>
        <w:t xml:space="preserve"> </w:t>
      </w:r>
      <w:r w:rsidR="00581F1E" w:rsidRPr="006D4E15">
        <w:rPr>
          <w:rFonts w:ascii="Times New Roman" w:hAnsi="Times New Roman"/>
        </w:rPr>
        <w:t xml:space="preserve">was </w:t>
      </w:r>
      <w:r w:rsidR="006F04D4" w:rsidRPr="006D4E15">
        <w:rPr>
          <w:rFonts w:ascii="Times New Roman" w:hAnsi="Times New Roman"/>
        </w:rPr>
        <w:t xml:space="preserve">a relationship that </w:t>
      </w:r>
      <w:r w:rsidR="0005478E" w:rsidRPr="006D4E15">
        <w:rPr>
          <w:rFonts w:ascii="Times New Roman" w:hAnsi="Times New Roman"/>
        </w:rPr>
        <w:t>could give</w:t>
      </w:r>
      <w:r w:rsidR="006F04D4" w:rsidRPr="006D4E15">
        <w:rPr>
          <w:rFonts w:ascii="Times New Roman" w:hAnsi="Times New Roman"/>
        </w:rPr>
        <w:t xml:space="preserve"> rise to vicarious liability</w:t>
      </w:r>
      <w:r w:rsidR="004B380D" w:rsidRPr="006D4E15">
        <w:rPr>
          <w:rFonts w:ascii="Times New Roman" w:hAnsi="Times New Roman"/>
        </w:rPr>
        <w:t xml:space="preserve">, was the Diocese or </w:t>
      </w:r>
      <w:r w:rsidR="006F04D4" w:rsidRPr="006D4E15">
        <w:rPr>
          <w:rFonts w:ascii="Times New Roman" w:hAnsi="Times New Roman"/>
        </w:rPr>
        <w:t xml:space="preserve">the </w:t>
      </w:r>
      <w:r w:rsidR="004B380D" w:rsidRPr="006D4E15">
        <w:rPr>
          <w:rFonts w:ascii="Times New Roman" w:hAnsi="Times New Roman"/>
        </w:rPr>
        <w:t xml:space="preserve">Bishop liable for Coffey's unlawful conduct, it being accepted that the </w:t>
      </w:r>
      <w:r w:rsidR="0030390B" w:rsidRPr="006D4E15">
        <w:rPr>
          <w:rFonts w:ascii="Times New Roman" w:hAnsi="Times New Roman"/>
        </w:rPr>
        <w:t>assaults</w:t>
      </w:r>
      <w:r w:rsidR="004B380D" w:rsidRPr="006D4E15">
        <w:rPr>
          <w:rFonts w:ascii="Times New Roman" w:hAnsi="Times New Roman"/>
        </w:rPr>
        <w:t xml:space="preserve"> were </w:t>
      </w:r>
      <w:r w:rsidR="0030390B" w:rsidRPr="006D4E15">
        <w:rPr>
          <w:rFonts w:ascii="Times New Roman" w:hAnsi="Times New Roman"/>
        </w:rPr>
        <w:t>unlawful</w:t>
      </w:r>
      <w:r w:rsidR="004B380D" w:rsidRPr="006D4E15">
        <w:rPr>
          <w:rFonts w:ascii="Times New Roman" w:hAnsi="Times New Roman"/>
        </w:rPr>
        <w:t xml:space="preserve"> and far outside Coffey's clerical role?</w:t>
      </w:r>
      <w:r w:rsidR="00D223D2" w:rsidRPr="006D4E15">
        <w:rPr>
          <w:rFonts w:ascii="Times New Roman" w:hAnsi="Times New Roman"/>
        </w:rPr>
        <w:t xml:space="preserve"> </w:t>
      </w:r>
    </w:p>
    <w:p w14:paraId="4850BED7" w14:textId="1E8A949E" w:rsidR="00D458D4" w:rsidRPr="006D4E15" w:rsidRDefault="00455140"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EF188C" w:rsidRPr="006D4E15">
        <w:rPr>
          <w:rFonts w:ascii="Times New Roman" w:hAnsi="Times New Roman"/>
        </w:rPr>
        <w:t>On</w:t>
      </w:r>
      <w:r w:rsidR="00212DE8" w:rsidRPr="006D4E15">
        <w:rPr>
          <w:rFonts w:ascii="Times New Roman" w:hAnsi="Times New Roman"/>
        </w:rPr>
        <w:t xml:space="preserve"> the first </w:t>
      </w:r>
      <w:r w:rsidR="00C55BF7" w:rsidRPr="006D4E15">
        <w:rPr>
          <w:rFonts w:ascii="Times New Roman" w:hAnsi="Times New Roman"/>
        </w:rPr>
        <w:t>question</w:t>
      </w:r>
      <w:r w:rsidR="00212DE8" w:rsidRPr="006D4E15">
        <w:rPr>
          <w:rFonts w:ascii="Times New Roman" w:hAnsi="Times New Roman"/>
        </w:rPr>
        <w:t xml:space="preserve">, </w:t>
      </w:r>
      <w:r w:rsidR="00026E46" w:rsidRPr="006D4E15">
        <w:rPr>
          <w:rFonts w:ascii="Times New Roman" w:hAnsi="Times New Roman"/>
        </w:rPr>
        <w:t xml:space="preserve">the primary judge </w:t>
      </w:r>
      <w:r w:rsidR="0005478E" w:rsidRPr="006D4E15">
        <w:rPr>
          <w:rFonts w:ascii="Times New Roman" w:hAnsi="Times New Roman"/>
        </w:rPr>
        <w:t>concluded</w:t>
      </w:r>
      <w:r w:rsidR="00026E46" w:rsidRPr="006D4E15">
        <w:rPr>
          <w:rFonts w:ascii="Times New Roman" w:hAnsi="Times New Roman"/>
        </w:rPr>
        <w:t xml:space="preserve"> that there was no binding decision in Australia </w:t>
      </w:r>
      <w:r w:rsidR="00F10F96" w:rsidRPr="006D4E15">
        <w:rPr>
          <w:rFonts w:ascii="Times New Roman" w:hAnsi="Times New Roman"/>
        </w:rPr>
        <w:t xml:space="preserve">that </w:t>
      </w:r>
      <w:r w:rsidR="00301833" w:rsidRPr="006D4E15">
        <w:rPr>
          <w:rFonts w:ascii="Times New Roman" w:hAnsi="Times New Roman"/>
        </w:rPr>
        <w:t>foreclos</w:t>
      </w:r>
      <w:r w:rsidR="00F10F96" w:rsidRPr="006D4E15">
        <w:rPr>
          <w:rFonts w:ascii="Times New Roman" w:hAnsi="Times New Roman"/>
        </w:rPr>
        <w:t xml:space="preserve">ed the possibility that a </w:t>
      </w:r>
      <w:r w:rsidR="00026E46" w:rsidRPr="006D4E15">
        <w:rPr>
          <w:rFonts w:ascii="Times New Roman" w:hAnsi="Times New Roman"/>
        </w:rPr>
        <w:t xml:space="preserve">diocese, or bishop, </w:t>
      </w:r>
      <w:r w:rsidR="00F10F96" w:rsidRPr="006D4E15">
        <w:rPr>
          <w:rFonts w:ascii="Times New Roman" w:hAnsi="Times New Roman"/>
        </w:rPr>
        <w:t>could</w:t>
      </w:r>
      <w:r w:rsidR="00603C3C">
        <w:rPr>
          <w:rFonts w:ascii="Times New Roman" w:hAnsi="Times New Roman"/>
        </w:rPr>
        <w:t> </w:t>
      </w:r>
      <w:r w:rsidR="00F10F96" w:rsidRPr="006D4E15">
        <w:rPr>
          <w:rFonts w:ascii="Times New Roman" w:hAnsi="Times New Roman"/>
        </w:rPr>
        <w:t xml:space="preserve">be held vicariously liable </w:t>
      </w:r>
      <w:r w:rsidR="00026E46" w:rsidRPr="006D4E15">
        <w:rPr>
          <w:rFonts w:ascii="Times New Roman" w:hAnsi="Times New Roman"/>
        </w:rPr>
        <w:t xml:space="preserve">for the actions (lawful or unlawful) of a priest appointed by a bishop. </w:t>
      </w:r>
      <w:r w:rsidR="00FC59B3" w:rsidRPr="006D4E15">
        <w:rPr>
          <w:rFonts w:ascii="Times New Roman" w:hAnsi="Times New Roman"/>
        </w:rPr>
        <w:t xml:space="preserve">After considering </w:t>
      </w:r>
      <w:r w:rsidR="00D458D4" w:rsidRPr="006D4E15">
        <w:rPr>
          <w:rFonts w:ascii="Times New Roman" w:hAnsi="Times New Roman"/>
        </w:rPr>
        <w:t xml:space="preserve">the decisions of this Court in </w:t>
      </w:r>
      <w:r w:rsidR="00D458D4" w:rsidRPr="006D4E15">
        <w:rPr>
          <w:rFonts w:ascii="Times New Roman" w:hAnsi="Times New Roman"/>
          <w:i/>
          <w:iCs/>
        </w:rPr>
        <w:t>Hollis v Vabu</w:t>
      </w:r>
      <w:r w:rsidR="00E378D0" w:rsidRPr="006D4E15">
        <w:rPr>
          <w:rFonts w:ascii="Times New Roman" w:hAnsi="Times New Roman"/>
          <w:i/>
          <w:iCs/>
        </w:rPr>
        <w:t xml:space="preserve"> Pty Ltd</w:t>
      </w:r>
      <w:r w:rsidR="00D458D4" w:rsidRPr="006D4E15">
        <w:rPr>
          <w:rFonts w:ascii="Times New Roman" w:hAnsi="Times New Roman"/>
        </w:rPr>
        <w:t>,</w:t>
      </w:r>
      <w:r w:rsidR="00A62F73" w:rsidRPr="006D4E15">
        <w:rPr>
          <w:rStyle w:val="FootnoteReference"/>
          <w:rFonts w:ascii="Times New Roman" w:hAnsi="Times New Roman"/>
          <w:sz w:val="24"/>
        </w:rPr>
        <w:footnoteReference w:id="3"/>
      </w:r>
      <w:r w:rsidR="00D458D4" w:rsidRPr="006D4E15">
        <w:rPr>
          <w:rFonts w:ascii="Times New Roman" w:hAnsi="Times New Roman"/>
        </w:rPr>
        <w:t xml:space="preserve"> </w:t>
      </w:r>
      <w:r w:rsidR="00D458D4" w:rsidRPr="006D4E15">
        <w:rPr>
          <w:rFonts w:ascii="Times New Roman" w:hAnsi="Times New Roman"/>
          <w:i/>
          <w:iCs/>
        </w:rPr>
        <w:t>Sweeney v Boylan Nominees Pty Ltd</w:t>
      </w:r>
      <w:r w:rsidR="00A62F73" w:rsidRPr="006D4E15">
        <w:rPr>
          <w:rStyle w:val="FootnoteReference"/>
          <w:rFonts w:ascii="Times New Roman" w:hAnsi="Times New Roman"/>
          <w:sz w:val="24"/>
        </w:rPr>
        <w:footnoteReference w:id="4"/>
      </w:r>
      <w:r w:rsidR="00185FCD" w:rsidRPr="006D4E15">
        <w:rPr>
          <w:rFonts w:ascii="Times New Roman" w:hAnsi="Times New Roman"/>
          <w:i/>
          <w:iCs/>
        </w:rPr>
        <w:t xml:space="preserve"> </w:t>
      </w:r>
      <w:r w:rsidR="00185FCD" w:rsidRPr="006D4E15">
        <w:rPr>
          <w:rFonts w:ascii="Times New Roman" w:hAnsi="Times New Roman"/>
        </w:rPr>
        <w:t xml:space="preserve">and </w:t>
      </w:r>
      <w:r w:rsidR="00185FCD" w:rsidRPr="006D4E15">
        <w:rPr>
          <w:rFonts w:ascii="Times New Roman" w:hAnsi="Times New Roman"/>
          <w:i/>
          <w:iCs/>
        </w:rPr>
        <w:t>Prince Alfred College</w:t>
      </w:r>
      <w:r w:rsidR="00711077" w:rsidRPr="006D4E15">
        <w:rPr>
          <w:rFonts w:ascii="Times New Roman" w:hAnsi="Times New Roman"/>
          <w:i/>
          <w:iCs/>
        </w:rPr>
        <w:t xml:space="preserve"> Inc</w:t>
      </w:r>
      <w:r w:rsidR="007272C1" w:rsidRPr="006D4E15">
        <w:rPr>
          <w:rFonts w:ascii="Times New Roman" w:hAnsi="Times New Roman"/>
          <w:i/>
          <w:iCs/>
        </w:rPr>
        <w:t xml:space="preserve"> v ADC</w:t>
      </w:r>
      <w:r w:rsidR="00D458D4" w:rsidRPr="006D4E15">
        <w:rPr>
          <w:rFonts w:ascii="Times New Roman" w:hAnsi="Times New Roman"/>
        </w:rPr>
        <w:t>,</w:t>
      </w:r>
      <w:r w:rsidR="00A62F73" w:rsidRPr="006D4E15">
        <w:rPr>
          <w:rStyle w:val="FootnoteReference"/>
          <w:rFonts w:ascii="Times New Roman" w:hAnsi="Times New Roman"/>
          <w:sz w:val="24"/>
        </w:rPr>
        <w:footnoteReference w:id="5"/>
      </w:r>
      <w:r w:rsidR="00D458D4" w:rsidRPr="006D4E15">
        <w:rPr>
          <w:rFonts w:ascii="Times New Roman" w:hAnsi="Times New Roman"/>
        </w:rPr>
        <w:t xml:space="preserve"> of the Supreme Court of Canada in </w:t>
      </w:r>
      <w:r w:rsidR="00D458D4" w:rsidRPr="006D4E15">
        <w:rPr>
          <w:rFonts w:ascii="Times New Roman" w:hAnsi="Times New Roman"/>
          <w:i/>
          <w:iCs/>
        </w:rPr>
        <w:t>Bazley v Curry</w:t>
      </w:r>
      <w:r w:rsidR="00D458D4" w:rsidRPr="006D4E15">
        <w:rPr>
          <w:rFonts w:ascii="Times New Roman" w:hAnsi="Times New Roman"/>
        </w:rPr>
        <w:t>,</w:t>
      </w:r>
      <w:r w:rsidR="00A62F73" w:rsidRPr="006D4E15">
        <w:rPr>
          <w:rStyle w:val="FootnoteReference"/>
          <w:rFonts w:ascii="Times New Roman" w:hAnsi="Times New Roman"/>
          <w:sz w:val="24"/>
        </w:rPr>
        <w:footnoteReference w:id="6"/>
      </w:r>
      <w:r w:rsidR="00D458D4" w:rsidRPr="006D4E15">
        <w:rPr>
          <w:rFonts w:ascii="Times New Roman" w:hAnsi="Times New Roman"/>
        </w:rPr>
        <w:t xml:space="preserve"> and </w:t>
      </w:r>
      <w:r w:rsidR="00626C35" w:rsidRPr="006D4E15">
        <w:rPr>
          <w:rFonts w:ascii="Times New Roman" w:hAnsi="Times New Roman"/>
        </w:rPr>
        <w:t xml:space="preserve">of </w:t>
      </w:r>
      <w:r w:rsidR="00D458D4" w:rsidRPr="006D4E15">
        <w:rPr>
          <w:rFonts w:ascii="Times New Roman" w:hAnsi="Times New Roman"/>
        </w:rPr>
        <w:t xml:space="preserve">the Supreme Court of the United Kingdom in </w:t>
      </w:r>
      <w:r w:rsidR="00D458D4" w:rsidRPr="006D4E15">
        <w:rPr>
          <w:rFonts w:ascii="Times New Roman" w:hAnsi="Times New Roman"/>
          <w:i/>
          <w:iCs/>
        </w:rPr>
        <w:t>Various Claimants v Catholic Child Welfare Society</w:t>
      </w:r>
      <w:r w:rsidR="00A62F73" w:rsidRPr="006D4E15">
        <w:rPr>
          <w:rStyle w:val="FootnoteReference"/>
          <w:rFonts w:ascii="Times New Roman" w:hAnsi="Times New Roman"/>
          <w:sz w:val="24"/>
        </w:rPr>
        <w:footnoteReference w:id="7"/>
      </w:r>
      <w:r w:rsidR="008472B0" w:rsidRPr="006D4E15">
        <w:rPr>
          <w:rFonts w:ascii="Times New Roman" w:hAnsi="Times New Roman"/>
          <w:i/>
          <w:iCs/>
        </w:rPr>
        <w:t xml:space="preserve"> </w:t>
      </w:r>
      <w:r w:rsidR="008472B0" w:rsidRPr="006D4E15">
        <w:rPr>
          <w:rFonts w:ascii="Times New Roman" w:hAnsi="Times New Roman"/>
        </w:rPr>
        <w:t>("</w:t>
      </w:r>
      <w:r w:rsidR="008472B0" w:rsidRPr="006D4E15">
        <w:rPr>
          <w:rFonts w:ascii="Times New Roman" w:hAnsi="Times New Roman"/>
          <w:i/>
        </w:rPr>
        <w:t>Christian</w:t>
      </w:r>
      <w:r w:rsidR="007B0F40" w:rsidRPr="006D4E15">
        <w:rPr>
          <w:rFonts w:ascii="Times New Roman" w:hAnsi="Times New Roman"/>
          <w:i/>
        </w:rPr>
        <w:t> </w:t>
      </w:r>
      <w:r w:rsidR="008472B0" w:rsidRPr="006D4E15">
        <w:rPr>
          <w:rFonts w:ascii="Times New Roman" w:hAnsi="Times New Roman"/>
          <w:i/>
        </w:rPr>
        <w:t>Brothers</w:t>
      </w:r>
      <w:r w:rsidR="008472B0" w:rsidRPr="006D4E15">
        <w:rPr>
          <w:rFonts w:ascii="Times New Roman" w:hAnsi="Times New Roman"/>
        </w:rPr>
        <w:t>")</w:t>
      </w:r>
      <w:r w:rsidR="00FC59B3" w:rsidRPr="006D4E15">
        <w:rPr>
          <w:rFonts w:ascii="Times New Roman" w:hAnsi="Times New Roman"/>
        </w:rPr>
        <w:t xml:space="preserve">, </w:t>
      </w:r>
      <w:r w:rsidR="00A507C9" w:rsidRPr="006D4E15">
        <w:rPr>
          <w:rFonts w:ascii="Times New Roman" w:hAnsi="Times New Roman"/>
        </w:rPr>
        <w:t xml:space="preserve">the primary judge </w:t>
      </w:r>
      <w:r w:rsidR="00BA12FF" w:rsidRPr="006D4E15">
        <w:rPr>
          <w:rFonts w:ascii="Times New Roman" w:hAnsi="Times New Roman"/>
        </w:rPr>
        <w:t xml:space="preserve">rejected the </w:t>
      </w:r>
      <w:r w:rsidR="00A507C9" w:rsidRPr="006D4E15">
        <w:rPr>
          <w:rFonts w:ascii="Times New Roman" w:hAnsi="Times New Roman"/>
        </w:rPr>
        <w:t>Diocese's central</w:t>
      </w:r>
      <w:r w:rsidR="00603C3C">
        <w:rPr>
          <w:rFonts w:ascii="Times New Roman" w:hAnsi="Times New Roman"/>
        </w:rPr>
        <w:t> </w:t>
      </w:r>
      <w:r w:rsidR="00BA12FF" w:rsidRPr="006D4E15">
        <w:rPr>
          <w:rFonts w:ascii="Times New Roman" w:hAnsi="Times New Roman"/>
        </w:rPr>
        <w:t>proposition that vicarious liability is confined to a relationship of employment</w:t>
      </w:r>
      <w:r w:rsidR="00685B35" w:rsidRPr="006D4E15">
        <w:rPr>
          <w:rFonts w:ascii="Times New Roman" w:hAnsi="Times New Roman"/>
          <w:b/>
          <w:bCs/>
        </w:rPr>
        <w:t xml:space="preserve"> </w:t>
      </w:r>
      <w:r w:rsidR="00D03708" w:rsidRPr="006D4E15">
        <w:rPr>
          <w:rFonts w:ascii="Times New Roman" w:hAnsi="Times New Roman"/>
        </w:rPr>
        <w:t xml:space="preserve">and, among other things, </w:t>
      </w:r>
      <w:r w:rsidR="00BA12FF" w:rsidRPr="006D4E15">
        <w:rPr>
          <w:rFonts w:ascii="Times New Roman" w:hAnsi="Times New Roman"/>
        </w:rPr>
        <w:t>c</w:t>
      </w:r>
      <w:r w:rsidR="00D458D4" w:rsidRPr="006D4E15">
        <w:rPr>
          <w:rFonts w:ascii="Times New Roman" w:hAnsi="Times New Roman"/>
        </w:rPr>
        <w:t xml:space="preserve">onsidered that this Court </w:t>
      </w:r>
      <w:r w:rsidR="00BA6500" w:rsidRPr="006D4E15">
        <w:rPr>
          <w:rFonts w:ascii="Times New Roman" w:hAnsi="Times New Roman"/>
        </w:rPr>
        <w:t xml:space="preserve">in </w:t>
      </w:r>
      <w:r w:rsidR="00D44C47" w:rsidRPr="006D4E15">
        <w:rPr>
          <w:rFonts w:ascii="Times New Roman" w:hAnsi="Times New Roman"/>
          <w:i/>
          <w:iCs/>
        </w:rPr>
        <w:t xml:space="preserve">Prince Alfred </w:t>
      </w:r>
      <w:r w:rsidR="006E7F95" w:rsidRPr="006D4E15">
        <w:rPr>
          <w:rFonts w:ascii="Times New Roman" w:hAnsi="Times New Roman"/>
          <w:i/>
          <w:iCs/>
        </w:rPr>
        <w:t xml:space="preserve">College </w:t>
      </w:r>
      <w:r w:rsidR="00D458D4" w:rsidRPr="006D4E15">
        <w:rPr>
          <w:rFonts w:ascii="Times New Roman" w:hAnsi="Times New Roman"/>
        </w:rPr>
        <w:t xml:space="preserve">did not endorse </w:t>
      </w:r>
      <w:r w:rsidR="00DC5820" w:rsidRPr="006D4E15">
        <w:rPr>
          <w:rFonts w:ascii="Times New Roman" w:hAnsi="Times New Roman"/>
        </w:rPr>
        <w:t xml:space="preserve">such </w:t>
      </w:r>
      <w:r w:rsidR="00D458D4" w:rsidRPr="006D4E15">
        <w:rPr>
          <w:rFonts w:ascii="Times New Roman" w:hAnsi="Times New Roman"/>
        </w:rPr>
        <w:t>a "confined theory"</w:t>
      </w:r>
      <w:r w:rsidR="00171BFF" w:rsidRPr="006D4E15">
        <w:rPr>
          <w:rFonts w:ascii="Times New Roman" w:hAnsi="Times New Roman"/>
        </w:rPr>
        <w:t>.</w:t>
      </w:r>
    </w:p>
    <w:p w14:paraId="3E7AB8E8" w14:textId="17F6062A" w:rsidR="00712D0E" w:rsidRPr="006D4E15" w:rsidRDefault="00D458D4"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The primary judge </w:t>
      </w:r>
      <w:r w:rsidR="0005478E" w:rsidRPr="006D4E15">
        <w:rPr>
          <w:rFonts w:ascii="Times New Roman" w:hAnsi="Times New Roman"/>
        </w:rPr>
        <w:t xml:space="preserve">said </w:t>
      </w:r>
      <w:r w:rsidRPr="006D4E15">
        <w:rPr>
          <w:rFonts w:ascii="Times New Roman" w:hAnsi="Times New Roman"/>
        </w:rPr>
        <w:t>that the correct approach to</w:t>
      </w:r>
      <w:r w:rsidR="00603DA5" w:rsidRPr="006D4E15">
        <w:rPr>
          <w:rFonts w:ascii="Times New Roman" w:hAnsi="Times New Roman"/>
        </w:rPr>
        <w:t xml:space="preserve"> the first stage of the</w:t>
      </w:r>
      <w:r w:rsidRPr="006D4E15">
        <w:rPr>
          <w:rFonts w:ascii="Times New Roman" w:hAnsi="Times New Roman"/>
        </w:rPr>
        <w:t xml:space="preserve"> vicarious liability </w:t>
      </w:r>
      <w:r w:rsidR="00603DA5" w:rsidRPr="006D4E15">
        <w:rPr>
          <w:rFonts w:ascii="Times New Roman" w:hAnsi="Times New Roman"/>
        </w:rPr>
        <w:t xml:space="preserve">analysis </w:t>
      </w:r>
      <w:r w:rsidR="00E1761D" w:rsidRPr="006D4E15">
        <w:rPr>
          <w:rFonts w:ascii="Times New Roman" w:hAnsi="Times New Roman"/>
        </w:rPr>
        <w:t>"</w:t>
      </w:r>
      <w:r w:rsidR="00DC5820" w:rsidRPr="006D4E15">
        <w:rPr>
          <w:rFonts w:ascii="Times New Roman" w:hAnsi="Times New Roman"/>
        </w:rPr>
        <w:t xml:space="preserve">ought not be limited by preconceived notions of agency or employment" </w:t>
      </w:r>
      <w:r w:rsidR="004B3AB5" w:rsidRPr="006D4E15">
        <w:rPr>
          <w:rFonts w:ascii="Times New Roman" w:hAnsi="Times New Roman"/>
        </w:rPr>
        <w:t xml:space="preserve">but, rather, </w:t>
      </w:r>
      <w:r w:rsidR="000125AC" w:rsidRPr="006D4E15">
        <w:rPr>
          <w:rFonts w:ascii="Times New Roman" w:hAnsi="Times New Roman"/>
        </w:rPr>
        <w:t>should</w:t>
      </w:r>
      <w:r w:rsidR="007B0F40" w:rsidRPr="006D4E15">
        <w:rPr>
          <w:rFonts w:ascii="Times New Roman" w:hAnsi="Times New Roman"/>
        </w:rPr>
        <w:t> </w:t>
      </w:r>
      <w:r w:rsidR="004B3AB5" w:rsidRPr="006D4E15">
        <w:rPr>
          <w:rFonts w:ascii="Times New Roman" w:hAnsi="Times New Roman"/>
        </w:rPr>
        <w:t xml:space="preserve">be </w:t>
      </w:r>
      <w:r w:rsidR="000125AC" w:rsidRPr="006D4E15">
        <w:rPr>
          <w:rFonts w:ascii="Times New Roman" w:hAnsi="Times New Roman"/>
        </w:rPr>
        <w:t>"</w:t>
      </w:r>
      <w:r w:rsidR="004B3AB5" w:rsidRPr="006D4E15">
        <w:rPr>
          <w:rFonts w:ascii="Times New Roman" w:hAnsi="Times New Roman"/>
        </w:rPr>
        <w:t>directed to the totality of the relationship".</w:t>
      </w:r>
      <w:r w:rsidR="004F5FAA" w:rsidRPr="006D4E15">
        <w:rPr>
          <w:rFonts w:ascii="Times New Roman" w:hAnsi="Times New Roman"/>
        </w:rPr>
        <w:t xml:space="preserve"> </w:t>
      </w:r>
      <w:r w:rsidR="00B46EBE" w:rsidRPr="006D4E15">
        <w:rPr>
          <w:rFonts w:ascii="Times New Roman" w:hAnsi="Times New Roman"/>
        </w:rPr>
        <w:t xml:space="preserve">The primary judge considered </w:t>
      </w:r>
      <w:r w:rsidR="004F5FAA" w:rsidRPr="006D4E15">
        <w:rPr>
          <w:rFonts w:ascii="Times New Roman" w:hAnsi="Times New Roman"/>
        </w:rPr>
        <w:t>that</w:t>
      </w:r>
      <w:r w:rsidR="00B46EBE" w:rsidRPr="006D4E15">
        <w:rPr>
          <w:rFonts w:ascii="Times New Roman" w:hAnsi="Times New Roman"/>
        </w:rPr>
        <w:t>, in this c</w:t>
      </w:r>
      <w:r w:rsidR="00B1471E" w:rsidRPr="006D4E15">
        <w:rPr>
          <w:rFonts w:ascii="Times New Roman" w:hAnsi="Times New Roman"/>
        </w:rPr>
        <w:t>ase, that</w:t>
      </w:r>
      <w:r w:rsidR="004F5FAA" w:rsidRPr="006D4E15">
        <w:rPr>
          <w:rFonts w:ascii="Times New Roman" w:hAnsi="Times New Roman"/>
        </w:rPr>
        <w:t xml:space="preserve"> </w:t>
      </w:r>
      <w:r w:rsidRPr="006D4E15">
        <w:rPr>
          <w:rFonts w:ascii="Times New Roman" w:hAnsi="Times New Roman"/>
        </w:rPr>
        <w:t>required a "holistic and broad inquiry into the circumstances surrounding</w:t>
      </w:r>
      <w:r w:rsidR="00A87527" w:rsidRPr="006D4E15">
        <w:rPr>
          <w:rFonts w:ascii="Times New Roman" w:hAnsi="Times New Roman"/>
        </w:rPr>
        <w:t>:</w:t>
      </w:r>
      <w:r w:rsidRPr="006D4E15">
        <w:rPr>
          <w:rFonts w:ascii="Times New Roman" w:hAnsi="Times New Roman"/>
        </w:rPr>
        <w:t xml:space="preserve"> the</w:t>
      </w:r>
      <w:r w:rsidR="007B0F40" w:rsidRPr="006D4E15">
        <w:rPr>
          <w:rFonts w:ascii="Times New Roman" w:hAnsi="Times New Roman"/>
        </w:rPr>
        <w:t> </w:t>
      </w:r>
      <w:r w:rsidRPr="006D4E15">
        <w:rPr>
          <w:rFonts w:ascii="Times New Roman" w:hAnsi="Times New Roman"/>
        </w:rPr>
        <w:t>relationship between the Diocese and Coffey; the role of … the</w:t>
      </w:r>
      <w:r w:rsidR="007B0F40" w:rsidRPr="006D4E15">
        <w:rPr>
          <w:rFonts w:ascii="Times New Roman" w:hAnsi="Times New Roman"/>
        </w:rPr>
        <w:t> </w:t>
      </w:r>
      <w:r w:rsidR="00A0013A" w:rsidRPr="006D4E15">
        <w:rPr>
          <w:rFonts w:ascii="Times New Roman" w:hAnsi="Times New Roman"/>
        </w:rPr>
        <w:t xml:space="preserve">[then] </w:t>
      </w:r>
      <w:r w:rsidRPr="006D4E15">
        <w:rPr>
          <w:rFonts w:ascii="Times New Roman" w:hAnsi="Times New Roman"/>
        </w:rPr>
        <w:t xml:space="preserve">parish priest </w:t>
      </w:r>
      <w:r w:rsidR="00E950D8" w:rsidRPr="006D4E15">
        <w:rPr>
          <w:rFonts w:ascii="Times New Roman" w:hAnsi="Times New Roman"/>
        </w:rPr>
        <w:t>(</w:t>
      </w:r>
      <w:r w:rsidRPr="006D4E15">
        <w:rPr>
          <w:rFonts w:ascii="Times New Roman" w:hAnsi="Times New Roman"/>
        </w:rPr>
        <w:t>Father</w:t>
      </w:r>
      <w:r w:rsidR="00603C3C">
        <w:rPr>
          <w:rFonts w:ascii="Times New Roman" w:hAnsi="Times New Roman"/>
        </w:rPr>
        <w:t> </w:t>
      </w:r>
      <w:r w:rsidRPr="006D4E15">
        <w:rPr>
          <w:rFonts w:ascii="Times New Roman" w:hAnsi="Times New Roman"/>
        </w:rPr>
        <w:t>O'Dowd</w:t>
      </w:r>
      <w:r w:rsidR="00E950D8" w:rsidRPr="006D4E15">
        <w:rPr>
          <w:rFonts w:ascii="Times New Roman" w:hAnsi="Times New Roman"/>
        </w:rPr>
        <w:t>)</w:t>
      </w:r>
      <w:r w:rsidRPr="006D4E15">
        <w:rPr>
          <w:rFonts w:ascii="Times New Roman" w:hAnsi="Times New Roman"/>
        </w:rPr>
        <w:t xml:space="preserve"> and Coffey; Coffey's role within the Port Fairy Catholic community; and Coffey's relationship with DP and his family"</w:t>
      </w:r>
      <w:r w:rsidR="00A93768" w:rsidRPr="006D4E15">
        <w:rPr>
          <w:rFonts w:ascii="Times New Roman" w:hAnsi="Times New Roman"/>
        </w:rPr>
        <w:t>.</w:t>
      </w:r>
    </w:p>
    <w:p w14:paraId="1CC2CDF5" w14:textId="5917244B" w:rsidR="00692EF7" w:rsidRPr="006D4E15" w:rsidRDefault="00712D0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94BF5" w:rsidRPr="006D4E15">
        <w:rPr>
          <w:rFonts w:ascii="Times New Roman" w:hAnsi="Times New Roman"/>
        </w:rPr>
        <w:t>To that end, h</w:t>
      </w:r>
      <w:r w:rsidR="00036142" w:rsidRPr="006D4E15">
        <w:rPr>
          <w:rFonts w:ascii="Times New Roman" w:hAnsi="Times New Roman"/>
        </w:rPr>
        <w:t xml:space="preserve">is Honour made </w:t>
      </w:r>
      <w:r w:rsidR="00D458D4" w:rsidRPr="006D4E15">
        <w:rPr>
          <w:rFonts w:ascii="Times New Roman" w:hAnsi="Times New Roman"/>
        </w:rPr>
        <w:t>findings about</w:t>
      </w:r>
      <w:r w:rsidR="005B6ECC" w:rsidRPr="006D4E15">
        <w:rPr>
          <w:rFonts w:ascii="Times New Roman" w:hAnsi="Times New Roman"/>
        </w:rPr>
        <w:t>:</w:t>
      </w:r>
      <w:r w:rsidR="00D458D4" w:rsidRPr="006D4E15">
        <w:rPr>
          <w:rFonts w:ascii="Times New Roman" w:hAnsi="Times New Roman"/>
        </w:rPr>
        <w:t xml:space="preserve"> (i)</w:t>
      </w:r>
      <w:r w:rsidR="00B84FCB" w:rsidRPr="006D4E15">
        <w:rPr>
          <w:rFonts w:ascii="Times New Roman" w:hAnsi="Times New Roman"/>
        </w:rPr>
        <w:t> </w:t>
      </w:r>
      <w:r w:rsidR="00D458D4" w:rsidRPr="006D4E15">
        <w:rPr>
          <w:rFonts w:ascii="Times New Roman" w:hAnsi="Times New Roman"/>
        </w:rPr>
        <w:t>the</w:t>
      </w:r>
      <w:r w:rsidR="00B84FCB" w:rsidRPr="006D4E15">
        <w:rPr>
          <w:rFonts w:ascii="Times New Roman" w:hAnsi="Times New Roman"/>
        </w:rPr>
        <w:t> </w:t>
      </w:r>
      <w:r w:rsidR="00D458D4" w:rsidRPr="006D4E15">
        <w:rPr>
          <w:rFonts w:ascii="Times New Roman" w:hAnsi="Times New Roman"/>
        </w:rPr>
        <w:t>relationship between Coffey and the Diocese</w:t>
      </w:r>
      <w:r w:rsidR="00DD48CD" w:rsidRPr="006D4E15">
        <w:rPr>
          <w:rFonts w:ascii="Times New Roman" w:hAnsi="Times New Roman"/>
        </w:rPr>
        <w:t>;</w:t>
      </w:r>
      <w:r w:rsidR="00D458D4" w:rsidRPr="006D4E15">
        <w:rPr>
          <w:rFonts w:ascii="Times New Roman" w:hAnsi="Times New Roman"/>
        </w:rPr>
        <w:t xml:space="preserve"> (ii) Coffey's role as an assistant parish priest in the Catholic community at Port Fairy</w:t>
      </w:r>
      <w:r w:rsidR="00DD48CD" w:rsidRPr="006D4E15">
        <w:rPr>
          <w:rFonts w:ascii="Times New Roman" w:hAnsi="Times New Roman"/>
        </w:rPr>
        <w:t>;</w:t>
      </w:r>
      <w:r w:rsidR="00D458D4" w:rsidRPr="006D4E15">
        <w:rPr>
          <w:rFonts w:ascii="Times New Roman" w:hAnsi="Times New Roman"/>
        </w:rPr>
        <w:t xml:space="preserve"> (iii)</w:t>
      </w:r>
      <w:r w:rsidR="00AC713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 xml:space="preserve">control exercised by the Diocese or the Bishop over Coffey in his role as assistant </w:t>
      </w:r>
      <w:r w:rsidR="00021252" w:rsidRPr="006D4E15">
        <w:rPr>
          <w:rFonts w:ascii="Times New Roman" w:hAnsi="Times New Roman"/>
        </w:rPr>
        <w:t>parish</w:t>
      </w:r>
      <w:r w:rsidR="00D458D4" w:rsidRPr="006D4E15">
        <w:rPr>
          <w:rFonts w:ascii="Times New Roman" w:hAnsi="Times New Roman"/>
        </w:rPr>
        <w:t xml:space="preserve"> priest</w:t>
      </w:r>
      <w:r w:rsidR="00DD48CD" w:rsidRPr="006D4E15">
        <w:rPr>
          <w:rFonts w:ascii="Times New Roman" w:hAnsi="Times New Roman"/>
        </w:rPr>
        <w:t>;</w:t>
      </w:r>
      <w:r w:rsidR="00D458D4" w:rsidRPr="006D4E15">
        <w:rPr>
          <w:rFonts w:ascii="Times New Roman" w:hAnsi="Times New Roman"/>
        </w:rPr>
        <w:t xml:space="preserve"> (iv)</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centrality of Coffey's work to that of the Diocese and the Church's mission in Port Fairy</w:t>
      </w:r>
      <w:r w:rsidR="00DD48CD" w:rsidRPr="006D4E15">
        <w:rPr>
          <w:rFonts w:ascii="Times New Roman" w:hAnsi="Times New Roman"/>
        </w:rPr>
        <w:t>;</w:t>
      </w:r>
      <w:r w:rsidR="00D458D4" w:rsidRPr="006D4E15">
        <w:rPr>
          <w:rFonts w:ascii="Times New Roman" w:hAnsi="Times New Roman"/>
        </w:rPr>
        <w:t xml:space="preserve"> (v)</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opportunity the Diocese provided to Coffey to abuse his power or authority; (vi)</w:t>
      </w:r>
      <w:r w:rsidR="00E20D72" w:rsidRPr="006D4E15">
        <w:rPr>
          <w:rFonts w:ascii="Times New Roman" w:hAnsi="Times New Roman"/>
        </w:rPr>
        <w:t> </w:t>
      </w:r>
      <w:bookmarkStart w:id="0" w:name="_Hlk161912040"/>
      <w:r w:rsidR="00D458D4" w:rsidRPr="006D4E15">
        <w:rPr>
          <w:rFonts w:ascii="Times New Roman" w:hAnsi="Times New Roman"/>
        </w:rPr>
        <w:t>Coffey's</w:t>
      </w:r>
      <w:r w:rsidR="007B0F40" w:rsidRPr="006D4E15">
        <w:rPr>
          <w:rFonts w:ascii="Times New Roman" w:hAnsi="Times New Roman"/>
        </w:rPr>
        <w:t> </w:t>
      </w:r>
      <w:r w:rsidR="00D458D4" w:rsidRPr="006D4E15">
        <w:rPr>
          <w:rFonts w:ascii="Times New Roman" w:hAnsi="Times New Roman"/>
        </w:rPr>
        <w:t xml:space="preserve">relationship </w:t>
      </w:r>
      <w:r w:rsidR="00C74D32" w:rsidRPr="006D4E15">
        <w:rPr>
          <w:rFonts w:ascii="Times New Roman" w:hAnsi="Times New Roman"/>
        </w:rPr>
        <w:t>with</w:t>
      </w:r>
      <w:r w:rsidR="00D458D4" w:rsidRPr="006D4E15">
        <w:rPr>
          <w:rFonts w:ascii="Times New Roman" w:hAnsi="Times New Roman"/>
        </w:rPr>
        <w:t xml:space="preserve"> DP and his family both generally and at the time of the assaults</w:t>
      </w:r>
      <w:bookmarkEnd w:id="0"/>
      <w:r w:rsidR="00DD48CD" w:rsidRPr="006D4E15">
        <w:rPr>
          <w:rFonts w:ascii="Times New Roman" w:hAnsi="Times New Roman"/>
        </w:rPr>
        <w:t>;</w:t>
      </w:r>
      <w:r w:rsidR="00D458D4" w:rsidRPr="006D4E15">
        <w:rPr>
          <w:rFonts w:ascii="Times New Roman" w:hAnsi="Times New Roman"/>
        </w:rPr>
        <w:t xml:space="preserve"> (vii)</w:t>
      </w:r>
      <w:r w:rsidR="007B0F40" w:rsidRPr="006D4E15">
        <w:rPr>
          <w:rFonts w:ascii="Times New Roman" w:hAnsi="Times New Roman"/>
        </w:rPr>
        <w:t> </w:t>
      </w:r>
      <w:r w:rsidR="00D458D4" w:rsidRPr="006D4E15">
        <w:rPr>
          <w:rFonts w:ascii="Times New Roman" w:hAnsi="Times New Roman"/>
        </w:rPr>
        <w:t>the</w:t>
      </w:r>
      <w:r w:rsidR="007B0F40" w:rsidRPr="006D4E15">
        <w:rPr>
          <w:rFonts w:ascii="Times New Roman" w:hAnsi="Times New Roman"/>
        </w:rPr>
        <w:t> </w:t>
      </w:r>
      <w:r w:rsidR="00D458D4" w:rsidRPr="006D4E15">
        <w:rPr>
          <w:rFonts w:ascii="Times New Roman" w:hAnsi="Times New Roman"/>
        </w:rPr>
        <w:t>vulnerability of potential victims to the wrongful exercise of Coffey's authority</w:t>
      </w:r>
      <w:r w:rsidR="00DD48CD" w:rsidRPr="006D4E15">
        <w:rPr>
          <w:rFonts w:ascii="Times New Roman" w:hAnsi="Times New Roman"/>
        </w:rPr>
        <w:t>;</w:t>
      </w:r>
      <w:r w:rsidR="00D458D4" w:rsidRPr="006D4E15">
        <w:rPr>
          <w:rFonts w:ascii="Times New Roman" w:hAnsi="Times New Roman"/>
        </w:rPr>
        <w:t xml:space="preserve"> and (viii)</w:t>
      </w:r>
      <w:r w:rsidR="00C60803" w:rsidRPr="006D4E15">
        <w:rPr>
          <w:rFonts w:ascii="Times New Roman" w:hAnsi="Times New Roman"/>
        </w:rPr>
        <w:t> </w:t>
      </w:r>
      <w:r w:rsidR="00D458D4" w:rsidRPr="006D4E15">
        <w:rPr>
          <w:rFonts w:ascii="Times New Roman" w:hAnsi="Times New Roman"/>
        </w:rPr>
        <w:t>the</w:t>
      </w:r>
      <w:r w:rsidR="00C60803" w:rsidRPr="006D4E15">
        <w:rPr>
          <w:rFonts w:ascii="Times New Roman" w:hAnsi="Times New Roman"/>
        </w:rPr>
        <w:t> </w:t>
      </w:r>
      <w:r w:rsidR="00D458D4" w:rsidRPr="006D4E15">
        <w:rPr>
          <w:rFonts w:ascii="Times New Roman" w:hAnsi="Times New Roman"/>
        </w:rPr>
        <w:t>circumstances in which Coffey carried out the assaults on DP.</w:t>
      </w:r>
      <w:r w:rsidR="0038583C" w:rsidRPr="006D4E15">
        <w:rPr>
          <w:rFonts w:ascii="Times New Roman" w:hAnsi="Times New Roman"/>
        </w:rPr>
        <w:t xml:space="preserve"> </w:t>
      </w:r>
    </w:p>
    <w:p w14:paraId="45C19433" w14:textId="316C8BA2" w:rsidR="00C808CC" w:rsidRPr="006D4E15" w:rsidRDefault="00692EF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105803" w:rsidRPr="006D4E15">
        <w:rPr>
          <w:rFonts w:ascii="Times New Roman" w:hAnsi="Times New Roman"/>
        </w:rPr>
        <w:t xml:space="preserve">What follows is a </w:t>
      </w:r>
      <w:r w:rsidR="00343CB2" w:rsidRPr="006D4E15">
        <w:rPr>
          <w:rFonts w:ascii="Times New Roman" w:hAnsi="Times New Roman"/>
        </w:rPr>
        <w:t>summary of those findings</w:t>
      </w:r>
      <w:r w:rsidR="00344760" w:rsidRPr="006D4E15">
        <w:rPr>
          <w:rFonts w:ascii="Times New Roman" w:hAnsi="Times New Roman"/>
        </w:rPr>
        <w:t xml:space="preserve">, which were not challenged by the </w:t>
      </w:r>
      <w:r w:rsidR="00C808CC" w:rsidRPr="006D4E15">
        <w:rPr>
          <w:rFonts w:ascii="Times New Roman" w:hAnsi="Times New Roman"/>
        </w:rPr>
        <w:t xml:space="preserve">Diocese. </w:t>
      </w:r>
    </w:p>
    <w:p w14:paraId="42B40351" w14:textId="5FF8CB7E" w:rsidR="00D47517" w:rsidRPr="006D4E15" w:rsidRDefault="00D47517" w:rsidP="006D4E15">
      <w:pPr>
        <w:pStyle w:val="HeadingL2"/>
        <w:spacing w:after="260" w:line="280" w:lineRule="exact"/>
        <w:ind w:right="0"/>
        <w:jc w:val="both"/>
        <w:rPr>
          <w:rFonts w:ascii="Times New Roman" w:hAnsi="Times New Roman"/>
          <w:b/>
          <w:bCs/>
        </w:rPr>
      </w:pPr>
      <w:r w:rsidRPr="006D4E15">
        <w:rPr>
          <w:rFonts w:ascii="Times New Roman" w:hAnsi="Times New Roman"/>
        </w:rPr>
        <w:t>The relationship between Coffey and the Diocese</w:t>
      </w:r>
    </w:p>
    <w:p w14:paraId="5DA672F2" w14:textId="39342BBD" w:rsidR="00843D64" w:rsidRPr="006D4E15" w:rsidRDefault="00D47517"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F31EF" w:rsidRPr="006D4E15">
        <w:rPr>
          <w:rFonts w:ascii="Times New Roman" w:hAnsi="Times New Roman"/>
        </w:rPr>
        <w:t xml:space="preserve">A </w:t>
      </w:r>
      <w:r w:rsidR="0036101C" w:rsidRPr="006D4E15">
        <w:rPr>
          <w:rFonts w:ascii="Times New Roman" w:hAnsi="Times New Roman"/>
        </w:rPr>
        <w:t>d</w:t>
      </w:r>
      <w:r w:rsidR="0075118B" w:rsidRPr="006D4E15">
        <w:rPr>
          <w:rFonts w:ascii="Times New Roman" w:hAnsi="Times New Roman"/>
        </w:rPr>
        <w:t xml:space="preserve">iocese, through the </w:t>
      </w:r>
      <w:r w:rsidR="0088026F" w:rsidRPr="006D4E15">
        <w:rPr>
          <w:rFonts w:ascii="Times New Roman" w:hAnsi="Times New Roman"/>
        </w:rPr>
        <w:t xml:space="preserve">person of the </w:t>
      </w:r>
      <w:r w:rsidR="0036101C" w:rsidRPr="006D4E15">
        <w:rPr>
          <w:rFonts w:ascii="Times New Roman" w:hAnsi="Times New Roman"/>
        </w:rPr>
        <w:t>b</w:t>
      </w:r>
      <w:r w:rsidR="0075118B" w:rsidRPr="006D4E15">
        <w:rPr>
          <w:rFonts w:ascii="Times New Roman" w:hAnsi="Times New Roman"/>
        </w:rPr>
        <w:t>ishop</w:t>
      </w:r>
      <w:r w:rsidR="00E81357" w:rsidRPr="006D4E15">
        <w:rPr>
          <w:rFonts w:ascii="Times New Roman" w:hAnsi="Times New Roman"/>
        </w:rPr>
        <w:t xml:space="preserve"> of that </w:t>
      </w:r>
      <w:r w:rsidR="0036101C" w:rsidRPr="006D4E15">
        <w:rPr>
          <w:rFonts w:ascii="Times New Roman" w:hAnsi="Times New Roman"/>
        </w:rPr>
        <w:t>d</w:t>
      </w:r>
      <w:r w:rsidR="00E81357" w:rsidRPr="006D4E15">
        <w:rPr>
          <w:rFonts w:ascii="Times New Roman" w:hAnsi="Times New Roman"/>
        </w:rPr>
        <w:t>iocese</w:t>
      </w:r>
      <w:r w:rsidR="0075118B" w:rsidRPr="006D4E15">
        <w:rPr>
          <w:rFonts w:ascii="Times New Roman" w:hAnsi="Times New Roman"/>
        </w:rPr>
        <w:t xml:space="preserve">, appoints priests and assistant priests to parishes within </w:t>
      </w:r>
      <w:r w:rsidR="00FF7446" w:rsidRPr="006D4E15">
        <w:rPr>
          <w:rFonts w:ascii="Times New Roman" w:hAnsi="Times New Roman"/>
        </w:rPr>
        <w:t>th</w:t>
      </w:r>
      <w:r w:rsidR="000F31EF" w:rsidRPr="006D4E15">
        <w:rPr>
          <w:rFonts w:ascii="Times New Roman" w:hAnsi="Times New Roman"/>
        </w:rPr>
        <w:t>at</w:t>
      </w:r>
      <w:r w:rsidR="00FF7446" w:rsidRPr="006D4E15">
        <w:rPr>
          <w:rFonts w:ascii="Times New Roman" w:hAnsi="Times New Roman"/>
        </w:rPr>
        <w:t xml:space="preserve"> </w:t>
      </w:r>
      <w:r w:rsidR="00C17701" w:rsidRPr="006D4E15">
        <w:rPr>
          <w:rFonts w:ascii="Times New Roman" w:hAnsi="Times New Roman"/>
        </w:rPr>
        <w:t>d</w:t>
      </w:r>
      <w:r w:rsidR="0075118B" w:rsidRPr="006D4E15">
        <w:rPr>
          <w:rFonts w:ascii="Times New Roman" w:hAnsi="Times New Roman"/>
        </w:rPr>
        <w:t xml:space="preserve">iocese. </w:t>
      </w:r>
      <w:r w:rsidR="008F7A66" w:rsidRPr="006D4E15">
        <w:rPr>
          <w:rFonts w:ascii="Times New Roman" w:hAnsi="Times New Roman"/>
        </w:rPr>
        <w:t xml:space="preserve">Coffey was ordained in </w:t>
      </w:r>
      <w:r w:rsidR="001B6757" w:rsidRPr="006D4E15">
        <w:rPr>
          <w:rFonts w:ascii="Times New Roman" w:hAnsi="Times New Roman"/>
        </w:rPr>
        <w:t xml:space="preserve">July 1960. </w:t>
      </w:r>
      <w:r w:rsidR="0090214C" w:rsidRPr="006D4E15">
        <w:rPr>
          <w:rFonts w:ascii="Times New Roman" w:hAnsi="Times New Roman"/>
        </w:rPr>
        <w:t xml:space="preserve">In 1966, </w:t>
      </w:r>
      <w:r w:rsidR="00CE6827" w:rsidRPr="006D4E15">
        <w:rPr>
          <w:rFonts w:ascii="Times New Roman" w:hAnsi="Times New Roman"/>
        </w:rPr>
        <w:t>Coffey</w:t>
      </w:r>
      <w:r w:rsidR="007B0F40" w:rsidRPr="006D4E15">
        <w:rPr>
          <w:rFonts w:ascii="Times New Roman" w:hAnsi="Times New Roman"/>
        </w:rPr>
        <w:t> </w:t>
      </w:r>
      <w:r w:rsidR="00CE6827" w:rsidRPr="006D4E15">
        <w:rPr>
          <w:rFonts w:ascii="Times New Roman" w:hAnsi="Times New Roman"/>
        </w:rPr>
        <w:t xml:space="preserve">was </w:t>
      </w:r>
      <w:r w:rsidR="005B41ED" w:rsidRPr="006D4E15">
        <w:rPr>
          <w:rFonts w:ascii="Times New Roman" w:hAnsi="Times New Roman"/>
        </w:rPr>
        <w:t xml:space="preserve">appointed </w:t>
      </w:r>
      <w:r w:rsidR="0090214C" w:rsidRPr="006D4E15">
        <w:rPr>
          <w:rFonts w:ascii="Times New Roman" w:hAnsi="Times New Roman"/>
        </w:rPr>
        <w:t xml:space="preserve">by the </w:t>
      </w:r>
      <w:r w:rsidR="004B0FE2" w:rsidRPr="006D4E15">
        <w:rPr>
          <w:rFonts w:ascii="Times New Roman" w:hAnsi="Times New Roman"/>
        </w:rPr>
        <w:t xml:space="preserve">then </w:t>
      </w:r>
      <w:r w:rsidR="0090214C" w:rsidRPr="006D4E15">
        <w:rPr>
          <w:rFonts w:ascii="Times New Roman" w:hAnsi="Times New Roman"/>
        </w:rPr>
        <w:t xml:space="preserve">Bishop of Ballarat </w:t>
      </w:r>
      <w:r w:rsidR="005B41ED" w:rsidRPr="006D4E15">
        <w:rPr>
          <w:rFonts w:ascii="Times New Roman" w:hAnsi="Times New Roman"/>
        </w:rPr>
        <w:t>to St Patrick's parish church</w:t>
      </w:r>
      <w:r w:rsidR="00E810A1" w:rsidRPr="006D4E15">
        <w:rPr>
          <w:rFonts w:ascii="Times New Roman" w:hAnsi="Times New Roman"/>
        </w:rPr>
        <w:t xml:space="preserve"> </w:t>
      </w:r>
      <w:r w:rsidR="0078323D" w:rsidRPr="006D4E15">
        <w:rPr>
          <w:rFonts w:ascii="Times New Roman" w:hAnsi="Times New Roman"/>
        </w:rPr>
        <w:t>in</w:t>
      </w:r>
      <w:r w:rsidR="005B41ED" w:rsidRPr="006D4E15">
        <w:rPr>
          <w:rFonts w:ascii="Times New Roman" w:hAnsi="Times New Roman"/>
        </w:rPr>
        <w:t xml:space="preserve"> Port Fairy as an assistant parish priest</w:t>
      </w:r>
      <w:r w:rsidR="00F45043" w:rsidRPr="006D4E15">
        <w:rPr>
          <w:rFonts w:ascii="Times New Roman" w:hAnsi="Times New Roman"/>
        </w:rPr>
        <w:t xml:space="preserve"> to the then parish priest</w:t>
      </w:r>
      <w:r w:rsidR="005B41ED" w:rsidRPr="006D4E15">
        <w:rPr>
          <w:rFonts w:ascii="Times New Roman" w:hAnsi="Times New Roman"/>
        </w:rPr>
        <w:t>.</w:t>
      </w:r>
      <w:r w:rsidR="00F550F1" w:rsidRPr="006D4E15">
        <w:rPr>
          <w:rFonts w:ascii="Times New Roman" w:hAnsi="Times New Roman"/>
        </w:rPr>
        <w:t xml:space="preserve"> Coffey was engaged in this role at the time of the assaults</w:t>
      </w:r>
      <w:r w:rsidR="00AE53A1" w:rsidRPr="006D4E15">
        <w:rPr>
          <w:rFonts w:ascii="Times New Roman" w:hAnsi="Times New Roman"/>
        </w:rPr>
        <w:t xml:space="preserve"> in 1971</w:t>
      </w:r>
      <w:r w:rsidR="00207198" w:rsidRPr="006D4E15">
        <w:rPr>
          <w:rFonts w:ascii="Times New Roman" w:hAnsi="Times New Roman"/>
        </w:rPr>
        <w:t>.</w:t>
      </w:r>
      <w:r w:rsidR="00CE6827" w:rsidRPr="006D4E15">
        <w:rPr>
          <w:rFonts w:ascii="Times New Roman" w:hAnsi="Times New Roman"/>
        </w:rPr>
        <w:t xml:space="preserve"> </w:t>
      </w:r>
      <w:r w:rsidR="00B46EDD" w:rsidRPr="006D4E15">
        <w:rPr>
          <w:rFonts w:ascii="Times New Roman" w:hAnsi="Times New Roman"/>
        </w:rPr>
        <w:t>Coffey was not employed by the Diocese or engaged by the Diocese as an independent contractor. T</w:t>
      </w:r>
      <w:r w:rsidR="00B46EDD" w:rsidRPr="006D4E15">
        <w:rPr>
          <w:rFonts w:ascii="Times New Roman" w:hAnsi="Times New Roman"/>
          <w:szCs w:val="18"/>
        </w:rPr>
        <w:t>here was no finding that Coffey was an agent of the Diocese.</w:t>
      </w:r>
    </w:p>
    <w:p w14:paraId="617B02FD" w14:textId="7F2292A2" w:rsidR="006F7FD3" w:rsidRPr="006D4E15" w:rsidRDefault="0042271D" w:rsidP="006D4E15">
      <w:pPr>
        <w:pStyle w:val="HeadingL2"/>
        <w:spacing w:after="260" w:line="280" w:lineRule="exact"/>
        <w:ind w:right="0"/>
        <w:jc w:val="both"/>
        <w:rPr>
          <w:rFonts w:ascii="Times New Roman" w:hAnsi="Times New Roman"/>
        </w:rPr>
      </w:pPr>
      <w:r w:rsidRPr="006D4E15">
        <w:rPr>
          <w:rFonts w:ascii="Times New Roman" w:hAnsi="Times New Roman"/>
        </w:rPr>
        <w:t>C</w:t>
      </w:r>
      <w:r w:rsidR="006F7FD3" w:rsidRPr="006D4E15">
        <w:rPr>
          <w:rFonts w:ascii="Times New Roman" w:hAnsi="Times New Roman"/>
        </w:rPr>
        <w:t xml:space="preserve">ontrol exercised by </w:t>
      </w:r>
      <w:r w:rsidR="005646DC" w:rsidRPr="006D4E15">
        <w:rPr>
          <w:rFonts w:ascii="Times New Roman" w:hAnsi="Times New Roman"/>
        </w:rPr>
        <w:t xml:space="preserve">the </w:t>
      </w:r>
      <w:r w:rsidR="006F7FD3" w:rsidRPr="006D4E15">
        <w:rPr>
          <w:rFonts w:ascii="Times New Roman" w:hAnsi="Times New Roman"/>
        </w:rPr>
        <w:t>Diocese or the Bishop over Coffey as assistant parish priest</w:t>
      </w:r>
    </w:p>
    <w:p w14:paraId="03303EE6" w14:textId="1F186518" w:rsidR="00B46EDD" w:rsidRPr="006D4E15" w:rsidRDefault="007940B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46EDD" w:rsidRPr="006D4E15">
        <w:rPr>
          <w:rFonts w:ascii="Times New Roman" w:hAnsi="Times New Roman"/>
        </w:rPr>
        <w:t xml:space="preserve">The relationship between Coffey and </w:t>
      </w:r>
      <w:r w:rsidR="009C5F8F" w:rsidRPr="006D4E15">
        <w:rPr>
          <w:rFonts w:ascii="Times New Roman" w:hAnsi="Times New Roman"/>
        </w:rPr>
        <w:t xml:space="preserve">the </w:t>
      </w:r>
      <w:r w:rsidR="00233624" w:rsidRPr="006D4E15">
        <w:rPr>
          <w:rFonts w:ascii="Times New Roman" w:hAnsi="Times New Roman"/>
        </w:rPr>
        <w:t xml:space="preserve">Diocese </w:t>
      </w:r>
      <w:r w:rsidR="000E0F5A" w:rsidRPr="006D4E15">
        <w:rPr>
          <w:rFonts w:ascii="Times New Roman" w:hAnsi="Times New Roman"/>
        </w:rPr>
        <w:t>(</w:t>
      </w:r>
      <w:r w:rsidR="00233624" w:rsidRPr="006D4E15">
        <w:rPr>
          <w:rFonts w:ascii="Times New Roman" w:hAnsi="Times New Roman"/>
        </w:rPr>
        <w:t>throu</w:t>
      </w:r>
      <w:r w:rsidR="00717D61" w:rsidRPr="006D4E15">
        <w:rPr>
          <w:rFonts w:ascii="Times New Roman" w:hAnsi="Times New Roman"/>
        </w:rPr>
        <w:t>g</w:t>
      </w:r>
      <w:r w:rsidR="00233624" w:rsidRPr="006D4E15">
        <w:rPr>
          <w:rFonts w:ascii="Times New Roman" w:hAnsi="Times New Roman"/>
        </w:rPr>
        <w:t>h the Bishop of Ballarat</w:t>
      </w:r>
      <w:r w:rsidR="000E0F5A" w:rsidRPr="006D4E15">
        <w:rPr>
          <w:rFonts w:ascii="Times New Roman" w:hAnsi="Times New Roman"/>
        </w:rPr>
        <w:t>)</w:t>
      </w:r>
      <w:r w:rsidR="00233624" w:rsidRPr="006D4E15">
        <w:rPr>
          <w:rFonts w:ascii="Times New Roman" w:hAnsi="Times New Roman"/>
        </w:rPr>
        <w:t xml:space="preserve"> </w:t>
      </w:r>
      <w:r w:rsidR="00B46EDD" w:rsidRPr="006D4E15">
        <w:rPr>
          <w:rFonts w:ascii="Times New Roman" w:hAnsi="Times New Roman"/>
        </w:rPr>
        <w:t>was governed by a strict set of normative rules – encapsulated in Canon Law – that each of them subscribed to. Those</w:t>
      </w:r>
      <w:r w:rsidR="007B0F40" w:rsidRPr="006D4E15">
        <w:rPr>
          <w:rFonts w:ascii="Times New Roman" w:hAnsi="Times New Roman"/>
        </w:rPr>
        <w:t> </w:t>
      </w:r>
      <w:r w:rsidR="00B46EDD" w:rsidRPr="006D4E15">
        <w:rPr>
          <w:rFonts w:ascii="Times New Roman" w:hAnsi="Times New Roman"/>
        </w:rPr>
        <w:t>rules, although legally unenforceable, permitted the Bishop to exercise control over Coffey that was "at least as great as, if not greater than, that</w:t>
      </w:r>
      <w:r w:rsidR="007B0F40" w:rsidRPr="006D4E15">
        <w:rPr>
          <w:rFonts w:ascii="Times New Roman" w:hAnsi="Times New Roman"/>
        </w:rPr>
        <w:t> </w:t>
      </w:r>
      <w:r w:rsidR="00B46EDD" w:rsidRPr="006D4E15">
        <w:rPr>
          <w:rFonts w:ascii="Times New Roman" w:hAnsi="Times New Roman"/>
        </w:rPr>
        <w:t>enjoyed by an employer".</w:t>
      </w:r>
    </w:p>
    <w:p w14:paraId="73330742" w14:textId="4E15CC9A" w:rsidR="00A5707E" w:rsidRPr="006D4E15" w:rsidRDefault="00110F6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05848" w:rsidRPr="006D4E15">
        <w:rPr>
          <w:rFonts w:ascii="Times New Roman" w:hAnsi="Times New Roman"/>
        </w:rPr>
        <w:t xml:space="preserve">The Bishop (and </w:t>
      </w:r>
      <w:r w:rsidR="00B05946" w:rsidRPr="006D4E15">
        <w:rPr>
          <w:rFonts w:ascii="Times New Roman" w:hAnsi="Times New Roman"/>
        </w:rPr>
        <w:t xml:space="preserve">by him, </w:t>
      </w:r>
      <w:r w:rsidR="00F05848" w:rsidRPr="006D4E15">
        <w:rPr>
          <w:rFonts w:ascii="Times New Roman" w:hAnsi="Times New Roman"/>
        </w:rPr>
        <w:t xml:space="preserve">the </w:t>
      </w:r>
      <w:r w:rsidR="00B05946" w:rsidRPr="006D4E15">
        <w:rPr>
          <w:rFonts w:ascii="Times New Roman" w:hAnsi="Times New Roman"/>
        </w:rPr>
        <w:t>D</w:t>
      </w:r>
      <w:r w:rsidR="00F05848" w:rsidRPr="006D4E15">
        <w:rPr>
          <w:rFonts w:ascii="Times New Roman" w:hAnsi="Times New Roman"/>
        </w:rPr>
        <w:t>iocese) exert</w:t>
      </w:r>
      <w:r w:rsidR="000F3631" w:rsidRPr="006D4E15">
        <w:rPr>
          <w:rFonts w:ascii="Times New Roman" w:hAnsi="Times New Roman"/>
        </w:rPr>
        <w:t>ed</w:t>
      </w:r>
      <w:r w:rsidR="00F05848" w:rsidRPr="006D4E15">
        <w:rPr>
          <w:rFonts w:ascii="Times New Roman" w:hAnsi="Times New Roman"/>
        </w:rPr>
        <w:t xml:space="preserve"> no direct control over </w:t>
      </w:r>
      <w:r w:rsidR="000F3631" w:rsidRPr="006D4E15">
        <w:rPr>
          <w:rFonts w:ascii="Times New Roman" w:hAnsi="Times New Roman"/>
        </w:rPr>
        <w:t>Coffey's</w:t>
      </w:r>
      <w:r w:rsidR="00F05848" w:rsidRPr="006D4E15">
        <w:rPr>
          <w:rFonts w:ascii="Times New Roman" w:hAnsi="Times New Roman"/>
        </w:rPr>
        <w:t xml:space="preserve"> hours of work, his day-to-day tasks or his manner of carrying them out. Such activities </w:t>
      </w:r>
      <w:r w:rsidR="008602DA" w:rsidRPr="006D4E15">
        <w:rPr>
          <w:rFonts w:ascii="Times New Roman" w:hAnsi="Times New Roman"/>
        </w:rPr>
        <w:t>we</w:t>
      </w:r>
      <w:r w:rsidR="00F05848" w:rsidRPr="006D4E15">
        <w:rPr>
          <w:rFonts w:ascii="Times New Roman" w:hAnsi="Times New Roman"/>
        </w:rPr>
        <w:t>re subject to the supervision and direction of</w:t>
      </w:r>
      <w:r w:rsidR="00CF7C4B" w:rsidRPr="006D4E15">
        <w:rPr>
          <w:rFonts w:ascii="Times New Roman" w:hAnsi="Times New Roman"/>
        </w:rPr>
        <w:t xml:space="preserve"> the parish priest</w:t>
      </w:r>
      <w:r w:rsidR="00581865" w:rsidRPr="006D4E15">
        <w:rPr>
          <w:rFonts w:ascii="Times New Roman" w:hAnsi="Times New Roman"/>
        </w:rPr>
        <w:t>,</w:t>
      </w:r>
      <w:r w:rsidR="00F05848" w:rsidRPr="006D4E15">
        <w:rPr>
          <w:rFonts w:ascii="Times New Roman" w:hAnsi="Times New Roman"/>
        </w:rPr>
        <w:t xml:space="preserve"> </w:t>
      </w:r>
      <w:r w:rsidR="00F911B5" w:rsidRPr="006D4E15">
        <w:rPr>
          <w:rFonts w:ascii="Times New Roman" w:hAnsi="Times New Roman"/>
        </w:rPr>
        <w:t>who in turn reported to the Bishop</w:t>
      </w:r>
      <w:r w:rsidR="008602DA" w:rsidRPr="006D4E15">
        <w:rPr>
          <w:rFonts w:ascii="Times New Roman" w:hAnsi="Times New Roman"/>
        </w:rPr>
        <w:t xml:space="preserve">. </w:t>
      </w:r>
      <w:r w:rsidR="00E0300F" w:rsidRPr="006D4E15">
        <w:rPr>
          <w:rFonts w:ascii="Times New Roman" w:hAnsi="Times New Roman"/>
        </w:rPr>
        <w:t>However,</w:t>
      </w:r>
      <w:r w:rsidR="006B1403" w:rsidRPr="006D4E15">
        <w:rPr>
          <w:rFonts w:ascii="Times New Roman" w:hAnsi="Times New Roman"/>
        </w:rPr>
        <w:t xml:space="preserve"> Coffey's </w:t>
      </w:r>
      <w:r w:rsidR="008C6898" w:rsidRPr="006D4E15">
        <w:rPr>
          <w:rFonts w:ascii="Times New Roman" w:hAnsi="Times New Roman"/>
        </w:rPr>
        <w:t>assignment</w:t>
      </w:r>
      <w:r w:rsidR="006B1403" w:rsidRPr="006D4E15">
        <w:rPr>
          <w:rFonts w:ascii="Times New Roman" w:hAnsi="Times New Roman"/>
        </w:rPr>
        <w:t xml:space="preserve"> at St Patrick's </w:t>
      </w:r>
      <w:r w:rsidR="00A10A75" w:rsidRPr="006D4E15">
        <w:rPr>
          <w:rFonts w:ascii="Times New Roman" w:hAnsi="Times New Roman"/>
        </w:rPr>
        <w:t xml:space="preserve">parish church </w:t>
      </w:r>
      <w:r w:rsidR="006B1403" w:rsidRPr="006D4E15">
        <w:rPr>
          <w:rFonts w:ascii="Times New Roman" w:hAnsi="Times New Roman"/>
        </w:rPr>
        <w:t xml:space="preserve">was </w:t>
      </w:r>
      <w:r w:rsidR="0036494C" w:rsidRPr="006D4E15">
        <w:rPr>
          <w:rFonts w:ascii="Times New Roman" w:hAnsi="Times New Roman"/>
        </w:rPr>
        <w:t>"</w:t>
      </w:r>
      <w:r w:rsidR="006B1403" w:rsidRPr="006D4E15">
        <w:rPr>
          <w:rFonts w:ascii="Times New Roman" w:hAnsi="Times New Roman"/>
        </w:rPr>
        <w:t>subject to the ultimate authority of the Diocese, as exercised by the Bishop, to remove any priest</w:t>
      </w:r>
      <w:r w:rsidR="0036494C" w:rsidRPr="006D4E15">
        <w:rPr>
          <w:rFonts w:ascii="Times New Roman" w:hAnsi="Times New Roman"/>
        </w:rPr>
        <w:t>"</w:t>
      </w:r>
      <w:r w:rsidR="006B1403" w:rsidRPr="006D4E15">
        <w:rPr>
          <w:rFonts w:ascii="Times New Roman" w:hAnsi="Times New Roman"/>
        </w:rPr>
        <w:t>.</w:t>
      </w:r>
      <w:r w:rsidR="005E0D88" w:rsidRPr="006D4E15">
        <w:rPr>
          <w:rFonts w:ascii="Times New Roman" w:hAnsi="Times New Roman"/>
        </w:rPr>
        <w:t xml:space="preserve"> </w:t>
      </w:r>
      <w:r w:rsidR="001601DC" w:rsidRPr="006D4E15">
        <w:rPr>
          <w:rFonts w:ascii="Times New Roman" w:hAnsi="Times New Roman"/>
        </w:rPr>
        <w:t xml:space="preserve">In other words, </w:t>
      </w:r>
      <w:r w:rsidR="005E0D88" w:rsidRPr="006D4E15">
        <w:rPr>
          <w:rFonts w:ascii="Times New Roman" w:hAnsi="Times New Roman"/>
        </w:rPr>
        <w:t>"</w:t>
      </w:r>
      <w:r w:rsidR="007B505E" w:rsidRPr="006D4E15">
        <w:rPr>
          <w:rFonts w:ascii="Times New Roman" w:hAnsi="Times New Roman"/>
        </w:rPr>
        <w:t xml:space="preserve">it was </w:t>
      </w:r>
      <w:r w:rsidR="005E0D88" w:rsidRPr="006D4E15">
        <w:rPr>
          <w:rFonts w:ascii="Times New Roman" w:hAnsi="Times New Roman"/>
        </w:rPr>
        <w:t>at the will of the Diocese</w:t>
      </w:r>
      <w:r w:rsidR="0036494C" w:rsidRPr="006D4E15">
        <w:rPr>
          <w:rFonts w:ascii="Times New Roman" w:hAnsi="Times New Roman"/>
        </w:rPr>
        <w:t xml:space="preserve"> </w:t>
      </w:r>
      <w:r w:rsidR="007B505E" w:rsidRPr="006D4E15">
        <w:rPr>
          <w:rFonts w:ascii="Times New Roman" w:hAnsi="Times New Roman"/>
        </w:rPr>
        <w:t xml:space="preserve">that Coffey </w:t>
      </w:r>
      <w:r w:rsidR="008F37F5" w:rsidRPr="006D4E15">
        <w:rPr>
          <w:rFonts w:ascii="Times New Roman" w:hAnsi="Times New Roman"/>
        </w:rPr>
        <w:t xml:space="preserve">received and </w:t>
      </w:r>
      <w:r w:rsidR="007B505E" w:rsidRPr="006D4E15">
        <w:rPr>
          <w:rFonts w:ascii="Times New Roman" w:hAnsi="Times New Roman"/>
        </w:rPr>
        <w:t>maintained th</w:t>
      </w:r>
      <w:r w:rsidR="001601DC" w:rsidRPr="006D4E15">
        <w:rPr>
          <w:rFonts w:ascii="Times New Roman" w:hAnsi="Times New Roman"/>
        </w:rPr>
        <w:t>e</w:t>
      </w:r>
      <w:r w:rsidR="007B505E" w:rsidRPr="006D4E15">
        <w:rPr>
          <w:rFonts w:ascii="Times New Roman" w:hAnsi="Times New Roman"/>
        </w:rPr>
        <w:t xml:space="preserve"> assignment for the entire period"</w:t>
      </w:r>
      <w:r w:rsidR="005E0D88" w:rsidRPr="006D4E15">
        <w:rPr>
          <w:rFonts w:ascii="Times New Roman" w:hAnsi="Times New Roman"/>
        </w:rPr>
        <w:t>.</w:t>
      </w:r>
      <w:r w:rsidR="007B505E" w:rsidRPr="006D4E15">
        <w:rPr>
          <w:rFonts w:ascii="Times New Roman" w:hAnsi="Times New Roman"/>
        </w:rPr>
        <w:t xml:space="preserve"> </w:t>
      </w:r>
      <w:r w:rsidR="00A5707E" w:rsidRPr="006D4E15">
        <w:rPr>
          <w:rFonts w:ascii="Times New Roman" w:hAnsi="Times New Roman"/>
        </w:rPr>
        <w:t>The Diocese was found to have "ultimate control over the parameters of Coffey's appointment, namely the duration, the location, the general duties, the</w:t>
      </w:r>
      <w:r w:rsidR="007B0F40" w:rsidRPr="006D4E15">
        <w:rPr>
          <w:rFonts w:ascii="Times New Roman" w:hAnsi="Times New Roman"/>
        </w:rPr>
        <w:t> </w:t>
      </w:r>
      <w:r w:rsidR="00A5707E" w:rsidRPr="006D4E15">
        <w:rPr>
          <w:rFonts w:ascii="Times New Roman" w:hAnsi="Times New Roman"/>
        </w:rPr>
        <w:t>responsibility of supervision and the benefits provided to Coffey for accepting the assignment"</w:t>
      </w:r>
      <w:r w:rsidR="004B30AE" w:rsidRPr="006D4E15">
        <w:rPr>
          <w:rFonts w:ascii="Times New Roman" w:hAnsi="Times New Roman"/>
        </w:rPr>
        <w:t xml:space="preserve"> </w:t>
      </w:r>
      <w:r w:rsidR="00A3534B" w:rsidRPr="006D4E15">
        <w:rPr>
          <w:rFonts w:ascii="Times New Roman" w:hAnsi="Times New Roman"/>
        </w:rPr>
        <w:t xml:space="preserve">at St Patrick's. </w:t>
      </w:r>
      <w:r w:rsidR="00C52146" w:rsidRPr="006D4E15">
        <w:rPr>
          <w:rFonts w:ascii="Times New Roman" w:hAnsi="Times New Roman"/>
        </w:rPr>
        <w:t>The Diocese also provided for Coffey’s livelihood, accommodation, clerical garb and vestments</w:t>
      </w:r>
      <w:r w:rsidR="004F62D2" w:rsidRPr="006D4E15">
        <w:rPr>
          <w:rFonts w:ascii="Times New Roman" w:hAnsi="Times New Roman"/>
        </w:rPr>
        <w:t>.</w:t>
      </w:r>
      <w:r w:rsidR="00C52146" w:rsidRPr="006D4E15">
        <w:rPr>
          <w:rFonts w:ascii="Times New Roman" w:hAnsi="Times New Roman"/>
        </w:rPr>
        <w:t xml:space="preserve"> </w:t>
      </w:r>
    </w:p>
    <w:p w14:paraId="47155D13" w14:textId="07987C04" w:rsidR="00E55C93" w:rsidRPr="006D4E15" w:rsidRDefault="00DD787F" w:rsidP="006D4E15">
      <w:pPr>
        <w:pStyle w:val="HeadingL2"/>
        <w:spacing w:after="260" w:line="280" w:lineRule="exact"/>
        <w:ind w:right="0"/>
        <w:jc w:val="both"/>
        <w:rPr>
          <w:rFonts w:ascii="Times New Roman" w:hAnsi="Times New Roman"/>
          <w:i w:val="0"/>
          <w:iCs/>
        </w:rPr>
      </w:pPr>
      <w:r w:rsidRPr="006D4E15">
        <w:rPr>
          <w:rFonts w:ascii="Times New Roman" w:hAnsi="Times New Roman"/>
        </w:rPr>
        <w:t>C</w:t>
      </w:r>
      <w:r w:rsidR="00665A39" w:rsidRPr="006D4E15">
        <w:rPr>
          <w:rFonts w:ascii="Times New Roman" w:hAnsi="Times New Roman"/>
        </w:rPr>
        <w:t>entrality of Coffey's work to the Diocese and the Church's mission in Port Fairy</w:t>
      </w:r>
    </w:p>
    <w:p w14:paraId="1ABB710E" w14:textId="283BC647" w:rsidR="00077387" w:rsidRPr="006D4E15" w:rsidRDefault="00110F6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41F9" w:rsidRPr="006D4E15">
        <w:rPr>
          <w:rFonts w:ascii="Times New Roman" w:hAnsi="Times New Roman"/>
        </w:rPr>
        <w:t>Coffey's role was integrally interconnected with the fundamental work and function of the Diocese.</w:t>
      </w:r>
      <w:r w:rsidR="00AF41F9" w:rsidRPr="006D4E15">
        <w:rPr>
          <w:rFonts w:ascii="Times New Roman" w:hAnsi="Times New Roman"/>
          <w:b/>
          <w:bCs/>
        </w:rPr>
        <w:t xml:space="preserve"> </w:t>
      </w:r>
      <w:r w:rsidR="00BC16C8" w:rsidRPr="006D4E15">
        <w:rPr>
          <w:rFonts w:ascii="Times New Roman" w:hAnsi="Times New Roman"/>
        </w:rPr>
        <w:t xml:space="preserve">The primary judge found that </w:t>
      </w:r>
      <w:r w:rsidR="00206B8C" w:rsidRPr="006D4E15">
        <w:rPr>
          <w:rFonts w:ascii="Times New Roman" w:hAnsi="Times New Roman"/>
        </w:rPr>
        <w:t>t</w:t>
      </w:r>
      <w:r w:rsidR="0033064F" w:rsidRPr="006D4E15">
        <w:rPr>
          <w:rFonts w:ascii="Times New Roman" w:hAnsi="Times New Roman"/>
        </w:rPr>
        <w:t>here was a "general or widely</w:t>
      </w:r>
      <w:r w:rsidR="0033064F" w:rsidRPr="006D4E15">
        <w:rPr>
          <w:rFonts w:ascii="Times New Roman" w:hAnsi="Times New Roman"/>
        </w:rPr>
        <w:noBreakHyphen/>
        <w:t>held expectation by the Port Fairy Catholic community" that</w:t>
      </w:r>
      <w:r w:rsidR="00860394" w:rsidRPr="006D4E15">
        <w:rPr>
          <w:rFonts w:ascii="Times New Roman" w:hAnsi="Times New Roman"/>
        </w:rPr>
        <w:t> </w:t>
      </w:r>
      <w:r w:rsidR="0033064F" w:rsidRPr="006D4E15">
        <w:rPr>
          <w:rFonts w:ascii="Times New Roman" w:hAnsi="Times New Roman"/>
        </w:rPr>
        <w:t>"priests</w:t>
      </w:r>
      <w:r w:rsidR="007B0F40" w:rsidRPr="006D4E15">
        <w:rPr>
          <w:rFonts w:ascii="Times New Roman" w:hAnsi="Times New Roman"/>
        </w:rPr>
        <w:t> </w:t>
      </w:r>
      <w:r w:rsidR="0033064F" w:rsidRPr="006D4E15">
        <w:rPr>
          <w:rFonts w:ascii="Times New Roman" w:hAnsi="Times New Roman"/>
        </w:rPr>
        <w:t>stood as representatives of the Church's values and must embody them always"</w:t>
      </w:r>
      <w:r w:rsidR="002F4B0C" w:rsidRPr="006D4E15">
        <w:rPr>
          <w:rFonts w:ascii="Times New Roman" w:hAnsi="Times New Roman"/>
          <w:bCs/>
        </w:rPr>
        <w:t xml:space="preserve"> and that </w:t>
      </w:r>
      <w:r w:rsidR="0033064F" w:rsidRPr="006D4E15">
        <w:rPr>
          <w:rFonts w:ascii="Times New Roman" w:hAnsi="Times New Roman"/>
        </w:rPr>
        <w:t xml:space="preserve">"Coffey carried out the work of the Diocese 'in its place'". </w:t>
      </w:r>
      <w:r w:rsidR="009B7C9F" w:rsidRPr="006D4E15">
        <w:rPr>
          <w:rFonts w:ascii="Times New Roman" w:hAnsi="Times New Roman"/>
        </w:rPr>
        <w:t xml:space="preserve">Coffey </w:t>
      </w:r>
      <w:r w:rsidR="0033064F" w:rsidRPr="006D4E15">
        <w:rPr>
          <w:rFonts w:ascii="Times New Roman" w:hAnsi="Times New Roman"/>
        </w:rPr>
        <w:t xml:space="preserve">was described </w:t>
      </w:r>
      <w:r w:rsidR="0033064F" w:rsidRPr="006D4E15">
        <w:rPr>
          <w:rFonts w:ascii="Times New Roman" w:hAnsi="Times New Roman"/>
        </w:rPr>
        <w:lastRenderedPageBreak/>
        <w:t>as "the</w:t>
      </w:r>
      <w:r w:rsidR="00025D2A" w:rsidRPr="006D4E15">
        <w:rPr>
          <w:rFonts w:ascii="Times New Roman" w:hAnsi="Times New Roman"/>
        </w:rPr>
        <w:t> </w:t>
      </w:r>
      <w:r w:rsidR="0033064F" w:rsidRPr="006D4E15">
        <w:rPr>
          <w:rFonts w:ascii="Times New Roman" w:hAnsi="Times New Roman"/>
        </w:rPr>
        <w:t xml:space="preserve">servant of the Diocese" and </w:t>
      </w:r>
      <w:r w:rsidR="003A007C" w:rsidRPr="006D4E15">
        <w:rPr>
          <w:rFonts w:ascii="Times New Roman" w:hAnsi="Times New Roman"/>
        </w:rPr>
        <w:t xml:space="preserve">as </w:t>
      </w:r>
      <w:r w:rsidR="0033064F" w:rsidRPr="006D4E15">
        <w:rPr>
          <w:rFonts w:ascii="Times New Roman" w:hAnsi="Times New Roman"/>
        </w:rPr>
        <w:t>an "emanation" and</w:t>
      </w:r>
      <w:r w:rsidR="00364F54" w:rsidRPr="006D4E15">
        <w:rPr>
          <w:rFonts w:ascii="Times New Roman" w:hAnsi="Times New Roman"/>
        </w:rPr>
        <w:t> </w:t>
      </w:r>
      <w:r w:rsidR="0033064F" w:rsidRPr="006D4E15">
        <w:rPr>
          <w:rFonts w:ascii="Times New Roman" w:hAnsi="Times New Roman"/>
        </w:rPr>
        <w:t>"representative" of it. By virtue of his role as assistant parish priest, Coffey</w:t>
      </w:r>
      <w:r w:rsidR="004E2663" w:rsidRPr="006D4E15">
        <w:rPr>
          <w:rFonts w:ascii="Times New Roman" w:hAnsi="Times New Roman"/>
        </w:rPr>
        <w:t>'s work</w:t>
      </w:r>
      <w:r w:rsidR="0033064F" w:rsidRPr="006D4E15">
        <w:rPr>
          <w:rFonts w:ascii="Times New Roman" w:hAnsi="Times New Roman"/>
        </w:rPr>
        <w:t xml:space="preserve"> </w:t>
      </w:r>
      <w:r w:rsidR="006715FE" w:rsidRPr="006D4E15">
        <w:rPr>
          <w:rFonts w:ascii="Times New Roman" w:hAnsi="Times New Roman"/>
        </w:rPr>
        <w:t>"comprised the 'very</w:t>
      </w:r>
      <w:r w:rsidR="00F43360" w:rsidRPr="006D4E15">
        <w:rPr>
          <w:rFonts w:ascii="Times New Roman" w:hAnsi="Times New Roman"/>
        </w:rPr>
        <w:t> </w:t>
      </w:r>
      <w:r w:rsidR="006715FE" w:rsidRPr="006D4E15">
        <w:rPr>
          <w:rFonts w:ascii="Times New Roman" w:hAnsi="Times New Roman"/>
        </w:rPr>
        <w:t>essence' of the public manifestation of the Diocese and the Church in Port Fairy" and</w:t>
      </w:r>
      <w:r w:rsidR="007B0F40" w:rsidRPr="006D4E15">
        <w:rPr>
          <w:rFonts w:ascii="Times New Roman" w:hAnsi="Times New Roman"/>
        </w:rPr>
        <w:t> </w:t>
      </w:r>
      <w:r w:rsidR="00662DEE" w:rsidRPr="006D4E15">
        <w:rPr>
          <w:rFonts w:ascii="Times New Roman" w:hAnsi="Times New Roman"/>
        </w:rPr>
        <w:t xml:space="preserve">he </w:t>
      </w:r>
      <w:r w:rsidR="0033064F" w:rsidRPr="006D4E15">
        <w:rPr>
          <w:rFonts w:ascii="Times New Roman" w:hAnsi="Times New Roman"/>
        </w:rPr>
        <w:t>commanded the respect and trust of the local parishioners.</w:t>
      </w:r>
      <w:r w:rsidR="00E51EFE" w:rsidRPr="006D4E15">
        <w:rPr>
          <w:rFonts w:ascii="Times New Roman" w:hAnsi="Times New Roman"/>
        </w:rPr>
        <w:t xml:space="preserve"> </w:t>
      </w:r>
    </w:p>
    <w:p w14:paraId="351CC62A" w14:textId="5179F51C" w:rsidR="000463A1" w:rsidRPr="006D4E15" w:rsidRDefault="000463A1" w:rsidP="006D4E15">
      <w:pPr>
        <w:pStyle w:val="HeadingL2"/>
        <w:spacing w:after="260" w:line="280" w:lineRule="exact"/>
        <w:ind w:right="0"/>
        <w:jc w:val="both"/>
        <w:rPr>
          <w:rFonts w:ascii="Times New Roman" w:hAnsi="Times New Roman"/>
          <w:i w:val="0"/>
          <w:iCs/>
        </w:rPr>
      </w:pPr>
      <w:r w:rsidRPr="006D4E15">
        <w:rPr>
          <w:rFonts w:ascii="Times New Roman" w:hAnsi="Times New Roman"/>
        </w:rPr>
        <w:t>Coffey's role as assistant parish priest in the Catholic community at Port Fairy</w:t>
      </w:r>
    </w:p>
    <w:p w14:paraId="247B40AB" w14:textId="3F029EA6" w:rsidR="00B63A60" w:rsidRPr="006D4E15" w:rsidRDefault="000463A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6120D" w:rsidRPr="006D4E15">
        <w:rPr>
          <w:rFonts w:ascii="Times New Roman" w:hAnsi="Times New Roman"/>
        </w:rPr>
        <w:t xml:space="preserve">As assistant </w:t>
      </w:r>
      <w:r w:rsidR="00D145ED" w:rsidRPr="006D4E15">
        <w:rPr>
          <w:rFonts w:ascii="Times New Roman" w:hAnsi="Times New Roman"/>
        </w:rPr>
        <w:t xml:space="preserve">parish </w:t>
      </w:r>
      <w:r w:rsidR="00A6120D" w:rsidRPr="006D4E15">
        <w:rPr>
          <w:rFonts w:ascii="Times New Roman" w:hAnsi="Times New Roman"/>
        </w:rPr>
        <w:t xml:space="preserve">priest, Coffey did the work of the Diocese in the parish and the Diocese did its work by and through him. </w:t>
      </w:r>
      <w:r w:rsidR="00914508" w:rsidRPr="006D4E15">
        <w:rPr>
          <w:rFonts w:ascii="Times New Roman" w:hAnsi="Times New Roman"/>
        </w:rPr>
        <w:t>The primary judge found that the "Diocese,</w:t>
      </w:r>
      <w:r w:rsidR="00854F85" w:rsidRPr="006D4E15">
        <w:rPr>
          <w:rFonts w:ascii="Times New Roman" w:hAnsi="Times New Roman"/>
        </w:rPr>
        <w:t> </w:t>
      </w:r>
      <w:r w:rsidR="00914508" w:rsidRPr="006D4E15">
        <w:rPr>
          <w:rFonts w:ascii="Times New Roman" w:hAnsi="Times New Roman"/>
        </w:rPr>
        <w:t xml:space="preserve">through the Bishop, </w:t>
      </w:r>
      <w:r w:rsidR="00212B86" w:rsidRPr="006D4E15">
        <w:rPr>
          <w:rFonts w:ascii="Times New Roman" w:hAnsi="Times New Roman"/>
        </w:rPr>
        <w:t>[</w:t>
      </w:r>
      <w:r w:rsidR="00914508" w:rsidRPr="006D4E15">
        <w:rPr>
          <w:rFonts w:ascii="Times New Roman" w:hAnsi="Times New Roman"/>
        </w:rPr>
        <w:t>had given</w:t>
      </w:r>
      <w:r w:rsidR="00212B86" w:rsidRPr="006D4E15">
        <w:rPr>
          <w:rFonts w:ascii="Times New Roman" w:hAnsi="Times New Roman"/>
        </w:rPr>
        <w:t>]</w:t>
      </w:r>
      <w:r w:rsidR="00914508" w:rsidRPr="006D4E15">
        <w:rPr>
          <w:rFonts w:ascii="Times New Roman" w:hAnsi="Times New Roman"/>
        </w:rPr>
        <w:t xml:space="preserve"> Coffey the imprimatur to undertake religious </w:t>
      </w:r>
      <w:r w:rsidR="00603FF3" w:rsidRPr="006D4E15">
        <w:rPr>
          <w:rFonts w:ascii="Times New Roman" w:hAnsi="Times New Roman"/>
        </w:rPr>
        <w:t xml:space="preserve">caring </w:t>
      </w:r>
      <w:r w:rsidR="00914508" w:rsidRPr="006D4E15">
        <w:rPr>
          <w:rFonts w:ascii="Times New Roman" w:hAnsi="Times New Roman"/>
        </w:rPr>
        <w:t xml:space="preserve">for the spiritual life of the Port Fairy flock". </w:t>
      </w:r>
      <w:r w:rsidR="00BB3195" w:rsidRPr="006D4E15">
        <w:rPr>
          <w:rFonts w:ascii="Times New Roman" w:hAnsi="Times New Roman"/>
        </w:rPr>
        <w:t xml:space="preserve">This </w:t>
      </w:r>
      <w:r w:rsidR="008D418C" w:rsidRPr="006D4E15">
        <w:rPr>
          <w:rFonts w:ascii="Times New Roman" w:hAnsi="Times New Roman"/>
        </w:rPr>
        <w:t>included</w:t>
      </w:r>
      <w:r w:rsidR="008107C3" w:rsidRPr="006D4E15">
        <w:rPr>
          <w:rFonts w:ascii="Times New Roman" w:hAnsi="Times New Roman"/>
        </w:rPr>
        <w:t>:</w:t>
      </w:r>
      <w:r w:rsidR="008D418C" w:rsidRPr="006D4E15">
        <w:rPr>
          <w:rFonts w:ascii="Times New Roman" w:hAnsi="Times New Roman"/>
        </w:rPr>
        <w:t xml:space="preserve"> conducting </w:t>
      </w:r>
      <w:r w:rsidR="009673A1" w:rsidRPr="006D4E15">
        <w:rPr>
          <w:rFonts w:ascii="Times New Roman" w:hAnsi="Times New Roman"/>
        </w:rPr>
        <w:t>religious services</w:t>
      </w:r>
      <w:r w:rsidR="00E31009" w:rsidRPr="006D4E15">
        <w:rPr>
          <w:rFonts w:ascii="Times New Roman" w:hAnsi="Times New Roman"/>
        </w:rPr>
        <w:t xml:space="preserve"> in </w:t>
      </w:r>
      <w:r w:rsidR="00F16CEE" w:rsidRPr="006D4E15">
        <w:rPr>
          <w:rFonts w:ascii="Times New Roman" w:hAnsi="Times New Roman"/>
        </w:rPr>
        <w:t>St Patrick's parish</w:t>
      </w:r>
      <w:r w:rsidR="00E31009" w:rsidRPr="006D4E15">
        <w:rPr>
          <w:rFonts w:ascii="Times New Roman" w:hAnsi="Times New Roman"/>
        </w:rPr>
        <w:t xml:space="preserve"> church</w:t>
      </w:r>
      <w:r w:rsidR="00F2393B" w:rsidRPr="006D4E15">
        <w:rPr>
          <w:rFonts w:ascii="Times New Roman" w:hAnsi="Times New Roman"/>
        </w:rPr>
        <w:t>,</w:t>
      </w:r>
      <w:r w:rsidR="006F2052" w:rsidRPr="006D4E15">
        <w:rPr>
          <w:rFonts w:ascii="Times New Roman" w:hAnsi="Times New Roman"/>
        </w:rPr>
        <w:t xml:space="preserve"> such as taking confessions and mass</w:t>
      </w:r>
      <w:r w:rsidR="0060563F" w:rsidRPr="006D4E15">
        <w:rPr>
          <w:rFonts w:ascii="Times New Roman" w:hAnsi="Times New Roman"/>
        </w:rPr>
        <w:t xml:space="preserve">; teaching religious education at the local </w:t>
      </w:r>
      <w:r w:rsidR="008107C3" w:rsidRPr="006D4E15">
        <w:rPr>
          <w:rFonts w:ascii="Times New Roman" w:hAnsi="Times New Roman"/>
        </w:rPr>
        <w:t>C</w:t>
      </w:r>
      <w:r w:rsidR="0060563F" w:rsidRPr="006D4E15">
        <w:rPr>
          <w:rFonts w:ascii="Times New Roman" w:hAnsi="Times New Roman"/>
        </w:rPr>
        <w:t xml:space="preserve">atholic school, </w:t>
      </w:r>
      <w:r w:rsidR="004F3DFA" w:rsidRPr="006D4E15">
        <w:rPr>
          <w:rFonts w:ascii="Times New Roman" w:hAnsi="Times New Roman"/>
        </w:rPr>
        <w:t xml:space="preserve">also </w:t>
      </w:r>
      <w:r w:rsidR="0060563F" w:rsidRPr="006D4E15">
        <w:rPr>
          <w:rFonts w:ascii="Times New Roman" w:hAnsi="Times New Roman"/>
        </w:rPr>
        <w:t>St Patrick's;</w:t>
      </w:r>
      <w:r w:rsidR="006F2052" w:rsidRPr="006D4E15">
        <w:rPr>
          <w:rFonts w:ascii="Times New Roman" w:hAnsi="Times New Roman"/>
        </w:rPr>
        <w:t xml:space="preserve"> </w:t>
      </w:r>
      <w:r w:rsidR="009673A1" w:rsidRPr="006D4E15">
        <w:rPr>
          <w:rFonts w:ascii="Times New Roman" w:hAnsi="Times New Roman"/>
        </w:rPr>
        <w:t>and</w:t>
      </w:r>
      <w:r w:rsidR="009C6C41" w:rsidRPr="006D4E15">
        <w:rPr>
          <w:rFonts w:ascii="Times New Roman" w:hAnsi="Times New Roman"/>
        </w:rPr>
        <w:t> </w:t>
      </w:r>
      <w:r w:rsidR="009673A1" w:rsidRPr="006D4E15">
        <w:rPr>
          <w:rFonts w:ascii="Times New Roman" w:hAnsi="Times New Roman"/>
        </w:rPr>
        <w:t xml:space="preserve">providing </w:t>
      </w:r>
      <w:r w:rsidR="008D418C" w:rsidRPr="006D4E15">
        <w:rPr>
          <w:rFonts w:ascii="Times New Roman" w:hAnsi="Times New Roman"/>
        </w:rPr>
        <w:t xml:space="preserve">pastoral guidance and support </w:t>
      </w:r>
      <w:r w:rsidR="00D7016C" w:rsidRPr="006D4E15">
        <w:rPr>
          <w:rFonts w:ascii="Times New Roman" w:hAnsi="Times New Roman"/>
        </w:rPr>
        <w:t xml:space="preserve">and spiritual guidance </w:t>
      </w:r>
      <w:r w:rsidR="008D418C" w:rsidRPr="006D4E15">
        <w:rPr>
          <w:rFonts w:ascii="Times New Roman" w:hAnsi="Times New Roman"/>
        </w:rPr>
        <w:t>to</w:t>
      </w:r>
      <w:r w:rsidR="00A325DB" w:rsidRPr="006D4E15">
        <w:rPr>
          <w:rFonts w:ascii="Times New Roman" w:hAnsi="Times New Roman"/>
        </w:rPr>
        <w:t xml:space="preserve"> parishioners</w:t>
      </w:r>
      <w:r w:rsidR="00DE6B71" w:rsidRPr="006D4E15">
        <w:rPr>
          <w:rFonts w:ascii="Times New Roman" w:hAnsi="Times New Roman"/>
        </w:rPr>
        <w:t>, including through visits to parishioners' homes</w:t>
      </w:r>
      <w:r w:rsidR="00DF62F3" w:rsidRPr="006D4E15">
        <w:rPr>
          <w:rFonts w:ascii="Times New Roman" w:hAnsi="Times New Roman"/>
        </w:rPr>
        <w:t>.</w:t>
      </w:r>
      <w:r w:rsidR="004E6A20" w:rsidRPr="006D4E15">
        <w:rPr>
          <w:rFonts w:ascii="Times New Roman" w:hAnsi="Times New Roman"/>
        </w:rPr>
        <w:t xml:space="preserve"> </w:t>
      </w:r>
    </w:p>
    <w:p w14:paraId="3E5A17F6" w14:textId="4655D458" w:rsidR="00B63A60" w:rsidRPr="006D4E15" w:rsidRDefault="00CB5AB8" w:rsidP="006D4E15">
      <w:pPr>
        <w:pStyle w:val="HeadingL2"/>
        <w:spacing w:after="260" w:line="280" w:lineRule="exact"/>
        <w:ind w:right="0"/>
        <w:jc w:val="both"/>
        <w:rPr>
          <w:rFonts w:ascii="Times New Roman" w:hAnsi="Times New Roman"/>
        </w:rPr>
      </w:pPr>
      <w:r w:rsidRPr="006D4E15">
        <w:rPr>
          <w:rFonts w:ascii="Times New Roman" w:hAnsi="Times New Roman"/>
        </w:rPr>
        <w:t>O</w:t>
      </w:r>
      <w:r w:rsidR="00B63A60" w:rsidRPr="006D4E15">
        <w:rPr>
          <w:rFonts w:ascii="Times New Roman" w:hAnsi="Times New Roman"/>
        </w:rPr>
        <w:t xml:space="preserve">pportunity </w:t>
      </w:r>
      <w:r w:rsidR="00720386" w:rsidRPr="006D4E15">
        <w:rPr>
          <w:rFonts w:ascii="Times New Roman" w:hAnsi="Times New Roman"/>
        </w:rPr>
        <w:t xml:space="preserve">the </w:t>
      </w:r>
      <w:r w:rsidR="00B63A60" w:rsidRPr="006D4E15">
        <w:rPr>
          <w:rFonts w:ascii="Times New Roman" w:hAnsi="Times New Roman"/>
        </w:rPr>
        <w:t>Diocese provided to Coffey to abuse his power or authority</w:t>
      </w:r>
    </w:p>
    <w:p w14:paraId="5FA02A4A" w14:textId="7A8E3013" w:rsidR="008D418C" w:rsidRPr="006D4E15" w:rsidRDefault="00B63A6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D2063" w:rsidRPr="006D4E15">
        <w:rPr>
          <w:rFonts w:ascii="Times New Roman" w:hAnsi="Times New Roman"/>
        </w:rPr>
        <w:t>P</w:t>
      </w:r>
      <w:r w:rsidR="004D0567" w:rsidRPr="006D4E15">
        <w:rPr>
          <w:rFonts w:ascii="Times New Roman" w:hAnsi="Times New Roman"/>
        </w:rPr>
        <w:t xml:space="preserve">astoral </w:t>
      </w:r>
      <w:r w:rsidR="00FC6E1A" w:rsidRPr="006D4E15">
        <w:rPr>
          <w:rFonts w:ascii="Times New Roman" w:hAnsi="Times New Roman"/>
        </w:rPr>
        <w:t xml:space="preserve">visits </w:t>
      </w:r>
      <w:r w:rsidR="002D2063" w:rsidRPr="006D4E15">
        <w:rPr>
          <w:rFonts w:ascii="Times New Roman" w:hAnsi="Times New Roman"/>
        </w:rPr>
        <w:t xml:space="preserve">to parishioners' homes </w:t>
      </w:r>
      <w:r w:rsidR="004D0567" w:rsidRPr="006D4E15">
        <w:rPr>
          <w:rFonts w:ascii="Times New Roman" w:hAnsi="Times New Roman"/>
        </w:rPr>
        <w:t xml:space="preserve">were "an integral part" of </w:t>
      </w:r>
      <w:r w:rsidR="002D2063" w:rsidRPr="006D4E15">
        <w:rPr>
          <w:rFonts w:ascii="Times New Roman" w:hAnsi="Times New Roman"/>
        </w:rPr>
        <w:t>Coffey's</w:t>
      </w:r>
      <w:r w:rsidR="004D0567" w:rsidRPr="006D4E15">
        <w:rPr>
          <w:rFonts w:ascii="Times New Roman" w:hAnsi="Times New Roman"/>
        </w:rPr>
        <w:t xml:space="preserve"> role</w:t>
      </w:r>
      <w:r w:rsidR="0076264B" w:rsidRPr="006D4E15">
        <w:rPr>
          <w:rFonts w:ascii="Times New Roman" w:hAnsi="Times New Roman"/>
          <w:b/>
          <w:bCs/>
        </w:rPr>
        <w:t xml:space="preserve"> </w:t>
      </w:r>
      <w:r w:rsidR="0076264B" w:rsidRPr="006D4E15">
        <w:rPr>
          <w:rFonts w:ascii="Times New Roman" w:hAnsi="Times New Roman"/>
        </w:rPr>
        <w:t>and enabled him to achieve a high degree of intimacy with parishioners</w:t>
      </w:r>
      <w:r w:rsidR="0025340D" w:rsidRPr="006D4E15">
        <w:rPr>
          <w:rFonts w:ascii="Times New Roman" w:hAnsi="Times New Roman"/>
        </w:rPr>
        <w:t xml:space="preserve"> </w:t>
      </w:r>
      <w:r w:rsidR="0062570A" w:rsidRPr="006D4E15">
        <w:rPr>
          <w:rFonts w:ascii="Times New Roman" w:hAnsi="Times New Roman"/>
        </w:rPr>
        <w:t>and their families</w:t>
      </w:r>
      <w:r w:rsidR="00EA3827" w:rsidRPr="006D4E15">
        <w:rPr>
          <w:rFonts w:ascii="Times New Roman" w:hAnsi="Times New Roman"/>
        </w:rPr>
        <w:t>.</w:t>
      </w:r>
      <w:r w:rsidR="007F7860" w:rsidRPr="006D4E15">
        <w:rPr>
          <w:rFonts w:ascii="Times New Roman" w:hAnsi="Times New Roman"/>
        </w:rPr>
        <w:t xml:space="preserve"> </w:t>
      </w:r>
      <w:r w:rsidR="00275DBE" w:rsidRPr="006D4E15">
        <w:rPr>
          <w:rFonts w:ascii="Times New Roman" w:hAnsi="Times New Roman"/>
        </w:rPr>
        <w:t xml:space="preserve">The primary judge found that </w:t>
      </w:r>
      <w:r w:rsidR="007F7860" w:rsidRPr="006D4E15">
        <w:rPr>
          <w:rFonts w:ascii="Times New Roman" w:hAnsi="Times New Roman"/>
        </w:rPr>
        <w:t>Coffey</w:t>
      </w:r>
      <w:r w:rsidR="00E467E9" w:rsidRPr="006D4E15">
        <w:rPr>
          <w:rFonts w:ascii="Times New Roman" w:hAnsi="Times New Roman"/>
        </w:rPr>
        <w:t xml:space="preserve"> </w:t>
      </w:r>
      <w:r w:rsidR="004A2F5A" w:rsidRPr="006D4E15">
        <w:rPr>
          <w:rFonts w:ascii="Times New Roman" w:hAnsi="Times New Roman"/>
        </w:rPr>
        <w:t>made a practice of visiting</w:t>
      </w:r>
      <w:r w:rsidR="005E0F5E" w:rsidRPr="006D4E15">
        <w:rPr>
          <w:rFonts w:ascii="Times New Roman" w:hAnsi="Times New Roman"/>
        </w:rPr>
        <w:t xml:space="preserve"> </w:t>
      </w:r>
      <w:r w:rsidR="00A47258" w:rsidRPr="006D4E15">
        <w:rPr>
          <w:rFonts w:ascii="Times New Roman" w:hAnsi="Times New Roman"/>
        </w:rPr>
        <w:t>and interact</w:t>
      </w:r>
      <w:r w:rsidR="004A2F5A" w:rsidRPr="006D4E15">
        <w:rPr>
          <w:rFonts w:ascii="Times New Roman" w:hAnsi="Times New Roman"/>
        </w:rPr>
        <w:t xml:space="preserve">ing </w:t>
      </w:r>
      <w:r w:rsidR="00A47258" w:rsidRPr="006D4E15">
        <w:rPr>
          <w:rFonts w:ascii="Times New Roman" w:hAnsi="Times New Roman"/>
        </w:rPr>
        <w:t xml:space="preserve">with </w:t>
      </w:r>
      <w:r w:rsidR="005E0F5E" w:rsidRPr="006D4E15">
        <w:rPr>
          <w:rFonts w:ascii="Times New Roman" w:hAnsi="Times New Roman"/>
        </w:rPr>
        <w:t>parishioners</w:t>
      </w:r>
      <w:r w:rsidR="00236769" w:rsidRPr="006D4E15">
        <w:rPr>
          <w:rFonts w:ascii="Times New Roman" w:hAnsi="Times New Roman"/>
        </w:rPr>
        <w:t xml:space="preserve"> at their</w:t>
      </w:r>
      <w:r w:rsidR="005E0F5E" w:rsidRPr="006D4E15">
        <w:rPr>
          <w:rFonts w:ascii="Times New Roman" w:hAnsi="Times New Roman"/>
        </w:rPr>
        <w:t xml:space="preserve"> homes</w:t>
      </w:r>
      <w:r w:rsidR="00A47258" w:rsidRPr="006D4E15">
        <w:rPr>
          <w:rFonts w:ascii="Times New Roman" w:hAnsi="Times New Roman"/>
        </w:rPr>
        <w:t xml:space="preserve"> at </w:t>
      </w:r>
      <w:r w:rsidR="00822BB2" w:rsidRPr="006D4E15">
        <w:rPr>
          <w:rFonts w:ascii="Times New Roman" w:hAnsi="Times New Roman"/>
        </w:rPr>
        <w:t xml:space="preserve">various times of </w:t>
      </w:r>
      <w:r w:rsidR="00A47258" w:rsidRPr="006D4E15">
        <w:rPr>
          <w:rFonts w:ascii="Times New Roman" w:hAnsi="Times New Roman"/>
        </w:rPr>
        <w:t>day</w:t>
      </w:r>
      <w:r w:rsidR="00B27CCF" w:rsidRPr="006D4E15">
        <w:rPr>
          <w:rFonts w:ascii="Times New Roman" w:hAnsi="Times New Roman"/>
        </w:rPr>
        <w:t xml:space="preserve"> and establishing a relationship of intimacy with Catholic families within the Diocese</w:t>
      </w:r>
      <w:r w:rsidR="00CC018B" w:rsidRPr="006D4E15">
        <w:rPr>
          <w:rFonts w:ascii="Times New Roman" w:hAnsi="Times New Roman"/>
        </w:rPr>
        <w:t xml:space="preserve">, </w:t>
      </w:r>
      <w:r w:rsidR="000F4323" w:rsidRPr="006D4E15">
        <w:rPr>
          <w:rFonts w:ascii="Times New Roman" w:hAnsi="Times New Roman"/>
        </w:rPr>
        <w:t xml:space="preserve">including </w:t>
      </w:r>
      <w:r w:rsidR="009C0CF1" w:rsidRPr="006D4E15">
        <w:rPr>
          <w:rFonts w:ascii="Times New Roman" w:hAnsi="Times New Roman"/>
        </w:rPr>
        <w:t xml:space="preserve">joining </w:t>
      </w:r>
      <w:r w:rsidR="00B647D4" w:rsidRPr="006D4E15">
        <w:rPr>
          <w:rFonts w:ascii="Times New Roman" w:hAnsi="Times New Roman"/>
        </w:rPr>
        <w:t xml:space="preserve">families </w:t>
      </w:r>
      <w:r w:rsidR="009C0CF1" w:rsidRPr="006D4E15">
        <w:rPr>
          <w:rFonts w:ascii="Times New Roman" w:hAnsi="Times New Roman"/>
        </w:rPr>
        <w:t xml:space="preserve">for dinner </w:t>
      </w:r>
      <w:r w:rsidR="00802479" w:rsidRPr="006D4E15">
        <w:rPr>
          <w:rFonts w:ascii="Times New Roman" w:hAnsi="Times New Roman"/>
        </w:rPr>
        <w:t xml:space="preserve">and providing </w:t>
      </w:r>
      <w:r w:rsidR="008E4690" w:rsidRPr="006D4E15">
        <w:rPr>
          <w:rFonts w:ascii="Times New Roman" w:hAnsi="Times New Roman"/>
        </w:rPr>
        <w:t>advice</w:t>
      </w:r>
      <w:r w:rsidR="00DB0F9E" w:rsidRPr="006D4E15">
        <w:rPr>
          <w:rFonts w:ascii="Times New Roman" w:hAnsi="Times New Roman"/>
        </w:rPr>
        <w:t xml:space="preserve"> and</w:t>
      </w:r>
      <w:r w:rsidR="000A2F5E" w:rsidRPr="006D4E15">
        <w:rPr>
          <w:rFonts w:ascii="Times New Roman" w:hAnsi="Times New Roman"/>
        </w:rPr>
        <w:t xml:space="preserve"> support</w:t>
      </w:r>
      <w:r w:rsidR="00C360DF" w:rsidRPr="006D4E15">
        <w:rPr>
          <w:rFonts w:ascii="Times New Roman" w:hAnsi="Times New Roman"/>
        </w:rPr>
        <w:t xml:space="preserve"> </w:t>
      </w:r>
      <w:r w:rsidR="00BE444B" w:rsidRPr="006D4E15">
        <w:rPr>
          <w:rFonts w:ascii="Times New Roman" w:hAnsi="Times New Roman"/>
        </w:rPr>
        <w:t xml:space="preserve">to them </w:t>
      </w:r>
      <w:r w:rsidR="00C360DF" w:rsidRPr="006D4E15">
        <w:rPr>
          <w:rFonts w:ascii="Times New Roman" w:hAnsi="Times New Roman"/>
        </w:rPr>
        <w:t>on</w:t>
      </w:r>
      <w:r w:rsidR="00DB0F9E" w:rsidRPr="006D4E15">
        <w:rPr>
          <w:rFonts w:ascii="Times New Roman" w:hAnsi="Times New Roman"/>
        </w:rPr>
        <w:t xml:space="preserve"> </w:t>
      </w:r>
      <w:r w:rsidR="00916972" w:rsidRPr="006D4E15">
        <w:rPr>
          <w:rFonts w:ascii="Times New Roman" w:hAnsi="Times New Roman"/>
        </w:rPr>
        <w:t xml:space="preserve">the personal issues </w:t>
      </w:r>
      <w:r w:rsidR="00BE444B" w:rsidRPr="006D4E15">
        <w:rPr>
          <w:rFonts w:ascii="Times New Roman" w:hAnsi="Times New Roman"/>
        </w:rPr>
        <w:t>they</w:t>
      </w:r>
      <w:r w:rsidR="00916972" w:rsidRPr="006D4E15">
        <w:rPr>
          <w:rFonts w:ascii="Times New Roman" w:hAnsi="Times New Roman"/>
        </w:rPr>
        <w:t xml:space="preserve"> confronted</w:t>
      </w:r>
      <w:r w:rsidR="00457538" w:rsidRPr="006D4E15">
        <w:rPr>
          <w:rFonts w:ascii="Times New Roman" w:hAnsi="Times New Roman"/>
        </w:rPr>
        <w:t>.</w:t>
      </w:r>
      <w:r w:rsidR="00457538" w:rsidRPr="006D4E15">
        <w:rPr>
          <w:rFonts w:ascii="Times New Roman" w:hAnsi="Times New Roman"/>
          <w:b/>
          <w:bCs/>
        </w:rPr>
        <w:t xml:space="preserve"> </w:t>
      </w:r>
      <w:r w:rsidR="00457538" w:rsidRPr="006D4E15">
        <w:rPr>
          <w:rFonts w:ascii="Times New Roman" w:hAnsi="Times New Roman"/>
        </w:rPr>
        <w:t>H</w:t>
      </w:r>
      <w:r w:rsidR="005131B9" w:rsidRPr="006D4E15">
        <w:rPr>
          <w:rFonts w:ascii="Times New Roman" w:hAnsi="Times New Roman"/>
        </w:rPr>
        <w:t xml:space="preserve">e </w:t>
      </w:r>
      <w:r w:rsidR="00500DB8" w:rsidRPr="006D4E15">
        <w:rPr>
          <w:rFonts w:ascii="Times New Roman" w:hAnsi="Times New Roman"/>
        </w:rPr>
        <w:t xml:space="preserve">also </w:t>
      </w:r>
      <w:r w:rsidR="00457538" w:rsidRPr="006D4E15">
        <w:rPr>
          <w:rFonts w:ascii="Times New Roman" w:hAnsi="Times New Roman"/>
        </w:rPr>
        <w:t>attend</w:t>
      </w:r>
      <w:r w:rsidR="005131B9" w:rsidRPr="006D4E15">
        <w:rPr>
          <w:rFonts w:ascii="Times New Roman" w:hAnsi="Times New Roman"/>
        </w:rPr>
        <w:t>ed</w:t>
      </w:r>
      <w:r w:rsidR="00457538" w:rsidRPr="006D4E15">
        <w:rPr>
          <w:rFonts w:ascii="Times New Roman" w:hAnsi="Times New Roman"/>
        </w:rPr>
        <w:t xml:space="preserve"> </w:t>
      </w:r>
      <w:r w:rsidR="00DB0F9E" w:rsidRPr="006D4E15">
        <w:rPr>
          <w:rFonts w:ascii="Times New Roman" w:hAnsi="Times New Roman"/>
        </w:rPr>
        <w:t>social functions of his parishioners.</w:t>
      </w:r>
      <w:r w:rsidR="00E467E9" w:rsidRPr="006D4E15">
        <w:rPr>
          <w:rFonts w:ascii="Times New Roman" w:hAnsi="Times New Roman"/>
        </w:rPr>
        <w:t xml:space="preserve"> </w:t>
      </w:r>
    </w:p>
    <w:p w14:paraId="30A093DD" w14:textId="73FD5CD9" w:rsidR="00CF5EA9" w:rsidRPr="006D4E15" w:rsidRDefault="002D40E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F5EA9" w:rsidRPr="006D4E15">
        <w:rPr>
          <w:rFonts w:ascii="Times New Roman" w:hAnsi="Times New Roman"/>
        </w:rPr>
        <w:t xml:space="preserve">The primary judge found that </w:t>
      </w:r>
      <w:r w:rsidR="000F679B" w:rsidRPr="006D4E15">
        <w:rPr>
          <w:rFonts w:ascii="Times New Roman" w:hAnsi="Times New Roman"/>
        </w:rPr>
        <w:t xml:space="preserve">the provision of </w:t>
      </w:r>
      <w:r w:rsidR="00CF5EA9" w:rsidRPr="006D4E15">
        <w:rPr>
          <w:rFonts w:ascii="Times New Roman" w:hAnsi="Times New Roman"/>
        </w:rPr>
        <w:t xml:space="preserve">unsupervised </w:t>
      </w:r>
      <w:r w:rsidR="000F679B" w:rsidRPr="006D4E15">
        <w:rPr>
          <w:rFonts w:ascii="Times New Roman" w:hAnsi="Times New Roman"/>
        </w:rPr>
        <w:t xml:space="preserve">pastoral care to families, including children, </w:t>
      </w:r>
      <w:r w:rsidR="009B370F" w:rsidRPr="006D4E15">
        <w:rPr>
          <w:rFonts w:ascii="Times New Roman" w:hAnsi="Times New Roman"/>
        </w:rPr>
        <w:t xml:space="preserve">during such visits </w:t>
      </w:r>
      <w:r w:rsidR="000F679B" w:rsidRPr="006D4E15">
        <w:rPr>
          <w:rFonts w:ascii="Times New Roman" w:hAnsi="Times New Roman"/>
        </w:rPr>
        <w:t xml:space="preserve">was </w:t>
      </w:r>
      <w:r w:rsidR="00CF5EA9" w:rsidRPr="006D4E15">
        <w:rPr>
          <w:rFonts w:ascii="Times New Roman" w:hAnsi="Times New Roman"/>
        </w:rPr>
        <w:t xml:space="preserve">"part and parcel of Coffey's role" and reflected the implicit trust of families in him as a priest of the </w:t>
      </w:r>
      <w:r w:rsidR="00623813" w:rsidRPr="006D4E15">
        <w:rPr>
          <w:rFonts w:ascii="Times New Roman" w:hAnsi="Times New Roman"/>
        </w:rPr>
        <w:t>C</w:t>
      </w:r>
      <w:r w:rsidR="00CF5EA9" w:rsidRPr="006D4E15">
        <w:rPr>
          <w:rFonts w:ascii="Times New Roman" w:hAnsi="Times New Roman"/>
        </w:rPr>
        <w:t>hurch</w:t>
      </w:r>
      <w:r w:rsidR="00B646D7" w:rsidRPr="006D4E15">
        <w:rPr>
          <w:rFonts w:ascii="Times New Roman" w:hAnsi="Times New Roman"/>
        </w:rPr>
        <w:t xml:space="preserve"> whose teachings and ministry they devotedly adhered to</w:t>
      </w:r>
      <w:r w:rsidR="00CF5EA9" w:rsidRPr="006D4E15">
        <w:rPr>
          <w:rFonts w:ascii="Times New Roman" w:hAnsi="Times New Roman"/>
        </w:rPr>
        <w:t>.</w:t>
      </w:r>
      <w:r w:rsidR="000F679B" w:rsidRPr="006D4E15">
        <w:rPr>
          <w:rFonts w:ascii="Times New Roman" w:hAnsi="Times New Roman"/>
        </w:rPr>
        <w:t xml:space="preserve"> </w:t>
      </w:r>
      <w:r w:rsidR="008146A1" w:rsidRPr="006D4E15">
        <w:rPr>
          <w:rFonts w:ascii="Times New Roman" w:hAnsi="Times New Roman"/>
        </w:rPr>
        <w:t>"It</w:t>
      </w:r>
      <w:r w:rsidR="00AD2E9A" w:rsidRPr="006D4E15">
        <w:rPr>
          <w:rFonts w:ascii="Times New Roman" w:hAnsi="Times New Roman"/>
        </w:rPr>
        <w:t> </w:t>
      </w:r>
      <w:r w:rsidR="008146A1" w:rsidRPr="006D4E15">
        <w:rPr>
          <w:rFonts w:ascii="Times New Roman" w:hAnsi="Times New Roman"/>
        </w:rPr>
        <w:t>was this position, closely connected to</w:t>
      </w:r>
      <w:r w:rsidR="00F617A4" w:rsidRPr="006D4E15">
        <w:rPr>
          <w:rFonts w:ascii="Times New Roman" w:hAnsi="Times New Roman"/>
        </w:rPr>
        <w:t xml:space="preserve"> his</w:t>
      </w:r>
      <w:r w:rsidR="008146A1" w:rsidRPr="006D4E15">
        <w:rPr>
          <w:rFonts w:ascii="Times New Roman" w:hAnsi="Times New Roman"/>
        </w:rPr>
        <w:t xml:space="preserve"> task as a provider of pastoral care, that Coffey was able to take advantage of, in</w:t>
      </w:r>
      <w:r w:rsidR="007B0F40" w:rsidRPr="006D4E15">
        <w:rPr>
          <w:rFonts w:ascii="Times New Roman" w:hAnsi="Times New Roman"/>
        </w:rPr>
        <w:t> </w:t>
      </w:r>
      <w:r w:rsidR="008146A1" w:rsidRPr="006D4E15">
        <w:rPr>
          <w:rFonts w:ascii="Times New Roman" w:hAnsi="Times New Roman"/>
        </w:rPr>
        <w:t xml:space="preserve">committing his abuse of young boys, including DP." </w:t>
      </w:r>
      <w:r w:rsidR="00746F3D" w:rsidRPr="006D4E15">
        <w:rPr>
          <w:rFonts w:ascii="Times New Roman" w:hAnsi="Times New Roman"/>
        </w:rPr>
        <w:t>Coffey</w:t>
      </w:r>
      <w:r w:rsidR="000C4F84">
        <w:rPr>
          <w:rFonts w:ascii="Times New Roman" w:hAnsi="Times New Roman"/>
        </w:rPr>
        <w:t> </w:t>
      </w:r>
      <w:r w:rsidR="00465ECC" w:rsidRPr="006D4E15">
        <w:rPr>
          <w:rFonts w:ascii="Times New Roman" w:hAnsi="Times New Roman"/>
        </w:rPr>
        <w:t xml:space="preserve">preyed on the vulnerability of young boys, whom he </w:t>
      </w:r>
      <w:r w:rsidR="007F58E4" w:rsidRPr="006D4E15">
        <w:rPr>
          <w:rFonts w:ascii="Times New Roman" w:hAnsi="Times New Roman"/>
        </w:rPr>
        <w:t>abused when separated from their parents.</w:t>
      </w:r>
      <w:r w:rsidR="00746F3D" w:rsidRPr="006D4E15">
        <w:rPr>
          <w:rFonts w:ascii="Times New Roman" w:hAnsi="Times New Roman"/>
        </w:rPr>
        <w:t xml:space="preserve"> </w:t>
      </w:r>
    </w:p>
    <w:p w14:paraId="1BDA4C6C" w14:textId="55C789EB" w:rsidR="00465DF5" w:rsidRPr="006D4E15" w:rsidRDefault="00C05953"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Coffey's relationship to DP and his family </w:t>
      </w:r>
    </w:p>
    <w:p w14:paraId="30CC699E" w14:textId="3E216AE2" w:rsidR="00244E8D" w:rsidRPr="006D4E15" w:rsidRDefault="00C05953"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808CC" w:rsidRPr="006D4E15">
        <w:rPr>
          <w:rFonts w:ascii="Times New Roman" w:hAnsi="Times New Roman"/>
        </w:rPr>
        <w:t>DP was born in Port Fairy in February 1966. He was raised in a strict Catholic family</w:t>
      </w:r>
      <w:r w:rsidR="00D0447C" w:rsidRPr="006D4E15">
        <w:rPr>
          <w:rFonts w:ascii="Times New Roman" w:hAnsi="Times New Roman"/>
        </w:rPr>
        <w:t>.</w:t>
      </w:r>
      <w:r w:rsidR="00C808CC" w:rsidRPr="006D4E15">
        <w:rPr>
          <w:rFonts w:ascii="Times New Roman" w:hAnsi="Times New Roman"/>
        </w:rPr>
        <w:t xml:space="preserve"> </w:t>
      </w:r>
      <w:r w:rsidR="00484669" w:rsidRPr="006D4E15">
        <w:rPr>
          <w:rFonts w:ascii="Times New Roman" w:hAnsi="Times New Roman"/>
        </w:rPr>
        <w:t xml:space="preserve">DP and his family attended </w:t>
      </w:r>
      <w:r w:rsidR="00B30595" w:rsidRPr="006D4E15">
        <w:rPr>
          <w:rFonts w:ascii="Times New Roman" w:hAnsi="Times New Roman"/>
        </w:rPr>
        <w:t>Mass</w:t>
      </w:r>
      <w:r w:rsidR="00B93163" w:rsidRPr="006D4E15">
        <w:rPr>
          <w:rFonts w:ascii="Times New Roman" w:hAnsi="Times New Roman"/>
        </w:rPr>
        <w:t xml:space="preserve"> at </w:t>
      </w:r>
      <w:r w:rsidR="00CD3005" w:rsidRPr="006D4E15">
        <w:rPr>
          <w:rFonts w:ascii="Times New Roman" w:hAnsi="Times New Roman"/>
        </w:rPr>
        <w:t xml:space="preserve">St Patrick's parish </w:t>
      </w:r>
      <w:r w:rsidR="00B93163" w:rsidRPr="006D4E15">
        <w:rPr>
          <w:rFonts w:ascii="Times New Roman" w:hAnsi="Times New Roman"/>
        </w:rPr>
        <w:t>church</w:t>
      </w:r>
      <w:r w:rsidR="00B30595" w:rsidRPr="006D4E15">
        <w:rPr>
          <w:rFonts w:ascii="Times New Roman" w:hAnsi="Times New Roman"/>
        </w:rPr>
        <w:t xml:space="preserve"> </w:t>
      </w:r>
      <w:r w:rsidR="00484669" w:rsidRPr="006D4E15">
        <w:rPr>
          <w:rFonts w:ascii="Times New Roman" w:hAnsi="Times New Roman"/>
        </w:rPr>
        <w:t xml:space="preserve">every Sunday over which, </w:t>
      </w:r>
      <w:r w:rsidR="007654EC" w:rsidRPr="006D4E15">
        <w:rPr>
          <w:rFonts w:ascii="Times New Roman" w:hAnsi="Times New Roman"/>
        </w:rPr>
        <w:t>as already mentioned</w:t>
      </w:r>
      <w:r w:rsidR="00484669" w:rsidRPr="006D4E15">
        <w:rPr>
          <w:rFonts w:ascii="Times New Roman" w:hAnsi="Times New Roman"/>
        </w:rPr>
        <w:t xml:space="preserve">, Coffey </w:t>
      </w:r>
      <w:r w:rsidR="007654EC" w:rsidRPr="006D4E15">
        <w:rPr>
          <w:rFonts w:ascii="Times New Roman" w:hAnsi="Times New Roman"/>
        </w:rPr>
        <w:t xml:space="preserve">sometimes </w:t>
      </w:r>
      <w:r w:rsidR="00484669" w:rsidRPr="006D4E15">
        <w:rPr>
          <w:rFonts w:ascii="Times New Roman" w:hAnsi="Times New Roman"/>
        </w:rPr>
        <w:t>officiated.</w:t>
      </w:r>
      <w:r w:rsidR="00ED3205" w:rsidRPr="006D4E15">
        <w:rPr>
          <w:rFonts w:ascii="Times New Roman" w:hAnsi="Times New Roman"/>
        </w:rPr>
        <w:t xml:space="preserve"> DP </w:t>
      </w:r>
      <w:r w:rsidR="004169AE" w:rsidRPr="006D4E15">
        <w:rPr>
          <w:rFonts w:ascii="Times New Roman" w:hAnsi="Times New Roman"/>
        </w:rPr>
        <w:t xml:space="preserve">also attended </w:t>
      </w:r>
      <w:r w:rsidR="00966D78" w:rsidRPr="006D4E15">
        <w:rPr>
          <w:rFonts w:ascii="Times New Roman" w:hAnsi="Times New Roman"/>
        </w:rPr>
        <w:t>St Patrick's primary school</w:t>
      </w:r>
      <w:r w:rsidR="008330FB" w:rsidRPr="006D4E15">
        <w:rPr>
          <w:rFonts w:ascii="Times New Roman" w:hAnsi="Times New Roman"/>
        </w:rPr>
        <w:t>, where he</w:t>
      </w:r>
      <w:r w:rsidR="00CD3005" w:rsidRPr="006D4E15">
        <w:rPr>
          <w:rFonts w:ascii="Times New Roman" w:hAnsi="Times New Roman"/>
        </w:rPr>
        <w:t xml:space="preserve"> was </w:t>
      </w:r>
      <w:r w:rsidR="00484669" w:rsidRPr="006D4E15">
        <w:rPr>
          <w:rFonts w:ascii="Times New Roman" w:hAnsi="Times New Roman"/>
        </w:rPr>
        <w:t xml:space="preserve">taught religious education </w:t>
      </w:r>
      <w:r w:rsidR="00484669" w:rsidRPr="006D4E15">
        <w:rPr>
          <w:rFonts w:ascii="Times New Roman" w:hAnsi="Times New Roman"/>
        </w:rPr>
        <w:lastRenderedPageBreak/>
        <w:t>by Coffey</w:t>
      </w:r>
      <w:r w:rsidR="002D4A1C" w:rsidRPr="006D4E15">
        <w:rPr>
          <w:rFonts w:ascii="Times New Roman" w:hAnsi="Times New Roman"/>
        </w:rPr>
        <w:t xml:space="preserve"> during his preparatory year</w:t>
      </w:r>
      <w:r w:rsidR="008330FB" w:rsidRPr="006D4E15">
        <w:rPr>
          <w:rFonts w:ascii="Times New Roman" w:hAnsi="Times New Roman"/>
        </w:rPr>
        <w:t xml:space="preserve"> in 1971</w:t>
      </w:r>
      <w:r w:rsidR="00CB363F" w:rsidRPr="006D4E15">
        <w:rPr>
          <w:rFonts w:ascii="Times New Roman" w:hAnsi="Times New Roman"/>
        </w:rPr>
        <w:t>.</w:t>
      </w:r>
      <w:r w:rsidR="002D4A1C" w:rsidRPr="006D4E15">
        <w:rPr>
          <w:rFonts w:ascii="Times New Roman" w:hAnsi="Times New Roman"/>
        </w:rPr>
        <w:t xml:space="preserve"> </w:t>
      </w:r>
      <w:r w:rsidR="004169AE" w:rsidRPr="006D4E15">
        <w:rPr>
          <w:rFonts w:ascii="Times New Roman" w:hAnsi="Times New Roman"/>
        </w:rPr>
        <w:t xml:space="preserve">Both the </w:t>
      </w:r>
      <w:r w:rsidR="00AF185B" w:rsidRPr="006D4E15">
        <w:rPr>
          <w:rFonts w:ascii="Times New Roman" w:hAnsi="Times New Roman"/>
        </w:rPr>
        <w:t xml:space="preserve">primary </w:t>
      </w:r>
      <w:r w:rsidR="004169AE" w:rsidRPr="006D4E15">
        <w:rPr>
          <w:rFonts w:ascii="Times New Roman" w:hAnsi="Times New Roman"/>
        </w:rPr>
        <w:t xml:space="preserve">school and </w:t>
      </w:r>
      <w:r w:rsidR="004614FC" w:rsidRPr="006D4E15">
        <w:rPr>
          <w:rFonts w:ascii="Times New Roman" w:hAnsi="Times New Roman"/>
        </w:rPr>
        <w:t xml:space="preserve">the </w:t>
      </w:r>
      <w:r w:rsidR="004169AE" w:rsidRPr="006D4E15">
        <w:rPr>
          <w:rFonts w:ascii="Times New Roman" w:hAnsi="Times New Roman"/>
        </w:rPr>
        <w:t>parish church</w:t>
      </w:r>
      <w:r w:rsidR="008C3051" w:rsidRPr="006D4E15">
        <w:rPr>
          <w:rFonts w:ascii="Times New Roman" w:hAnsi="Times New Roman"/>
        </w:rPr>
        <w:t xml:space="preserve"> </w:t>
      </w:r>
      <w:r w:rsidR="004169AE" w:rsidRPr="006D4E15">
        <w:rPr>
          <w:rFonts w:ascii="Times New Roman" w:hAnsi="Times New Roman"/>
        </w:rPr>
        <w:t>were located close to DP's home</w:t>
      </w:r>
      <w:r w:rsidR="00AD4C3C" w:rsidRPr="006D4E15">
        <w:rPr>
          <w:rFonts w:ascii="Times New Roman" w:hAnsi="Times New Roman"/>
        </w:rPr>
        <w:t>.</w:t>
      </w:r>
    </w:p>
    <w:p w14:paraId="195E8648" w14:textId="3A92CE1C" w:rsidR="00A0702B" w:rsidRPr="006D4E15" w:rsidRDefault="00244E8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1640" w:rsidRPr="006D4E15">
        <w:rPr>
          <w:rFonts w:ascii="Times New Roman" w:hAnsi="Times New Roman"/>
        </w:rPr>
        <w:t xml:space="preserve">As part of his pastoral role </w:t>
      </w:r>
      <w:r w:rsidR="00D4069C" w:rsidRPr="006D4E15">
        <w:rPr>
          <w:rFonts w:ascii="Times New Roman" w:hAnsi="Times New Roman"/>
        </w:rPr>
        <w:t xml:space="preserve">as </w:t>
      </w:r>
      <w:r w:rsidR="008B698C" w:rsidRPr="006D4E15">
        <w:rPr>
          <w:rFonts w:ascii="Times New Roman" w:hAnsi="Times New Roman"/>
        </w:rPr>
        <w:t xml:space="preserve">assistant </w:t>
      </w:r>
      <w:r w:rsidR="00D4069C" w:rsidRPr="006D4E15">
        <w:rPr>
          <w:rFonts w:ascii="Times New Roman" w:hAnsi="Times New Roman"/>
        </w:rPr>
        <w:t xml:space="preserve">parish priest, </w:t>
      </w:r>
      <w:r w:rsidR="00DC30AA" w:rsidRPr="006D4E15">
        <w:rPr>
          <w:rFonts w:ascii="Times New Roman" w:hAnsi="Times New Roman"/>
        </w:rPr>
        <w:t>Coffey</w:t>
      </w:r>
      <w:r w:rsidR="007B0F40" w:rsidRPr="006D4E15">
        <w:rPr>
          <w:rFonts w:ascii="Times New Roman" w:hAnsi="Times New Roman"/>
        </w:rPr>
        <w:t> </w:t>
      </w:r>
      <w:r w:rsidR="00DC30AA" w:rsidRPr="006D4E15">
        <w:rPr>
          <w:rFonts w:ascii="Times New Roman" w:hAnsi="Times New Roman"/>
        </w:rPr>
        <w:t xml:space="preserve">regularly visited </w:t>
      </w:r>
      <w:r w:rsidR="00E559A8" w:rsidRPr="006D4E15">
        <w:rPr>
          <w:rFonts w:ascii="Times New Roman" w:hAnsi="Times New Roman"/>
        </w:rPr>
        <w:t>DP's</w:t>
      </w:r>
      <w:r w:rsidR="00DC30AA" w:rsidRPr="006D4E15">
        <w:rPr>
          <w:rFonts w:ascii="Times New Roman" w:hAnsi="Times New Roman"/>
        </w:rPr>
        <w:t xml:space="preserve"> family home</w:t>
      </w:r>
      <w:r w:rsidR="001A4CEA" w:rsidRPr="006D4E15">
        <w:rPr>
          <w:rFonts w:ascii="Times New Roman" w:hAnsi="Times New Roman"/>
        </w:rPr>
        <w:t>.</w:t>
      </w:r>
      <w:r w:rsidR="00FB3CA5" w:rsidRPr="006D4E15">
        <w:rPr>
          <w:rFonts w:ascii="Times New Roman" w:hAnsi="Times New Roman"/>
        </w:rPr>
        <w:t xml:space="preserve"> </w:t>
      </w:r>
      <w:r w:rsidR="004D4F30" w:rsidRPr="006D4E15">
        <w:rPr>
          <w:rFonts w:ascii="Times New Roman" w:hAnsi="Times New Roman"/>
        </w:rPr>
        <w:t>During</w:t>
      </w:r>
      <w:r w:rsidR="007B0F40" w:rsidRPr="006D4E15">
        <w:rPr>
          <w:rFonts w:ascii="Times New Roman" w:hAnsi="Times New Roman"/>
        </w:rPr>
        <w:t> </w:t>
      </w:r>
      <w:r w:rsidR="004D4F30" w:rsidRPr="006D4E15">
        <w:rPr>
          <w:rFonts w:ascii="Times New Roman" w:hAnsi="Times New Roman"/>
        </w:rPr>
        <w:t xml:space="preserve">these visits, Coffey </w:t>
      </w:r>
      <w:r w:rsidR="00DC30AA" w:rsidRPr="006D4E15">
        <w:rPr>
          <w:rFonts w:ascii="Times New Roman" w:hAnsi="Times New Roman"/>
        </w:rPr>
        <w:t>counsel</w:t>
      </w:r>
      <w:r w:rsidR="004D4F30" w:rsidRPr="006D4E15">
        <w:rPr>
          <w:rFonts w:ascii="Times New Roman" w:hAnsi="Times New Roman"/>
        </w:rPr>
        <w:t>led</w:t>
      </w:r>
      <w:r w:rsidR="00DC30AA" w:rsidRPr="006D4E15">
        <w:rPr>
          <w:rFonts w:ascii="Times New Roman" w:hAnsi="Times New Roman"/>
        </w:rPr>
        <w:t xml:space="preserve"> and mediat</w:t>
      </w:r>
      <w:r w:rsidR="004D4F30" w:rsidRPr="006D4E15">
        <w:rPr>
          <w:rFonts w:ascii="Times New Roman" w:hAnsi="Times New Roman"/>
        </w:rPr>
        <w:t>ed</w:t>
      </w:r>
      <w:r w:rsidR="00DC30AA" w:rsidRPr="006D4E15">
        <w:rPr>
          <w:rFonts w:ascii="Times New Roman" w:hAnsi="Times New Roman"/>
        </w:rPr>
        <w:t xml:space="preserve"> between DP's parents in respect of their matrimonial issues</w:t>
      </w:r>
      <w:r w:rsidR="00A636CF" w:rsidRPr="006D4E15">
        <w:rPr>
          <w:rFonts w:ascii="Times New Roman" w:hAnsi="Times New Roman"/>
          <w:b/>
          <w:bCs/>
        </w:rPr>
        <w:t xml:space="preserve"> </w:t>
      </w:r>
      <w:r w:rsidR="00A636CF" w:rsidRPr="006D4E15">
        <w:rPr>
          <w:rFonts w:ascii="Times New Roman" w:hAnsi="Times New Roman"/>
        </w:rPr>
        <w:t>and also spent time, unsupervised, with DP in his bedroom</w:t>
      </w:r>
      <w:r w:rsidR="00DC30AA" w:rsidRPr="006D4E15">
        <w:rPr>
          <w:rFonts w:ascii="Times New Roman" w:hAnsi="Times New Roman"/>
        </w:rPr>
        <w:t xml:space="preserve">. </w:t>
      </w:r>
      <w:r w:rsidR="00C15C6C" w:rsidRPr="006D4E15">
        <w:rPr>
          <w:rFonts w:ascii="Times New Roman" w:hAnsi="Times New Roman"/>
        </w:rPr>
        <w:t>The primary judge found that "Coffey's</w:t>
      </w:r>
      <w:r w:rsidR="00C55199">
        <w:rPr>
          <w:rFonts w:ascii="Times New Roman" w:hAnsi="Times New Roman"/>
        </w:rPr>
        <w:t> </w:t>
      </w:r>
      <w:r w:rsidR="00C15C6C" w:rsidRPr="006D4E15">
        <w:rPr>
          <w:rFonts w:ascii="Times New Roman" w:hAnsi="Times New Roman"/>
        </w:rPr>
        <w:t>role as the assistant parish priest and his affinity with DP's family placed him in a position of trust and authority vis-</w:t>
      </w:r>
      <w:r w:rsidR="00657CFF" w:rsidRPr="006D4E15">
        <w:rPr>
          <w:rFonts w:ascii="Times New Roman" w:hAnsi="Times New Roman"/>
        </w:rPr>
        <w:t>à</w:t>
      </w:r>
      <w:r w:rsidR="00C15C6C" w:rsidRPr="006D4E15">
        <w:rPr>
          <w:rFonts w:ascii="Times New Roman" w:hAnsi="Times New Roman"/>
        </w:rPr>
        <w:t>-vis DP and his family" and "[i]t was in this position that he committed the assaults".</w:t>
      </w:r>
      <w:r w:rsidR="000A5CC6" w:rsidRPr="006D4E15">
        <w:rPr>
          <w:rFonts w:ascii="Times New Roman" w:hAnsi="Times New Roman"/>
          <w:b/>
          <w:bCs/>
        </w:rPr>
        <w:t xml:space="preserve"> </w:t>
      </w:r>
    </w:p>
    <w:p w14:paraId="3308D4D1" w14:textId="6D3D3DBF" w:rsidR="00C05953" w:rsidRPr="006D4E15" w:rsidRDefault="00C05953"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The circumstances </w:t>
      </w:r>
      <w:r w:rsidR="00076325" w:rsidRPr="006D4E15">
        <w:rPr>
          <w:rFonts w:ascii="Times New Roman" w:hAnsi="Times New Roman"/>
        </w:rPr>
        <w:t>in which Coffey assault</w:t>
      </w:r>
      <w:r w:rsidR="00826658" w:rsidRPr="006D4E15">
        <w:rPr>
          <w:rFonts w:ascii="Times New Roman" w:hAnsi="Times New Roman"/>
        </w:rPr>
        <w:t>ed</w:t>
      </w:r>
      <w:r w:rsidR="00076325" w:rsidRPr="006D4E15">
        <w:rPr>
          <w:rFonts w:ascii="Times New Roman" w:hAnsi="Times New Roman"/>
        </w:rPr>
        <w:t xml:space="preserve"> DP</w:t>
      </w:r>
    </w:p>
    <w:p w14:paraId="2E5F3DDF" w14:textId="107E6702" w:rsidR="00D920DE" w:rsidRPr="006D4E15" w:rsidRDefault="00BA08D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EA0592" w:rsidRPr="006D4E15">
        <w:rPr>
          <w:rFonts w:ascii="Times New Roman" w:hAnsi="Times New Roman"/>
        </w:rPr>
        <w:t xml:space="preserve">During </w:t>
      </w:r>
      <w:r w:rsidR="00C808CC" w:rsidRPr="006D4E15">
        <w:rPr>
          <w:rFonts w:ascii="Times New Roman" w:hAnsi="Times New Roman"/>
        </w:rPr>
        <w:t>two</w:t>
      </w:r>
      <w:r w:rsidR="00027CD6" w:rsidRPr="006D4E15">
        <w:rPr>
          <w:rFonts w:ascii="Times New Roman" w:hAnsi="Times New Roman"/>
        </w:rPr>
        <w:t xml:space="preserve"> </w:t>
      </w:r>
      <w:r w:rsidR="00341D66" w:rsidRPr="006D4E15">
        <w:rPr>
          <w:rFonts w:ascii="Times New Roman" w:hAnsi="Times New Roman"/>
        </w:rPr>
        <w:t>such</w:t>
      </w:r>
      <w:r w:rsidR="00C808CC" w:rsidRPr="006D4E15">
        <w:rPr>
          <w:rFonts w:ascii="Times New Roman" w:hAnsi="Times New Roman"/>
        </w:rPr>
        <w:t xml:space="preserve"> </w:t>
      </w:r>
      <w:r w:rsidR="009F0AB1" w:rsidRPr="006D4E15">
        <w:rPr>
          <w:rFonts w:ascii="Times New Roman" w:hAnsi="Times New Roman"/>
        </w:rPr>
        <w:t xml:space="preserve">visits </w:t>
      </w:r>
      <w:r w:rsidR="00775E9F" w:rsidRPr="006D4E15">
        <w:rPr>
          <w:rFonts w:ascii="Times New Roman" w:hAnsi="Times New Roman"/>
        </w:rPr>
        <w:t xml:space="preserve">to DP's parents' home </w:t>
      </w:r>
      <w:r w:rsidR="00EA0592" w:rsidRPr="006D4E15">
        <w:rPr>
          <w:rFonts w:ascii="Times New Roman" w:hAnsi="Times New Roman"/>
        </w:rPr>
        <w:t xml:space="preserve">in </w:t>
      </w:r>
      <w:r w:rsidR="00C808CC" w:rsidRPr="006D4E15">
        <w:rPr>
          <w:rFonts w:ascii="Times New Roman" w:hAnsi="Times New Roman"/>
        </w:rPr>
        <w:t xml:space="preserve">1971, </w:t>
      </w:r>
      <w:r w:rsidR="009F0AB1" w:rsidRPr="006D4E15">
        <w:rPr>
          <w:rFonts w:ascii="Times New Roman" w:hAnsi="Times New Roman"/>
        </w:rPr>
        <w:t>when</w:t>
      </w:r>
      <w:r w:rsidR="007B0F40" w:rsidRPr="006D4E15">
        <w:rPr>
          <w:rFonts w:ascii="Times New Roman" w:hAnsi="Times New Roman"/>
        </w:rPr>
        <w:t> </w:t>
      </w:r>
      <w:r w:rsidR="009F0AB1" w:rsidRPr="006D4E15">
        <w:rPr>
          <w:rFonts w:ascii="Times New Roman" w:hAnsi="Times New Roman"/>
        </w:rPr>
        <w:t xml:space="preserve">DP was only five years old, </w:t>
      </w:r>
      <w:r w:rsidR="00C808CC" w:rsidRPr="006D4E15">
        <w:rPr>
          <w:rFonts w:ascii="Times New Roman" w:hAnsi="Times New Roman"/>
        </w:rPr>
        <w:t xml:space="preserve">Coffey </w:t>
      </w:r>
      <w:r w:rsidR="00796FEF" w:rsidRPr="006D4E15">
        <w:rPr>
          <w:rFonts w:ascii="Times New Roman" w:hAnsi="Times New Roman"/>
        </w:rPr>
        <w:t xml:space="preserve">assaulted and </w:t>
      </w:r>
      <w:r w:rsidR="00C808CC" w:rsidRPr="006D4E15">
        <w:rPr>
          <w:rFonts w:ascii="Times New Roman" w:hAnsi="Times New Roman"/>
        </w:rPr>
        <w:t xml:space="preserve">sexually </w:t>
      </w:r>
      <w:r w:rsidR="00AC5A74" w:rsidRPr="006D4E15">
        <w:rPr>
          <w:rFonts w:ascii="Times New Roman" w:hAnsi="Times New Roman"/>
        </w:rPr>
        <w:t xml:space="preserve">abused </w:t>
      </w:r>
      <w:r w:rsidR="00C808CC" w:rsidRPr="006D4E15">
        <w:rPr>
          <w:rFonts w:ascii="Times New Roman" w:hAnsi="Times New Roman"/>
        </w:rPr>
        <w:t xml:space="preserve">DP. </w:t>
      </w:r>
      <w:r w:rsidR="00951C48" w:rsidRPr="006D4E15">
        <w:rPr>
          <w:rFonts w:ascii="Times New Roman" w:hAnsi="Times New Roman"/>
        </w:rPr>
        <w:t>T</w:t>
      </w:r>
      <w:r w:rsidR="00C808CC" w:rsidRPr="006D4E15">
        <w:rPr>
          <w:rFonts w:ascii="Times New Roman" w:hAnsi="Times New Roman"/>
        </w:rPr>
        <w:t xml:space="preserve">he first assault took place </w:t>
      </w:r>
      <w:r w:rsidR="00951C48" w:rsidRPr="006D4E15">
        <w:rPr>
          <w:rFonts w:ascii="Times New Roman" w:hAnsi="Times New Roman"/>
        </w:rPr>
        <w:t>around March or April 1971,</w:t>
      </w:r>
      <w:r w:rsidR="00C306CD" w:rsidRPr="006D4E15">
        <w:rPr>
          <w:rFonts w:ascii="Times New Roman" w:hAnsi="Times New Roman"/>
        </w:rPr>
        <w:t xml:space="preserve"> </w:t>
      </w:r>
      <w:r w:rsidR="0097125B" w:rsidRPr="006D4E15">
        <w:rPr>
          <w:rFonts w:ascii="Times New Roman" w:hAnsi="Times New Roman"/>
        </w:rPr>
        <w:t>in the course of</w:t>
      </w:r>
      <w:r w:rsidR="00C808CC" w:rsidRPr="006D4E15">
        <w:rPr>
          <w:rFonts w:ascii="Times New Roman" w:hAnsi="Times New Roman"/>
        </w:rPr>
        <w:t xml:space="preserve"> "a social gathering at the family home attended by Coffey"</w:t>
      </w:r>
      <w:r w:rsidR="00AB62E7" w:rsidRPr="006D4E15">
        <w:rPr>
          <w:rFonts w:ascii="Times New Roman" w:hAnsi="Times New Roman"/>
        </w:rPr>
        <w:t xml:space="preserve"> one evening</w:t>
      </w:r>
      <w:r w:rsidR="00C808CC" w:rsidRPr="006D4E15">
        <w:rPr>
          <w:rFonts w:ascii="Times New Roman" w:hAnsi="Times New Roman"/>
          <w:bCs/>
        </w:rPr>
        <w:t>.</w:t>
      </w:r>
      <w:r w:rsidR="00C808CC" w:rsidRPr="006D4E15">
        <w:rPr>
          <w:rFonts w:ascii="Times New Roman" w:hAnsi="Times New Roman"/>
        </w:rPr>
        <w:t xml:space="preserve"> </w:t>
      </w:r>
      <w:r w:rsidR="001725C2" w:rsidRPr="006D4E15">
        <w:rPr>
          <w:rFonts w:ascii="Times New Roman" w:hAnsi="Times New Roman"/>
        </w:rPr>
        <w:t xml:space="preserve">During the evening, DP became tired and </w:t>
      </w:r>
      <w:r w:rsidR="00857E56" w:rsidRPr="006D4E15">
        <w:rPr>
          <w:rFonts w:ascii="Times New Roman" w:hAnsi="Times New Roman"/>
        </w:rPr>
        <w:t xml:space="preserve">Coffey offered to put DP to </w:t>
      </w:r>
      <w:r w:rsidR="00E403FE" w:rsidRPr="006D4E15">
        <w:rPr>
          <w:rFonts w:ascii="Times New Roman" w:hAnsi="Times New Roman"/>
        </w:rPr>
        <w:t>bed</w:t>
      </w:r>
      <w:r w:rsidR="001725C2" w:rsidRPr="006D4E15">
        <w:rPr>
          <w:rFonts w:ascii="Times New Roman" w:hAnsi="Times New Roman"/>
        </w:rPr>
        <w:t>. O</w:t>
      </w:r>
      <w:r w:rsidR="00857E56" w:rsidRPr="006D4E15">
        <w:rPr>
          <w:rFonts w:ascii="Times New Roman" w:hAnsi="Times New Roman"/>
        </w:rPr>
        <w:t>nce alon</w:t>
      </w:r>
      <w:r w:rsidR="001038F0" w:rsidRPr="006D4E15">
        <w:rPr>
          <w:rFonts w:ascii="Times New Roman" w:hAnsi="Times New Roman"/>
        </w:rPr>
        <w:t>e</w:t>
      </w:r>
      <w:r w:rsidR="00857E56" w:rsidRPr="006D4E15">
        <w:rPr>
          <w:rFonts w:ascii="Times New Roman" w:hAnsi="Times New Roman"/>
        </w:rPr>
        <w:t xml:space="preserve"> in DP's bedroom, </w:t>
      </w:r>
      <w:r w:rsidR="00B05FC3" w:rsidRPr="006D4E15">
        <w:rPr>
          <w:rFonts w:ascii="Times New Roman" w:hAnsi="Times New Roman"/>
        </w:rPr>
        <w:t>Coffey</w:t>
      </w:r>
      <w:r w:rsidR="00857E56" w:rsidRPr="006D4E15">
        <w:rPr>
          <w:rFonts w:ascii="Times New Roman" w:hAnsi="Times New Roman"/>
        </w:rPr>
        <w:t xml:space="preserve"> proceeded to </w:t>
      </w:r>
      <w:r w:rsidR="00FF3779" w:rsidRPr="006D4E15">
        <w:rPr>
          <w:rFonts w:ascii="Times New Roman" w:hAnsi="Times New Roman"/>
        </w:rPr>
        <w:t xml:space="preserve">sexually </w:t>
      </w:r>
      <w:r w:rsidR="00857E56" w:rsidRPr="006D4E15">
        <w:rPr>
          <w:rFonts w:ascii="Times New Roman" w:hAnsi="Times New Roman"/>
        </w:rPr>
        <w:t>assault him</w:t>
      </w:r>
      <w:r w:rsidR="009D501B" w:rsidRPr="006D4E15">
        <w:rPr>
          <w:rFonts w:ascii="Times New Roman" w:hAnsi="Times New Roman"/>
        </w:rPr>
        <w:t>.</w:t>
      </w:r>
      <w:r w:rsidR="00857E56" w:rsidRPr="006D4E15">
        <w:rPr>
          <w:rFonts w:ascii="Times New Roman" w:hAnsi="Times New Roman"/>
        </w:rPr>
        <w:t xml:space="preserve"> </w:t>
      </w:r>
      <w:r w:rsidR="00C808CC" w:rsidRPr="006D4E15">
        <w:rPr>
          <w:rFonts w:ascii="Times New Roman" w:hAnsi="Times New Roman"/>
        </w:rPr>
        <w:t>On 26 December 1971, the</w:t>
      </w:r>
      <w:r w:rsidR="007B0F40" w:rsidRPr="006D4E15">
        <w:rPr>
          <w:rFonts w:ascii="Times New Roman" w:hAnsi="Times New Roman"/>
        </w:rPr>
        <w:t> </w:t>
      </w:r>
      <w:r w:rsidR="00C808CC" w:rsidRPr="006D4E15">
        <w:rPr>
          <w:rFonts w:ascii="Times New Roman" w:hAnsi="Times New Roman"/>
        </w:rPr>
        <w:t>second assault occurred when Coffey was visiting DP's family home.</w:t>
      </w:r>
      <w:r w:rsidR="00343CB2" w:rsidRPr="006D4E15">
        <w:rPr>
          <w:rFonts w:ascii="Times New Roman" w:hAnsi="Times New Roman"/>
        </w:rPr>
        <w:t xml:space="preserve"> </w:t>
      </w:r>
      <w:r w:rsidR="00F35C93" w:rsidRPr="006D4E15">
        <w:rPr>
          <w:rFonts w:ascii="Times New Roman" w:hAnsi="Times New Roman"/>
        </w:rPr>
        <w:t>DP took Coffey out</w:t>
      </w:r>
      <w:r w:rsidR="00404909" w:rsidRPr="006D4E15">
        <w:rPr>
          <w:rFonts w:ascii="Times New Roman" w:hAnsi="Times New Roman"/>
        </w:rPr>
        <w:t xml:space="preserve"> to</w:t>
      </w:r>
      <w:r w:rsidR="00F35C93" w:rsidRPr="006D4E15">
        <w:rPr>
          <w:rFonts w:ascii="Times New Roman" w:hAnsi="Times New Roman"/>
        </w:rPr>
        <w:t xml:space="preserve"> the backyard to show him a tent he had received for Christmas. Once inside the tent, Coffey</w:t>
      </w:r>
      <w:r w:rsidR="00801805" w:rsidRPr="006D4E15">
        <w:rPr>
          <w:rFonts w:ascii="Times New Roman" w:hAnsi="Times New Roman"/>
        </w:rPr>
        <w:t xml:space="preserve"> </w:t>
      </w:r>
      <w:r w:rsidR="00290BBE" w:rsidRPr="006D4E15">
        <w:rPr>
          <w:rFonts w:ascii="Times New Roman" w:hAnsi="Times New Roman"/>
        </w:rPr>
        <w:t>sexually assaulted him.</w:t>
      </w:r>
    </w:p>
    <w:p w14:paraId="6BAF61B4" w14:textId="3D69F976" w:rsidR="001B6757" w:rsidRPr="006D4E15" w:rsidRDefault="001B6757" w:rsidP="006D4E15">
      <w:pPr>
        <w:pStyle w:val="HeadingL2"/>
        <w:spacing w:after="260" w:line="280" w:lineRule="exact"/>
        <w:ind w:right="0"/>
        <w:jc w:val="both"/>
        <w:rPr>
          <w:rFonts w:ascii="Times New Roman" w:hAnsi="Times New Roman"/>
        </w:rPr>
      </w:pPr>
      <w:r w:rsidRPr="006D4E15">
        <w:rPr>
          <w:rFonts w:ascii="Times New Roman" w:hAnsi="Times New Roman"/>
        </w:rPr>
        <w:t>Primary judge</w:t>
      </w:r>
    </w:p>
    <w:p w14:paraId="76F037A7" w14:textId="4533FF93" w:rsidR="005309E1" w:rsidRPr="006D4E15" w:rsidRDefault="005B68F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C3C27" w:rsidRPr="006D4E15">
        <w:rPr>
          <w:rFonts w:ascii="Times New Roman" w:hAnsi="Times New Roman"/>
        </w:rPr>
        <w:t>The primary judge concluded that the Diocese was capable of being vicariously liable for Coffey's conduct b</w:t>
      </w:r>
      <w:r w:rsidR="00741821" w:rsidRPr="006D4E15">
        <w:rPr>
          <w:rFonts w:ascii="Times New Roman" w:hAnsi="Times New Roman"/>
        </w:rPr>
        <w:t>y reason of</w:t>
      </w:r>
      <w:r w:rsidR="00BC3C27" w:rsidRPr="006D4E15">
        <w:rPr>
          <w:rFonts w:ascii="Times New Roman" w:hAnsi="Times New Roman"/>
        </w:rPr>
        <w:t>:</w:t>
      </w:r>
      <w:r w:rsidR="008615B9" w:rsidRPr="006D4E15">
        <w:rPr>
          <w:rFonts w:ascii="Times New Roman" w:hAnsi="Times New Roman"/>
        </w:rPr>
        <w:t xml:space="preserve"> </w:t>
      </w:r>
      <w:r w:rsidR="00741821" w:rsidRPr="006D4E15">
        <w:rPr>
          <w:rFonts w:ascii="Times New Roman" w:hAnsi="Times New Roman"/>
        </w:rPr>
        <w:t>the clo</w:t>
      </w:r>
      <w:r w:rsidR="006501D3" w:rsidRPr="006D4E15">
        <w:rPr>
          <w:rFonts w:ascii="Times New Roman" w:hAnsi="Times New Roman"/>
        </w:rPr>
        <w:t xml:space="preserve">se </w:t>
      </w:r>
      <w:r w:rsidR="00741821" w:rsidRPr="006D4E15">
        <w:rPr>
          <w:rFonts w:ascii="Times New Roman" w:hAnsi="Times New Roman"/>
        </w:rPr>
        <w:t>nature of the relationship between the Bishop, the Diocese and the Catholic community in Port Fairy;</w:t>
      </w:r>
      <w:r w:rsidR="00A042CE" w:rsidRPr="006D4E15">
        <w:rPr>
          <w:rFonts w:ascii="Times New Roman" w:hAnsi="Times New Roman"/>
        </w:rPr>
        <w:t xml:space="preserve"> </w:t>
      </w:r>
      <w:r w:rsidR="00741821" w:rsidRPr="006D4E15">
        <w:rPr>
          <w:rFonts w:ascii="Times New Roman" w:hAnsi="Times New Roman"/>
        </w:rPr>
        <w:t>the</w:t>
      </w:r>
      <w:r w:rsidR="008615B9" w:rsidRPr="006D4E15">
        <w:rPr>
          <w:rFonts w:ascii="Times New Roman" w:hAnsi="Times New Roman"/>
        </w:rPr>
        <w:t> </w:t>
      </w:r>
      <w:r w:rsidR="00741821" w:rsidRPr="006D4E15">
        <w:rPr>
          <w:rFonts w:ascii="Times New Roman" w:hAnsi="Times New Roman"/>
        </w:rPr>
        <w:t>Diocese's general control over Coffey's role and duties wit</w:t>
      </w:r>
      <w:r w:rsidR="00531A98" w:rsidRPr="006D4E15">
        <w:rPr>
          <w:rFonts w:ascii="Times New Roman" w:hAnsi="Times New Roman"/>
        </w:rPr>
        <w:t>h</w:t>
      </w:r>
      <w:r w:rsidR="00741821" w:rsidRPr="006D4E15">
        <w:rPr>
          <w:rFonts w:ascii="Times New Roman" w:hAnsi="Times New Roman"/>
        </w:rPr>
        <w:t>in St</w:t>
      </w:r>
      <w:r w:rsidR="00001EE2" w:rsidRPr="006D4E15">
        <w:rPr>
          <w:rFonts w:ascii="Times New Roman" w:hAnsi="Times New Roman"/>
        </w:rPr>
        <w:t> </w:t>
      </w:r>
      <w:r w:rsidR="00741821" w:rsidRPr="006D4E15">
        <w:rPr>
          <w:rFonts w:ascii="Times New Roman" w:hAnsi="Times New Roman"/>
        </w:rPr>
        <w:t>Patrick's parish;</w:t>
      </w:r>
      <w:r w:rsidR="00A042CE" w:rsidRPr="006D4E15">
        <w:rPr>
          <w:rFonts w:ascii="Times New Roman" w:hAnsi="Times New Roman"/>
        </w:rPr>
        <w:t xml:space="preserve"> </w:t>
      </w:r>
      <w:r w:rsidR="00741821" w:rsidRPr="006D4E15">
        <w:rPr>
          <w:rFonts w:ascii="Times New Roman" w:hAnsi="Times New Roman"/>
        </w:rPr>
        <w:t>Coffey's pastoral role in the Port Fairy Catholic community; and</w:t>
      </w:r>
      <w:r w:rsidR="00A042CE" w:rsidRPr="006D4E15">
        <w:rPr>
          <w:rFonts w:ascii="Times New Roman" w:hAnsi="Times New Roman"/>
        </w:rPr>
        <w:t xml:space="preserve"> </w:t>
      </w:r>
      <w:r w:rsidR="00741821" w:rsidRPr="006D4E15">
        <w:rPr>
          <w:rFonts w:ascii="Times New Roman" w:hAnsi="Times New Roman"/>
        </w:rPr>
        <w:t>the relationship between DP, his family, Coffey and the Diocese, which was one of intimacy and imported trust in the authority of Christ's representative, personified by Coffey.</w:t>
      </w:r>
      <w:r w:rsidR="005309E1" w:rsidRPr="006D4E15">
        <w:rPr>
          <w:rFonts w:ascii="Times New Roman" w:hAnsi="Times New Roman"/>
        </w:rPr>
        <w:t xml:space="preserve"> </w:t>
      </w:r>
    </w:p>
    <w:p w14:paraId="4CF2273E" w14:textId="0D9CFE76" w:rsidR="003B30C9" w:rsidRPr="006D4E15" w:rsidRDefault="005309E1" w:rsidP="006D4E15">
      <w:pPr>
        <w:pStyle w:val="FixListStyle"/>
        <w:spacing w:after="260" w:line="280" w:lineRule="exact"/>
        <w:ind w:right="0"/>
        <w:jc w:val="both"/>
        <w:rPr>
          <w:rFonts w:ascii="Times New Roman" w:hAnsi="Times New Roman"/>
        </w:rPr>
      </w:pPr>
      <w:r w:rsidRPr="006D4E15">
        <w:rPr>
          <w:rFonts w:ascii="Times New Roman" w:hAnsi="Times New Roman"/>
        </w:rPr>
        <w:tab/>
        <w:t>In relation to the second question</w:t>
      </w:r>
      <w:r w:rsidR="00BC2ABA" w:rsidRPr="006D4E15">
        <w:rPr>
          <w:rFonts w:ascii="Times New Roman" w:hAnsi="Times New Roman"/>
        </w:rPr>
        <w:t xml:space="preserve"> – </w:t>
      </w:r>
      <w:r w:rsidR="003E7B07" w:rsidRPr="006D4E15">
        <w:rPr>
          <w:rFonts w:ascii="Times New Roman" w:hAnsi="Times New Roman"/>
        </w:rPr>
        <w:t xml:space="preserve">which turned on </w:t>
      </w:r>
      <w:r w:rsidR="007C3F68" w:rsidRPr="006D4E15">
        <w:rPr>
          <w:rFonts w:ascii="Times New Roman" w:hAnsi="Times New Roman"/>
        </w:rPr>
        <w:t xml:space="preserve">whether </w:t>
      </w:r>
      <w:r w:rsidR="00643D42" w:rsidRPr="006D4E15">
        <w:rPr>
          <w:rFonts w:ascii="Times New Roman" w:hAnsi="Times New Roman"/>
        </w:rPr>
        <w:t xml:space="preserve">Coffey's role as a priest </w:t>
      </w:r>
      <w:r w:rsidR="00863E68" w:rsidRPr="006D4E15">
        <w:rPr>
          <w:rFonts w:ascii="Times New Roman" w:hAnsi="Times New Roman"/>
        </w:rPr>
        <w:t xml:space="preserve">merely provided </w:t>
      </w:r>
      <w:r w:rsidR="004F7CC5" w:rsidRPr="006D4E15">
        <w:rPr>
          <w:rFonts w:ascii="Times New Roman" w:hAnsi="Times New Roman"/>
        </w:rPr>
        <w:t>an opportunity for the wrongful act</w:t>
      </w:r>
      <w:r w:rsidR="0007642D" w:rsidRPr="006D4E15">
        <w:rPr>
          <w:rFonts w:ascii="Times New Roman" w:hAnsi="Times New Roman"/>
        </w:rPr>
        <w:t xml:space="preserve"> or whether it provided the occasion for that act</w:t>
      </w:r>
      <w:r w:rsidRPr="006D4E15">
        <w:rPr>
          <w:rFonts w:ascii="Times New Roman" w:hAnsi="Times New Roman"/>
        </w:rPr>
        <w:t xml:space="preserve"> –</w:t>
      </w:r>
      <w:r w:rsidR="0007642D" w:rsidRPr="006D4E15">
        <w:rPr>
          <w:rFonts w:ascii="Times New Roman" w:hAnsi="Times New Roman"/>
        </w:rPr>
        <w:t xml:space="preserve"> </w:t>
      </w:r>
      <w:r w:rsidRPr="006D4E15">
        <w:rPr>
          <w:rFonts w:ascii="Times New Roman" w:hAnsi="Times New Roman"/>
        </w:rPr>
        <w:t>t</w:t>
      </w:r>
      <w:r w:rsidR="0007642D" w:rsidRPr="006D4E15">
        <w:rPr>
          <w:rFonts w:ascii="Times New Roman" w:hAnsi="Times New Roman"/>
        </w:rPr>
        <w:t xml:space="preserve">he primary judge concluded </w:t>
      </w:r>
      <w:r w:rsidRPr="006D4E15">
        <w:rPr>
          <w:rFonts w:ascii="Times New Roman" w:hAnsi="Times New Roman"/>
        </w:rPr>
        <w:t xml:space="preserve">Coffey's role </w:t>
      </w:r>
      <w:r w:rsidR="002C4779" w:rsidRPr="006D4E15">
        <w:rPr>
          <w:rFonts w:ascii="Times New Roman" w:hAnsi="Times New Roman"/>
        </w:rPr>
        <w:t xml:space="preserve">provided </w:t>
      </w:r>
      <w:r w:rsidRPr="006D4E15">
        <w:rPr>
          <w:rFonts w:ascii="Times New Roman" w:hAnsi="Times New Roman"/>
        </w:rPr>
        <w:t xml:space="preserve">both </w:t>
      </w:r>
      <w:r w:rsidR="002C4779" w:rsidRPr="006D4E15">
        <w:rPr>
          <w:rFonts w:ascii="Times New Roman" w:hAnsi="Times New Roman"/>
        </w:rPr>
        <w:t>the opportunity and the occasio</w:t>
      </w:r>
      <w:r w:rsidR="00E85285" w:rsidRPr="006D4E15">
        <w:rPr>
          <w:rFonts w:ascii="Times New Roman" w:hAnsi="Times New Roman"/>
        </w:rPr>
        <w:t>n</w:t>
      </w:r>
      <w:r w:rsidRPr="006D4E15">
        <w:rPr>
          <w:rFonts w:ascii="Times New Roman" w:hAnsi="Times New Roman"/>
        </w:rPr>
        <w:t xml:space="preserve">. That conclusion was reached </w:t>
      </w:r>
      <w:r w:rsidR="002C4779" w:rsidRPr="006D4E15">
        <w:rPr>
          <w:rFonts w:ascii="Times New Roman" w:hAnsi="Times New Roman"/>
        </w:rPr>
        <w:t xml:space="preserve">on the basis that </w:t>
      </w:r>
      <w:r w:rsidR="006E1DCA" w:rsidRPr="006D4E15">
        <w:rPr>
          <w:rFonts w:ascii="Times New Roman" w:hAnsi="Times New Roman"/>
        </w:rPr>
        <w:t xml:space="preserve">Coffey's role as a priest </w:t>
      </w:r>
      <w:r w:rsidR="00643D42" w:rsidRPr="006D4E15">
        <w:rPr>
          <w:rFonts w:ascii="Times New Roman" w:hAnsi="Times New Roman"/>
        </w:rPr>
        <w:t>under the direction of the Diocese placed him in a position of power and intimacy vis-</w:t>
      </w:r>
      <w:r w:rsidR="005F7F0C" w:rsidRPr="006D4E15">
        <w:rPr>
          <w:rFonts w:ascii="Times New Roman" w:hAnsi="Times New Roman"/>
        </w:rPr>
        <w:t>à</w:t>
      </w:r>
      <w:r w:rsidR="00643D42" w:rsidRPr="006D4E15">
        <w:rPr>
          <w:rFonts w:ascii="Times New Roman" w:hAnsi="Times New Roman"/>
        </w:rPr>
        <w:t xml:space="preserve">-vis DP that enabled Coffey to take advantage of </w:t>
      </w:r>
      <w:r w:rsidR="00A235B2" w:rsidRPr="006D4E15">
        <w:rPr>
          <w:rFonts w:ascii="Times New Roman" w:hAnsi="Times New Roman"/>
        </w:rPr>
        <w:t>D</w:t>
      </w:r>
      <w:r w:rsidR="00643D42" w:rsidRPr="006D4E15">
        <w:rPr>
          <w:rFonts w:ascii="Times New Roman" w:hAnsi="Times New Roman"/>
        </w:rPr>
        <w:t>P whe</w:t>
      </w:r>
      <w:r w:rsidR="004A46A4" w:rsidRPr="006D4E15">
        <w:rPr>
          <w:rFonts w:ascii="Times New Roman" w:hAnsi="Times New Roman"/>
        </w:rPr>
        <w:t xml:space="preserve">n alone – just as Coffey </w:t>
      </w:r>
      <w:r w:rsidR="003F58E0" w:rsidRPr="006D4E15">
        <w:rPr>
          <w:rFonts w:ascii="Times New Roman" w:hAnsi="Times New Roman"/>
        </w:rPr>
        <w:t>had done with other boys.</w:t>
      </w:r>
      <w:r w:rsidR="001D3EB1" w:rsidRPr="006D4E15">
        <w:rPr>
          <w:rFonts w:ascii="Times New Roman" w:hAnsi="Times New Roman"/>
        </w:rPr>
        <w:t xml:space="preserve"> The primary judge </w:t>
      </w:r>
      <w:r w:rsidR="00C277C6" w:rsidRPr="006D4E15">
        <w:rPr>
          <w:rFonts w:ascii="Times New Roman" w:hAnsi="Times New Roman"/>
        </w:rPr>
        <w:t xml:space="preserve">also </w:t>
      </w:r>
      <w:r w:rsidR="001D3EB1" w:rsidRPr="006D4E15">
        <w:rPr>
          <w:rFonts w:ascii="Times New Roman" w:hAnsi="Times New Roman"/>
        </w:rPr>
        <w:t>held that this position increased the risk of harm to D</w:t>
      </w:r>
      <w:r w:rsidR="009015EA" w:rsidRPr="006D4E15">
        <w:rPr>
          <w:rFonts w:ascii="Times New Roman" w:hAnsi="Times New Roman"/>
        </w:rPr>
        <w:t xml:space="preserve">P; </w:t>
      </w:r>
      <w:r w:rsidR="009015EA" w:rsidRPr="006D4E15">
        <w:rPr>
          <w:rFonts w:ascii="Times New Roman" w:hAnsi="Times New Roman"/>
        </w:rPr>
        <w:lastRenderedPageBreak/>
        <w:t>that</w:t>
      </w:r>
      <w:r w:rsidR="005A4F68">
        <w:rPr>
          <w:rFonts w:ascii="Times New Roman" w:hAnsi="Times New Roman"/>
        </w:rPr>
        <w:t> </w:t>
      </w:r>
      <w:r w:rsidR="009015EA" w:rsidRPr="006D4E15">
        <w:rPr>
          <w:rFonts w:ascii="Times New Roman" w:hAnsi="Times New Roman"/>
        </w:rPr>
        <w:t>Coffey misused and took advantage of his position as a confidant and pastor to DP's family</w:t>
      </w:r>
      <w:r w:rsidR="008E505E" w:rsidRPr="006D4E15">
        <w:rPr>
          <w:rFonts w:ascii="Times New Roman" w:hAnsi="Times New Roman"/>
        </w:rPr>
        <w:t xml:space="preserve"> </w:t>
      </w:r>
      <w:r w:rsidR="009C65C7" w:rsidRPr="006D4E15">
        <w:rPr>
          <w:rFonts w:ascii="Times New Roman" w:hAnsi="Times New Roman"/>
        </w:rPr>
        <w:t xml:space="preserve">and it was this that </w:t>
      </w:r>
      <w:r w:rsidR="008E505E" w:rsidRPr="006D4E15">
        <w:rPr>
          <w:rFonts w:ascii="Times New Roman" w:hAnsi="Times New Roman"/>
        </w:rPr>
        <w:t xml:space="preserve">enabled Coffey to </w:t>
      </w:r>
      <w:r w:rsidR="00222611" w:rsidRPr="006D4E15">
        <w:rPr>
          <w:rFonts w:ascii="Times New Roman" w:hAnsi="Times New Roman"/>
        </w:rPr>
        <w:t>commit the unlawful assaults upon DP.</w:t>
      </w:r>
      <w:r w:rsidR="004C4ED0" w:rsidRPr="006D4E15">
        <w:rPr>
          <w:rFonts w:ascii="Times New Roman" w:hAnsi="Times New Roman"/>
        </w:rPr>
        <w:t xml:space="preserve"> </w:t>
      </w:r>
    </w:p>
    <w:p w14:paraId="3EF4C2B1" w14:textId="5434B186" w:rsidR="00E26F18" w:rsidRPr="006D4E15" w:rsidRDefault="00E26F18" w:rsidP="006D4E15">
      <w:pPr>
        <w:pStyle w:val="HeadingL2"/>
        <w:spacing w:after="260" w:line="280" w:lineRule="exact"/>
        <w:ind w:right="0"/>
        <w:jc w:val="both"/>
        <w:rPr>
          <w:rFonts w:ascii="Times New Roman" w:hAnsi="Times New Roman"/>
        </w:rPr>
      </w:pPr>
      <w:r w:rsidRPr="006D4E15">
        <w:rPr>
          <w:rFonts w:ascii="Times New Roman" w:hAnsi="Times New Roman"/>
        </w:rPr>
        <w:t>Court of Appeal</w:t>
      </w:r>
    </w:p>
    <w:p w14:paraId="21C80975" w14:textId="23D2D013" w:rsidR="004B2C02" w:rsidRPr="006D4E15" w:rsidRDefault="00C678D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F61CB" w:rsidRPr="006D4E15">
        <w:rPr>
          <w:rFonts w:ascii="Times New Roman" w:hAnsi="Times New Roman"/>
        </w:rPr>
        <w:t>The Diocese</w:t>
      </w:r>
      <w:r w:rsidR="00822C9A" w:rsidRPr="006D4E15">
        <w:rPr>
          <w:rFonts w:ascii="Times New Roman" w:hAnsi="Times New Roman"/>
        </w:rPr>
        <w:t xml:space="preserve">'s </w:t>
      </w:r>
      <w:r w:rsidR="000F61CB" w:rsidRPr="006D4E15">
        <w:rPr>
          <w:rFonts w:ascii="Times New Roman" w:hAnsi="Times New Roman"/>
        </w:rPr>
        <w:t xml:space="preserve">appeal to the </w:t>
      </w:r>
      <w:r w:rsidR="00E25138" w:rsidRPr="006D4E15">
        <w:rPr>
          <w:rFonts w:ascii="Times New Roman" w:hAnsi="Times New Roman"/>
        </w:rPr>
        <w:t>Court of Appeal</w:t>
      </w:r>
      <w:r w:rsidR="004A54DF" w:rsidRPr="006D4E15">
        <w:rPr>
          <w:rFonts w:ascii="Times New Roman" w:hAnsi="Times New Roman"/>
        </w:rPr>
        <w:t xml:space="preserve"> was dismissed</w:t>
      </w:r>
      <w:r w:rsidR="000F61CB" w:rsidRPr="006D4E15">
        <w:rPr>
          <w:rFonts w:ascii="Times New Roman" w:hAnsi="Times New Roman"/>
        </w:rPr>
        <w:t xml:space="preserve">. </w:t>
      </w:r>
      <w:r w:rsidR="005A6C1B" w:rsidRPr="006D4E15">
        <w:rPr>
          <w:rFonts w:ascii="Times New Roman" w:hAnsi="Times New Roman"/>
        </w:rPr>
        <w:t>The</w:t>
      </w:r>
      <w:r w:rsidR="004A54DF" w:rsidRPr="006D4E15">
        <w:rPr>
          <w:rFonts w:ascii="Times New Roman" w:hAnsi="Times New Roman"/>
        </w:rPr>
        <w:t> </w:t>
      </w:r>
      <w:r w:rsidR="005A6C1B" w:rsidRPr="006D4E15">
        <w:rPr>
          <w:rFonts w:ascii="Times New Roman" w:hAnsi="Times New Roman"/>
        </w:rPr>
        <w:t xml:space="preserve">Court </w:t>
      </w:r>
      <w:r w:rsidR="00BC608D" w:rsidRPr="006D4E15">
        <w:rPr>
          <w:rFonts w:ascii="Times New Roman" w:hAnsi="Times New Roman"/>
        </w:rPr>
        <w:t xml:space="preserve">unanimously </w:t>
      </w:r>
      <w:r w:rsidR="005A6C1B" w:rsidRPr="006D4E15">
        <w:rPr>
          <w:rFonts w:ascii="Times New Roman" w:hAnsi="Times New Roman"/>
        </w:rPr>
        <w:t xml:space="preserve">upheld the primary judge's </w:t>
      </w:r>
      <w:r w:rsidR="000E5EAD" w:rsidRPr="006D4E15">
        <w:rPr>
          <w:rFonts w:ascii="Times New Roman" w:hAnsi="Times New Roman"/>
        </w:rPr>
        <w:t xml:space="preserve">conclusion </w:t>
      </w:r>
      <w:r w:rsidR="005A6C1B" w:rsidRPr="006D4E15">
        <w:rPr>
          <w:rFonts w:ascii="Times New Roman" w:hAnsi="Times New Roman"/>
        </w:rPr>
        <w:t xml:space="preserve">that the Diocese was vicariously liable for the two assaults committed by Coffey. </w:t>
      </w:r>
    </w:p>
    <w:p w14:paraId="35009D62" w14:textId="61B2A620" w:rsidR="00D9369C" w:rsidRPr="006D4E15" w:rsidRDefault="004B2C0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D0900" w:rsidRPr="006D4E15">
        <w:rPr>
          <w:rFonts w:ascii="Times New Roman" w:hAnsi="Times New Roman"/>
        </w:rPr>
        <w:t>The</w:t>
      </w:r>
      <w:r w:rsidR="00D9369C" w:rsidRPr="006D4E15">
        <w:rPr>
          <w:rFonts w:ascii="Times New Roman" w:hAnsi="Times New Roman"/>
        </w:rPr>
        <w:t> </w:t>
      </w:r>
      <w:r w:rsidR="00BD0900" w:rsidRPr="006D4E15">
        <w:rPr>
          <w:rFonts w:ascii="Times New Roman" w:hAnsi="Times New Roman"/>
        </w:rPr>
        <w:t xml:space="preserve">Court </w:t>
      </w:r>
      <w:r w:rsidR="00FD700E" w:rsidRPr="006D4E15">
        <w:rPr>
          <w:rFonts w:ascii="Times New Roman" w:hAnsi="Times New Roman"/>
        </w:rPr>
        <w:t xml:space="preserve">of Appeal </w:t>
      </w:r>
      <w:r w:rsidR="008A2B25" w:rsidRPr="006D4E15">
        <w:rPr>
          <w:rFonts w:ascii="Times New Roman" w:hAnsi="Times New Roman"/>
        </w:rPr>
        <w:t>recognised that</w:t>
      </w:r>
      <w:r w:rsidR="008A2B25" w:rsidRPr="006D4E15" w:rsidDel="00C2265C">
        <w:rPr>
          <w:rFonts w:ascii="Times New Roman" w:hAnsi="Times New Roman"/>
        </w:rPr>
        <w:t xml:space="preserve"> </w:t>
      </w:r>
      <w:r w:rsidR="00FD700E" w:rsidRPr="006D4E15">
        <w:rPr>
          <w:rFonts w:ascii="Times New Roman" w:hAnsi="Times New Roman"/>
        </w:rPr>
        <w:t>"[o]</w:t>
      </w:r>
      <w:r w:rsidR="00BD0900" w:rsidRPr="006D4E15">
        <w:rPr>
          <w:rFonts w:ascii="Times New Roman" w:hAnsi="Times New Roman"/>
        </w:rPr>
        <w:t>rdinarily,</w:t>
      </w:r>
      <w:r w:rsidR="0091014A" w:rsidRPr="006D4E15">
        <w:rPr>
          <w:rFonts w:ascii="Times New Roman" w:hAnsi="Times New Roman"/>
        </w:rPr>
        <w:t xml:space="preserve"> </w:t>
      </w:r>
      <w:r w:rsidR="00BD0900" w:rsidRPr="006D4E15">
        <w:rPr>
          <w:rFonts w:ascii="Times New Roman" w:hAnsi="Times New Roman"/>
        </w:rPr>
        <w:t>issues</w:t>
      </w:r>
      <w:r w:rsidR="0091014A" w:rsidRPr="006D4E15">
        <w:rPr>
          <w:rFonts w:ascii="Times New Roman" w:hAnsi="Times New Roman"/>
        </w:rPr>
        <w:t xml:space="preserve"> </w:t>
      </w:r>
      <w:r w:rsidR="00BD0900" w:rsidRPr="006D4E15">
        <w:rPr>
          <w:rFonts w:ascii="Times New Roman" w:hAnsi="Times New Roman"/>
        </w:rPr>
        <w:t>relating to vicarious liability arise in a context in which the particular tortfeasor has been engaged by the principal, against whom liability is asserted, to undertake a particular task or function</w:t>
      </w:r>
      <w:r w:rsidR="003D714B" w:rsidRPr="006D4E15">
        <w:rPr>
          <w:rFonts w:ascii="Times New Roman" w:hAnsi="Times New Roman"/>
        </w:rPr>
        <w:t>" and, i</w:t>
      </w:r>
      <w:r w:rsidR="00BD0900" w:rsidRPr="006D4E15">
        <w:rPr>
          <w:rFonts w:ascii="Times New Roman" w:hAnsi="Times New Roman"/>
        </w:rPr>
        <w:t xml:space="preserve">n such a case, </w:t>
      </w:r>
      <w:r w:rsidR="003D714B" w:rsidRPr="006D4E15">
        <w:rPr>
          <w:rFonts w:ascii="Times New Roman" w:hAnsi="Times New Roman"/>
        </w:rPr>
        <w:t>there are two questions: (1)</w:t>
      </w:r>
      <w:r w:rsidR="00A70E77" w:rsidRPr="006D4E15">
        <w:rPr>
          <w:rFonts w:ascii="Times New Roman" w:hAnsi="Times New Roman"/>
        </w:rPr>
        <w:t> </w:t>
      </w:r>
      <w:r w:rsidR="00BD0900" w:rsidRPr="006D4E15">
        <w:rPr>
          <w:rFonts w:ascii="Times New Roman" w:hAnsi="Times New Roman"/>
        </w:rPr>
        <w:t>whether</w:t>
      </w:r>
      <w:r w:rsidR="00A70E77" w:rsidRPr="006D4E15">
        <w:rPr>
          <w:rFonts w:ascii="Times New Roman" w:hAnsi="Times New Roman"/>
        </w:rPr>
        <w:t> </w:t>
      </w:r>
      <w:r w:rsidR="00BD0900" w:rsidRPr="006D4E15">
        <w:rPr>
          <w:rFonts w:ascii="Times New Roman" w:hAnsi="Times New Roman"/>
        </w:rPr>
        <w:t>the tortfeasor was an employee, as distinct from an independent contractor, engaged by the principal</w:t>
      </w:r>
      <w:r w:rsidR="003D714B" w:rsidRPr="006D4E15">
        <w:rPr>
          <w:rFonts w:ascii="Times New Roman" w:hAnsi="Times New Roman"/>
        </w:rPr>
        <w:t xml:space="preserve">; and (2) if so, </w:t>
      </w:r>
      <w:r w:rsidR="00BD0900" w:rsidRPr="006D4E15">
        <w:rPr>
          <w:rFonts w:ascii="Times New Roman" w:hAnsi="Times New Roman"/>
        </w:rPr>
        <w:t xml:space="preserve">whether, at the time the tort was committed, the employee was acting in the course </w:t>
      </w:r>
      <w:r w:rsidR="004A2F00" w:rsidRPr="006D4E15">
        <w:rPr>
          <w:rFonts w:ascii="Times New Roman" w:hAnsi="Times New Roman"/>
        </w:rPr>
        <w:t xml:space="preserve">of </w:t>
      </w:r>
      <w:r w:rsidR="00BD0900" w:rsidRPr="006D4E15">
        <w:rPr>
          <w:rFonts w:ascii="Times New Roman" w:hAnsi="Times New Roman"/>
        </w:rPr>
        <w:t xml:space="preserve">the employment </w:t>
      </w:r>
      <w:r w:rsidR="004A2F00" w:rsidRPr="006D4E15">
        <w:rPr>
          <w:rFonts w:ascii="Times New Roman" w:hAnsi="Times New Roman"/>
        </w:rPr>
        <w:t xml:space="preserve">of </w:t>
      </w:r>
      <w:r w:rsidR="00BD0900" w:rsidRPr="006D4E15">
        <w:rPr>
          <w:rFonts w:ascii="Times New Roman" w:hAnsi="Times New Roman"/>
        </w:rPr>
        <w:t>the principal.</w:t>
      </w:r>
    </w:p>
    <w:p w14:paraId="257C4323" w14:textId="4778B91C" w:rsidR="00780722" w:rsidRPr="006D4E15" w:rsidRDefault="00D9369C"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B2C02" w:rsidRPr="006D4E15">
        <w:rPr>
          <w:rFonts w:ascii="Times New Roman" w:hAnsi="Times New Roman"/>
        </w:rPr>
        <w:t>I</w:t>
      </w:r>
      <w:r w:rsidR="0036168D" w:rsidRPr="006D4E15">
        <w:rPr>
          <w:rFonts w:ascii="Times New Roman" w:hAnsi="Times New Roman"/>
        </w:rPr>
        <w:t>n relation to the first question</w:t>
      </w:r>
      <w:r w:rsidR="004B2C02" w:rsidRPr="006D4E15">
        <w:rPr>
          <w:rFonts w:ascii="Times New Roman" w:hAnsi="Times New Roman"/>
        </w:rPr>
        <w:t xml:space="preserve">, </w:t>
      </w:r>
      <w:r w:rsidR="00E648E9" w:rsidRPr="006D4E15">
        <w:rPr>
          <w:rFonts w:ascii="Times New Roman" w:hAnsi="Times New Roman"/>
        </w:rPr>
        <w:t>the Court of Appeal rejected the Diocese's proposition that vicarious liability was confined to a relationship of employment</w:t>
      </w:r>
      <w:r w:rsidR="00B5105F" w:rsidRPr="006D4E15">
        <w:rPr>
          <w:rFonts w:ascii="Times New Roman" w:hAnsi="Times New Roman"/>
        </w:rPr>
        <w:t xml:space="preserve">. The Court of Appeal </w:t>
      </w:r>
      <w:r w:rsidR="003C64E6" w:rsidRPr="006D4E15">
        <w:rPr>
          <w:rFonts w:ascii="Times New Roman" w:hAnsi="Times New Roman"/>
        </w:rPr>
        <w:t xml:space="preserve">described </w:t>
      </w:r>
      <w:r w:rsidR="00B5105F" w:rsidRPr="006D4E15">
        <w:rPr>
          <w:rFonts w:ascii="Times New Roman" w:hAnsi="Times New Roman"/>
        </w:rPr>
        <w:t xml:space="preserve">the relationship between a diocese and a priest or assistant priest as necessarily </w:t>
      </w:r>
      <w:r w:rsidR="00B5105F" w:rsidRPr="006D4E15">
        <w:rPr>
          <w:rFonts w:ascii="Times New Roman" w:hAnsi="Times New Roman"/>
          <w:i/>
          <w:iCs/>
        </w:rPr>
        <w:t>sui generis</w:t>
      </w:r>
      <w:r w:rsidR="00B5105F" w:rsidRPr="006D4E15">
        <w:rPr>
          <w:rFonts w:ascii="Times New Roman" w:hAnsi="Times New Roman"/>
        </w:rPr>
        <w:t xml:space="preserve">, founded in the context of the hierarchical system of a </w:t>
      </w:r>
      <w:r w:rsidR="008C4E3E" w:rsidRPr="006D4E15">
        <w:rPr>
          <w:rFonts w:ascii="Times New Roman" w:hAnsi="Times New Roman"/>
        </w:rPr>
        <w:t>d</w:t>
      </w:r>
      <w:r w:rsidR="00B5105F" w:rsidRPr="006D4E15">
        <w:rPr>
          <w:rFonts w:ascii="Times New Roman" w:hAnsi="Times New Roman"/>
        </w:rPr>
        <w:t>iocese of the Roman Catholic Church</w:t>
      </w:r>
      <w:r w:rsidR="00811706" w:rsidRPr="006D4E15">
        <w:rPr>
          <w:rFonts w:ascii="Times New Roman" w:hAnsi="Times New Roman"/>
        </w:rPr>
        <w:t>,</w:t>
      </w:r>
      <w:r w:rsidR="00B5105F" w:rsidRPr="006D4E15">
        <w:rPr>
          <w:rFonts w:ascii="Times New Roman" w:hAnsi="Times New Roman"/>
        </w:rPr>
        <w:t xml:space="preserve"> and </w:t>
      </w:r>
      <w:r w:rsidRPr="006D4E15">
        <w:rPr>
          <w:rFonts w:ascii="Times New Roman" w:hAnsi="Times New Roman"/>
        </w:rPr>
        <w:t>held</w:t>
      </w:r>
      <w:r w:rsidR="0027324A" w:rsidRPr="006D4E15">
        <w:rPr>
          <w:rFonts w:ascii="Times New Roman" w:hAnsi="Times New Roman"/>
        </w:rPr>
        <w:t xml:space="preserve"> that </w:t>
      </w:r>
      <w:r w:rsidR="00B5105F" w:rsidRPr="006D4E15" w:rsidDel="007B09AA">
        <w:rPr>
          <w:rFonts w:ascii="Times New Roman" w:hAnsi="Times New Roman"/>
        </w:rPr>
        <w:t xml:space="preserve">the content of that relationship was such that it </w:t>
      </w:r>
      <w:r w:rsidR="009C4CFE" w:rsidRPr="006D4E15">
        <w:rPr>
          <w:rFonts w:ascii="Times New Roman" w:hAnsi="Times New Roman"/>
        </w:rPr>
        <w:t>c</w:t>
      </w:r>
      <w:r w:rsidR="00B5105F" w:rsidRPr="006D4E15" w:rsidDel="007B09AA">
        <w:rPr>
          <w:rFonts w:ascii="Times New Roman" w:hAnsi="Times New Roman"/>
        </w:rPr>
        <w:t>ould</w:t>
      </w:r>
      <w:r w:rsidR="00F2322C" w:rsidRPr="006D4E15" w:rsidDel="007B09AA">
        <w:rPr>
          <w:rFonts w:ascii="Times New Roman" w:hAnsi="Times New Roman"/>
        </w:rPr>
        <w:t>,</w:t>
      </w:r>
      <w:r w:rsidR="00B5105F" w:rsidRPr="006D4E15" w:rsidDel="007B09AA">
        <w:rPr>
          <w:rFonts w:ascii="Times New Roman" w:hAnsi="Times New Roman"/>
        </w:rPr>
        <w:t xml:space="preserve"> in an appropriate case</w:t>
      </w:r>
      <w:r w:rsidR="004D1233" w:rsidRPr="006D4E15" w:rsidDel="007B09AA">
        <w:rPr>
          <w:rFonts w:ascii="Times New Roman" w:hAnsi="Times New Roman"/>
        </w:rPr>
        <w:t>,</w:t>
      </w:r>
      <w:r w:rsidR="00B5105F" w:rsidRPr="006D4E15" w:rsidDel="007B09AA">
        <w:rPr>
          <w:rFonts w:ascii="Times New Roman" w:hAnsi="Times New Roman"/>
        </w:rPr>
        <w:t xml:space="preserve"> attract the principle of vicarious liability by the Diocese for a wrongful act by a priest in the performance of his work</w:t>
      </w:r>
      <w:r w:rsidR="00B5105F" w:rsidRPr="006D4E15">
        <w:rPr>
          <w:rFonts w:ascii="Times New Roman" w:hAnsi="Times New Roman"/>
        </w:rPr>
        <w:t xml:space="preserve">. </w:t>
      </w:r>
    </w:p>
    <w:p w14:paraId="44FF96F4" w14:textId="198A7186" w:rsidR="00000909" w:rsidRPr="006D4E15" w:rsidRDefault="0078072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14476" w:rsidRPr="006D4E15">
        <w:rPr>
          <w:rFonts w:ascii="Times New Roman" w:hAnsi="Times New Roman"/>
        </w:rPr>
        <w:t xml:space="preserve">After referring to the observations of this Court in </w:t>
      </w:r>
      <w:r w:rsidR="00BD0900" w:rsidRPr="006D4E15">
        <w:rPr>
          <w:rFonts w:ascii="Times New Roman" w:hAnsi="Times New Roman"/>
          <w:i/>
          <w:iCs/>
        </w:rPr>
        <w:t>Hollis</w:t>
      </w:r>
      <w:r w:rsidR="00BD0900" w:rsidRPr="006D4E15">
        <w:rPr>
          <w:rFonts w:ascii="Times New Roman" w:hAnsi="Times New Roman"/>
        </w:rPr>
        <w:t xml:space="preserve"> </w:t>
      </w:r>
      <w:r w:rsidR="001856C9" w:rsidRPr="006D4E15">
        <w:rPr>
          <w:rFonts w:ascii="Times New Roman" w:hAnsi="Times New Roman"/>
        </w:rPr>
        <w:t xml:space="preserve">– </w:t>
      </w:r>
      <w:r w:rsidR="00014476" w:rsidRPr="006D4E15">
        <w:rPr>
          <w:rFonts w:ascii="Times New Roman" w:hAnsi="Times New Roman"/>
        </w:rPr>
        <w:t>that</w:t>
      </w:r>
      <w:r w:rsidR="007B0F40" w:rsidRPr="006D4E15">
        <w:rPr>
          <w:rFonts w:ascii="Times New Roman" w:hAnsi="Times New Roman"/>
        </w:rPr>
        <w:t> </w:t>
      </w:r>
      <w:r w:rsidR="00BD0900" w:rsidRPr="006D4E15">
        <w:rPr>
          <w:rFonts w:ascii="Times New Roman" w:hAnsi="Times New Roman"/>
        </w:rPr>
        <w:t>the modern doctrine relating to vicarious liability of an employer for the torts committed by an employee "was adopted not by way of an exercise in analytical jurisprudence but as a matter of policy"</w:t>
      </w:r>
      <w:r w:rsidR="00BD0900" w:rsidRPr="006D4E15">
        <w:rPr>
          <w:rStyle w:val="FootnoteReference"/>
          <w:rFonts w:ascii="Times New Roman" w:hAnsi="Times New Roman"/>
          <w:sz w:val="24"/>
        </w:rPr>
        <w:footnoteReference w:id="8"/>
      </w:r>
      <w:r w:rsidR="00BD0900" w:rsidRPr="006D4E15">
        <w:rPr>
          <w:rFonts w:ascii="Times New Roman" w:hAnsi="Times New Roman"/>
        </w:rPr>
        <w:t xml:space="preserve"> </w:t>
      </w:r>
      <w:r w:rsidR="009D46A0" w:rsidRPr="006D4E15">
        <w:rPr>
          <w:rFonts w:ascii="Times New Roman" w:hAnsi="Times New Roman"/>
        </w:rPr>
        <w:t>and</w:t>
      </w:r>
      <w:r w:rsidR="007B0F40" w:rsidRPr="006D4E15">
        <w:rPr>
          <w:rFonts w:ascii="Times New Roman" w:hAnsi="Times New Roman"/>
        </w:rPr>
        <w:t> </w:t>
      </w:r>
      <w:r w:rsidR="009D46A0" w:rsidRPr="006D4E15">
        <w:rPr>
          <w:rFonts w:ascii="Times New Roman" w:hAnsi="Times New Roman"/>
        </w:rPr>
        <w:t xml:space="preserve">that </w:t>
      </w:r>
      <w:r w:rsidR="006A0737" w:rsidRPr="006D4E15">
        <w:rPr>
          <w:rFonts w:ascii="Times New Roman" w:hAnsi="Times New Roman"/>
        </w:rPr>
        <w:t>"</w:t>
      </w:r>
      <w:r w:rsidR="00EF6883" w:rsidRPr="006D4E15">
        <w:rPr>
          <w:rFonts w:ascii="Times New Roman" w:hAnsi="Times New Roman"/>
        </w:rPr>
        <w:t>[</w:t>
      </w:r>
      <w:r w:rsidR="00BD0900" w:rsidRPr="006D4E15">
        <w:rPr>
          <w:rFonts w:ascii="Times New Roman" w:hAnsi="Times New Roman"/>
        </w:rPr>
        <w:t>a</w:t>
      </w:r>
      <w:r w:rsidR="00EF6883" w:rsidRPr="006D4E15">
        <w:rPr>
          <w:rFonts w:ascii="Times New Roman" w:hAnsi="Times New Roman"/>
        </w:rPr>
        <w:t>]</w:t>
      </w:r>
      <w:r w:rsidR="00BD0900" w:rsidRPr="006D4E15">
        <w:rPr>
          <w:rFonts w:ascii="Times New Roman" w:hAnsi="Times New Roman"/>
        </w:rPr>
        <w:t xml:space="preserve"> fully satisfactory rationale for the imposition of vicarious liability in the employment relationship has </w:t>
      </w:r>
      <w:r w:rsidR="009D7B9C" w:rsidRPr="006D4E15">
        <w:rPr>
          <w:rFonts w:ascii="Times New Roman" w:hAnsi="Times New Roman"/>
        </w:rPr>
        <w:t>been slow to appear</w:t>
      </w:r>
      <w:r w:rsidR="001A6D6B" w:rsidRPr="006D4E15">
        <w:rPr>
          <w:rFonts w:ascii="Times New Roman" w:hAnsi="Times New Roman"/>
        </w:rPr>
        <w:t xml:space="preserve"> in the case law</w:t>
      </w:r>
      <w:r w:rsidR="00D54BD4" w:rsidRPr="006D4E15">
        <w:rPr>
          <w:rFonts w:ascii="Times New Roman" w:hAnsi="Times New Roman"/>
        </w:rPr>
        <w:t>"</w:t>
      </w:r>
      <w:r w:rsidR="00BD0900" w:rsidRPr="006D4E15">
        <w:rPr>
          <w:rStyle w:val="FootnoteReference"/>
          <w:rFonts w:ascii="Times New Roman" w:hAnsi="Times New Roman"/>
          <w:sz w:val="24"/>
        </w:rPr>
        <w:footnoteReference w:id="9"/>
      </w:r>
      <w:r w:rsidR="00BD0900" w:rsidRPr="006D4E15">
        <w:rPr>
          <w:rFonts w:ascii="Times New Roman" w:hAnsi="Times New Roman"/>
        </w:rPr>
        <w:t xml:space="preserve"> </w:t>
      </w:r>
      <w:r w:rsidR="001856C9" w:rsidRPr="006D4E15">
        <w:rPr>
          <w:rFonts w:ascii="Times New Roman" w:hAnsi="Times New Roman"/>
        </w:rPr>
        <w:t>–</w:t>
      </w:r>
      <w:r w:rsidR="009D46A0" w:rsidRPr="006D4E15">
        <w:rPr>
          <w:rFonts w:ascii="Times New Roman" w:hAnsi="Times New Roman"/>
        </w:rPr>
        <w:t xml:space="preserve"> t</w:t>
      </w:r>
      <w:r w:rsidR="00BD0900" w:rsidRPr="006D4E15">
        <w:rPr>
          <w:rFonts w:ascii="Times New Roman" w:hAnsi="Times New Roman"/>
        </w:rPr>
        <w:t xml:space="preserve">he Court </w:t>
      </w:r>
      <w:r w:rsidR="00A4261A" w:rsidRPr="006D4E15">
        <w:rPr>
          <w:rFonts w:ascii="Times New Roman" w:hAnsi="Times New Roman"/>
        </w:rPr>
        <w:t xml:space="preserve">of Appeal </w:t>
      </w:r>
      <w:r w:rsidR="009B464E" w:rsidRPr="006D4E15">
        <w:rPr>
          <w:rFonts w:ascii="Times New Roman" w:hAnsi="Times New Roman"/>
        </w:rPr>
        <w:t>said "</w:t>
      </w:r>
      <w:r w:rsidR="00BD0900" w:rsidRPr="006D4E15">
        <w:rPr>
          <w:rFonts w:ascii="Times New Roman" w:hAnsi="Times New Roman"/>
        </w:rPr>
        <w:t>two important points</w:t>
      </w:r>
      <w:r w:rsidR="009B464E" w:rsidRPr="006D4E15">
        <w:rPr>
          <w:rFonts w:ascii="Times New Roman" w:hAnsi="Times New Roman"/>
        </w:rPr>
        <w:t>"</w:t>
      </w:r>
      <w:r w:rsidR="00BD0900" w:rsidRPr="006D4E15">
        <w:rPr>
          <w:rFonts w:ascii="Times New Roman" w:hAnsi="Times New Roman"/>
        </w:rPr>
        <w:t xml:space="preserve"> emerg</w:t>
      </w:r>
      <w:r w:rsidR="009B464E" w:rsidRPr="006D4E15">
        <w:rPr>
          <w:rFonts w:ascii="Times New Roman" w:hAnsi="Times New Roman"/>
        </w:rPr>
        <w:t xml:space="preserve">ed </w:t>
      </w:r>
      <w:r w:rsidR="00BD0900" w:rsidRPr="006D4E15">
        <w:rPr>
          <w:rFonts w:ascii="Times New Roman" w:hAnsi="Times New Roman"/>
        </w:rPr>
        <w:t>from the case law</w:t>
      </w:r>
      <w:r w:rsidR="009B464E" w:rsidRPr="006D4E15">
        <w:rPr>
          <w:rFonts w:ascii="Times New Roman" w:hAnsi="Times New Roman"/>
        </w:rPr>
        <w:t xml:space="preserve">. </w:t>
      </w:r>
      <w:r w:rsidR="00BD0900" w:rsidRPr="006D4E15">
        <w:rPr>
          <w:rFonts w:ascii="Times New Roman" w:hAnsi="Times New Roman"/>
        </w:rPr>
        <w:t>First,</w:t>
      </w:r>
      <w:r w:rsidR="009B464E" w:rsidRPr="006D4E15">
        <w:rPr>
          <w:rFonts w:ascii="Times New Roman" w:hAnsi="Times New Roman"/>
        </w:rPr>
        <w:t xml:space="preserve"> </w:t>
      </w:r>
      <w:r w:rsidR="00BD0900" w:rsidRPr="006D4E15">
        <w:rPr>
          <w:rFonts w:ascii="Times New Roman" w:hAnsi="Times New Roman"/>
        </w:rPr>
        <w:t xml:space="preserve">vicarious liability has been recognised as extending beyond an </w:t>
      </w:r>
      <w:r w:rsidR="009B464E" w:rsidRPr="006D4E15">
        <w:rPr>
          <w:rFonts w:ascii="Times New Roman" w:hAnsi="Times New Roman"/>
        </w:rPr>
        <w:lastRenderedPageBreak/>
        <w:t xml:space="preserve">employment </w:t>
      </w:r>
      <w:r w:rsidR="00BD0900" w:rsidRPr="006D4E15">
        <w:rPr>
          <w:rFonts w:ascii="Times New Roman" w:hAnsi="Times New Roman"/>
        </w:rPr>
        <w:t xml:space="preserve">relationship </w:t>
      </w:r>
      <w:r w:rsidR="009C0823" w:rsidRPr="006D4E15">
        <w:rPr>
          <w:rFonts w:ascii="Times New Roman" w:hAnsi="Times New Roman"/>
        </w:rPr>
        <w:t xml:space="preserve">to </w:t>
      </w:r>
      <w:r w:rsidR="00BD0900" w:rsidRPr="006D4E15">
        <w:rPr>
          <w:rFonts w:ascii="Times New Roman" w:hAnsi="Times New Roman"/>
        </w:rPr>
        <w:t>situations of true agency,</w:t>
      </w:r>
      <w:r w:rsidR="00DB56DF" w:rsidRPr="006D4E15">
        <w:rPr>
          <w:rStyle w:val="FootnoteReference"/>
          <w:rFonts w:ascii="Times New Roman" w:hAnsi="Times New Roman"/>
          <w:sz w:val="24"/>
        </w:rPr>
        <w:footnoteReference w:id="10"/>
      </w:r>
      <w:r w:rsidR="00D15525" w:rsidRPr="006D4E15">
        <w:rPr>
          <w:rFonts w:ascii="Times New Roman" w:hAnsi="Times New Roman"/>
        </w:rPr>
        <w:t xml:space="preserve"> </w:t>
      </w:r>
      <w:r w:rsidR="00DF191E" w:rsidRPr="006D4E15">
        <w:rPr>
          <w:rFonts w:ascii="Times New Roman" w:hAnsi="Times New Roman"/>
        </w:rPr>
        <w:t>although</w:t>
      </w:r>
      <w:r w:rsidR="00BD0900" w:rsidRPr="006D4E15">
        <w:rPr>
          <w:rFonts w:ascii="Times New Roman" w:hAnsi="Times New Roman"/>
        </w:rPr>
        <w:t xml:space="preserve"> the </w:t>
      </w:r>
      <w:r w:rsidR="00A66707" w:rsidRPr="006D4E15">
        <w:rPr>
          <w:rFonts w:ascii="Times New Roman" w:hAnsi="Times New Roman"/>
        </w:rPr>
        <w:t xml:space="preserve">Court </w:t>
      </w:r>
      <w:r w:rsidR="00DF191E" w:rsidRPr="006D4E15">
        <w:rPr>
          <w:rFonts w:ascii="Times New Roman" w:hAnsi="Times New Roman"/>
        </w:rPr>
        <w:t>caution</w:t>
      </w:r>
      <w:r w:rsidR="00A66707" w:rsidRPr="006D4E15">
        <w:rPr>
          <w:rFonts w:ascii="Times New Roman" w:hAnsi="Times New Roman"/>
        </w:rPr>
        <w:t xml:space="preserve">ed </w:t>
      </w:r>
      <w:r w:rsidR="00DF191E" w:rsidRPr="006D4E15">
        <w:rPr>
          <w:rFonts w:ascii="Times New Roman" w:hAnsi="Times New Roman"/>
        </w:rPr>
        <w:t xml:space="preserve">that the </w:t>
      </w:r>
      <w:r w:rsidR="00BD0900" w:rsidRPr="006D4E15">
        <w:rPr>
          <w:rFonts w:ascii="Times New Roman" w:hAnsi="Times New Roman"/>
        </w:rPr>
        <w:t xml:space="preserve">term "agent" </w:t>
      </w:r>
      <w:r w:rsidR="00DF191E" w:rsidRPr="006D4E15">
        <w:rPr>
          <w:rFonts w:ascii="Times New Roman" w:hAnsi="Times New Roman"/>
        </w:rPr>
        <w:t xml:space="preserve">was </w:t>
      </w:r>
      <w:r w:rsidR="00BD0900" w:rsidRPr="006D4E15">
        <w:rPr>
          <w:rFonts w:ascii="Times New Roman" w:hAnsi="Times New Roman"/>
        </w:rPr>
        <w:t>apt to be "misused"</w:t>
      </w:r>
      <w:r w:rsidR="00A66707" w:rsidRPr="006D4E15">
        <w:rPr>
          <w:rFonts w:ascii="Times New Roman" w:hAnsi="Times New Roman"/>
        </w:rPr>
        <w:t xml:space="preserve">. </w:t>
      </w:r>
      <w:r w:rsidR="007020DC" w:rsidRPr="006D4E15">
        <w:rPr>
          <w:rFonts w:ascii="Times New Roman" w:hAnsi="Times New Roman"/>
        </w:rPr>
        <w:t>S</w:t>
      </w:r>
      <w:r w:rsidR="00BD0900" w:rsidRPr="006D4E15">
        <w:rPr>
          <w:rFonts w:ascii="Times New Roman" w:hAnsi="Times New Roman"/>
        </w:rPr>
        <w:t xml:space="preserve">econd, </w:t>
      </w:r>
      <w:r w:rsidR="0099346E" w:rsidRPr="006D4E15">
        <w:rPr>
          <w:rFonts w:ascii="Times New Roman" w:hAnsi="Times New Roman"/>
        </w:rPr>
        <w:t xml:space="preserve">there was </w:t>
      </w:r>
      <w:r w:rsidR="00BD0900" w:rsidRPr="006D4E15">
        <w:rPr>
          <w:rFonts w:ascii="Times New Roman" w:hAnsi="Times New Roman"/>
        </w:rPr>
        <w:t xml:space="preserve">a commonality of the factors that </w:t>
      </w:r>
      <w:r w:rsidR="009B636B" w:rsidRPr="006D4E15">
        <w:rPr>
          <w:rFonts w:ascii="Times New Roman" w:hAnsi="Times New Roman"/>
        </w:rPr>
        <w:t>were</w:t>
      </w:r>
      <w:r w:rsidR="00BD0900" w:rsidRPr="006D4E15">
        <w:rPr>
          <w:rFonts w:ascii="Times New Roman" w:hAnsi="Times New Roman"/>
        </w:rPr>
        <w:t xml:space="preserve"> central to the issue whether, in an appropriate case, the relationship is one to which the principle of vicarious liability m</w:t>
      </w:r>
      <w:r w:rsidR="0057598D" w:rsidRPr="006D4E15">
        <w:rPr>
          <w:rFonts w:ascii="Times New Roman" w:hAnsi="Times New Roman"/>
        </w:rPr>
        <w:t>ight</w:t>
      </w:r>
      <w:r w:rsidR="00BD0900" w:rsidRPr="006D4E15">
        <w:rPr>
          <w:rFonts w:ascii="Times New Roman" w:hAnsi="Times New Roman"/>
        </w:rPr>
        <w:t xml:space="preserve"> apply. </w:t>
      </w:r>
      <w:r w:rsidR="007E42C8" w:rsidRPr="006D4E15">
        <w:rPr>
          <w:rFonts w:ascii="Times New Roman" w:hAnsi="Times New Roman"/>
        </w:rPr>
        <w:t xml:space="preserve">By way of </w:t>
      </w:r>
      <w:r w:rsidR="00BD0900" w:rsidRPr="006D4E15">
        <w:rPr>
          <w:rFonts w:ascii="Times New Roman" w:hAnsi="Times New Roman"/>
        </w:rPr>
        <w:t xml:space="preserve">example, the </w:t>
      </w:r>
      <w:r w:rsidR="007E42C8" w:rsidRPr="006D4E15">
        <w:rPr>
          <w:rFonts w:ascii="Times New Roman" w:hAnsi="Times New Roman"/>
        </w:rPr>
        <w:t xml:space="preserve">Court of Appeal referred to the </w:t>
      </w:r>
      <w:r w:rsidR="00BD0900" w:rsidRPr="006D4E15">
        <w:rPr>
          <w:rFonts w:ascii="Times New Roman" w:hAnsi="Times New Roman"/>
        </w:rPr>
        <w:t xml:space="preserve">power of </w:t>
      </w:r>
      <w:r w:rsidR="007E42C8" w:rsidRPr="006D4E15">
        <w:rPr>
          <w:rFonts w:ascii="Times New Roman" w:hAnsi="Times New Roman"/>
        </w:rPr>
        <w:t xml:space="preserve">the </w:t>
      </w:r>
      <w:r w:rsidR="00BD0900" w:rsidRPr="006D4E15">
        <w:rPr>
          <w:rFonts w:ascii="Times New Roman" w:hAnsi="Times New Roman"/>
        </w:rPr>
        <w:t xml:space="preserve">principal to control the performance of the work by the tortfeasor, and the degree of integration of the tortfeasor in the business or work of the principal, such that the tortfeasor represented the business of the principal </w:t>
      </w:r>
      <w:r w:rsidR="004D1233" w:rsidRPr="006D4E15">
        <w:rPr>
          <w:rFonts w:ascii="Times New Roman" w:hAnsi="Times New Roman"/>
        </w:rPr>
        <w:t xml:space="preserve">or </w:t>
      </w:r>
      <w:r w:rsidR="00BD0900" w:rsidRPr="006D4E15">
        <w:rPr>
          <w:rFonts w:ascii="Times New Roman" w:hAnsi="Times New Roman"/>
        </w:rPr>
        <w:t>was "an emanation of the principal", and, in doing so, conducted the business of the principal</w:t>
      </w:r>
      <w:r w:rsidR="009B636B" w:rsidRPr="006D4E15">
        <w:rPr>
          <w:rFonts w:ascii="Times New Roman" w:hAnsi="Times New Roman"/>
        </w:rPr>
        <w:t>.</w:t>
      </w:r>
    </w:p>
    <w:p w14:paraId="162EE7B7" w14:textId="54BB762C" w:rsidR="00BD0900" w:rsidRPr="006D4E15" w:rsidRDefault="0000090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30812" w:rsidRPr="006D4E15">
        <w:rPr>
          <w:rFonts w:ascii="Times New Roman" w:hAnsi="Times New Roman"/>
        </w:rPr>
        <w:t>The Court of Appeal found that the primary judge was "correct</w:t>
      </w:r>
      <w:r w:rsidR="007B0F40" w:rsidRPr="006D4E15">
        <w:rPr>
          <w:rFonts w:ascii="Times New Roman" w:hAnsi="Times New Roman"/>
        </w:rPr>
        <w:t> </w:t>
      </w:r>
      <w:r w:rsidR="00830812" w:rsidRPr="006D4E15">
        <w:rPr>
          <w:rFonts w:ascii="Times New Roman" w:hAnsi="Times New Roman"/>
        </w:rPr>
        <w:t>to conclude that the relationship between Coffey, as</w:t>
      </w:r>
      <w:r w:rsidR="007B0F40" w:rsidRPr="006D4E15">
        <w:rPr>
          <w:rFonts w:ascii="Times New Roman" w:hAnsi="Times New Roman"/>
        </w:rPr>
        <w:t> </w:t>
      </w:r>
      <w:r w:rsidR="00830812" w:rsidRPr="006D4E15">
        <w:rPr>
          <w:rFonts w:ascii="Times New Roman" w:hAnsi="Times New Roman"/>
        </w:rPr>
        <w:t>assistant priest, and the Diocese, was one which ... would</w:t>
      </w:r>
      <w:r w:rsidR="007B0F40" w:rsidRPr="006D4E15">
        <w:rPr>
          <w:rFonts w:ascii="Times New Roman" w:hAnsi="Times New Roman"/>
        </w:rPr>
        <w:t> </w:t>
      </w:r>
      <w:r w:rsidR="00830812" w:rsidRPr="006D4E15">
        <w:rPr>
          <w:rFonts w:ascii="Times New Roman" w:hAnsi="Times New Roman"/>
        </w:rPr>
        <w:t xml:space="preserve">render the Diocese vicariously liable for any tort committed by Coffey in his role as an assistant priest within the Diocese". </w:t>
      </w:r>
      <w:r w:rsidR="00517F90" w:rsidRPr="006D4E15">
        <w:rPr>
          <w:rFonts w:ascii="Times New Roman" w:hAnsi="Times New Roman"/>
        </w:rPr>
        <w:t>The</w:t>
      </w:r>
      <w:r w:rsidR="00EC7B85" w:rsidRPr="006D4E15">
        <w:rPr>
          <w:rFonts w:ascii="Times New Roman" w:hAnsi="Times New Roman"/>
        </w:rPr>
        <w:t> </w:t>
      </w:r>
      <w:r w:rsidR="00517F90" w:rsidRPr="006D4E15">
        <w:rPr>
          <w:rFonts w:ascii="Times New Roman" w:hAnsi="Times New Roman"/>
        </w:rPr>
        <w:t>Court </w:t>
      </w:r>
      <w:r w:rsidR="00BD0900" w:rsidRPr="006D4E15">
        <w:rPr>
          <w:rFonts w:ascii="Times New Roman" w:hAnsi="Times New Roman"/>
        </w:rPr>
        <w:t xml:space="preserve">rested </w:t>
      </w:r>
      <w:r w:rsidRPr="006D4E15">
        <w:rPr>
          <w:rFonts w:ascii="Times New Roman" w:hAnsi="Times New Roman"/>
        </w:rPr>
        <w:t xml:space="preserve">that </w:t>
      </w:r>
      <w:r w:rsidR="00BD0900" w:rsidRPr="006D4E15">
        <w:rPr>
          <w:rFonts w:ascii="Times New Roman" w:hAnsi="Times New Roman"/>
        </w:rPr>
        <w:t xml:space="preserve">conclusion on the following features of the relationship between the Diocese and Coffey: </w:t>
      </w:r>
    </w:p>
    <w:p w14:paraId="2AA54098" w14:textId="56E6929C" w:rsidR="00C87CE1" w:rsidRPr="006D4E15" w:rsidRDefault="00C87CE1" w:rsidP="006D4E15">
      <w:pPr>
        <w:pStyle w:val="NormalBody"/>
        <w:spacing w:after="260" w:line="280" w:lineRule="exact"/>
        <w:ind w:left="720" w:right="0" w:hanging="720"/>
        <w:jc w:val="both"/>
        <w:rPr>
          <w:rFonts w:ascii="Times New Roman" w:hAnsi="Times New Roman"/>
          <w:bCs/>
        </w:rPr>
      </w:pPr>
      <w:r w:rsidRPr="006D4E15">
        <w:rPr>
          <w:rFonts w:ascii="Times New Roman" w:hAnsi="Times New Roman"/>
        </w:rPr>
        <w:t>(1)</w:t>
      </w:r>
      <w:r w:rsidRPr="006D4E15">
        <w:rPr>
          <w:rFonts w:ascii="Times New Roman" w:hAnsi="Times New Roman"/>
        </w:rPr>
        <w:tab/>
      </w:r>
      <w:r w:rsidR="00B955FF" w:rsidRPr="006D4E15">
        <w:rPr>
          <w:rFonts w:ascii="Times New Roman" w:hAnsi="Times New Roman"/>
        </w:rPr>
        <w:t>t</w:t>
      </w:r>
      <w:r w:rsidR="00BD0900" w:rsidRPr="006D4E15">
        <w:rPr>
          <w:rFonts w:ascii="Times New Roman" w:hAnsi="Times New Roman"/>
        </w:rPr>
        <w:t>he Diocese appointed Coffey to be assistant priest and had ultimate control over the parameters of his appointment including its duration, location, general duties, responsibility of supervision and benefits. The</w:t>
      </w:r>
      <w:r w:rsidR="002430BD" w:rsidRPr="006D4E15">
        <w:rPr>
          <w:rFonts w:ascii="Times New Roman" w:hAnsi="Times New Roman"/>
        </w:rPr>
        <w:t> </w:t>
      </w:r>
      <w:r w:rsidR="0097139D" w:rsidRPr="006D4E15">
        <w:rPr>
          <w:rFonts w:ascii="Times New Roman" w:hAnsi="Times New Roman"/>
        </w:rPr>
        <w:t>C</w:t>
      </w:r>
      <w:r w:rsidR="00BD0900" w:rsidRPr="006D4E15">
        <w:rPr>
          <w:rFonts w:ascii="Times New Roman" w:hAnsi="Times New Roman"/>
        </w:rPr>
        <w:t xml:space="preserve">hurch's </w:t>
      </w:r>
      <w:r w:rsidR="005214CB" w:rsidRPr="006D4E15">
        <w:rPr>
          <w:rFonts w:ascii="Times New Roman" w:hAnsi="Times New Roman"/>
        </w:rPr>
        <w:t>C</w:t>
      </w:r>
      <w:r w:rsidR="00BD0900" w:rsidRPr="006D4E15">
        <w:rPr>
          <w:rFonts w:ascii="Times New Roman" w:hAnsi="Times New Roman"/>
        </w:rPr>
        <w:t xml:space="preserve">anon </w:t>
      </w:r>
      <w:r w:rsidR="005214CB" w:rsidRPr="006D4E15">
        <w:rPr>
          <w:rFonts w:ascii="Times New Roman" w:hAnsi="Times New Roman"/>
        </w:rPr>
        <w:t>L</w:t>
      </w:r>
      <w:r w:rsidR="00BD0900" w:rsidRPr="006D4E15">
        <w:rPr>
          <w:rFonts w:ascii="Times New Roman" w:hAnsi="Times New Roman"/>
        </w:rPr>
        <w:t>aw "permitted the Bishop to exercise control over Coffey that was at least as great as, if not greater than, that enjoyed by an employer"</w:t>
      </w:r>
      <w:r w:rsidRPr="006D4E15">
        <w:rPr>
          <w:rFonts w:ascii="Times New Roman" w:hAnsi="Times New Roman"/>
          <w:bCs/>
        </w:rPr>
        <w:t>;</w:t>
      </w:r>
    </w:p>
    <w:p w14:paraId="60431929" w14:textId="01CE5EE9" w:rsidR="00C87CE1" w:rsidRPr="006D4E15" w:rsidRDefault="00C87CE1" w:rsidP="006D4E15">
      <w:pPr>
        <w:pStyle w:val="NormalBody"/>
        <w:spacing w:after="260" w:line="280" w:lineRule="exact"/>
        <w:ind w:left="720" w:right="0" w:hanging="720"/>
        <w:jc w:val="both"/>
        <w:rPr>
          <w:rFonts w:ascii="Times New Roman" w:hAnsi="Times New Roman"/>
        </w:rPr>
      </w:pPr>
      <w:r w:rsidRPr="006D4E15">
        <w:rPr>
          <w:rFonts w:ascii="Times New Roman" w:hAnsi="Times New Roman"/>
          <w:bCs/>
        </w:rPr>
        <w:t>(2)</w:t>
      </w:r>
      <w:r w:rsidRPr="006D4E15">
        <w:rPr>
          <w:rFonts w:ascii="Times New Roman" w:hAnsi="Times New Roman"/>
          <w:bCs/>
        </w:rPr>
        <w:tab/>
      </w:r>
      <w:r w:rsidR="00BD0900" w:rsidRPr="006D4E15">
        <w:rPr>
          <w:rFonts w:ascii="Times New Roman" w:hAnsi="Times New Roman"/>
        </w:rPr>
        <w:t xml:space="preserve">Coffey's work was not carried out independently of the Diocese but as its representative, such that Coffey's work </w:t>
      </w:r>
      <w:r w:rsidR="00BD0900" w:rsidRPr="006D4E15">
        <w:rPr>
          <w:rFonts w:ascii="Times New Roman" w:hAnsi="Times New Roman"/>
          <w:i/>
          <w:iCs/>
        </w:rPr>
        <w:t xml:space="preserve">was </w:t>
      </w:r>
      <w:r w:rsidR="00BD0900" w:rsidRPr="006D4E15">
        <w:rPr>
          <w:rFonts w:ascii="Times New Roman" w:hAnsi="Times New Roman"/>
        </w:rPr>
        <w:t>the public manifestation of the Diocese in Port Fairy</w:t>
      </w:r>
      <w:r w:rsidRPr="006D4E15">
        <w:rPr>
          <w:rFonts w:ascii="Times New Roman" w:hAnsi="Times New Roman"/>
        </w:rPr>
        <w:t>;</w:t>
      </w:r>
    </w:p>
    <w:p w14:paraId="6789D5D0" w14:textId="4E675879" w:rsidR="00C87CE1" w:rsidRPr="006D4E15" w:rsidRDefault="00C87CE1" w:rsidP="006D4E15">
      <w:pPr>
        <w:pStyle w:val="NormalBody"/>
        <w:spacing w:after="260" w:line="280" w:lineRule="exact"/>
        <w:ind w:left="720" w:right="0" w:hanging="720"/>
        <w:jc w:val="both"/>
        <w:rPr>
          <w:rFonts w:ascii="Times New Roman" w:hAnsi="Times New Roman"/>
        </w:rPr>
      </w:pPr>
      <w:r w:rsidRPr="006D4E15">
        <w:rPr>
          <w:rFonts w:ascii="Times New Roman" w:hAnsi="Times New Roman"/>
        </w:rPr>
        <w:t>(3)</w:t>
      </w:r>
      <w:r w:rsidRPr="006D4E15">
        <w:rPr>
          <w:rFonts w:ascii="Times New Roman" w:hAnsi="Times New Roman"/>
        </w:rPr>
        <w:tab/>
      </w:r>
      <w:r w:rsidR="00BD0900" w:rsidRPr="006D4E15">
        <w:rPr>
          <w:rFonts w:ascii="Times New Roman" w:hAnsi="Times New Roman"/>
        </w:rPr>
        <w:t>the Diocese provided for Coffey's livelihood, clerical garb and vestments, and clothed him with "an aura of charisma and authority"</w:t>
      </w:r>
      <w:r w:rsidRPr="006D4E15">
        <w:rPr>
          <w:rFonts w:ascii="Times New Roman" w:hAnsi="Times New Roman"/>
          <w:bCs/>
        </w:rPr>
        <w:t>; and</w:t>
      </w:r>
    </w:p>
    <w:p w14:paraId="7DE37ADD" w14:textId="467669FA" w:rsidR="00BD0900" w:rsidRPr="006D4E15" w:rsidRDefault="00C87CE1" w:rsidP="006D4E15">
      <w:pPr>
        <w:pStyle w:val="NormalBody"/>
        <w:spacing w:after="260" w:line="280" w:lineRule="exact"/>
        <w:ind w:left="720" w:right="0" w:hanging="720"/>
        <w:jc w:val="both"/>
        <w:rPr>
          <w:rFonts w:ascii="Times New Roman" w:hAnsi="Times New Roman"/>
          <w:bCs/>
        </w:rPr>
      </w:pPr>
      <w:r w:rsidRPr="006D4E15">
        <w:rPr>
          <w:rFonts w:ascii="Times New Roman" w:hAnsi="Times New Roman"/>
        </w:rPr>
        <w:t>(4)</w:t>
      </w:r>
      <w:r w:rsidRPr="006D4E15">
        <w:rPr>
          <w:rFonts w:ascii="Times New Roman" w:hAnsi="Times New Roman"/>
        </w:rPr>
        <w:tab/>
      </w:r>
      <w:r w:rsidR="00BD0900" w:rsidRPr="006D4E15">
        <w:rPr>
          <w:rFonts w:ascii="Times New Roman" w:hAnsi="Times New Roman"/>
        </w:rPr>
        <w:t>Coffey was "[i]n a real and relevant sense ... the servant of the Diocese, notwithstanding that he was not, in a strict legal sense, an employee of it".</w:t>
      </w:r>
    </w:p>
    <w:p w14:paraId="2A653C7F" w14:textId="6D348521" w:rsidR="0096361A" w:rsidRPr="006D4E15" w:rsidRDefault="0075704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D0900" w:rsidRPr="006D4E15">
        <w:rPr>
          <w:rFonts w:ascii="Times New Roman" w:hAnsi="Times New Roman"/>
        </w:rPr>
        <w:t>On the question of liability</w:t>
      </w:r>
      <w:r w:rsidR="0090545F" w:rsidRPr="006D4E15">
        <w:rPr>
          <w:rFonts w:ascii="Times New Roman" w:hAnsi="Times New Roman"/>
        </w:rPr>
        <w:t xml:space="preserve"> – the second question –</w:t>
      </w:r>
      <w:r w:rsidR="00BD0900" w:rsidRPr="006D4E15">
        <w:rPr>
          <w:rFonts w:ascii="Times New Roman" w:hAnsi="Times New Roman"/>
        </w:rPr>
        <w:t xml:space="preserve"> the Court concluded that the Diocese was vicariously liable for the two assaults committed by Coffey against DP on the basis that, among</w:t>
      </w:r>
      <w:r w:rsidR="007B0F40" w:rsidRPr="006D4E15">
        <w:rPr>
          <w:rFonts w:ascii="Times New Roman" w:hAnsi="Times New Roman"/>
        </w:rPr>
        <w:t> </w:t>
      </w:r>
      <w:r w:rsidR="00BD0900" w:rsidRPr="006D4E15">
        <w:rPr>
          <w:rFonts w:ascii="Times New Roman" w:hAnsi="Times New Roman"/>
        </w:rPr>
        <w:t>other things</w:t>
      </w:r>
      <w:r w:rsidR="0090545F" w:rsidRPr="006D4E15">
        <w:rPr>
          <w:rFonts w:ascii="Times New Roman" w:hAnsi="Times New Roman"/>
        </w:rPr>
        <w:t xml:space="preserve">, </w:t>
      </w:r>
      <w:r w:rsidR="00BD0900" w:rsidRPr="006D4E15">
        <w:rPr>
          <w:rFonts w:ascii="Times New Roman" w:hAnsi="Times New Roman"/>
        </w:rPr>
        <w:t xml:space="preserve">Coffey in his role as assistant priest did in fact regularly visit the homes of parishioners and interact with their families </w:t>
      </w:r>
      <w:r w:rsidR="0090545F" w:rsidRPr="006D4E15">
        <w:rPr>
          <w:rFonts w:ascii="Times New Roman" w:hAnsi="Times New Roman"/>
        </w:rPr>
        <w:t xml:space="preserve">and </w:t>
      </w:r>
      <w:r w:rsidR="00BD0900" w:rsidRPr="006D4E15">
        <w:rPr>
          <w:rFonts w:ascii="Times New Roman" w:hAnsi="Times New Roman"/>
        </w:rPr>
        <w:t xml:space="preserve">Coffey's role as assistant priest placed him in a position of trust and </w:t>
      </w:r>
      <w:r w:rsidR="00BD0900" w:rsidRPr="006D4E15">
        <w:rPr>
          <w:rFonts w:ascii="Times New Roman" w:hAnsi="Times New Roman"/>
        </w:rPr>
        <w:lastRenderedPageBreak/>
        <w:t>authority vis</w:t>
      </w:r>
      <w:r w:rsidR="003742E2" w:rsidRPr="006D4E15">
        <w:rPr>
          <w:rFonts w:ascii="Times New Roman" w:hAnsi="Times New Roman"/>
        </w:rPr>
        <w:t>-</w:t>
      </w:r>
      <w:r w:rsidR="00997670" w:rsidRPr="006D4E15">
        <w:rPr>
          <w:rFonts w:ascii="Times New Roman" w:hAnsi="Times New Roman"/>
        </w:rPr>
        <w:t>à</w:t>
      </w:r>
      <w:r w:rsidR="003742E2" w:rsidRPr="006D4E15">
        <w:rPr>
          <w:rFonts w:ascii="Times New Roman" w:hAnsi="Times New Roman"/>
        </w:rPr>
        <w:t>-</w:t>
      </w:r>
      <w:r w:rsidR="00BD0900" w:rsidRPr="006D4E15">
        <w:rPr>
          <w:rFonts w:ascii="Times New Roman" w:hAnsi="Times New Roman"/>
        </w:rPr>
        <w:t>vis DP and his family, and it was in this position that he committed the assaults</w:t>
      </w:r>
      <w:r w:rsidR="00B30D9F" w:rsidRPr="006D4E15">
        <w:rPr>
          <w:rFonts w:ascii="Times New Roman" w:hAnsi="Times New Roman"/>
        </w:rPr>
        <w:t>.</w:t>
      </w:r>
      <w:r w:rsidR="005C1C6A" w:rsidRPr="006D4E15">
        <w:rPr>
          <w:rFonts w:ascii="Times New Roman" w:hAnsi="Times New Roman"/>
        </w:rPr>
        <w:t xml:space="preserve"> </w:t>
      </w:r>
    </w:p>
    <w:p w14:paraId="37A1238F" w14:textId="01259E98" w:rsidR="00015037" w:rsidRPr="006D4E15" w:rsidRDefault="0096361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F0C64" w:rsidRPr="006D4E15">
        <w:rPr>
          <w:rFonts w:ascii="Times New Roman" w:hAnsi="Times New Roman"/>
        </w:rPr>
        <w:t xml:space="preserve">As will be explained, </w:t>
      </w:r>
      <w:r w:rsidR="00EE3505" w:rsidRPr="006D4E15">
        <w:rPr>
          <w:rFonts w:ascii="Times New Roman" w:hAnsi="Times New Roman"/>
        </w:rPr>
        <w:t xml:space="preserve">in the absence of an employment relationship, </w:t>
      </w:r>
      <w:r w:rsidR="000A0CDB" w:rsidRPr="006D4E15">
        <w:rPr>
          <w:rFonts w:ascii="Times New Roman" w:hAnsi="Times New Roman"/>
        </w:rPr>
        <w:t xml:space="preserve">it was not open to </w:t>
      </w:r>
      <w:r w:rsidR="00E77598" w:rsidRPr="006D4E15">
        <w:rPr>
          <w:rFonts w:ascii="Times New Roman" w:hAnsi="Times New Roman"/>
        </w:rPr>
        <w:t xml:space="preserve">hold </w:t>
      </w:r>
      <w:r w:rsidR="000A0CDB" w:rsidRPr="006D4E15">
        <w:rPr>
          <w:rFonts w:ascii="Times New Roman" w:hAnsi="Times New Roman"/>
        </w:rPr>
        <w:t>the Diocese vicariously liable for the two assaults committed by Coffey against DP</w:t>
      </w:r>
      <w:r w:rsidR="00AF0C64" w:rsidRPr="006D4E15">
        <w:rPr>
          <w:rFonts w:ascii="Times New Roman" w:hAnsi="Times New Roman"/>
        </w:rPr>
        <w:t xml:space="preserve">. </w:t>
      </w:r>
      <w:r w:rsidRPr="006D4E15">
        <w:rPr>
          <w:rFonts w:ascii="Times New Roman" w:hAnsi="Times New Roman"/>
        </w:rPr>
        <w:t>A</w:t>
      </w:r>
      <w:r w:rsidR="00015037" w:rsidRPr="006D4E15">
        <w:rPr>
          <w:rFonts w:ascii="Times New Roman" w:hAnsi="Times New Roman"/>
        </w:rPr>
        <w:t>n</w:t>
      </w:r>
      <w:r w:rsidR="002D5CC1" w:rsidRPr="006D4E15">
        <w:rPr>
          <w:rFonts w:ascii="Times New Roman" w:hAnsi="Times New Roman"/>
        </w:rPr>
        <w:t>y</w:t>
      </w:r>
      <w:r w:rsidR="00015037" w:rsidRPr="006D4E15">
        <w:rPr>
          <w:rFonts w:ascii="Times New Roman" w:hAnsi="Times New Roman"/>
        </w:rPr>
        <w:t xml:space="preserve"> </w:t>
      </w:r>
      <w:r w:rsidR="00FA7548" w:rsidRPr="006D4E15">
        <w:rPr>
          <w:rFonts w:ascii="Times New Roman" w:hAnsi="Times New Roman"/>
        </w:rPr>
        <w:t>other</w:t>
      </w:r>
      <w:r w:rsidR="00F0646F" w:rsidRPr="006D4E15">
        <w:rPr>
          <w:rFonts w:ascii="Times New Roman" w:hAnsi="Times New Roman"/>
        </w:rPr>
        <w:t xml:space="preserve"> </w:t>
      </w:r>
      <w:r w:rsidR="00015037" w:rsidRPr="006D4E15">
        <w:rPr>
          <w:rFonts w:ascii="Times New Roman" w:hAnsi="Times New Roman"/>
        </w:rPr>
        <w:t xml:space="preserve">analysis that uses language that infers </w:t>
      </w:r>
      <w:r w:rsidR="00B13AD8" w:rsidRPr="006D4E15">
        <w:rPr>
          <w:rFonts w:ascii="Times New Roman" w:hAnsi="Times New Roman"/>
        </w:rPr>
        <w:t xml:space="preserve">fault or risk – </w:t>
      </w:r>
      <w:r w:rsidR="00120ADE" w:rsidRPr="006D4E15">
        <w:rPr>
          <w:rFonts w:ascii="Times New Roman" w:hAnsi="Times New Roman"/>
        </w:rPr>
        <w:t xml:space="preserve">such as </w:t>
      </w:r>
      <w:r w:rsidR="00B13AD8" w:rsidRPr="006D4E15">
        <w:rPr>
          <w:rFonts w:ascii="Times New Roman" w:hAnsi="Times New Roman"/>
        </w:rPr>
        <w:t>control</w:t>
      </w:r>
      <w:r w:rsidR="00232255" w:rsidRPr="006D4E15">
        <w:rPr>
          <w:rFonts w:ascii="Times New Roman" w:hAnsi="Times New Roman"/>
        </w:rPr>
        <w:t xml:space="preserve"> </w:t>
      </w:r>
      <w:r w:rsidR="00B13AD8" w:rsidRPr="006D4E15">
        <w:rPr>
          <w:rFonts w:ascii="Times New Roman" w:hAnsi="Times New Roman"/>
        </w:rPr>
        <w:t xml:space="preserve">– </w:t>
      </w:r>
      <w:r w:rsidR="00714696" w:rsidRPr="006D4E15">
        <w:rPr>
          <w:rFonts w:ascii="Times New Roman" w:hAnsi="Times New Roman"/>
        </w:rPr>
        <w:t xml:space="preserve">is inapposite in </w:t>
      </w:r>
      <w:r w:rsidR="00D4596E" w:rsidRPr="006D4E15">
        <w:rPr>
          <w:rFonts w:ascii="Times New Roman" w:hAnsi="Times New Roman"/>
        </w:rPr>
        <w:t xml:space="preserve">a claim of vicarious liability. </w:t>
      </w:r>
      <w:r w:rsidR="003F51B2" w:rsidRPr="006D4E15">
        <w:rPr>
          <w:rFonts w:ascii="Times New Roman" w:hAnsi="Times New Roman"/>
        </w:rPr>
        <w:t>A</w:t>
      </w:r>
      <w:r w:rsidR="000B2C8A" w:rsidRPr="006D4E15">
        <w:rPr>
          <w:rFonts w:ascii="Times New Roman" w:hAnsi="Times New Roman"/>
        </w:rPr>
        <w:t xml:space="preserve">s </w:t>
      </w:r>
      <w:r w:rsidR="003F51B2" w:rsidRPr="006D4E15">
        <w:rPr>
          <w:rFonts w:ascii="Times New Roman" w:hAnsi="Times New Roman"/>
        </w:rPr>
        <w:t>will be</w:t>
      </w:r>
      <w:r w:rsidR="000B2C8A" w:rsidRPr="006D4E15">
        <w:rPr>
          <w:rFonts w:ascii="Times New Roman" w:hAnsi="Times New Roman"/>
        </w:rPr>
        <w:t xml:space="preserve"> explained, pointing to fault seeks </w:t>
      </w:r>
      <w:r w:rsidR="00F54DB3" w:rsidRPr="006D4E15">
        <w:rPr>
          <w:rFonts w:ascii="Times New Roman" w:hAnsi="Times New Roman"/>
        </w:rPr>
        <w:t xml:space="preserve">to appeal </w:t>
      </w:r>
      <w:r w:rsidR="000B2C8A" w:rsidRPr="006D4E15">
        <w:rPr>
          <w:rFonts w:ascii="Times New Roman" w:hAnsi="Times New Roman"/>
        </w:rPr>
        <w:t xml:space="preserve">to basic principles or ideas that </w:t>
      </w:r>
      <w:r w:rsidR="00F54DB3" w:rsidRPr="006D4E15">
        <w:rPr>
          <w:rFonts w:ascii="Times New Roman" w:hAnsi="Times New Roman"/>
        </w:rPr>
        <w:t xml:space="preserve">inform so much of the law of tort but </w:t>
      </w:r>
      <w:r w:rsidR="000B2C8A" w:rsidRPr="006D4E15">
        <w:rPr>
          <w:rFonts w:ascii="Times New Roman" w:hAnsi="Times New Roman"/>
        </w:rPr>
        <w:t>have no role to play in vicarious liability. Vicarious liability is concerned with attribution of liability, not fault.</w:t>
      </w:r>
    </w:p>
    <w:p w14:paraId="530A4C5A" w14:textId="570ABEB7" w:rsidR="00AC081D" w:rsidRPr="006D4E15" w:rsidRDefault="002D5172" w:rsidP="006D4E15">
      <w:pPr>
        <w:pStyle w:val="HeadingL1"/>
        <w:spacing w:after="260" w:line="280" w:lineRule="exact"/>
        <w:ind w:right="0"/>
        <w:jc w:val="both"/>
        <w:rPr>
          <w:rFonts w:ascii="Times New Roman" w:hAnsi="Times New Roman"/>
        </w:rPr>
      </w:pPr>
      <w:r w:rsidRPr="006D4E15">
        <w:rPr>
          <w:rFonts w:ascii="Times New Roman" w:hAnsi="Times New Roman"/>
        </w:rPr>
        <w:t>What is "vicarious liability"?</w:t>
      </w:r>
    </w:p>
    <w:p w14:paraId="12C87698" w14:textId="1BE360E7" w:rsidR="001C3908" w:rsidRPr="006D4E15" w:rsidRDefault="000278F1"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8146E" w:rsidRPr="006D4E15">
        <w:rPr>
          <w:rFonts w:ascii="Times New Roman" w:hAnsi="Times New Roman"/>
        </w:rPr>
        <w:t>T</w:t>
      </w:r>
      <w:r w:rsidR="007F226D" w:rsidRPr="006D4E15">
        <w:rPr>
          <w:rFonts w:ascii="Times New Roman" w:hAnsi="Times New Roman"/>
        </w:rPr>
        <w:t xml:space="preserve">he </w:t>
      </w:r>
      <w:r w:rsidR="008953EC" w:rsidRPr="006D4E15">
        <w:rPr>
          <w:rFonts w:ascii="Times New Roman" w:hAnsi="Times New Roman"/>
        </w:rPr>
        <w:t xml:space="preserve">expression </w:t>
      </w:r>
      <w:r w:rsidR="0032448E" w:rsidRPr="006D4E15">
        <w:rPr>
          <w:rFonts w:ascii="Times New Roman" w:hAnsi="Times New Roman"/>
        </w:rPr>
        <w:t xml:space="preserve">"vicarious liability" </w:t>
      </w:r>
      <w:r w:rsidR="00E97162" w:rsidRPr="006D4E15">
        <w:rPr>
          <w:rFonts w:ascii="Times New Roman" w:hAnsi="Times New Roman"/>
        </w:rPr>
        <w:t xml:space="preserve">has been used </w:t>
      </w:r>
      <w:r w:rsidR="00C3328C" w:rsidRPr="006D4E15">
        <w:rPr>
          <w:rFonts w:ascii="Times New Roman" w:hAnsi="Times New Roman"/>
        </w:rPr>
        <w:t>to describe</w:t>
      </w:r>
      <w:r w:rsidR="00DE02D0" w:rsidRPr="006D4E15">
        <w:rPr>
          <w:rFonts w:ascii="Times New Roman" w:hAnsi="Times New Roman"/>
        </w:rPr>
        <w:t xml:space="preserve"> different types of liability in </w:t>
      </w:r>
      <w:r w:rsidR="00E545C9" w:rsidRPr="006D4E15">
        <w:rPr>
          <w:rFonts w:ascii="Times New Roman" w:hAnsi="Times New Roman"/>
        </w:rPr>
        <w:t>different areas of the law</w:t>
      </w:r>
      <w:r w:rsidR="001156C3" w:rsidRPr="006D4E15">
        <w:rPr>
          <w:rFonts w:ascii="Times New Roman" w:hAnsi="Times New Roman"/>
        </w:rPr>
        <w:t>.</w:t>
      </w:r>
      <w:r w:rsidR="00E545C9" w:rsidRPr="006D4E15">
        <w:rPr>
          <w:rStyle w:val="FootnoteReference"/>
          <w:rFonts w:ascii="Times New Roman" w:hAnsi="Times New Roman"/>
          <w:sz w:val="24"/>
        </w:rPr>
        <w:footnoteReference w:id="11"/>
      </w:r>
      <w:r w:rsidR="00222B0F" w:rsidRPr="006D4E15">
        <w:rPr>
          <w:rFonts w:ascii="Times New Roman" w:hAnsi="Times New Roman"/>
        </w:rPr>
        <w:t xml:space="preserve"> </w:t>
      </w:r>
      <w:r w:rsidR="00E97162" w:rsidRPr="006D4E15">
        <w:rPr>
          <w:rFonts w:ascii="Times New Roman" w:hAnsi="Times New Roman"/>
        </w:rPr>
        <w:t xml:space="preserve">It is </w:t>
      </w:r>
      <w:r w:rsidR="005B6766" w:rsidRPr="006D4E15">
        <w:rPr>
          <w:rFonts w:ascii="Times New Roman" w:hAnsi="Times New Roman"/>
        </w:rPr>
        <w:t xml:space="preserve">therefore </w:t>
      </w:r>
      <w:r w:rsidR="00E97162" w:rsidRPr="006D4E15">
        <w:rPr>
          <w:rFonts w:ascii="Times New Roman" w:hAnsi="Times New Roman"/>
        </w:rPr>
        <w:t xml:space="preserve">necessary, at the outset, to identify </w:t>
      </w:r>
      <w:r w:rsidR="00AC0F89" w:rsidRPr="006D4E15">
        <w:rPr>
          <w:rFonts w:ascii="Times New Roman" w:hAnsi="Times New Roman"/>
        </w:rPr>
        <w:t xml:space="preserve">when </w:t>
      </w:r>
      <w:r w:rsidR="00C4581E" w:rsidRPr="006D4E15">
        <w:rPr>
          <w:rFonts w:ascii="Times New Roman" w:hAnsi="Times New Roman"/>
        </w:rPr>
        <w:t xml:space="preserve">the expression </w:t>
      </w:r>
      <w:r w:rsidR="00265395" w:rsidRPr="006D4E15">
        <w:rPr>
          <w:rFonts w:ascii="Times New Roman" w:hAnsi="Times New Roman"/>
        </w:rPr>
        <w:t>"</w:t>
      </w:r>
      <w:r w:rsidR="00C4581E" w:rsidRPr="006D4E15">
        <w:rPr>
          <w:rFonts w:ascii="Times New Roman" w:hAnsi="Times New Roman"/>
        </w:rPr>
        <w:t>vicarious</w:t>
      </w:r>
      <w:r w:rsidR="007B0F40" w:rsidRPr="006D4E15">
        <w:rPr>
          <w:rFonts w:ascii="Times New Roman" w:hAnsi="Times New Roman"/>
        </w:rPr>
        <w:t> </w:t>
      </w:r>
      <w:r w:rsidR="00C4581E" w:rsidRPr="006D4E15">
        <w:rPr>
          <w:rFonts w:ascii="Times New Roman" w:hAnsi="Times New Roman"/>
        </w:rPr>
        <w:t>liability</w:t>
      </w:r>
      <w:r w:rsidR="00265395" w:rsidRPr="006D4E15">
        <w:rPr>
          <w:rFonts w:ascii="Times New Roman" w:hAnsi="Times New Roman"/>
        </w:rPr>
        <w:t>"</w:t>
      </w:r>
      <w:r w:rsidR="00C4581E" w:rsidRPr="006D4E15">
        <w:rPr>
          <w:rFonts w:ascii="Times New Roman" w:hAnsi="Times New Roman"/>
        </w:rPr>
        <w:t xml:space="preserve"> </w:t>
      </w:r>
      <w:r w:rsidR="00AC0F89" w:rsidRPr="006D4E15">
        <w:rPr>
          <w:rFonts w:ascii="Times New Roman" w:hAnsi="Times New Roman"/>
        </w:rPr>
        <w:t xml:space="preserve">is capable of applying </w:t>
      </w:r>
      <w:r w:rsidR="009F05D0" w:rsidRPr="006D4E15">
        <w:rPr>
          <w:rFonts w:ascii="Times New Roman" w:hAnsi="Times New Roman"/>
        </w:rPr>
        <w:t xml:space="preserve">before turning to </w:t>
      </w:r>
      <w:r w:rsidR="00265395" w:rsidRPr="006D4E15">
        <w:rPr>
          <w:rFonts w:ascii="Times New Roman" w:hAnsi="Times New Roman"/>
        </w:rPr>
        <w:t xml:space="preserve">consider </w:t>
      </w:r>
      <w:r w:rsidR="009F05D0" w:rsidRPr="006D4E15">
        <w:rPr>
          <w:rFonts w:ascii="Times New Roman" w:hAnsi="Times New Roman"/>
        </w:rPr>
        <w:t>whether an employment relationship is a necessary precursor to such a finding.</w:t>
      </w:r>
    </w:p>
    <w:p w14:paraId="3E853A7A" w14:textId="10592E63" w:rsidR="005042F3" w:rsidRPr="006D4E15" w:rsidRDefault="005042F3" w:rsidP="006D4E15">
      <w:pPr>
        <w:pStyle w:val="HeadingL1"/>
        <w:spacing w:after="260" w:line="280" w:lineRule="exact"/>
        <w:ind w:right="0"/>
        <w:jc w:val="both"/>
        <w:rPr>
          <w:rFonts w:ascii="Times New Roman" w:hAnsi="Times New Roman"/>
        </w:rPr>
      </w:pPr>
      <w:r w:rsidRPr="006D4E15">
        <w:rPr>
          <w:rFonts w:ascii="Times New Roman" w:hAnsi="Times New Roman"/>
        </w:rPr>
        <w:t>Agency</w:t>
      </w:r>
    </w:p>
    <w:p w14:paraId="22CA2C53" w14:textId="11BE9DC1" w:rsidR="004F7A5F" w:rsidRPr="006D4E15" w:rsidRDefault="001C390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43151" w:rsidRPr="006D4E15">
        <w:rPr>
          <w:rFonts w:ascii="Times New Roman" w:hAnsi="Times New Roman"/>
        </w:rPr>
        <w:t xml:space="preserve">The first </w:t>
      </w:r>
      <w:r w:rsidR="00EE5A80" w:rsidRPr="006D4E15">
        <w:rPr>
          <w:rFonts w:ascii="Times New Roman" w:hAnsi="Times New Roman"/>
        </w:rPr>
        <w:t xml:space="preserve">area of law </w:t>
      </w:r>
      <w:r w:rsidR="001646E2" w:rsidRPr="006D4E15">
        <w:rPr>
          <w:rFonts w:ascii="Times New Roman" w:hAnsi="Times New Roman"/>
        </w:rPr>
        <w:t xml:space="preserve">where the expression </w:t>
      </w:r>
      <w:r w:rsidR="007A31DB" w:rsidRPr="006D4E15">
        <w:rPr>
          <w:rFonts w:ascii="Times New Roman" w:hAnsi="Times New Roman"/>
        </w:rPr>
        <w:t xml:space="preserve">"vicarious liability" </w:t>
      </w:r>
      <w:r w:rsidR="001646E2" w:rsidRPr="006D4E15">
        <w:rPr>
          <w:rFonts w:ascii="Times New Roman" w:hAnsi="Times New Roman"/>
        </w:rPr>
        <w:t xml:space="preserve">has been used </w:t>
      </w:r>
      <w:r w:rsidR="00EE5A80" w:rsidRPr="006D4E15">
        <w:rPr>
          <w:rFonts w:ascii="Times New Roman" w:hAnsi="Times New Roman"/>
        </w:rPr>
        <w:t xml:space="preserve">is </w:t>
      </w:r>
      <w:r w:rsidR="000E1BF2" w:rsidRPr="006D4E15">
        <w:rPr>
          <w:rFonts w:ascii="Times New Roman" w:hAnsi="Times New Roman"/>
        </w:rPr>
        <w:t xml:space="preserve">where </w:t>
      </w:r>
      <w:r w:rsidR="00645017" w:rsidRPr="006D4E15">
        <w:rPr>
          <w:rFonts w:ascii="Times New Roman" w:hAnsi="Times New Roman"/>
        </w:rPr>
        <w:t>one person is, in a broad sense, an agent of another.</w:t>
      </w:r>
      <w:r w:rsidR="00290A52" w:rsidRPr="006D4E15">
        <w:rPr>
          <w:rStyle w:val="FootnoteReference"/>
          <w:rFonts w:ascii="Times New Roman" w:hAnsi="Times New Roman"/>
          <w:sz w:val="24"/>
        </w:rPr>
        <w:footnoteReference w:id="12"/>
      </w:r>
      <w:r w:rsidR="00645017" w:rsidRPr="006D4E15">
        <w:rPr>
          <w:rFonts w:ascii="Times New Roman" w:hAnsi="Times New Roman"/>
        </w:rPr>
        <w:t xml:space="preserve"> </w:t>
      </w:r>
      <w:r w:rsidR="00290A52" w:rsidRPr="006D4E15">
        <w:rPr>
          <w:rFonts w:ascii="Times New Roman" w:hAnsi="Times New Roman"/>
        </w:rPr>
        <w:t>I</w:t>
      </w:r>
      <w:r w:rsidR="00645017" w:rsidRPr="006D4E15">
        <w:rPr>
          <w:rFonts w:ascii="Times New Roman" w:hAnsi="Times New Roman"/>
        </w:rPr>
        <w:t xml:space="preserve">t is a </w:t>
      </w:r>
      <w:r w:rsidR="00E823AF" w:rsidRPr="006D4E15">
        <w:rPr>
          <w:rFonts w:ascii="Times New Roman" w:hAnsi="Times New Roman"/>
        </w:rPr>
        <w:t xml:space="preserve">form of </w:t>
      </w:r>
      <w:r w:rsidR="00645017" w:rsidRPr="006D4E15">
        <w:rPr>
          <w:rFonts w:ascii="Times New Roman" w:hAnsi="Times New Roman"/>
        </w:rPr>
        <w:t>primary liability</w:t>
      </w:r>
      <w:r w:rsidR="001B23D3" w:rsidRPr="006D4E15">
        <w:rPr>
          <w:rFonts w:ascii="Times New Roman" w:hAnsi="Times New Roman"/>
        </w:rPr>
        <w:t xml:space="preserve"> where </w:t>
      </w:r>
      <w:r w:rsidR="000E1BF2" w:rsidRPr="006D4E15">
        <w:rPr>
          <w:rFonts w:ascii="Times New Roman" w:hAnsi="Times New Roman"/>
        </w:rPr>
        <w:t xml:space="preserve">the </w:t>
      </w:r>
      <w:r w:rsidR="00763D38" w:rsidRPr="006D4E15">
        <w:rPr>
          <w:rFonts w:ascii="Times New Roman" w:hAnsi="Times New Roman"/>
          <w:i/>
          <w:iCs/>
        </w:rPr>
        <w:t>acts</w:t>
      </w:r>
      <w:r w:rsidR="00763D38" w:rsidRPr="006D4E15">
        <w:rPr>
          <w:rFonts w:ascii="Times New Roman" w:hAnsi="Times New Roman"/>
        </w:rPr>
        <w:t xml:space="preserve"> </w:t>
      </w:r>
      <w:r w:rsidR="000E1BF2" w:rsidRPr="006D4E15">
        <w:rPr>
          <w:rFonts w:ascii="Times New Roman" w:hAnsi="Times New Roman"/>
        </w:rPr>
        <w:t xml:space="preserve">of </w:t>
      </w:r>
      <w:r w:rsidR="00DF0709" w:rsidRPr="006D4E15">
        <w:rPr>
          <w:rFonts w:ascii="Times New Roman" w:hAnsi="Times New Roman"/>
        </w:rPr>
        <w:t>a</w:t>
      </w:r>
      <w:r w:rsidR="00961F3D" w:rsidRPr="006D4E15">
        <w:rPr>
          <w:rFonts w:ascii="Times New Roman" w:hAnsi="Times New Roman"/>
        </w:rPr>
        <w:t>nother</w:t>
      </w:r>
      <w:r w:rsidR="00DF0709" w:rsidRPr="006D4E15">
        <w:rPr>
          <w:rFonts w:ascii="Times New Roman" w:hAnsi="Times New Roman"/>
        </w:rPr>
        <w:t xml:space="preserve"> person</w:t>
      </w:r>
      <w:r w:rsidR="00253DA2" w:rsidRPr="006D4E15">
        <w:rPr>
          <w:rFonts w:ascii="Times New Roman" w:hAnsi="Times New Roman"/>
        </w:rPr>
        <w:t xml:space="preserve"> are attributed to the defendan</w:t>
      </w:r>
      <w:r w:rsidR="00961F3D" w:rsidRPr="006D4E15">
        <w:rPr>
          <w:rFonts w:ascii="Times New Roman" w:hAnsi="Times New Roman"/>
        </w:rPr>
        <w:t>t</w:t>
      </w:r>
      <w:r w:rsidR="00EE01E1" w:rsidRPr="006D4E15">
        <w:rPr>
          <w:rFonts w:ascii="Times New Roman" w:hAnsi="Times New Roman"/>
        </w:rPr>
        <w:t xml:space="preserve"> on the basis </w:t>
      </w:r>
      <w:r w:rsidR="001F6FE5" w:rsidRPr="006D4E15">
        <w:rPr>
          <w:rFonts w:ascii="Times New Roman" w:hAnsi="Times New Roman"/>
        </w:rPr>
        <w:t>that the acts</w:t>
      </w:r>
      <w:r w:rsidR="00E7047C" w:rsidRPr="006D4E15">
        <w:rPr>
          <w:rFonts w:ascii="Times New Roman" w:hAnsi="Times New Roman"/>
        </w:rPr>
        <w:t xml:space="preserve"> were done</w:t>
      </w:r>
      <w:r w:rsidR="00C7388C" w:rsidRPr="006D4E15">
        <w:rPr>
          <w:rFonts w:ascii="Times New Roman" w:hAnsi="Times New Roman"/>
        </w:rPr>
        <w:t xml:space="preserve"> for the defendant</w:t>
      </w:r>
      <w:r w:rsidR="007D3B8A" w:rsidRPr="006D4E15">
        <w:rPr>
          <w:rFonts w:ascii="Times New Roman" w:hAnsi="Times New Roman"/>
        </w:rPr>
        <w:t xml:space="preserve"> with </w:t>
      </w:r>
      <w:r w:rsidR="00980916" w:rsidRPr="006D4E15">
        <w:rPr>
          <w:rFonts w:ascii="Times New Roman" w:hAnsi="Times New Roman"/>
        </w:rPr>
        <w:t>the defendant's express, implied</w:t>
      </w:r>
      <w:r w:rsidR="007B0F40" w:rsidRPr="006D4E15">
        <w:rPr>
          <w:rFonts w:ascii="Times New Roman" w:hAnsi="Times New Roman"/>
        </w:rPr>
        <w:t> </w:t>
      </w:r>
      <w:r w:rsidR="00980916" w:rsidRPr="006D4E15">
        <w:rPr>
          <w:rFonts w:ascii="Times New Roman" w:hAnsi="Times New Roman"/>
        </w:rPr>
        <w:t xml:space="preserve">or apparent authorisation </w:t>
      </w:r>
      <w:r w:rsidR="00D41B30" w:rsidRPr="006D4E15">
        <w:rPr>
          <w:rFonts w:ascii="Times New Roman" w:hAnsi="Times New Roman"/>
        </w:rPr>
        <w:t>of t</w:t>
      </w:r>
      <w:r w:rsidR="00AF6F84" w:rsidRPr="006D4E15">
        <w:rPr>
          <w:rFonts w:ascii="Times New Roman" w:hAnsi="Times New Roman"/>
        </w:rPr>
        <w:t>h</w:t>
      </w:r>
      <w:r w:rsidR="00D41B30" w:rsidRPr="006D4E15">
        <w:rPr>
          <w:rFonts w:ascii="Times New Roman" w:hAnsi="Times New Roman"/>
        </w:rPr>
        <w:t>e acts</w:t>
      </w:r>
      <w:r w:rsidR="00D41B30" w:rsidRPr="006D4E15" w:rsidDel="00663820">
        <w:rPr>
          <w:rFonts w:ascii="Times New Roman" w:hAnsi="Times New Roman"/>
        </w:rPr>
        <w:t>, or ratification of the acts</w:t>
      </w:r>
      <w:r w:rsidR="00EF7E80" w:rsidRPr="006D4E15" w:rsidDel="00663820">
        <w:rPr>
          <w:rFonts w:ascii="Times New Roman" w:hAnsi="Times New Roman"/>
        </w:rPr>
        <w:t xml:space="preserve"> by t</w:t>
      </w:r>
      <w:r w:rsidR="0074086C" w:rsidRPr="006D4E15" w:rsidDel="00663820">
        <w:rPr>
          <w:rFonts w:ascii="Times New Roman" w:hAnsi="Times New Roman"/>
        </w:rPr>
        <w:t xml:space="preserve">he </w:t>
      </w:r>
      <w:r w:rsidR="0074086C" w:rsidRPr="006D4E15" w:rsidDel="00663820">
        <w:rPr>
          <w:rFonts w:ascii="Times New Roman" w:hAnsi="Times New Roman"/>
        </w:rPr>
        <w:lastRenderedPageBreak/>
        <w:t>defendant</w:t>
      </w:r>
      <w:r w:rsidR="00BE1FA6" w:rsidRPr="006D4E15">
        <w:rPr>
          <w:rFonts w:ascii="Times New Roman" w:hAnsi="Times New Roman"/>
        </w:rPr>
        <w:t>.</w:t>
      </w:r>
      <w:r w:rsidR="00BE1FA6" w:rsidRPr="006D4E15">
        <w:rPr>
          <w:rStyle w:val="FootnoteReference"/>
          <w:rFonts w:ascii="Times New Roman" w:hAnsi="Times New Roman"/>
          <w:sz w:val="24"/>
        </w:rPr>
        <w:footnoteReference w:id="13"/>
      </w:r>
      <w:r w:rsidR="00432D5A" w:rsidRPr="006D4E15">
        <w:rPr>
          <w:rFonts w:ascii="Times New Roman" w:hAnsi="Times New Roman"/>
        </w:rPr>
        <w:t xml:space="preserve"> </w:t>
      </w:r>
      <w:r w:rsidR="00093403" w:rsidRPr="006D4E15">
        <w:rPr>
          <w:rFonts w:ascii="Times New Roman" w:hAnsi="Times New Roman"/>
        </w:rPr>
        <w:t xml:space="preserve">In other words, the acts were done with the </w:t>
      </w:r>
      <w:r w:rsidR="00340D38" w:rsidRPr="006D4E15">
        <w:rPr>
          <w:rFonts w:ascii="Times New Roman" w:hAnsi="Times New Roman"/>
        </w:rPr>
        <w:t xml:space="preserve">defendant's </w:t>
      </w:r>
      <w:r w:rsidR="00093403" w:rsidRPr="006D4E15">
        <w:rPr>
          <w:rFonts w:ascii="Times New Roman" w:hAnsi="Times New Roman"/>
        </w:rPr>
        <w:t>"seal</w:t>
      </w:r>
      <w:r w:rsidR="004417F5">
        <w:rPr>
          <w:rFonts w:ascii="Times New Roman" w:hAnsi="Times New Roman"/>
        </w:rPr>
        <w:t> </w:t>
      </w:r>
      <w:r w:rsidR="00093403" w:rsidRPr="006D4E15">
        <w:rPr>
          <w:rFonts w:ascii="Times New Roman" w:hAnsi="Times New Roman"/>
        </w:rPr>
        <w:t>of</w:t>
      </w:r>
      <w:r w:rsidR="007E6831">
        <w:rPr>
          <w:rFonts w:ascii="Times New Roman" w:hAnsi="Times New Roman"/>
        </w:rPr>
        <w:t> ...</w:t>
      </w:r>
      <w:r w:rsidR="004417F5">
        <w:t> </w:t>
      </w:r>
      <w:r w:rsidR="00093403" w:rsidRPr="006D4E15">
        <w:rPr>
          <w:rFonts w:ascii="Times New Roman" w:hAnsi="Times New Roman"/>
        </w:rPr>
        <w:t>approval", amounting to an acceptance of the act</w:t>
      </w:r>
      <w:r w:rsidR="002E0084" w:rsidRPr="006D4E15">
        <w:rPr>
          <w:rFonts w:ascii="Times New Roman" w:hAnsi="Times New Roman"/>
        </w:rPr>
        <w:t>s</w:t>
      </w:r>
      <w:r w:rsidR="00093403" w:rsidRPr="006D4E15">
        <w:rPr>
          <w:rFonts w:ascii="Times New Roman" w:hAnsi="Times New Roman"/>
        </w:rPr>
        <w:t xml:space="preserve"> as the defendant's own.</w:t>
      </w:r>
      <w:r w:rsidR="00340D38" w:rsidRPr="006D4E15">
        <w:rPr>
          <w:rStyle w:val="FootnoteReference"/>
          <w:rFonts w:ascii="Times New Roman" w:hAnsi="Times New Roman"/>
          <w:sz w:val="24"/>
        </w:rPr>
        <w:footnoteReference w:id="14"/>
      </w:r>
      <w:r w:rsidR="00093403" w:rsidRPr="006D4E15">
        <w:rPr>
          <w:rFonts w:ascii="Times New Roman" w:hAnsi="Times New Roman"/>
        </w:rPr>
        <w:t xml:space="preserve"> </w:t>
      </w:r>
      <w:r w:rsidR="00011C80" w:rsidRPr="006D4E15" w:rsidDel="00332393">
        <w:rPr>
          <w:rFonts w:ascii="Times New Roman" w:hAnsi="Times New Roman"/>
        </w:rPr>
        <w:t>For</w:t>
      </w:r>
      <w:r w:rsidR="00DC0446">
        <w:rPr>
          <w:rFonts w:ascii="Times New Roman" w:hAnsi="Times New Roman"/>
        </w:rPr>
        <w:t> </w:t>
      </w:r>
      <w:r w:rsidR="00F708DD" w:rsidRPr="006D4E15">
        <w:rPr>
          <w:rFonts w:ascii="Times New Roman" w:hAnsi="Times New Roman"/>
        </w:rPr>
        <w:t>t</w:t>
      </w:r>
      <w:r w:rsidR="003E7430" w:rsidRPr="006D4E15">
        <w:rPr>
          <w:rFonts w:ascii="Times New Roman" w:hAnsi="Times New Roman"/>
        </w:rPr>
        <w:t>h</w:t>
      </w:r>
      <w:r w:rsidR="0000781F" w:rsidRPr="006D4E15">
        <w:rPr>
          <w:rFonts w:ascii="Times New Roman" w:hAnsi="Times New Roman"/>
        </w:rPr>
        <w:t>is form of</w:t>
      </w:r>
      <w:r w:rsidR="003E7430" w:rsidRPr="006D4E15">
        <w:rPr>
          <w:rFonts w:ascii="Times New Roman" w:hAnsi="Times New Roman"/>
        </w:rPr>
        <w:t xml:space="preserve"> liability</w:t>
      </w:r>
      <w:r w:rsidR="00011C80" w:rsidRPr="006D4E15" w:rsidDel="00332393">
        <w:rPr>
          <w:rFonts w:ascii="Times New Roman" w:hAnsi="Times New Roman"/>
        </w:rPr>
        <w:t>,</w:t>
      </w:r>
      <w:r w:rsidR="00011C80" w:rsidRPr="006D4E15">
        <w:rPr>
          <w:rFonts w:ascii="Times New Roman" w:hAnsi="Times New Roman"/>
        </w:rPr>
        <w:t xml:space="preserve"> </w:t>
      </w:r>
      <w:r w:rsidR="003E7430" w:rsidRPr="006D4E15">
        <w:rPr>
          <w:rFonts w:ascii="Times New Roman" w:hAnsi="Times New Roman"/>
        </w:rPr>
        <w:t>based on</w:t>
      </w:r>
      <w:r w:rsidR="00B24F62" w:rsidRPr="006D4E15">
        <w:rPr>
          <w:rFonts w:ascii="Times New Roman" w:hAnsi="Times New Roman"/>
        </w:rPr>
        <w:t xml:space="preserve"> </w:t>
      </w:r>
      <w:r w:rsidR="003E7430" w:rsidRPr="006D4E15">
        <w:rPr>
          <w:rFonts w:ascii="Times New Roman" w:hAnsi="Times New Roman"/>
        </w:rPr>
        <w:t>vicarious acts or vicarious conduct</w:t>
      </w:r>
      <w:r w:rsidR="00011C80" w:rsidRPr="006D4E15">
        <w:rPr>
          <w:rFonts w:ascii="Times New Roman" w:hAnsi="Times New Roman"/>
        </w:rPr>
        <w:t>, t</w:t>
      </w:r>
      <w:r w:rsidR="003E7430" w:rsidRPr="006D4E15">
        <w:rPr>
          <w:rFonts w:ascii="Times New Roman" w:hAnsi="Times New Roman"/>
        </w:rPr>
        <w:t>he</w:t>
      </w:r>
      <w:r w:rsidR="00BC0C8A">
        <w:rPr>
          <w:rFonts w:ascii="Times New Roman" w:hAnsi="Times New Roman"/>
        </w:rPr>
        <w:t> </w:t>
      </w:r>
      <w:r w:rsidR="003E7430" w:rsidRPr="006D4E15" w:rsidDel="00B24F62">
        <w:rPr>
          <w:rFonts w:ascii="Times New Roman" w:hAnsi="Times New Roman"/>
        </w:rPr>
        <w:t>expression "vicarious</w:t>
      </w:r>
      <w:r w:rsidR="00835D5A" w:rsidRPr="006D4E15">
        <w:rPr>
          <w:rFonts w:ascii="Times New Roman" w:hAnsi="Times New Roman"/>
        </w:rPr>
        <w:t> </w:t>
      </w:r>
      <w:r w:rsidR="003E7430" w:rsidRPr="006D4E15" w:rsidDel="00B24F62">
        <w:rPr>
          <w:rFonts w:ascii="Times New Roman" w:hAnsi="Times New Roman"/>
        </w:rPr>
        <w:t>liability"</w:t>
      </w:r>
      <w:r w:rsidR="00796B61" w:rsidRPr="006D4E15" w:rsidDel="00B24F62">
        <w:rPr>
          <w:rFonts w:ascii="Times New Roman" w:hAnsi="Times New Roman"/>
        </w:rPr>
        <w:t xml:space="preserve"> is inapposite</w:t>
      </w:r>
      <w:r w:rsidR="003E7430" w:rsidRPr="006D4E15">
        <w:rPr>
          <w:rFonts w:ascii="Times New Roman" w:hAnsi="Times New Roman"/>
        </w:rPr>
        <w:t>.</w:t>
      </w:r>
      <w:r w:rsidR="003E7430" w:rsidRPr="006D4E15">
        <w:rPr>
          <w:rStyle w:val="FootnoteReference"/>
          <w:rFonts w:ascii="Times New Roman" w:hAnsi="Times New Roman"/>
          <w:sz w:val="24"/>
        </w:rPr>
        <w:footnoteReference w:id="15"/>
      </w:r>
      <w:r w:rsidR="003E7430" w:rsidRPr="006D4E15">
        <w:rPr>
          <w:rFonts w:ascii="Times New Roman" w:hAnsi="Times New Roman"/>
        </w:rPr>
        <w:t xml:space="preserve"> </w:t>
      </w:r>
      <w:r w:rsidR="0060003F" w:rsidRPr="006D4E15">
        <w:rPr>
          <w:rFonts w:ascii="Times New Roman" w:hAnsi="Times New Roman"/>
        </w:rPr>
        <w:t xml:space="preserve">Thus, in contrast to </w:t>
      </w:r>
      <w:r w:rsidR="006577EE" w:rsidRPr="006D4E15">
        <w:rPr>
          <w:rFonts w:ascii="Times New Roman" w:hAnsi="Times New Roman"/>
        </w:rPr>
        <w:t>true vicarious liability, it</w:t>
      </w:r>
      <w:r w:rsidR="00206D18" w:rsidRPr="006D4E15">
        <w:rPr>
          <w:rFonts w:ascii="Times New Roman" w:hAnsi="Times New Roman"/>
        </w:rPr>
        <w:t> </w:t>
      </w:r>
      <w:r w:rsidR="006577EE" w:rsidRPr="006D4E15">
        <w:rPr>
          <w:rFonts w:ascii="Times New Roman" w:hAnsi="Times New Roman"/>
        </w:rPr>
        <w:t>is not the liability</w:t>
      </w:r>
      <w:r w:rsidR="00F56343" w:rsidRPr="006D4E15">
        <w:rPr>
          <w:rFonts w:ascii="Times New Roman" w:hAnsi="Times New Roman"/>
        </w:rPr>
        <w:t>,</w:t>
      </w:r>
      <w:r w:rsidR="006577EE" w:rsidRPr="006D4E15">
        <w:rPr>
          <w:rFonts w:ascii="Times New Roman" w:hAnsi="Times New Roman"/>
        </w:rPr>
        <w:t xml:space="preserve"> </w:t>
      </w:r>
      <w:r w:rsidR="004D480B" w:rsidRPr="006D4E15">
        <w:rPr>
          <w:rFonts w:ascii="Times New Roman" w:hAnsi="Times New Roman"/>
        </w:rPr>
        <w:t xml:space="preserve">but the </w:t>
      </w:r>
      <w:r w:rsidR="00F56343" w:rsidRPr="006D4E15">
        <w:rPr>
          <w:rFonts w:ascii="Times New Roman" w:hAnsi="Times New Roman"/>
        </w:rPr>
        <w:t>acts</w:t>
      </w:r>
      <w:r w:rsidR="004D480B" w:rsidRPr="006D4E15">
        <w:rPr>
          <w:rFonts w:ascii="Times New Roman" w:hAnsi="Times New Roman"/>
        </w:rPr>
        <w:t xml:space="preserve"> of the agent</w:t>
      </w:r>
      <w:r w:rsidR="00E80A4E" w:rsidRPr="006D4E15">
        <w:rPr>
          <w:rFonts w:ascii="Times New Roman" w:hAnsi="Times New Roman"/>
        </w:rPr>
        <w:t xml:space="preserve"> </w:t>
      </w:r>
      <w:r w:rsidR="0093747D" w:rsidRPr="006D4E15">
        <w:rPr>
          <w:rFonts w:ascii="Times New Roman" w:hAnsi="Times New Roman"/>
        </w:rPr>
        <w:t xml:space="preserve">that are </w:t>
      </w:r>
      <w:r w:rsidR="00E80A4E" w:rsidRPr="006D4E15">
        <w:rPr>
          <w:rFonts w:ascii="Times New Roman" w:hAnsi="Times New Roman"/>
        </w:rPr>
        <w:t xml:space="preserve">attributed </w:t>
      </w:r>
      <w:r w:rsidR="004D480B" w:rsidRPr="006D4E15">
        <w:rPr>
          <w:rFonts w:ascii="Times New Roman" w:hAnsi="Times New Roman"/>
        </w:rPr>
        <w:t>to the principal.</w:t>
      </w:r>
    </w:p>
    <w:p w14:paraId="5E6B69E1" w14:textId="605EEDEC" w:rsidR="00F07F72" w:rsidRPr="006D4E15" w:rsidRDefault="00CB13B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72347" w:rsidRPr="006D4E15">
        <w:rPr>
          <w:rFonts w:ascii="Times New Roman" w:hAnsi="Times New Roman"/>
        </w:rPr>
        <w:t xml:space="preserve">Two further points should be made about this </w:t>
      </w:r>
      <w:r w:rsidR="0005478E" w:rsidRPr="006D4E15">
        <w:rPr>
          <w:rFonts w:ascii="Times New Roman" w:hAnsi="Times New Roman"/>
        </w:rPr>
        <w:t>particular use of the term vicarious liability</w:t>
      </w:r>
      <w:r w:rsidR="00572347" w:rsidRPr="006D4E15">
        <w:rPr>
          <w:rFonts w:ascii="Times New Roman" w:hAnsi="Times New Roman"/>
        </w:rPr>
        <w:t xml:space="preserve">. Words like "agent" and "representative" might begin an inquiry about </w:t>
      </w:r>
      <w:r w:rsidR="0022708A" w:rsidRPr="006D4E15">
        <w:rPr>
          <w:rFonts w:ascii="Times New Roman" w:hAnsi="Times New Roman"/>
        </w:rPr>
        <w:t xml:space="preserve">the </w:t>
      </w:r>
      <w:r w:rsidR="00572347" w:rsidRPr="006D4E15">
        <w:rPr>
          <w:rFonts w:ascii="Times New Roman" w:hAnsi="Times New Roman"/>
        </w:rPr>
        <w:t>possible liability of a defendant for the actions of a wrongdoer, but they are not the end of the inquiry.</w:t>
      </w:r>
      <w:r w:rsidR="00572347" w:rsidRPr="006D4E15">
        <w:rPr>
          <w:rStyle w:val="FootnoteReference"/>
          <w:rFonts w:ascii="Times New Roman" w:hAnsi="Times New Roman"/>
          <w:sz w:val="24"/>
        </w:rPr>
        <w:footnoteReference w:id="16"/>
      </w:r>
      <w:r w:rsidR="00572347" w:rsidRPr="006D4E15">
        <w:rPr>
          <w:rFonts w:ascii="Times New Roman" w:hAnsi="Times New Roman"/>
        </w:rPr>
        <w:t xml:space="preserve"> N</w:t>
      </w:r>
      <w:r w:rsidR="0061194E" w:rsidRPr="006D4E15">
        <w:rPr>
          <w:rFonts w:ascii="Times New Roman" w:hAnsi="Times New Roman"/>
        </w:rPr>
        <w:t>o wider proposition</w:t>
      </w:r>
      <w:r w:rsidR="00C41C91" w:rsidRPr="006D4E15">
        <w:rPr>
          <w:rFonts w:ascii="Times New Roman" w:hAnsi="Times New Roman"/>
        </w:rPr>
        <w:t xml:space="preserve"> </w:t>
      </w:r>
      <w:r w:rsidR="000A6BE5" w:rsidRPr="006D4E15">
        <w:rPr>
          <w:rFonts w:ascii="Times New Roman" w:hAnsi="Times New Roman"/>
        </w:rPr>
        <w:t xml:space="preserve">than that just stated </w:t>
      </w:r>
      <w:r w:rsidR="00C41C91" w:rsidRPr="006D4E15">
        <w:rPr>
          <w:rFonts w:ascii="Times New Roman" w:hAnsi="Times New Roman"/>
        </w:rPr>
        <w:t>has been adopted by this Court</w:t>
      </w:r>
      <w:r w:rsidR="00993E8D" w:rsidRPr="006D4E15">
        <w:rPr>
          <w:rFonts w:ascii="Times New Roman" w:hAnsi="Times New Roman"/>
        </w:rPr>
        <w:t>.</w:t>
      </w:r>
      <w:r w:rsidR="0061194E" w:rsidRPr="006D4E15">
        <w:rPr>
          <w:rStyle w:val="FootnoteReference"/>
          <w:rFonts w:ascii="Times New Roman" w:hAnsi="Times New Roman"/>
          <w:sz w:val="24"/>
        </w:rPr>
        <w:footnoteReference w:id="17"/>
      </w:r>
      <w:r w:rsidR="0061194E" w:rsidRPr="006D4E15">
        <w:rPr>
          <w:rFonts w:ascii="Times New Roman" w:hAnsi="Times New Roman"/>
        </w:rPr>
        <w:t xml:space="preserve"> A</w:t>
      </w:r>
      <w:r w:rsidR="00392436" w:rsidRPr="006D4E15">
        <w:rPr>
          <w:rFonts w:ascii="Times New Roman" w:hAnsi="Times New Roman"/>
        </w:rPr>
        <w:t>s</w:t>
      </w:r>
      <w:r w:rsidR="00C41C91" w:rsidRPr="006D4E15">
        <w:rPr>
          <w:rFonts w:ascii="Times New Roman" w:hAnsi="Times New Roman"/>
        </w:rPr>
        <w:t> </w:t>
      </w:r>
      <w:r w:rsidR="00F07F72" w:rsidRPr="006D4E15">
        <w:rPr>
          <w:rFonts w:ascii="Times New Roman" w:hAnsi="Times New Roman"/>
        </w:rPr>
        <w:t xml:space="preserve">the </w:t>
      </w:r>
      <w:r w:rsidR="00C1090E" w:rsidRPr="006D4E15">
        <w:rPr>
          <w:rFonts w:ascii="Times New Roman" w:hAnsi="Times New Roman"/>
        </w:rPr>
        <w:t xml:space="preserve">majority </w:t>
      </w:r>
      <w:r w:rsidR="00F07F72" w:rsidRPr="006D4E15">
        <w:rPr>
          <w:rFonts w:ascii="Times New Roman" w:hAnsi="Times New Roman"/>
        </w:rPr>
        <w:t xml:space="preserve">of this Court </w:t>
      </w:r>
      <w:r w:rsidR="00392436" w:rsidRPr="006D4E15">
        <w:rPr>
          <w:rFonts w:ascii="Times New Roman" w:hAnsi="Times New Roman"/>
        </w:rPr>
        <w:t>stated</w:t>
      </w:r>
      <w:r w:rsidR="00F07F72" w:rsidRPr="006D4E15">
        <w:rPr>
          <w:rFonts w:ascii="Times New Roman" w:hAnsi="Times New Roman"/>
        </w:rPr>
        <w:t xml:space="preserve"> in</w:t>
      </w:r>
      <w:r w:rsidR="00F07F72" w:rsidRPr="006D4E15">
        <w:rPr>
          <w:rFonts w:ascii="Times New Roman" w:hAnsi="Times New Roman"/>
          <w:i/>
          <w:iCs/>
        </w:rPr>
        <w:t xml:space="preserve"> Sweeney</w:t>
      </w:r>
      <w:r w:rsidR="00F07F72" w:rsidRPr="006D4E15">
        <w:rPr>
          <w:rFonts w:ascii="Times New Roman" w:hAnsi="Times New Roman"/>
        </w:rPr>
        <w:t>,</w:t>
      </w:r>
      <w:r w:rsidR="00F07F72" w:rsidRPr="006D4E15" w:rsidDel="00831328">
        <w:rPr>
          <w:rStyle w:val="FootnoteReference"/>
          <w:rFonts w:ascii="Times New Roman" w:hAnsi="Times New Roman"/>
          <w:sz w:val="24"/>
        </w:rPr>
        <w:footnoteReference w:id="18"/>
      </w:r>
      <w:r w:rsidR="00F07F72" w:rsidRPr="006D4E15">
        <w:rPr>
          <w:rFonts w:ascii="Times New Roman" w:hAnsi="Times New Roman"/>
        </w:rPr>
        <w:t xml:space="preserve"> the</w:t>
      </w:r>
      <w:r w:rsidR="00A70E77" w:rsidRPr="006D4E15">
        <w:rPr>
          <w:rFonts w:ascii="Times New Roman" w:hAnsi="Times New Roman"/>
        </w:rPr>
        <w:t> </w:t>
      </w:r>
      <w:r w:rsidR="00F07F72" w:rsidRPr="006D4E15">
        <w:rPr>
          <w:rFonts w:ascii="Times New Roman" w:hAnsi="Times New Roman"/>
        </w:rPr>
        <w:t>previous decisions of this Court</w:t>
      </w:r>
      <w:r w:rsidR="00070DF0" w:rsidRPr="006D4E15">
        <w:rPr>
          <w:rFonts w:ascii="Times New Roman" w:hAnsi="Times New Roman"/>
        </w:rPr>
        <w:t>,</w:t>
      </w:r>
      <w:r w:rsidR="00392436" w:rsidRPr="006D4E15">
        <w:rPr>
          <w:rFonts w:ascii="Times New Roman" w:hAnsi="Times New Roman"/>
        </w:rPr>
        <w:t xml:space="preserve"> including </w:t>
      </w:r>
      <w:r w:rsidR="00392436" w:rsidRPr="006D4E15">
        <w:rPr>
          <w:rFonts w:ascii="Times New Roman" w:hAnsi="Times New Roman"/>
          <w:i/>
          <w:iCs/>
        </w:rPr>
        <w:t>Colonial Mutual</w:t>
      </w:r>
      <w:r w:rsidR="00316E9A" w:rsidRPr="006D4E15">
        <w:rPr>
          <w:rFonts w:ascii="Times New Roman" w:hAnsi="Times New Roman"/>
          <w:i/>
          <w:iCs/>
        </w:rPr>
        <w:t xml:space="preserve"> Life</w:t>
      </w:r>
      <w:r w:rsidR="00494AA5" w:rsidRPr="006D4E15">
        <w:rPr>
          <w:rFonts w:ascii="Times New Roman" w:hAnsi="Times New Roman"/>
          <w:i/>
          <w:iCs/>
        </w:rPr>
        <w:t xml:space="preserve"> Assura</w:t>
      </w:r>
      <w:r w:rsidR="00D64DB0" w:rsidRPr="006D4E15">
        <w:rPr>
          <w:rFonts w:ascii="Times New Roman" w:hAnsi="Times New Roman"/>
          <w:i/>
          <w:iCs/>
        </w:rPr>
        <w:t>nce Society Ltd v Producers and Citizens Co-operative Assurance Co of Australia Ltd</w:t>
      </w:r>
      <w:r w:rsidR="00392436" w:rsidRPr="006D4E15">
        <w:rPr>
          <w:rFonts w:ascii="Times New Roman" w:hAnsi="Times New Roman"/>
        </w:rPr>
        <w:t>,</w:t>
      </w:r>
      <w:r w:rsidR="000C66F4" w:rsidRPr="006D4E15">
        <w:rPr>
          <w:rStyle w:val="FootnoteReference"/>
          <w:rFonts w:ascii="Times New Roman" w:hAnsi="Times New Roman"/>
          <w:sz w:val="24"/>
        </w:rPr>
        <w:footnoteReference w:id="19"/>
      </w:r>
      <w:r w:rsidR="00392436" w:rsidRPr="006D4E15">
        <w:rPr>
          <w:rFonts w:ascii="Times New Roman" w:hAnsi="Times New Roman"/>
        </w:rPr>
        <w:t xml:space="preserve"> </w:t>
      </w:r>
      <w:r w:rsidR="00392436" w:rsidRPr="006D4E15">
        <w:rPr>
          <w:rFonts w:ascii="Times New Roman" w:hAnsi="Times New Roman"/>
          <w:i/>
          <w:iCs/>
        </w:rPr>
        <w:t>Scott</w:t>
      </w:r>
      <w:r w:rsidR="00392436" w:rsidRPr="006D4E15">
        <w:rPr>
          <w:rFonts w:ascii="Times New Roman" w:hAnsi="Times New Roman"/>
          <w:i/>
        </w:rPr>
        <w:t xml:space="preserve"> </w:t>
      </w:r>
      <w:r w:rsidR="000B76BB" w:rsidRPr="006D4E15">
        <w:rPr>
          <w:rFonts w:ascii="Times New Roman" w:hAnsi="Times New Roman"/>
          <w:i/>
          <w:iCs/>
        </w:rPr>
        <w:t>v Davis</w:t>
      </w:r>
      <w:r w:rsidR="000C66F4" w:rsidRPr="006D4E15">
        <w:rPr>
          <w:rStyle w:val="FootnoteReference"/>
          <w:rFonts w:ascii="Times New Roman" w:hAnsi="Times New Roman"/>
          <w:sz w:val="24"/>
        </w:rPr>
        <w:footnoteReference w:id="20"/>
      </w:r>
      <w:r w:rsidR="00392436" w:rsidRPr="006D4E15">
        <w:rPr>
          <w:rFonts w:ascii="Times New Roman" w:hAnsi="Times New Roman"/>
        </w:rPr>
        <w:t xml:space="preserve"> and </w:t>
      </w:r>
      <w:r w:rsidR="00392436" w:rsidRPr="006D4E15">
        <w:rPr>
          <w:rFonts w:ascii="Times New Roman" w:hAnsi="Times New Roman"/>
          <w:i/>
          <w:iCs/>
        </w:rPr>
        <w:t>Hollis</w:t>
      </w:r>
      <w:r w:rsidR="00070DF0" w:rsidRPr="006D4E15">
        <w:rPr>
          <w:rFonts w:ascii="Times New Roman" w:hAnsi="Times New Roman"/>
        </w:rPr>
        <w:t>,</w:t>
      </w:r>
      <w:r w:rsidR="00F07F72" w:rsidRPr="006D4E15">
        <w:rPr>
          <w:rStyle w:val="FootnoteReference"/>
          <w:rFonts w:ascii="Times New Roman" w:hAnsi="Times New Roman"/>
          <w:sz w:val="24"/>
        </w:rPr>
        <w:footnoteReference w:id="21"/>
      </w:r>
      <w:r w:rsidR="00F07F72" w:rsidRPr="006D4E15">
        <w:rPr>
          <w:rFonts w:ascii="Times New Roman" w:hAnsi="Times New Roman"/>
        </w:rPr>
        <w:t xml:space="preserve"> do not establish that A may be vicariously liable </w:t>
      </w:r>
      <w:r w:rsidR="00F07F72" w:rsidRPr="006D4E15">
        <w:rPr>
          <w:rFonts w:ascii="Times New Roman" w:hAnsi="Times New Roman"/>
        </w:rPr>
        <w:lastRenderedPageBreak/>
        <w:t xml:space="preserve">for the conduct of B if B does no more than "represent" A (in the </w:t>
      </w:r>
      <w:r w:rsidR="0020077A" w:rsidRPr="006D4E15">
        <w:rPr>
          <w:rFonts w:ascii="Times New Roman" w:hAnsi="Times New Roman"/>
        </w:rPr>
        <w:t xml:space="preserve">loose </w:t>
      </w:r>
      <w:r w:rsidR="00F07F72" w:rsidRPr="006D4E15">
        <w:rPr>
          <w:rFonts w:ascii="Times New Roman" w:hAnsi="Times New Roman"/>
        </w:rPr>
        <w:t>sense</w:t>
      </w:r>
      <w:r w:rsidR="001107D2" w:rsidRPr="006D4E15">
        <w:rPr>
          <w:rFonts w:ascii="Times New Roman" w:hAnsi="Times New Roman"/>
        </w:rPr>
        <w:t xml:space="preserve"> </w:t>
      </w:r>
      <w:r w:rsidR="00F07F72" w:rsidRPr="006D4E15">
        <w:rPr>
          <w:rFonts w:ascii="Times New Roman" w:hAnsi="Times New Roman"/>
        </w:rPr>
        <w:t xml:space="preserve">of </w:t>
      </w:r>
      <w:r w:rsidR="00262D5E" w:rsidRPr="006D4E15">
        <w:rPr>
          <w:rFonts w:ascii="Times New Roman" w:hAnsi="Times New Roman"/>
        </w:rPr>
        <w:t xml:space="preserve">merely </w:t>
      </w:r>
      <w:r w:rsidR="00F07F72" w:rsidRPr="006D4E15">
        <w:rPr>
          <w:rFonts w:ascii="Times New Roman" w:hAnsi="Times New Roman"/>
        </w:rPr>
        <w:t>acting for the benefit or advantage of A)</w:t>
      </w:r>
      <w:r w:rsidR="009F4AB7" w:rsidRPr="006D4E15">
        <w:rPr>
          <w:rFonts w:ascii="Times New Roman" w:hAnsi="Times New Roman"/>
        </w:rPr>
        <w:t xml:space="preserve"> </w:t>
      </w:r>
      <w:r w:rsidR="009B7F48" w:rsidRPr="006D4E15">
        <w:rPr>
          <w:rFonts w:ascii="Times New Roman" w:hAnsi="Times New Roman"/>
        </w:rPr>
        <w:t>whether under the rubric o</w:t>
      </w:r>
      <w:r w:rsidR="002A3603" w:rsidRPr="006D4E15">
        <w:rPr>
          <w:rFonts w:ascii="Times New Roman" w:hAnsi="Times New Roman"/>
        </w:rPr>
        <w:t>f "representation" or</w:t>
      </w:r>
      <w:r w:rsidR="0060712A" w:rsidRPr="006D4E15">
        <w:rPr>
          <w:rFonts w:ascii="Times New Roman" w:hAnsi="Times New Roman"/>
        </w:rPr>
        <w:t> </w:t>
      </w:r>
      <w:r w:rsidR="002A3603" w:rsidRPr="006D4E15">
        <w:rPr>
          <w:rFonts w:ascii="Times New Roman" w:hAnsi="Times New Roman"/>
        </w:rPr>
        <w:t>"agency"</w:t>
      </w:r>
      <w:r w:rsidR="00F07F72" w:rsidRPr="006D4E15">
        <w:rPr>
          <w:rFonts w:ascii="Times New Roman" w:hAnsi="Times New Roman"/>
        </w:rPr>
        <w:t>.</w:t>
      </w:r>
      <w:r w:rsidR="00831328" w:rsidRPr="006D4E15">
        <w:rPr>
          <w:rStyle w:val="FootnoteReference"/>
          <w:rFonts w:ascii="Times New Roman" w:hAnsi="Times New Roman"/>
          <w:sz w:val="24"/>
        </w:rPr>
        <w:footnoteReference w:id="22"/>
      </w:r>
      <w:r w:rsidR="00F07F72" w:rsidRPr="006D4E15">
        <w:rPr>
          <w:rFonts w:ascii="Times New Roman" w:hAnsi="Times New Roman"/>
        </w:rPr>
        <w:t xml:space="preserve"> </w:t>
      </w:r>
    </w:p>
    <w:p w14:paraId="4AB36FC6" w14:textId="3C4E5505" w:rsidR="00F63843" w:rsidRPr="006D4E15" w:rsidRDefault="00FA564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Pr="006D4E15">
        <w:rPr>
          <w:rFonts w:ascii="Times New Roman" w:hAnsi="Times New Roman"/>
          <w:i/>
          <w:iCs/>
        </w:rPr>
        <w:t>Colonial Mutual Life</w:t>
      </w:r>
      <w:r w:rsidR="00C8480F" w:rsidRPr="006D4E15">
        <w:rPr>
          <w:rFonts w:ascii="Times New Roman" w:hAnsi="Times New Roman"/>
        </w:rPr>
        <w:t xml:space="preserve"> is instructive. </w:t>
      </w:r>
      <w:r w:rsidR="007E5156" w:rsidRPr="006D4E15">
        <w:rPr>
          <w:rFonts w:ascii="Times New Roman" w:hAnsi="Times New Roman"/>
        </w:rPr>
        <w:t xml:space="preserve">The conclusion reached in that case was that the </w:t>
      </w:r>
      <w:r w:rsidR="00EE1EC0" w:rsidRPr="006D4E15">
        <w:rPr>
          <w:rFonts w:ascii="Times New Roman" w:hAnsi="Times New Roman"/>
        </w:rPr>
        <w:t xml:space="preserve">company </w:t>
      </w:r>
      <w:r w:rsidR="002B4233" w:rsidRPr="006D4E15">
        <w:rPr>
          <w:rFonts w:ascii="Times New Roman" w:hAnsi="Times New Roman"/>
        </w:rPr>
        <w:t>that engaged</w:t>
      </w:r>
      <w:r w:rsidR="007E5156" w:rsidRPr="006D4E15">
        <w:rPr>
          <w:rFonts w:ascii="Times New Roman" w:hAnsi="Times New Roman"/>
        </w:rPr>
        <w:t xml:space="preserve"> an agent (albeit</w:t>
      </w:r>
      <w:r w:rsidR="00A70E77" w:rsidRPr="006D4E15">
        <w:rPr>
          <w:rFonts w:ascii="Times New Roman" w:hAnsi="Times New Roman"/>
        </w:rPr>
        <w:t> </w:t>
      </w:r>
      <w:r w:rsidR="007E5156" w:rsidRPr="006D4E15">
        <w:rPr>
          <w:rFonts w:ascii="Times New Roman" w:hAnsi="Times New Roman"/>
        </w:rPr>
        <w:t>an independent contractor)</w:t>
      </w:r>
      <w:r w:rsidR="002B4233" w:rsidRPr="006D4E15">
        <w:rPr>
          <w:rFonts w:ascii="Times New Roman" w:hAnsi="Times New Roman"/>
        </w:rPr>
        <w:t xml:space="preserve"> to solicit for the creation of legal relationships</w:t>
      </w:r>
      <w:r w:rsidR="007F2A55" w:rsidRPr="006D4E15">
        <w:rPr>
          <w:rFonts w:ascii="Times New Roman" w:hAnsi="Times New Roman"/>
        </w:rPr>
        <w:t xml:space="preserve"> between th</w:t>
      </w:r>
      <w:r w:rsidR="00EE1EC0" w:rsidRPr="006D4E15">
        <w:rPr>
          <w:rFonts w:ascii="Times New Roman" w:hAnsi="Times New Roman"/>
        </w:rPr>
        <w:t xml:space="preserve">e company </w:t>
      </w:r>
      <w:r w:rsidR="007F2A55" w:rsidRPr="006D4E15">
        <w:rPr>
          <w:rFonts w:ascii="Times New Roman" w:hAnsi="Times New Roman"/>
        </w:rPr>
        <w:t xml:space="preserve">and others was liable for the slanders uttered </w:t>
      </w:r>
      <w:r w:rsidR="00824C7C" w:rsidRPr="006D4E15">
        <w:rPr>
          <w:rFonts w:ascii="Times New Roman" w:hAnsi="Times New Roman"/>
        </w:rPr>
        <w:t>in the course of soliciting proposals</w:t>
      </w:r>
      <w:r w:rsidR="00941CA8" w:rsidRPr="006D4E15">
        <w:rPr>
          <w:rFonts w:ascii="Times New Roman" w:hAnsi="Times New Roman"/>
        </w:rPr>
        <w:t>.</w:t>
      </w:r>
      <w:r w:rsidR="000821CB" w:rsidRPr="006D4E15">
        <w:rPr>
          <w:rStyle w:val="FootnoteReference"/>
          <w:rFonts w:ascii="Times New Roman" w:hAnsi="Times New Roman"/>
          <w:sz w:val="24"/>
        </w:rPr>
        <w:footnoteReference w:id="23"/>
      </w:r>
      <w:r w:rsidR="00941CA8" w:rsidRPr="006D4E15">
        <w:rPr>
          <w:rFonts w:ascii="Times New Roman" w:hAnsi="Times New Roman"/>
        </w:rPr>
        <w:t xml:space="preserve"> </w:t>
      </w:r>
      <w:r w:rsidR="00B454EF" w:rsidRPr="006D4E15">
        <w:rPr>
          <w:rFonts w:ascii="Times New Roman" w:hAnsi="Times New Roman"/>
        </w:rPr>
        <w:t>The</w:t>
      </w:r>
      <w:r w:rsidR="00A70E77" w:rsidRPr="006D4E15">
        <w:rPr>
          <w:rFonts w:ascii="Times New Roman" w:hAnsi="Times New Roman"/>
        </w:rPr>
        <w:t> </w:t>
      </w:r>
      <w:r w:rsidR="00706BF5" w:rsidRPr="006D4E15">
        <w:rPr>
          <w:rFonts w:ascii="Times New Roman" w:hAnsi="Times New Roman"/>
        </w:rPr>
        <w:t>agent's actions were "in right of the [c]ompan</w:t>
      </w:r>
      <w:r w:rsidR="00EE1EC0" w:rsidRPr="006D4E15">
        <w:rPr>
          <w:rFonts w:ascii="Times New Roman" w:hAnsi="Times New Roman"/>
        </w:rPr>
        <w:t>y</w:t>
      </w:r>
      <w:r w:rsidR="00163FAE" w:rsidRPr="006D4E15">
        <w:rPr>
          <w:rFonts w:ascii="Times New Roman" w:hAnsi="Times New Roman"/>
        </w:rPr>
        <w:t xml:space="preserve"> with its authority".</w:t>
      </w:r>
      <w:r w:rsidR="00163FAE" w:rsidRPr="006D4E15">
        <w:rPr>
          <w:rStyle w:val="FootnoteReference"/>
          <w:rFonts w:ascii="Times New Roman" w:hAnsi="Times New Roman"/>
          <w:sz w:val="24"/>
        </w:rPr>
        <w:footnoteReference w:id="24"/>
      </w:r>
      <w:r w:rsidR="00706BF5" w:rsidRPr="006D4E15">
        <w:rPr>
          <w:rFonts w:ascii="Times New Roman" w:hAnsi="Times New Roman"/>
        </w:rPr>
        <w:t xml:space="preserve"> </w:t>
      </w:r>
      <w:r w:rsidR="00EB43E5" w:rsidRPr="006D4E15">
        <w:rPr>
          <w:rFonts w:ascii="Times New Roman" w:hAnsi="Times New Roman"/>
        </w:rPr>
        <w:t>L</w:t>
      </w:r>
      <w:r w:rsidR="009B4FA2" w:rsidRPr="006D4E15">
        <w:rPr>
          <w:rFonts w:ascii="Times New Roman" w:hAnsi="Times New Roman"/>
        </w:rPr>
        <w:t>iability</w:t>
      </w:r>
      <w:r w:rsidR="003308FA" w:rsidRPr="006D4E15">
        <w:rPr>
          <w:rFonts w:ascii="Times New Roman" w:hAnsi="Times New Roman"/>
        </w:rPr>
        <w:t> </w:t>
      </w:r>
      <w:r w:rsidR="009B4FA2" w:rsidRPr="006D4E15">
        <w:rPr>
          <w:rFonts w:ascii="Times New Roman" w:hAnsi="Times New Roman"/>
        </w:rPr>
        <w:t xml:space="preserve">was imposed </w:t>
      </w:r>
      <w:r w:rsidR="00087859" w:rsidRPr="006D4E15">
        <w:rPr>
          <w:rFonts w:ascii="Times New Roman" w:hAnsi="Times New Roman"/>
        </w:rPr>
        <w:t>because of "the combination of the engagement of the contractor</w:t>
      </w:r>
      <w:r w:rsidR="00001584" w:rsidRPr="006D4E15">
        <w:rPr>
          <w:rFonts w:ascii="Times New Roman" w:hAnsi="Times New Roman"/>
        </w:rPr>
        <w:t xml:space="preserve"> as the agent of the principal to bring about </w:t>
      </w:r>
      <w:r w:rsidR="008D235F" w:rsidRPr="006D4E15">
        <w:rPr>
          <w:rFonts w:ascii="Times New Roman" w:hAnsi="Times New Roman"/>
        </w:rPr>
        <w:t xml:space="preserve">legal relations between the principal and third parties, and the slander </w:t>
      </w:r>
      <w:r w:rsidR="007A0300" w:rsidRPr="006D4E15">
        <w:rPr>
          <w:rFonts w:ascii="Times New Roman" w:hAnsi="Times New Roman"/>
        </w:rPr>
        <w:t xml:space="preserve">being </w:t>
      </w:r>
      <w:r w:rsidR="008D235F" w:rsidRPr="006D4E15">
        <w:rPr>
          <w:rFonts w:ascii="Times New Roman" w:hAnsi="Times New Roman"/>
        </w:rPr>
        <w:t>uttered in the course of attempting to induce a third party to enter legal relations with the principal".</w:t>
      </w:r>
      <w:r w:rsidR="00EB43E5" w:rsidRPr="006D4E15">
        <w:rPr>
          <w:rStyle w:val="FootnoteReference"/>
          <w:rFonts w:ascii="Times New Roman" w:hAnsi="Times New Roman"/>
          <w:sz w:val="24"/>
        </w:rPr>
        <w:footnoteReference w:id="25"/>
      </w:r>
      <w:r w:rsidR="008D235F" w:rsidRPr="006D4E15">
        <w:rPr>
          <w:rFonts w:ascii="Times New Roman" w:hAnsi="Times New Roman"/>
        </w:rPr>
        <w:t xml:space="preserve"> </w:t>
      </w:r>
      <w:r w:rsidR="00ED6EE4" w:rsidRPr="006D4E15">
        <w:rPr>
          <w:rFonts w:ascii="Times New Roman" w:hAnsi="Times New Roman"/>
        </w:rPr>
        <w:t xml:space="preserve">Put in different terms, </w:t>
      </w:r>
      <w:r w:rsidR="00AC4370" w:rsidRPr="006D4E15">
        <w:rPr>
          <w:rFonts w:ascii="Times New Roman" w:hAnsi="Times New Roman"/>
        </w:rPr>
        <w:t xml:space="preserve">the conclusion in </w:t>
      </w:r>
      <w:r w:rsidR="00F62252" w:rsidRPr="006D4E15">
        <w:rPr>
          <w:rFonts w:ascii="Times New Roman" w:hAnsi="Times New Roman"/>
          <w:i/>
          <w:iCs/>
        </w:rPr>
        <w:t>Colonial Mutual Life</w:t>
      </w:r>
      <w:r w:rsidR="00F62252" w:rsidRPr="006D4E15">
        <w:rPr>
          <w:rFonts w:ascii="Times New Roman" w:hAnsi="Times New Roman"/>
        </w:rPr>
        <w:t xml:space="preserve"> </w:t>
      </w:r>
      <w:r w:rsidR="00AC4370" w:rsidRPr="006D4E15">
        <w:rPr>
          <w:rFonts w:ascii="Times New Roman" w:hAnsi="Times New Roman"/>
        </w:rPr>
        <w:t>"</w:t>
      </w:r>
      <w:r w:rsidR="00211472" w:rsidRPr="006D4E15">
        <w:rPr>
          <w:rFonts w:ascii="Times New Roman" w:hAnsi="Times New Roman"/>
        </w:rPr>
        <w:t>depend</w:t>
      </w:r>
      <w:r w:rsidR="00F62252" w:rsidRPr="006D4E15">
        <w:rPr>
          <w:rFonts w:ascii="Times New Roman" w:hAnsi="Times New Roman"/>
        </w:rPr>
        <w:t>[ed]</w:t>
      </w:r>
      <w:r w:rsidR="00A70E77" w:rsidRPr="006D4E15">
        <w:rPr>
          <w:rFonts w:ascii="Times New Roman" w:hAnsi="Times New Roman"/>
        </w:rPr>
        <w:t> </w:t>
      </w:r>
      <w:r w:rsidR="00211472" w:rsidRPr="006D4E15">
        <w:rPr>
          <w:rFonts w:ascii="Times New Roman" w:hAnsi="Times New Roman"/>
        </w:rPr>
        <w:t>directly</w:t>
      </w:r>
      <w:r w:rsidR="00771F05" w:rsidRPr="006D4E15">
        <w:rPr>
          <w:rFonts w:ascii="Times New Roman" w:hAnsi="Times New Roman"/>
        </w:rPr>
        <w:t> </w:t>
      </w:r>
      <w:r w:rsidR="00211472" w:rsidRPr="006D4E15">
        <w:rPr>
          <w:rFonts w:ascii="Times New Roman" w:hAnsi="Times New Roman"/>
        </w:rPr>
        <w:t>upon the identification of the independent contractor as the</w:t>
      </w:r>
      <w:r w:rsidR="00AC4370" w:rsidRPr="006D4E15">
        <w:rPr>
          <w:rFonts w:ascii="Times New Roman" w:hAnsi="Times New Roman"/>
        </w:rPr>
        <w:t xml:space="preserve"> </w:t>
      </w:r>
      <w:r w:rsidR="00211472" w:rsidRPr="006D4E15">
        <w:rPr>
          <w:rFonts w:ascii="Times New Roman" w:hAnsi="Times New Roman"/>
        </w:rPr>
        <w:t>principal</w:t>
      </w:r>
      <w:r w:rsidR="00AC4370" w:rsidRPr="006D4E15">
        <w:rPr>
          <w:rFonts w:ascii="Times New Roman" w:hAnsi="Times New Roman"/>
        </w:rPr>
        <w:t>'</w:t>
      </w:r>
      <w:r w:rsidR="00211472" w:rsidRPr="006D4E15">
        <w:rPr>
          <w:rFonts w:ascii="Times New Roman" w:hAnsi="Times New Roman"/>
        </w:rPr>
        <w:t>s agent (properly so called) and the recognition that the</w:t>
      </w:r>
      <w:r w:rsidR="00AC4370" w:rsidRPr="006D4E15">
        <w:rPr>
          <w:rFonts w:ascii="Times New Roman" w:hAnsi="Times New Roman"/>
        </w:rPr>
        <w:t xml:space="preserve"> </w:t>
      </w:r>
      <w:r w:rsidR="00211472" w:rsidRPr="006D4E15">
        <w:rPr>
          <w:rFonts w:ascii="Times New Roman" w:hAnsi="Times New Roman"/>
        </w:rPr>
        <w:t xml:space="preserve">conduct of which complaint </w:t>
      </w:r>
      <w:r w:rsidR="00F62252" w:rsidRPr="006D4E15">
        <w:rPr>
          <w:rFonts w:ascii="Times New Roman" w:hAnsi="Times New Roman"/>
        </w:rPr>
        <w:t>[was]</w:t>
      </w:r>
      <w:r w:rsidR="00211472" w:rsidRPr="006D4E15">
        <w:rPr>
          <w:rFonts w:ascii="Times New Roman" w:hAnsi="Times New Roman"/>
        </w:rPr>
        <w:t xml:space="preserve"> made was conduct undertaken in the</w:t>
      </w:r>
      <w:r w:rsidR="00AC4370" w:rsidRPr="006D4E15">
        <w:rPr>
          <w:rFonts w:ascii="Times New Roman" w:hAnsi="Times New Roman"/>
        </w:rPr>
        <w:t xml:space="preserve"> </w:t>
      </w:r>
      <w:r w:rsidR="00211472" w:rsidRPr="006D4E15">
        <w:rPr>
          <w:rFonts w:ascii="Times New Roman" w:hAnsi="Times New Roman"/>
        </w:rPr>
        <w:t>course of, and for the purpose of, executing that agency</w:t>
      </w:r>
      <w:r w:rsidR="00AC4370" w:rsidRPr="006D4E15">
        <w:rPr>
          <w:rFonts w:ascii="Times New Roman" w:hAnsi="Times New Roman"/>
        </w:rPr>
        <w:t>"</w:t>
      </w:r>
      <w:r w:rsidR="00211472" w:rsidRPr="006D4E15">
        <w:rPr>
          <w:rFonts w:ascii="Times New Roman" w:hAnsi="Times New Roman"/>
        </w:rPr>
        <w:t>.</w:t>
      </w:r>
      <w:r w:rsidR="00AC4370" w:rsidRPr="006D4E15">
        <w:rPr>
          <w:rStyle w:val="FootnoteReference"/>
          <w:rFonts w:ascii="Times New Roman" w:hAnsi="Times New Roman"/>
          <w:sz w:val="24"/>
        </w:rPr>
        <w:footnoteReference w:id="26"/>
      </w:r>
      <w:r w:rsidR="00F43618" w:rsidRPr="006D4E15">
        <w:rPr>
          <w:rFonts w:ascii="Times New Roman" w:hAnsi="Times New Roman"/>
        </w:rPr>
        <w:t xml:space="preserve"> </w:t>
      </w:r>
      <w:r w:rsidR="007C103B" w:rsidRPr="006D4E15">
        <w:rPr>
          <w:rFonts w:ascii="Times New Roman" w:hAnsi="Times New Roman"/>
        </w:rPr>
        <w:t>Contrary to the submissions of DP,</w:t>
      </w:r>
      <w:r w:rsidR="007C103B" w:rsidRPr="006D4E15">
        <w:rPr>
          <w:rFonts w:ascii="Times New Roman" w:hAnsi="Times New Roman"/>
          <w:i/>
          <w:iCs/>
        </w:rPr>
        <w:t xml:space="preserve"> </w:t>
      </w:r>
      <w:r w:rsidR="007C103B" w:rsidRPr="006D4E15">
        <w:rPr>
          <w:rFonts w:ascii="Times New Roman" w:hAnsi="Times New Roman"/>
        </w:rPr>
        <w:t>the</w:t>
      </w:r>
      <w:r w:rsidR="00A70E77" w:rsidRPr="006D4E15">
        <w:rPr>
          <w:rFonts w:ascii="Times New Roman" w:hAnsi="Times New Roman"/>
        </w:rPr>
        <w:t> </w:t>
      </w:r>
      <w:r w:rsidR="007C103B" w:rsidRPr="006D4E15">
        <w:rPr>
          <w:rFonts w:ascii="Times New Roman" w:hAnsi="Times New Roman"/>
        </w:rPr>
        <w:t xml:space="preserve">decision in </w:t>
      </w:r>
      <w:r w:rsidR="00FD76FA" w:rsidRPr="006D4E15">
        <w:rPr>
          <w:rFonts w:ascii="Times New Roman" w:hAnsi="Times New Roman"/>
          <w:i/>
          <w:iCs/>
        </w:rPr>
        <w:t>Colonial Mutual</w:t>
      </w:r>
      <w:r w:rsidR="00316E9A" w:rsidRPr="006D4E15">
        <w:rPr>
          <w:rFonts w:ascii="Times New Roman" w:hAnsi="Times New Roman"/>
          <w:i/>
          <w:iCs/>
        </w:rPr>
        <w:t xml:space="preserve"> Life</w:t>
      </w:r>
      <w:r w:rsidR="007C103B" w:rsidRPr="006D4E15">
        <w:rPr>
          <w:rFonts w:ascii="Times New Roman" w:hAnsi="Times New Roman"/>
        </w:rPr>
        <w:t xml:space="preserve"> does not </w:t>
      </w:r>
      <w:r w:rsidR="00FD76FA" w:rsidRPr="006D4E15">
        <w:rPr>
          <w:rFonts w:ascii="Times New Roman" w:hAnsi="Times New Roman"/>
        </w:rPr>
        <w:t>justif</w:t>
      </w:r>
      <w:r w:rsidR="00ED724B" w:rsidRPr="006D4E15">
        <w:rPr>
          <w:rFonts w:ascii="Times New Roman" w:hAnsi="Times New Roman"/>
        </w:rPr>
        <w:t>y</w:t>
      </w:r>
      <w:r w:rsidR="00FD76FA" w:rsidRPr="006D4E15">
        <w:rPr>
          <w:rFonts w:ascii="Times New Roman" w:hAnsi="Times New Roman"/>
        </w:rPr>
        <w:t xml:space="preserve"> </w:t>
      </w:r>
      <w:r w:rsidR="00CD15D8" w:rsidRPr="006D4E15">
        <w:rPr>
          <w:rFonts w:ascii="Times New Roman" w:hAnsi="Times New Roman"/>
        </w:rPr>
        <w:t xml:space="preserve">the attribution </w:t>
      </w:r>
      <w:r w:rsidR="006D421B" w:rsidRPr="006D4E15">
        <w:rPr>
          <w:rFonts w:ascii="Times New Roman" w:hAnsi="Times New Roman"/>
        </w:rPr>
        <w:t xml:space="preserve">of </w:t>
      </w:r>
      <w:r w:rsidR="00FA5579" w:rsidRPr="006D4E15">
        <w:rPr>
          <w:rFonts w:ascii="Times New Roman" w:hAnsi="Times New Roman"/>
        </w:rPr>
        <w:t>Coffey's conduct to the Diocese or the Bishop</w:t>
      </w:r>
      <w:r w:rsidR="00983B90" w:rsidRPr="006D4E15">
        <w:rPr>
          <w:rFonts w:ascii="Times New Roman" w:hAnsi="Times New Roman"/>
        </w:rPr>
        <w:t xml:space="preserve"> under the rubric of "vicarious liability"</w:t>
      </w:r>
      <w:r w:rsidR="005D4AF5" w:rsidRPr="006D4E15">
        <w:rPr>
          <w:rFonts w:ascii="Times New Roman" w:hAnsi="Times New Roman"/>
        </w:rPr>
        <w:t>.</w:t>
      </w:r>
    </w:p>
    <w:p w14:paraId="59295E77" w14:textId="2650E405" w:rsidR="00F43618" w:rsidRPr="006D4E15" w:rsidRDefault="0087157F"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63843" w:rsidRPr="006D4E15">
        <w:rPr>
          <w:rFonts w:ascii="Times New Roman" w:hAnsi="Times New Roman"/>
        </w:rPr>
        <w:t xml:space="preserve">Nor do the decisions of this Court in </w:t>
      </w:r>
      <w:r w:rsidR="00F63843" w:rsidRPr="006D4E15">
        <w:rPr>
          <w:rFonts w:ascii="Times New Roman" w:hAnsi="Times New Roman"/>
          <w:i/>
          <w:iCs/>
        </w:rPr>
        <w:t>Soblusky v Egan</w:t>
      </w:r>
      <w:r w:rsidR="007C337E" w:rsidRPr="006D4E15">
        <w:rPr>
          <w:rStyle w:val="FootnoteReference"/>
          <w:rFonts w:ascii="Times New Roman" w:hAnsi="Times New Roman"/>
          <w:sz w:val="24"/>
        </w:rPr>
        <w:footnoteReference w:id="27"/>
      </w:r>
      <w:r w:rsidR="00D561E3" w:rsidRPr="006D4E15">
        <w:rPr>
          <w:rFonts w:ascii="Times New Roman" w:hAnsi="Times New Roman"/>
        </w:rPr>
        <w:t xml:space="preserve"> or </w:t>
      </w:r>
      <w:r w:rsidR="00D561E3" w:rsidRPr="006D4E15">
        <w:rPr>
          <w:rFonts w:ascii="Times New Roman" w:hAnsi="Times New Roman"/>
          <w:i/>
          <w:iCs/>
        </w:rPr>
        <w:t>Scott</w:t>
      </w:r>
      <w:r w:rsidR="00D561E3" w:rsidRPr="006D4E15">
        <w:rPr>
          <w:rStyle w:val="FootnoteReference"/>
          <w:rFonts w:ascii="Times New Roman" w:hAnsi="Times New Roman"/>
          <w:sz w:val="24"/>
        </w:rPr>
        <w:footnoteReference w:id="28"/>
      </w:r>
      <w:r w:rsidR="00142488" w:rsidRPr="006D4E15">
        <w:rPr>
          <w:rFonts w:ascii="Times New Roman" w:hAnsi="Times New Roman"/>
          <w:i/>
          <w:iCs/>
        </w:rPr>
        <w:t xml:space="preserve"> </w:t>
      </w:r>
      <w:r w:rsidR="00142488" w:rsidRPr="006D4E15">
        <w:rPr>
          <w:rFonts w:ascii="Times New Roman" w:hAnsi="Times New Roman"/>
        </w:rPr>
        <w:t>provide any basis for a conclusion that Coffey</w:t>
      </w:r>
      <w:r w:rsidR="004E7E2D" w:rsidRPr="006D4E15">
        <w:rPr>
          <w:rFonts w:ascii="Times New Roman" w:hAnsi="Times New Roman"/>
        </w:rPr>
        <w:t>'s</w:t>
      </w:r>
      <w:r w:rsidR="00142488" w:rsidRPr="006D4E15">
        <w:rPr>
          <w:rFonts w:ascii="Times New Roman" w:hAnsi="Times New Roman"/>
        </w:rPr>
        <w:t xml:space="preserve"> </w:t>
      </w:r>
      <w:r w:rsidR="00E67D87" w:rsidRPr="006D4E15">
        <w:rPr>
          <w:rFonts w:ascii="Times New Roman" w:hAnsi="Times New Roman"/>
        </w:rPr>
        <w:t>conduct could be attributed to the Diocese or the Bishop</w:t>
      </w:r>
      <w:r w:rsidR="00374896" w:rsidRPr="006D4E15">
        <w:rPr>
          <w:rFonts w:ascii="Times New Roman" w:hAnsi="Times New Roman"/>
        </w:rPr>
        <w:t xml:space="preserve"> through the rules of agency</w:t>
      </w:r>
      <w:r w:rsidR="000145A6" w:rsidRPr="006D4E15">
        <w:rPr>
          <w:rFonts w:ascii="Times New Roman" w:hAnsi="Times New Roman"/>
        </w:rPr>
        <w:t xml:space="preserve"> which were at the heart of the reasoning </w:t>
      </w:r>
      <w:r w:rsidR="000145A6" w:rsidRPr="006D4E15">
        <w:rPr>
          <w:rFonts w:ascii="Times New Roman" w:hAnsi="Times New Roman"/>
        </w:rPr>
        <w:lastRenderedPageBreak/>
        <w:t>in those cases</w:t>
      </w:r>
      <w:r w:rsidR="00E67D87" w:rsidRPr="006D4E15">
        <w:rPr>
          <w:rFonts w:ascii="Times New Roman" w:hAnsi="Times New Roman"/>
        </w:rPr>
        <w:t>.</w:t>
      </w:r>
      <w:r w:rsidR="000145A6" w:rsidRPr="006D4E15">
        <w:rPr>
          <w:rStyle w:val="FootnoteReference"/>
          <w:rFonts w:ascii="Times New Roman" w:hAnsi="Times New Roman"/>
          <w:sz w:val="24"/>
        </w:rPr>
        <w:footnoteReference w:id="29"/>
      </w:r>
      <w:r w:rsidR="00E67D87" w:rsidRPr="006D4E15">
        <w:rPr>
          <w:rFonts w:ascii="Times New Roman" w:hAnsi="Times New Roman"/>
        </w:rPr>
        <w:t xml:space="preserve"> </w:t>
      </w:r>
      <w:r w:rsidR="00B07216" w:rsidRPr="006D4E15">
        <w:rPr>
          <w:rFonts w:ascii="Times New Roman" w:hAnsi="Times New Roman"/>
        </w:rPr>
        <w:t xml:space="preserve">In </w:t>
      </w:r>
      <w:r w:rsidR="00B07216" w:rsidRPr="006D4E15">
        <w:rPr>
          <w:rFonts w:ascii="Times New Roman" w:hAnsi="Times New Roman"/>
          <w:i/>
          <w:iCs/>
        </w:rPr>
        <w:t>Soblusky</w:t>
      </w:r>
      <w:r w:rsidR="00B07216" w:rsidRPr="006D4E15">
        <w:rPr>
          <w:rFonts w:ascii="Times New Roman" w:hAnsi="Times New Roman"/>
        </w:rPr>
        <w:t xml:space="preserve">, </w:t>
      </w:r>
      <w:r w:rsidR="003D750E" w:rsidRPr="006D4E15">
        <w:rPr>
          <w:rFonts w:ascii="Times New Roman" w:hAnsi="Times New Roman"/>
        </w:rPr>
        <w:t xml:space="preserve">this Court held that </w:t>
      </w:r>
      <w:r w:rsidR="00435C89" w:rsidRPr="006D4E15">
        <w:rPr>
          <w:rFonts w:ascii="Times New Roman" w:hAnsi="Times New Roman"/>
        </w:rPr>
        <w:t>responsibility</w:t>
      </w:r>
      <w:r w:rsidR="00CC3F5A" w:rsidRPr="006D4E15">
        <w:rPr>
          <w:rFonts w:ascii="Times New Roman" w:hAnsi="Times New Roman"/>
        </w:rPr>
        <w:t>, by</w:t>
      </w:r>
      <w:r w:rsidR="003A6D56" w:rsidRPr="006D4E15">
        <w:rPr>
          <w:rFonts w:ascii="Times New Roman" w:hAnsi="Times New Roman"/>
        </w:rPr>
        <w:t> </w:t>
      </w:r>
      <w:r w:rsidR="00CC3F5A" w:rsidRPr="006D4E15">
        <w:rPr>
          <w:rFonts w:ascii="Times New Roman" w:hAnsi="Times New Roman"/>
        </w:rPr>
        <w:t>attribution of conduct,</w:t>
      </w:r>
      <w:r w:rsidR="00435C89" w:rsidRPr="006D4E15">
        <w:rPr>
          <w:rFonts w:ascii="Times New Roman" w:hAnsi="Times New Roman"/>
        </w:rPr>
        <w:t xml:space="preserve"> arose for one party who </w:t>
      </w:r>
      <w:r w:rsidR="00CC3F5A" w:rsidRPr="006D4E15">
        <w:rPr>
          <w:rFonts w:ascii="Times New Roman" w:hAnsi="Times New Roman"/>
        </w:rPr>
        <w:t xml:space="preserve">was "driving by his agent" </w:t>
      </w:r>
      <w:r w:rsidR="00F8582A" w:rsidRPr="006D4E15">
        <w:rPr>
          <w:rFonts w:ascii="Times New Roman" w:hAnsi="Times New Roman"/>
        </w:rPr>
        <w:t xml:space="preserve">in the sense that "management of the vehicle is done by the hands of another and is in fact and law </w:t>
      </w:r>
      <w:r w:rsidR="00E47A83" w:rsidRPr="006D4E15">
        <w:rPr>
          <w:rFonts w:ascii="Times New Roman" w:hAnsi="Times New Roman"/>
        </w:rPr>
        <w:t>subject to direction and control".</w:t>
      </w:r>
      <w:r w:rsidR="00E47A83" w:rsidRPr="006D4E15">
        <w:rPr>
          <w:rStyle w:val="FootnoteReference"/>
          <w:rFonts w:ascii="Times New Roman" w:hAnsi="Times New Roman"/>
          <w:sz w:val="24"/>
        </w:rPr>
        <w:footnoteReference w:id="30"/>
      </w:r>
      <w:r w:rsidR="00E47A83" w:rsidRPr="006D4E15">
        <w:rPr>
          <w:rFonts w:ascii="Times New Roman" w:hAnsi="Times New Roman"/>
        </w:rPr>
        <w:t xml:space="preserve"> </w:t>
      </w:r>
      <w:r w:rsidR="00CE6564" w:rsidRPr="006D4E15">
        <w:rPr>
          <w:rFonts w:ascii="Times New Roman" w:hAnsi="Times New Roman"/>
        </w:rPr>
        <w:t xml:space="preserve">In </w:t>
      </w:r>
      <w:r w:rsidR="00CE6564" w:rsidRPr="006D4E15">
        <w:rPr>
          <w:rFonts w:ascii="Times New Roman" w:hAnsi="Times New Roman"/>
          <w:i/>
          <w:iCs/>
        </w:rPr>
        <w:t>Scott</w:t>
      </w:r>
      <w:r w:rsidR="0022054F" w:rsidRPr="006D4E15">
        <w:rPr>
          <w:rFonts w:ascii="Times New Roman" w:hAnsi="Times New Roman"/>
        </w:rPr>
        <w:t xml:space="preserve">, </w:t>
      </w:r>
      <w:r w:rsidR="00553859" w:rsidRPr="006D4E15">
        <w:rPr>
          <w:rFonts w:ascii="Times New Roman" w:hAnsi="Times New Roman"/>
        </w:rPr>
        <w:t xml:space="preserve">a majority of this Court held that the facts did not establish a relationship of agency by which </w:t>
      </w:r>
      <w:r w:rsidR="00951989" w:rsidRPr="006D4E15">
        <w:rPr>
          <w:rFonts w:ascii="Times New Roman" w:hAnsi="Times New Roman"/>
        </w:rPr>
        <w:t>the</w:t>
      </w:r>
      <w:r w:rsidR="00D82992" w:rsidRPr="006D4E15">
        <w:rPr>
          <w:rFonts w:ascii="Times New Roman" w:hAnsi="Times New Roman"/>
        </w:rPr>
        <w:t xml:space="preserve"> conduct of a pilot who </w:t>
      </w:r>
      <w:r w:rsidR="00C749FD" w:rsidRPr="006D4E15">
        <w:rPr>
          <w:rFonts w:ascii="Times New Roman" w:hAnsi="Times New Roman"/>
        </w:rPr>
        <w:t>took an aeroplane on a joyride could be attributed to the</w:t>
      </w:r>
      <w:r w:rsidR="00951989" w:rsidRPr="006D4E15">
        <w:rPr>
          <w:rFonts w:ascii="Times New Roman" w:hAnsi="Times New Roman"/>
        </w:rPr>
        <w:t xml:space="preserve"> owner of </w:t>
      </w:r>
      <w:r w:rsidR="00C749FD" w:rsidRPr="006D4E15">
        <w:rPr>
          <w:rFonts w:ascii="Times New Roman" w:hAnsi="Times New Roman"/>
        </w:rPr>
        <w:t>the</w:t>
      </w:r>
      <w:r w:rsidR="00951989" w:rsidRPr="006D4E15">
        <w:rPr>
          <w:rFonts w:ascii="Times New Roman" w:hAnsi="Times New Roman"/>
        </w:rPr>
        <w:t xml:space="preserve"> </w:t>
      </w:r>
      <w:r w:rsidR="00D82992" w:rsidRPr="006D4E15">
        <w:rPr>
          <w:rFonts w:ascii="Times New Roman" w:hAnsi="Times New Roman"/>
        </w:rPr>
        <w:t>aeroplane, wh</w:t>
      </w:r>
      <w:r w:rsidR="00C929F1" w:rsidRPr="006D4E15">
        <w:rPr>
          <w:rFonts w:ascii="Times New Roman" w:hAnsi="Times New Roman"/>
        </w:rPr>
        <w:t>ere the owner</w:t>
      </w:r>
      <w:r w:rsidR="00D82992" w:rsidRPr="006D4E15">
        <w:rPr>
          <w:rFonts w:ascii="Times New Roman" w:hAnsi="Times New Roman"/>
        </w:rPr>
        <w:t xml:space="preserve"> did not retain direction or control of </w:t>
      </w:r>
      <w:r w:rsidR="00C929F1" w:rsidRPr="006D4E15">
        <w:rPr>
          <w:rFonts w:ascii="Times New Roman" w:hAnsi="Times New Roman"/>
        </w:rPr>
        <w:t>the aeroplane</w:t>
      </w:r>
      <w:r w:rsidR="00C749FD" w:rsidRPr="006D4E15">
        <w:rPr>
          <w:rFonts w:ascii="Times New Roman" w:hAnsi="Times New Roman"/>
        </w:rPr>
        <w:t>.</w:t>
      </w:r>
      <w:r w:rsidR="00C749FD" w:rsidRPr="006D4E15">
        <w:rPr>
          <w:rStyle w:val="FootnoteReference"/>
          <w:rFonts w:ascii="Times New Roman" w:hAnsi="Times New Roman"/>
          <w:sz w:val="24"/>
        </w:rPr>
        <w:footnoteReference w:id="31"/>
      </w:r>
      <w:r w:rsidR="00553859" w:rsidRPr="006D4E15">
        <w:rPr>
          <w:rFonts w:ascii="Times New Roman" w:hAnsi="Times New Roman"/>
        </w:rPr>
        <w:t xml:space="preserve"> </w:t>
      </w:r>
      <w:r w:rsidR="00CC3F5A" w:rsidRPr="006D4E15">
        <w:rPr>
          <w:rFonts w:ascii="Times New Roman" w:hAnsi="Times New Roman"/>
        </w:rPr>
        <w:t xml:space="preserve"> </w:t>
      </w:r>
      <w:r w:rsidR="00E223B9" w:rsidRPr="006D4E15">
        <w:rPr>
          <w:rFonts w:ascii="Times New Roman" w:hAnsi="Times New Roman"/>
        </w:rPr>
        <w:t xml:space="preserve"> </w:t>
      </w:r>
    </w:p>
    <w:p w14:paraId="09A54BF2" w14:textId="34DA6FE5" w:rsidR="0034066E" w:rsidRPr="006D4E15" w:rsidRDefault="0006729D"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AB2CE4" w:rsidRPr="006D4E15">
        <w:rPr>
          <w:rFonts w:ascii="Times New Roman" w:hAnsi="Times New Roman"/>
        </w:rPr>
        <w:t>Although DP expressly pleaded that Coffey was the agent of the Diocese, t</w:t>
      </w:r>
      <w:r w:rsidR="00AB2CE4" w:rsidRPr="006D4E15">
        <w:rPr>
          <w:rFonts w:ascii="Times New Roman" w:hAnsi="Times New Roman"/>
          <w:szCs w:val="18"/>
        </w:rPr>
        <w:t xml:space="preserve">here was no finding that Coffey was the true agent of the Diocese in the </w:t>
      </w:r>
      <w:r w:rsidR="0005478E" w:rsidRPr="006D4E15">
        <w:rPr>
          <w:rFonts w:ascii="Times New Roman" w:hAnsi="Times New Roman"/>
          <w:szCs w:val="18"/>
        </w:rPr>
        <w:t xml:space="preserve">sense </w:t>
      </w:r>
      <w:r w:rsidR="00AB2CE4" w:rsidRPr="006D4E15">
        <w:rPr>
          <w:rFonts w:ascii="Times New Roman" w:hAnsi="Times New Roman"/>
          <w:szCs w:val="18"/>
        </w:rPr>
        <w:t>described</w:t>
      </w:r>
      <w:r w:rsidR="00240D40" w:rsidRPr="006D4E15">
        <w:rPr>
          <w:rFonts w:ascii="Times New Roman" w:hAnsi="Times New Roman"/>
          <w:szCs w:val="18"/>
        </w:rPr>
        <w:t xml:space="preserve"> above</w:t>
      </w:r>
      <w:r w:rsidR="00AB2CE4" w:rsidRPr="006D4E15">
        <w:rPr>
          <w:rFonts w:ascii="Times New Roman" w:hAnsi="Times New Roman"/>
          <w:szCs w:val="18"/>
        </w:rPr>
        <w:t>. That is unsurprising. The</w:t>
      </w:r>
      <w:r w:rsidR="00590F45" w:rsidRPr="006D4E15">
        <w:rPr>
          <w:rFonts w:ascii="Times New Roman" w:hAnsi="Times New Roman"/>
          <w:szCs w:val="18"/>
        </w:rPr>
        <w:t> </w:t>
      </w:r>
      <w:r w:rsidR="00197834" w:rsidRPr="006D4E15">
        <w:rPr>
          <w:rFonts w:ascii="Times New Roman" w:hAnsi="Times New Roman"/>
          <w:szCs w:val="18"/>
        </w:rPr>
        <w:t xml:space="preserve">unlawful </w:t>
      </w:r>
      <w:r w:rsidR="00AB2CE4" w:rsidRPr="006D4E15">
        <w:rPr>
          <w:rFonts w:ascii="Times New Roman" w:hAnsi="Times New Roman"/>
          <w:szCs w:val="18"/>
        </w:rPr>
        <w:t xml:space="preserve">acts done by Coffey were not done </w:t>
      </w:r>
      <w:r w:rsidR="00197834" w:rsidRPr="006D4E15">
        <w:rPr>
          <w:rFonts w:ascii="Times New Roman" w:hAnsi="Times New Roman"/>
          <w:szCs w:val="18"/>
        </w:rPr>
        <w:t>(and</w:t>
      </w:r>
      <w:r w:rsidR="003A6D56" w:rsidRPr="006D4E15">
        <w:rPr>
          <w:rFonts w:ascii="Times New Roman" w:hAnsi="Times New Roman"/>
          <w:szCs w:val="18"/>
        </w:rPr>
        <w:t> </w:t>
      </w:r>
      <w:r w:rsidR="00197834" w:rsidRPr="006D4E15">
        <w:rPr>
          <w:rFonts w:ascii="Times New Roman" w:hAnsi="Times New Roman"/>
          <w:szCs w:val="18"/>
        </w:rPr>
        <w:t xml:space="preserve">could not have been done) </w:t>
      </w:r>
      <w:r w:rsidR="005376D2" w:rsidRPr="006D4E15">
        <w:rPr>
          <w:rFonts w:ascii="Times New Roman" w:hAnsi="Times New Roman"/>
          <w:szCs w:val="18"/>
        </w:rPr>
        <w:t>as the "true agent"</w:t>
      </w:r>
      <w:r w:rsidR="005376D2" w:rsidRPr="006D4E15">
        <w:rPr>
          <w:rStyle w:val="FootnoteReference"/>
          <w:rFonts w:ascii="Times New Roman" w:hAnsi="Times New Roman"/>
          <w:sz w:val="24"/>
          <w:szCs w:val="18"/>
        </w:rPr>
        <w:footnoteReference w:id="32"/>
      </w:r>
      <w:r w:rsidR="005376D2" w:rsidRPr="006D4E15">
        <w:rPr>
          <w:rFonts w:ascii="Times New Roman" w:hAnsi="Times New Roman"/>
          <w:szCs w:val="18"/>
        </w:rPr>
        <w:t xml:space="preserve"> of the Diocese; they were not done </w:t>
      </w:r>
      <w:r w:rsidR="00AB2CE4" w:rsidRPr="006D4E15">
        <w:rPr>
          <w:rFonts w:ascii="Times New Roman" w:hAnsi="Times New Roman"/>
          <w:szCs w:val="18"/>
        </w:rPr>
        <w:t>with the Diocese's, or the then Bishop's, express, implied or apparent authorisation, and at no time were those acts ratified by them</w:t>
      </w:r>
      <w:r w:rsidR="005376D2" w:rsidRPr="006D4E15">
        <w:rPr>
          <w:rFonts w:ascii="Times New Roman" w:hAnsi="Times New Roman"/>
          <w:szCs w:val="18"/>
        </w:rPr>
        <w:t xml:space="preserve">. </w:t>
      </w:r>
    </w:p>
    <w:p w14:paraId="29432D60" w14:textId="51828E24" w:rsidR="005042F3" w:rsidRPr="006D4E15" w:rsidRDefault="005042F3" w:rsidP="006D4E15">
      <w:pPr>
        <w:pStyle w:val="HeadingL1"/>
        <w:spacing w:after="260" w:line="280" w:lineRule="exact"/>
        <w:ind w:right="0"/>
        <w:jc w:val="both"/>
        <w:rPr>
          <w:rFonts w:ascii="Times New Roman" w:hAnsi="Times New Roman"/>
        </w:rPr>
      </w:pPr>
      <w:r w:rsidRPr="006D4E15">
        <w:rPr>
          <w:rFonts w:ascii="Times New Roman" w:hAnsi="Times New Roman"/>
        </w:rPr>
        <w:t>Non</w:t>
      </w:r>
      <w:r w:rsidRPr="006D4E15">
        <w:rPr>
          <w:rFonts w:ascii="Times New Roman" w:hAnsi="Times New Roman"/>
        </w:rPr>
        <w:noBreakHyphen/>
        <w:t>delegable duty</w:t>
      </w:r>
    </w:p>
    <w:p w14:paraId="25D93042" w14:textId="7427AEEF" w:rsidR="00585525" w:rsidRPr="006D4E15" w:rsidRDefault="00102627"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724756" w:rsidRPr="006D4E15">
        <w:rPr>
          <w:rFonts w:ascii="Times New Roman" w:hAnsi="Times New Roman"/>
        </w:rPr>
        <w:t>The second area</w:t>
      </w:r>
      <w:r w:rsidR="00EC5EC8" w:rsidRPr="006D4E15">
        <w:rPr>
          <w:rFonts w:ascii="Times New Roman" w:hAnsi="Times New Roman"/>
        </w:rPr>
        <w:t xml:space="preserve"> of law</w:t>
      </w:r>
      <w:r w:rsidR="009A286B" w:rsidRPr="006D4E15">
        <w:rPr>
          <w:rFonts w:ascii="Times New Roman" w:hAnsi="Times New Roman"/>
        </w:rPr>
        <w:t xml:space="preserve"> in which the expression </w:t>
      </w:r>
      <w:r w:rsidR="0059364C" w:rsidRPr="006D4E15">
        <w:rPr>
          <w:rFonts w:ascii="Times New Roman" w:hAnsi="Times New Roman"/>
        </w:rPr>
        <w:t>"</w:t>
      </w:r>
      <w:r w:rsidR="00103AE1" w:rsidRPr="006D4E15">
        <w:rPr>
          <w:rFonts w:ascii="Times New Roman" w:hAnsi="Times New Roman"/>
        </w:rPr>
        <w:t>vicarious liability</w:t>
      </w:r>
      <w:r w:rsidR="0059364C" w:rsidRPr="006D4E15">
        <w:rPr>
          <w:rFonts w:ascii="Times New Roman" w:hAnsi="Times New Roman"/>
        </w:rPr>
        <w:t>"</w:t>
      </w:r>
      <w:r w:rsidR="00103AE1" w:rsidRPr="006D4E15">
        <w:rPr>
          <w:rFonts w:ascii="Times New Roman" w:hAnsi="Times New Roman"/>
        </w:rPr>
        <w:t xml:space="preserve"> </w:t>
      </w:r>
      <w:r w:rsidR="009A286B" w:rsidRPr="006D4E15">
        <w:rPr>
          <w:rFonts w:ascii="Times New Roman" w:hAnsi="Times New Roman"/>
        </w:rPr>
        <w:t>has been used</w:t>
      </w:r>
      <w:r w:rsidR="007E5DA0" w:rsidRPr="006D4E15">
        <w:rPr>
          <w:rFonts w:ascii="Times New Roman" w:hAnsi="Times New Roman"/>
        </w:rPr>
        <w:t xml:space="preserve">, </w:t>
      </w:r>
      <w:r w:rsidR="00F22684" w:rsidRPr="006D4E15">
        <w:rPr>
          <w:rFonts w:ascii="Times New Roman" w:hAnsi="Times New Roman"/>
        </w:rPr>
        <w:t>but</w:t>
      </w:r>
      <w:r w:rsidR="007E5DA0" w:rsidRPr="006D4E15">
        <w:rPr>
          <w:rFonts w:ascii="Times New Roman" w:hAnsi="Times New Roman"/>
        </w:rPr>
        <w:t xml:space="preserve"> </w:t>
      </w:r>
      <w:r w:rsidR="009504B6" w:rsidRPr="006D4E15">
        <w:rPr>
          <w:rFonts w:ascii="Times New Roman" w:hAnsi="Times New Roman"/>
        </w:rPr>
        <w:t>where it</w:t>
      </w:r>
      <w:r w:rsidR="005042F3" w:rsidRPr="006D4E15">
        <w:rPr>
          <w:rFonts w:ascii="Times New Roman" w:hAnsi="Times New Roman"/>
        </w:rPr>
        <w:t>s use</w:t>
      </w:r>
      <w:r w:rsidR="009504B6" w:rsidRPr="006D4E15">
        <w:rPr>
          <w:rFonts w:ascii="Times New Roman" w:hAnsi="Times New Roman"/>
        </w:rPr>
        <w:t xml:space="preserve"> is </w:t>
      </w:r>
      <w:r w:rsidR="00EB2FB5" w:rsidRPr="006D4E15">
        <w:rPr>
          <w:rFonts w:ascii="Times New Roman" w:hAnsi="Times New Roman"/>
        </w:rPr>
        <w:t xml:space="preserve">also </w:t>
      </w:r>
      <w:r w:rsidR="009504B6" w:rsidRPr="006D4E15">
        <w:rPr>
          <w:rFonts w:ascii="Times New Roman" w:hAnsi="Times New Roman"/>
        </w:rPr>
        <w:t>inapposite</w:t>
      </w:r>
      <w:r w:rsidR="007E5DA0" w:rsidRPr="006D4E15">
        <w:rPr>
          <w:rFonts w:ascii="Times New Roman" w:hAnsi="Times New Roman"/>
        </w:rPr>
        <w:t>,</w:t>
      </w:r>
      <w:r w:rsidR="00C072B2" w:rsidRPr="006D4E15">
        <w:rPr>
          <w:rFonts w:ascii="Times New Roman" w:hAnsi="Times New Roman"/>
        </w:rPr>
        <w:t xml:space="preserve"> </w:t>
      </w:r>
      <w:r w:rsidR="002E044D" w:rsidRPr="006D4E15">
        <w:rPr>
          <w:rFonts w:ascii="Times New Roman" w:hAnsi="Times New Roman"/>
        </w:rPr>
        <w:t>is</w:t>
      </w:r>
      <w:r w:rsidR="003A6D56" w:rsidRPr="006D4E15">
        <w:rPr>
          <w:rFonts w:ascii="Times New Roman" w:hAnsi="Times New Roman"/>
        </w:rPr>
        <w:t> </w:t>
      </w:r>
      <w:r w:rsidR="00CC32C1" w:rsidRPr="006D4E15">
        <w:rPr>
          <w:rFonts w:ascii="Times New Roman" w:hAnsi="Times New Roman"/>
        </w:rPr>
        <w:t xml:space="preserve">liability </w:t>
      </w:r>
      <w:r w:rsidR="00C26AC6" w:rsidRPr="006D4E15">
        <w:rPr>
          <w:rFonts w:ascii="Times New Roman" w:hAnsi="Times New Roman"/>
        </w:rPr>
        <w:t xml:space="preserve">imposed on a defendant </w:t>
      </w:r>
      <w:r w:rsidR="00CC32C1" w:rsidRPr="006D4E15">
        <w:rPr>
          <w:rFonts w:ascii="Times New Roman" w:hAnsi="Times New Roman"/>
        </w:rPr>
        <w:t xml:space="preserve">for </w:t>
      </w:r>
      <w:r w:rsidR="003A276C" w:rsidRPr="006D4E15">
        <w:rPr>
          <w:rFonts w:ascii="Times New Roman" w:hAnsi="Times New Roman"/>
        </w:rPr>
        <w:t>breach of a "non</w:t>
      </w:r>
      <w:r w:rsidR="004718B7" w:rsidRPr="006D4E15">
        <w:rPr>
          <w:rFonts w:ascii="Times New Roman" w:hAnsi="Times New Roman"/>
        </w:rPr>
        <w:noBreakHyphen/>
      </w:r>
      <w:r w:rsidR="003A276C" w:rsidRPr="006D4E15">
        <w:rPr>
          <w:rFonts w:ascii="Times New Roman" w:hAnsi="Times New Roman"/>
        </w:rPr>
        <w:t>delegable</w:t>
      </w:r>
      <w:r w:rsidR="004718B7" w:rsidRPr="006D4E15">
        <w:rPr>
          <w:rFonts w:ascii="Times New Roman" w:hAnsi="Times New Roman"/>
        </w:rPr>
        <w:t> </w:t>
      </w:r>
      <w:r w:rsidR="003A276C" w:rsidRPr="006D4E15">
        <w:rPr>
          <w:rFonts w:ascii="Times New Roman" w:hAnsi="Times New Roman"/>
        </w:rPr>
        <w:t>duty"</w:t>
      </w:r>
      <w:r w:rsidR="007F0FB8" w:rsidRPr="006D4E15">
        <w:rPr>
          <w:rFonts w:ascii="Times New Roman" w:hAnsi="Times New Roman"/>
        </w:rPr>
        <w:t xml:space="preserve">. </w:t>
      </w:r>
      <w:r w:rsidR="00111FB0" w:rsidRPr="006D4E15">
        <w:rPr>
          <w:rFonts w:ascii="Times New Roman" w:hAnsi="Times New Roman"/>
        </w:rPr>
        <w:t>A</w:t>
      </w:r>
      <w:r w:rsidR="00F43618" w:rsidRPr="006D4E15">
        <w:rPr>
          <w:rFonts w:ascii="Times New Roman" w:hAnsi="Times New Roman"/>
        </w:rPr>
        <w:t> </w:t>
      </w:r>
      <w:r w:rsidR="00111FB0" w:rsidRPr="006D4E15">
        <w:rPr>
          <w:rFonts w:ascii="Times New Roman" w:hAnsi="Times New Roman"/>
        </w:rPr>
        <w:t>"non</w:t>
      </w:r>
      <w:r w:rsidR="00073E4A" w:rsidRPr="006D4E15">
        <w:rPr>
          <w:rFonts w:ascii="Times New Roman" w:hAnsi="Times New Roman"/>
        </w:rPr>
        <w:noBreakHyphen/>
      </w:r>
      <w:r w:rsidR="00111FB0" w:rsidRPr="006D4E15">
        <w:rPr>
          <w:rFonts w:ascii="Times New Roman" w:hAnsi="Times New Roman"/>
        </w:rPr>
        <w:t xml:space="preserve">delegable" or "personal" duty of care </w:t>
      </w:r>
      <w:r w:rsidR="004F11D8" w:rsidRPr="006D4E15">
        <w:rPr>
          <w:rFonts w:ascii="Times New Roman" w:hAnsi="Times New Roman"/>
        </w:rPr>
        <w:t xml:space="preserve">is </w:t>
      </w:r>
      <w:r w:rsidR="0029679E" w:rsidRPr="006D4E15">
        <w:rPr>
          <w:rFonts w:ascii="Times New Roman" w:hAnsi="Times New Roman"/>
        </w:rPr>
        <w:t>"</w:t>
      </w:r>
      <w:r w:rsidR="00111FB0" w:rsidRPr="006D4E15">
        <w:rPr>
          <w:rFonts w:ascii="Times New Roman" w:hAnsi="Times New Roman"/>
        </w:rPr>
        <w:t xml:space="preserve">a duty </w:t>
      </w:r>
      <w:r w:rsidR="007C640F" w:rsidRPr="006D4E15">
        <w:rPr>
          <w:rFonts w:ascii="Times New Roman" w:hAnsi="Times New Roman"/>
        </w:rPr>
        <w:t>..</w:t>
      </w:r>
      <w:r w:rsidR="00111FB0" w:rsidRPr="006D4E15">
        <w:rPr>
          <w:rFonts w:ascii="Times New Roman" w:hAnsi="Times New Roman"/>
        </w:rPr>
        <w:t>. of</w:t>
      </w:r>
      <w:r w:rsidR="003A6D56" w:rsidRPr="006D4E15">
        <w:rPr>
          <w:rFonts w:ascii="Times New Roman" w:hAnsi="Times New Roman"/>
        </w:rPr>
        <w:t> </w:t>
      </w:r>
      <w:r w:rsidR="00111FB0" w:rsidRPr="006D4E15">
        <w:rPr>
          <w:rFonts w:ascii="Times New Roman" w:hAnsi="Times New Roman"/>
        </w:rPr>
        <w:t xml:space="preserve">a special and </w:t>
      </w:r>
      <w:r w:rsidR="0029679E" w:rsidRPr="006D4E15">
        <w:rPr>
          <w:rFonts w:ascii="Times New Roman" w:hAnsi="Times New Roman"/>
        </w:rPr>
        <w:t>'</w:t>
      </w:r>
      <w:r w:rsidR="00111FB0" w:rsidRPr="006D4E15">
        <w:rPr>
          <w:rFonts w:ascii="Times New Roman" w:hAnsi="Times New Roman"/>
        </w:rPr>
        <w:t>more stringent</w:t>
      </w:r>
      <w:r w:rsidR="0029679E" w:rsidRPr="006D4E15">
        <w:rPr>
          <w:rFonts w:ascii="Times New Roman" w:hAnsi="Times New Roman"/>
        </w:rPr>
        <w:t>'</w:t>
      </w:r>
      <w:r w:rsidR="00111FB0" w:rsidRPr="006D4E15">
        <w:rPr>
          <w:rFonts w:ascii="Times New Roman" w:hAnsi="Times New Roman"/>
        </w:rPr>
        <w:t xml:space="preserve"> kind</w:t>
      </w:r>
      <w:r w:rsidR="0029679E" w:rsidRPr="006D4E15">
        <w:rPr>
          <w:rFonts w:ascii="Times New Roman" w:hAnsi="Times New Roman"/>
        </w:rPr>
        <w:t>"</w:t>
      </w:r>
      <w:r w:rsidR="00111FB0" w:rsidRPr="006D4E15">
        <w:rPr>
          <w:rFonts w:ascii="Times New Roman" w:hAnsi="Times New Roman"/>
        </w:rPr>
        <w:t>.</w:t>
      </w:r>
      <w:r w:rsidR="00111FB0" w:rsidRPr="006D4E15">
        <w:rPr>
          <w:rStyle w:val="FootnoteReference"/>
          <w:rFonts w:ascii="Times New Roman" w:hAnsi="Times New Roman"/>
          <w:sz w:val="24"/>
        </w:rPr>
        <w:footnoteReference w:id="33"/>
      </w:r>
      <w:r w:rsidR="00111FB0" w:rsidRPr="006D4E15">
        <w:rPr>
          <w:rFonts w:ascii="Times New Roman" w:hAnsi="Times New Roman"/>
        </w:rPr>
        <w:t xml:space="preserve"> </w:t>
      </w:r>
      <w:r w:rsidR="000D11A2" w:rsidRPr="006D4E15">
        <w:rPr>
          <w:rFonts w:ascii="Times New Roman" w:hAnsi="Times New Roman"/>
        </w:rPr>
        <w:t xml:space="preserve">It is not merely a duty to take care, but a </w:t>
      </w:r>
      <w:r w:rsidR="00243F3B" w:rsidRPr="006D4E15">
        <w:rPr>
          <w:rFonts w:ascii="Times New Roman" w:hAnsi="Times New Roman"/>
        </w:rPr>
        <w:t>"</w:t>
      </w:r>
      <w:r w:rsidR="000D11A2" w:rsidRPr="006D4E15">
        <w:rPr>
          <w:rFonts w:ascii="Times New Roman" w:hAnsi="Times New Roman"/>
        </w:rPr>
        <w:t xml:space="preserve">duty to </w:t>
      </w:r>
      <w:r w:rsidR="00243F3B" w:rsidRPr="006D4E15">
        <w:rPr>
          <w:rFonts w:ascii="Times New Roman" w:hAnsi="Times New Roman"/>
          <w:i/>
        </w:rPr>
        <w:t xml:space="preserve">ensure </w:t>
      </w:r>
      <w:r w:rsidR="000D11A2" w:rsidRPr="006D4E15">
        <w:rPr>
          <w:rFonts w:ascii="Times New Roman" w:hAnsi="Times New Roman"/>
          <w:i/>
        </w:rPr>
        <w:t xml:space="preserve">that </w:t>
      </w:r>
      <w:r w:rsidR="000B6EA0" w:rsidRPr="006D4E15">
        <w:rPr>
          <w:rFonts w:ascii="Times New Roman" w:hAnsi="Times New Roman"/>
          <w:i/>
        </w:rPr>
        <w:t xml:space="preserve">reasonable </w:t>
      </w:r>
      <w:r w:rsidR="000D11A2" w:rsidRPr="006D4E15">
        <w:rPr>
          <w:rFonts w:ascii="Times New Roman" w:hAnsi="Times New Roman"/>
          <w:i/>
        </w:rPr>
        <w:t>care is taken</w:t>
      </w:r>
      <w:r w:rsidR="000D11A2" w:rsidRPr="006D4E15">
        <w:rPr>
          <w:rFonts w:ascii="Times New Roman" w:hAnsi="Times New Roman"/>
        </w:rPr>
        <w:t>"</w:t>
      </w:r>
      <w:r w:rsidR="00D746B6" w:rsidRPr="006D4E15">
        <w:rPr>
          <w:rFonts w:ascii="Times New Roman" w:hAnsi="Times New Roman"/>
        </w:rPr>
        <w:t>;</w:t>
      </w:r>
      <w:r w:rsidR="000D11A2" w:rsidRPr="006D4E15">
        <w:rPr>
          <w:rStyle w:val="FootnoteReference"/>
          <w:rFonts w:ascii="Times New Roman" w:hAnsi="Times New Roman"/>
          <w:sz w:val="24"/>
        </w:rPr>
        <w:footnoteReference w:id="34"/>
      </w:r>
      <w:r w:rsidR="00111FB0" w:rsidRPr="006D4E15">
        <w:rPr>
          <w:rFonts w:ascii="Times New Roman" w:hAnsi="Times New Roman"/>
        </w:rPr>
        <w:t xml:space="preserve"> to</w:t>
      </w:r>
      <w:r w:rsidR="00A70E77" w:rsidRPr="006D4E15">
        <w:rPr>
          <w:rFonts w:ascii="Times New Roman" w:hAnsi="Times New Roman"/>
        </w:rPr>
        <w:t> </w:t>
      </w:r>
      <w:r w:rsidR="00A75A7D" w:rsidRPr="006D4E15">
        <w:rPr>
          <w:rFonts w:ascii="Times New Roman" w:hAnsi="Times New Roman"/>
        </w:rPr>
        <w:t>"</w:t>
      </w:r>
      <w:r w:rsidR="00111FB0" w:rsidRPr="006D4E15">
        <w:rPr>
          <w:rFonts w:ascii="Times New Roman" w:hAnsi="Times New Roman"/>
        </w:rPr>
        <w:t xml:space="preserve">ensure that the duty </w:t>
      </w:r>
      <w:r w:rsidR="00111FB0" w:rsidRPr="006D4E15">
        <w:rPr>
          <w:rFonts w:ascii="Times New Roman" w:hAnsi="Times New Roman"/>
        </w:rPr>
        <w:lastRenderedPageBreak/>
        <w:t>is carried out"</w:t>
      </w:r>
      <w:r w:rsidR="007C7851" w:rsidRPr="006D4E15">
        <w:rPr>
          <w:rFonts w:ascii="Times New Roman" w:hAnsi="Times New Roman"/>
        </w:rPr>
        <w:t>;</w:t>
      </w:r>
      <w:r w:rsidR="00111FB0" w:rsidRPr="006D4E15">
        <w:rPr>
          <w:rStyle w:val="FootnoteReference"/>
          <w:rFonts w:ascii="Times New Roman" w:hAnsi="Times New Roman"/>
          <w:sz w:val="24"/>
        </w:rPr>
        <w:footnoteReference w:id="35"/>
      </w:r>
      <w:r w:rsidR="00111FB0" w:rsidRPr="006D4E15">
        <w:rPr>
          <w:rFonts w:ascii="Times New Roman" w:hAnsi="Times New Roman"/>
        </w:rPr>
        <w:t xml:space="preserve"> </w:t>
      </w:r>
      <w:r w:rsidR="0008768F" w:rsidRPr="006D4E15">
        <w:rPr>
          <w:rFonts w:ascii="Times New Roman" w:hAnsi="Times New Roman"/>
        </w:rPr>
        <w:t xml:space="preserve">or </w:t>
      </w:r>
      <w:r w:rsidR="00111FB0" w:rsidRPr="006D4E15">
        <w:rPr>
          <w:rFonts w:ascii="Times New Roman" w:hAnsi="Times New Roman"/>
        </w:rPr>
        <w:t>to "procur[e] the</w:t>
      </w:r>
      <w:r w:rsidR="00A70E77" w:rsidRPr="006D4E15">
        <w:rPr>
          <w:rFonts w:ascii="Times New Roman" w:hAnsi="Times New Roman"/>
        </w:rPr>
        <w:t> </w:t>
      </w:r>
      <w:r w:rsidR="00111FB0" w:rsidRPr="006D4E15">
        <w:rPr>
          <w:rFonts w:ascii="Times New Roman" w:hAnsi="Times New Roman"/>
        </w:rPr>
        <w:t xml:space="preserve">careful performance of work </w:t>
      </w:r>
      <w:r w:rsidR="00ED0CDC" w:rsidRPr="006D4E15">
        <w:rPr>
          <w:rFonts w:ascii="Times New Roman" w:hAnsi="Times New Roman"/>
        </w:rPr>
        <w:t>[assigned]</w:t>
      </w:r>
      <w:r w:rsidR="00111FB0" w:rsidRPr="006D4E15">
        <w:rPr>
          <w:rFonts w:ascii="Times New Roman" w:hAnsi="Times New Roman"/>
        </w:rPr>
        <w:t xml:space="preserve"> to</w:t>
      </w:r>
      <w:r w:rsidR="00ED3BC1">
        <w:rPr>
          <w:rFonts w:ascii="Times New Roman" w:hAnsi="Times New Roman"/>
        </w:rPr>
        <w:t> </w:t>
      </w:r>
      <w:r w:rsidR="00111FB0" w:rsidRPr="006D4E15">
        <w:rPr>
          <w:rFonts w:ascii="Times New Roman" w:hAnsi="Times New Roman"/>
        </w:rPr>
        <w:t>others".</w:t>
      </w:r>
      <w:r w:rsidR="00111FB0" w:rsidRPr="006D4E15">
        <w:rPr>
          <w:rStyle w:val="FootnoteReference"/>
          <w:rFonts w:ascii="Times New Roman" w:hAnsi="Times New Roman"/>
          <w:sz w:val="24"/>
        </w:rPr>
        <w:footnoteReference w:id="36"/>
      </w:r>
      <w:r w:rsidR="00111FB0" w:rsidRPr="006D4E15">
        <w:rPr>
          <w:rFonts w:ascii="Times New Roman" w:hAnsi="Times New Roman"/>
        </w:rPr>
        <w:t xml:space="preserve"> Liability for breach of </w:t>
      </w:r>
      <w:r w:rsidR="00EF0F24" w:rsidRPr="006D4E15">
        <w:rPr>
          <w:rFonts w:ascii="Times New Roman" w:hAnsi="Times New Roman"/>
        </w:rPr>
        <w:t xml:space="preserve">a </w:t>
      </w:r>
      <w:r w:rsidR="00111FB0" w:rsidRPr="006D4E15">
        <w:rPr>
          <w:rFonts w:ascii="Times New Roman" w:hAnsi="Times New Roman"/>
        </w:rPr>
        <w:t xml:space="preserve">non-delegable duty is </w:t>
      </w:r>
      <w:r w:rsidR="00F35CA3" w:rsidRPr="006D4E15">
        <w:rPr>
          <w:rFonts w:ascii="Times New Roman" w:hAnsi="Times New Roman"/>
        </w:rPr>
        <w:t xml:space="preserve">therefore </w:t>
      </w:r>
      <w:r w:rsidR="00111FB0" w:rsidRPr="006D4E15">
        <w:rPr>
          <w:rFonts w:ascii="Times New Roman" w:hAnsi="Times New Roman"/>
        </w:rPr>
        <w:t xml:space="preserve">direct </w:t>
      </w:r>
      <w:r w:rsidR="00EE4815" w:rsidRPr="006D4E15">
        <w:rPr>
          <w:rFonts w:ascii="Times New Roman" w:hAnsi="Times New Roman"/>
        </w:rPr>
        <w:t>–</w:t>
      </w:r>
      <w:r w:rsidR="00111FB0" w:rsidRPr="006D4E15">
        <w:rPr>
          <w:rFonts w:ascii="Times New Roman" w:hAnsi="Times New Roman"/>
        </w:rPr>
        <w:t xml:space="preserve"> not</w:t>
      </w:r>
      <w:r w:rsidR="00E21472" w:rsidRPr="006D4E15">
        <w:rPr>
          <w:rFonts w:ascii="Times New Roman" w:hAnsi="Times New Roman"/>
        </w:rPr>
        <w:t> </w:t>
      </w:r>
      <w:r w:rsidR="00111FB0" w:rsidRPr="006D4E15">
        <w:rPr>
          <w:rFonts w:ascii="Times New Roman" w:hAnsi="Times New Roman"/>
        </w:rPr>
        <w:t>vicarious.</w:t>
      </w:r>
      <w:r w:rsidR="00111FB0" w:rsidRPr="006D4E15">
        <w:rPr>
          <w:rStyle w:val="FootnoteReference"/>
          <w:rFonts w:ascii="Times New Roman" w:hAnsi="Times New Roman"/>
          <w:sz w:val="24"/>
        </w:rPr>
        <w:footnoteReference w:id="37"/>
      </w:r>
      <w:r w:rsidR="00111FB0" w:rsidRPr="006D4E15">
        <w:rPr>
          <w:rFonts w:ascii="Times New Roman" w:hAnsi="Times New Roman"/>
        </w:rPr>
        <w:t xml:space="preserve"> </w:t>
      </w:r>
    </w:p>
    <w:p w14:paraId="581D2FBA" w14:textId="51052E2A" w:rsidR="000E1BF2" w:rsidRPr="006D4E15" w:rsidRDefault="0058552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9F6D10" w:rsidRPr="006D4E15">
        <w:rPr>
          <w:rFonts w:ascii="Times New Roman" w:hAnsi="Times New Roman"/>
        </w:rPr>
        <w:t xml:space="preserve">Such duties of care have been recognised as arising out of </w:t>
      </w:r>
      <w:r w:rsidR="00111FB0" w:rsidRPr="006D4E15">
        <w:rPr>
          <w:rFonts w:ascii="Times New Roman" w:hAnsi="Times New Roman"/>
        </w:rPr>
        <w:t>relationships o</w:t>
      </w:r>
      <w:r w:rsidR="009F6D10" w:rsidRPr="006D4E15">
        <w:rPr>
          <w:rFonts w:ascii="Times New Roman" w:hAnsi="Times New Roman"/>
        </w:rPr>
        <w:t xml:space="preserve">f </w:t>
      </w:r>
      <w:r w:rsidR="00111FB0" w:rsidRPr="006D4E15">
        <w:rPr>
          <w:rFonts w:ascii="Times New Roman" w:hAnsi="Times New Roman"/>
        </w:rPr>
        <w:t>employer and employee;</w:t>
      </w:r>
      <w:r w:rsidR="00111FB0" w:rsidRPr="006D4E15">
        <w:rPr>
          <w:rStyle w:val="FootnoteReference"/>
          <w:rFonts w:ascii="Times New Roman" w:hAnsi="Times New Roman"/>
          <w:sz w:val="24"/>
        </w:rPr>
        <w:footnoteReference w:id="38"/>
      </w:r>
      <w:r w:rsidR="0059699A" w:rsidRPr="006D4E15">
        <w:rPr>
          <w:rFonts w:ascii="Times New Roman" w:hAnsi="Times New Roman"/>
        </w:rPr>
        <w:t xml:space="preserve"> </w:t>
      </w:r>
      <w:r w:rsidR="00111FB0" w:rsidRPr="006D4E15">
        <w:rPr>
          <w:rFonts w:ascii="Times New Roman" w:hAnsi="Times New Roman"/>
        </w:rPr>
        <w:t>school and pupil;</w:t>
      </w:r>
      <w:r w:rsidR="00111FB0" w:rsidRPr="006D4E15">
        <w:rPr>
          <w:rStyle w:val="FootnoteReference"/>
          <w:rFonts w:ascii="Times New Roman" w:hAnsi="Times New Roman"/>
          <w:sz w:val="24"/>
        </w:rPr>
        <w:footnoteReference w:id="39"/>
      </w:r>
      <w:r w:rsidR="0059699A" w:rsidRPr="006D4E15">
        <w:rPr>
          <w:rFonts w:ascii="Times New Roman" w:hAnsi="Times New Roman"/>
        </w:rPr>
        <w:t xml:space="preserve"> </w:t>
      </w:r>
      <w:r w:rsidR="00111FB0" w:rsidRPr="006D4E15">
        <w:rPr>
          <w:rFonts w:ascii="Times New Roman" w:hAnsi="Times New Roman"/>
        </w:rPr>
        <w:t>hospital and patient</w:t>
      </w:r>
      <w:r w:rsidR="00E51C7D" w:rsidRPr="006D4E15">
        <w:rPr>
          <w:rFonts w:ascii="Times New Roman" w:hAnsi="Times New Roman"/>
        </w:rPr>
        <w:t>.</w:t>
      </w:r>
      <w:r w:rsidR="00111FB0" w:rsidRPr="006D4E15">
        <w:rPr>
          <w:rStyle w:val="FootnoteReference"/>
          <w:rFonts w:ascii="Times New Roman" w:hAnsi="Times New Roman"/>
          <w:sz w:val="24"/>
        </w:rPr>
        <w:footnoteReference w:id="40"/>
      </w:r>
      <w:r w:rsidR="0059699A" w:rsidRPr="006D4E15">
        <w:rPr>
          <w:rFonts w:ascii="Times New Roman" w:hAnsi="Times New Roman"/>
        </w:rPr>
        <w:t xml:space="preserve"> That list is not exhaustive.</w:t>
      </w:r>
      <w:r w:rsidR="002B7CDF" w:rsidRPr="006D4E15">
        <w:rPr>
          <w:rFonts w:ascii="Times New Roman" w:hAnsi="Times New Roman"/>
        </w:rPr>
        <w:t xml:space="preserve"> </w:t>
      </w:r>
      <w:r w:rsidR="00B43E24" w:rsidRPr="006D4E15">
        <w:rPr>
          <w:rFonts w:ascii="Times New Roman" w:hAnsi="Times New Roman"/>
        </w:rPr>
        <w:t xml:space="preserve">Such </w:t>
      </w:r>
      <w:r w:rsidR="00642887" w:rsidRPr="006D4E15">
        <w:rPr>
          <w:rFonts w:ascii="Times New Roman" w:hAnsi="Times New Roman"/>
        </w:rPr>
        <w:t>a duty</w:t>
      </w:r>
      <w:r w:rsidR="00004840" w:rsidRPr="006D4E15">
        <w:rPr>
          <w:rFonts w:ascii="Times New Roman" w:hAnsi="Times New Roman"/>
        </w:rPr>
        <w:t xml:space="preserve"> </w:t>
      </w:r>
      <w:r w:rsidR="00CD7A58" w:rsidRPr="006D4E15">
        <w:rPr>
          <w:rFonts w:ascii="Times New Roman" w:hAnsi="Times New Roman"/>
        </w:rPr>
        <w:t>arises</w:t>
      </w:r>
      <w:r w:rsidR="0034306A" w:rsidRPr="006D4E15">
        <w:rPr>
          <w:rFonts w:ascii="Times New Roman" w:hAnsi="Times New Roman"/>
        </w:rPr>
        <w:t xml:space="preserve"> </w:t>
      </w:r>
      <w:r w:rsidR="008726A0" w:rsidRPr="006D4E15">
        <w:rPr>
          <w:rFonts w:ascii="Times New Roman" w:hAnsi="Times New Roman"/>
        </w:rPr>
        <w:t xml:space="preserve">where </w:t>
      </w:r>
      <w:r w:rsidR="00C00E82" w:rsidRPr="006D4E15">
        <w:rPr>
          <w:rFonts w:ascii="Times New Roman" w:hAnsi="Times New Roman"/>
        </w:rPr>
        <w:t xml:space="preserve">the </w:t>
      </w:r>
      <w:r w:rsidR="00501363" w:rsidRPr="006D4E15">
        <w:rPr>
          <w:rFonts w:ascii="Times New Roman" w:hAnsi="Times New Roman"/>
        </w:rPr>
        <w:t>nature of the relationship</w:t>
      </w:r>
      <w:r w:rsidR="00F1430E" w:rsidRPr="006D4E15">
        <w:rPr>
          <w:rFonts w:ascii="Times New Roman" w:hAnsi="Times New Roman"/>
        </w:rPr>
        <w:t xml:space="preserve"> </w:t>
      </w:r>
      <w:r w:rsidR="00DE13B7" w:rsidRPr="006D4E15">
        <w:rPr>
          <w:rFonts w:ascii="Times New Roman" w:hAnsi="Times New Roman"/>
        </w:rPr>
        <w:t>between the defendant and the other person</w:t>
      </w:r>
      <w:r w:rsidR="008A051A" w:rsidRPr="006D4E15">
        <w:rPr>
          <w:rFonts w:ascii="Times New Roman" w:hAnsi="Times New Roman"/>
        </w:rPr>
        <w:t xml:space="preserve"> to whom the duty is owed </w:t>
      </w:r>
      <w:r w:rsidR="00F1430E" w:rsidRPr="006D4E15">
        <w:rPr>
          <w:rFonts w:ascii="Times New Roman" w:hAnsi="Times New Roman"/>
        </w:rPr>
        <w:t xml:space="preserve">is one </w:t>
      </w:r>
      <w:r w:rsidR="009B0C9A" w:rsidRPr="006D4E15">
        <w:rPr>
          <w:rFonts w:ascii="Times New Roman" w:hAnsi="Times New Roman"/>
        </w:rPr>
        <w:t>where</w:t>
      </w:r>
      <w:r w:rsidR="00F1430E" w:rsidRPr="006D4E15">
        <w:rPr>
          <w:rFonts w:ascii="Times New Roman" w:hAnsi="Times New Roman"/>
        </w:rPr>
        <w:t xml:space="preserve"> the defendant has assumed </w:t>
      </w:r>
      <w:r w:rsidR="00092057" w:rsidRPr="006D4E15">
        <w:rPr>
          <w:rFonts w:ascii="Times New Roman" w:hAnsi="Times New Roman"/>
        </w:rPr>
        <w:t>particular responsibility to ensure that care is taken</w:t>
      </w:r>
      <w:r w:rsidR="00F45026" w:rsidRPr="006D4E15">
        <w:rPr>
          <w:rFonts w:ascii="Times New Roman" w:hAnsi="Times New Roman"/>
        </w:rPr>
        <w:t>,</w:t>
      </w:r>
      <w:r w:rsidR="00E37B46" w:rsidRPr="006D4E15">
        <w:rPr>
          <w:rFonts w:ascii="Times New Roman" w:hAnsi="Times New Roman"/>
        </w:rPr>
        <w:t xml:space="preserve"> rather</w:t>
      </w:r>
      <w:r w:rsidR="00D41EEA">
        <w:rPr>
          <w:rFonts w:ascii="Times New Roman" w:hAnsi="Times New Roman"/>
        </w:rPr>
        <w:t> </w:t>
      </w:r>
      <w:r w:rsidR="00E37B46" w:rsidRPr="006D4E15">
        <w:rPr>
          <w:rFonts w:ascii="Times New Roman" w:hAnsi="Times New Roman"/>
        </w:rPr>
        <w:t>than merely to take reasonable ca</w:t>
      </w:r>
      <w:r w:rsidR="00B01A8C" w:rsidRPr="006D4E15">
        <w:rPr>
          <w:rFonts w:ascii="Times New Roman" w:hAnsi="Times New Roman"/>
        </w:rPr>
        <w:t>re</w:t>
      </w:r>
      <w:r w:rsidR="00406A30" w:rsidRPr="006D4E15">
        <w:rPr>
          <w:rFonts w:ascii="Times New Roman" w:hAnsi="Times New Roman"/>
        </w:rPr>
        <w:t>. For</w:t>
      </w:r>
      <w:r w:rsidR="00A70E77" w:rsidRPr="006D4E15">
        <w:rPr>
          <w:rFonts w:ascii="Times New Roman" w:hAnsi="Times New Roman"/>
        </w:rPr>
        <w:t> </w:t>
      </w:r>
      <w:r w:rsidR="00406A30" w:rsidRPr="006D4E15">
        <w:rPr>
          <w:rFonts w:ascii="Times New Roman" w:hAnsi="Times New Roman"/>
        </w:rPr>
        <w:t xml:space="preserve">example, </w:t>
      </w:r>
      <w:r w:rsidR="009F65C3" w:rsidRPr="006D4E15">
        <w:rPr>
          <w:rFonts w:ascii="Times New Roman" w:hAnsi="Times New Roman"/>
        </w:rPr>
        <w:t xml:space="preserve">where the defendant </w:t>
      </w:r>
      <w:r w:rsidR="00A90D85" w:rsidRPr="006D4E15">
        <w:rPr>
          <w:rFonts w:ascii="Times New Roman" w:hAnsi="Times New Roman"/>
        </w:rPr>
        <w:t>ha</w:t>
      </w:r>
      <w:r w:rsidR="00406A30" w:rsidRPr="006D4E15">
        <w:rPr>
          <w:rFonts w:ascii="Times New Roman" w:hAnsi="Times New Roman"/>
        </w:rPr>
        <w:t>s</w:t>
      </w:r>
      <w:r w:rsidR="00A90D85" w:rsidRPr="006D4E15">
        <w:rPr>
          <w:rFonts w:ascii="Times New Roman" w:hAnsi="Times New Roman"/>
        </w:rPr>
        <w:t xml:space="preserve"> </w:t>
      </w:r>
      <w:r w:rsidR="00A05A97" w:rsidRPr="006D4E15">
        <w:rPr>
          <w:rFonts w:ascii="Times New Roman" w:hAnsi="Times New Roman"/>
        </w:rPr>
        <w:t>"</w:t>
      </w:r>
      <w:r w:rsidR="00A90D85" w:rsidRPr="006D4E15">
        <w:rPr>
          <w:rFonts w:ascii="Times New Roman" w:hAnsi="Times New Roman"/>
        </w:rPr>
        <w:t xml:space="preserve">undertaken the care, supervision or control of </w:t>
      </w:r>
      <w:r w:rsidR="009F65C3" w:rsidRPr="006D4E15">
        <w:rPr>
          <w:rFonts w:ascii="Times New Roman" w:hAnsi="Times New Roman"/>
        </w:rPr>
        <w:t xml:space="preserve">the </w:t>
      </w:r>
      <w:r w:rsidR="003B48F7" w:rsidRPr="006D4E15">
        <w:rPr>
          <w:rFonts w:ascii="Times New Roman" w:hAnsi="Times New Roman"/>
        </w:rPr>
        <w:t>person</w:t>
      </w:r>
      <w:r w:rsidR="00FF083D" w:rsidRPr="006D4E15">
        <w:rPr>
          <w:rFonts w:ascii="Times New Roman" w:hAnsi="Times New Roman"/>
        </w:rPr>
        <w:t xml:space="preserve"> </w:t>
      </w:r>
      <w:r w:rsidR="00486B5A" w:rsidRPr="006D4E15">
        <w:rPr>
          <w:rFonts w:ascii="Times New Roman" w:hAnsi="Times New Roman"/>
        </w:rPr>
        <w:t xml:space="preserve">or property of another </w:t>
      </w:r>
      <w:r w:rsidR="00FF083D" w:rsidRPr="006D4E15">
        <w:rPr>
          <w:rFonts w:ascii="Times New Roman" w:hAnsi="Times New Roman"/>
        </w:rPr>
        <w:t xml:space="preserve">or is so placed </w:t>
      </w:r>
      <w:r w:rsidR="00A90D85" w:rsidRPr="006D4E15">
        <w:rPr>
          <w:rFonts w:ascii="Times New Roman" w:hAnsi="Times New Roman"/>
        </w:rPr>
        <w:t xml:space="preserve">in relation to </w:t>
      </w:r>
      <w:r w:rsidR="00FF083D" w:rsidRPr="006D4E15">
        <w:rPr>
          <w:rFonts w:ascii="Times New Roman" w:hAnsi="Times New Roman"/>
        </w:rPr>
        <w:t xml:space="preserve">that </w:t>
      </w:r>
      <w:r w:rsidR="003B48F7" w:rsidRPr="006D4E15">
        <w:rPr>
          <w:rFonts w:ascii="Times New Roman" w:hAnsi="Times New Roman"/>
        </w:rPr>
        <w:t xml:space="preserve">person </w:t>
      </w:r>
      <w:r w:rsidR="003B006A" w:rsidRPr="006D4E15">
        <w:rPr>
          <w:rFonts w:ascii="Times New Roman" w:hAnsi="Times New Roman"/>
        </w:rPr>
        <w:t xml:space="preserve">or </w:t>
      </w:r>
      <w:r w:rsidR="00165F78" w:rsidRPr="006D4E15">
        <w:rPr>
          <w:rFonts w:ascii="Times New Roman" w:hAnsi="Times New Roman"/>
        </w:rPr>
        <w:t>[their]</w:t>
      </w:r>
      <w:r w:rsidR="003B006A" w:rsidRPr="006D4E15">
        <w:rPr>
          <w:rFonts w:ascii="Times New Roman" w:hAnsi="Times New Roman"/>
        </w:rPr>
        <w:t xml:space="preserve"> property</w:t>
      </w:r>
      <w:r w:rsidR="00EB148F" w:rsidRPr="006D4E15">
        <w:rPr>
          <w:rFonts w:ascii="Times New Roman" w:hAnsi="Times New Roman"/>
        </w:rPr>
        <w:t xml:space="preserve"> </w:t>
      </w:r>
      <w:r w:rsidR="00FF083D" w:rsidRPr="006D4E15">
        <w:rPr>
          <w:rFonts w:ascii="Times New Roman" w:hAnsi="Times New Roman"/>
        </w:rPr>
        <w:t>as to</w:t>
      </w:r>
      <w:r w:rsidR="003B48F7" w:rsidRPr="006D4E15">
        <w:rPr>
          <w:rFonts w:ascii="Times New Roman" w:hAnsi="Times New Roman"/>
        </w:rPr>
        <w:t xml:space="preserve"> </w:t>
      </w:r>
      <w:r w:rsidR="00A90D85" w:rsidRPr="006D4E15">
        <w:rPr>
          <w:rFonts w:ascii="Times New Roman" w:hAnsi="Times New Roman"/>
        </w:rPr>
        <w:t xml:space="preserve">assume a particular responsibility for </w:t>
      </w:r>
      <w:r w:rsidR="00AD4B53" w:rsidRPr="006D4E15">
        <w:rPr>
          <w:rFonts w:ascii="Times New Roman" w:hAnsi="Times New Roman"/>
        </w:rPr>
        <w:t>[</w:t>
      </w:r>
      <w:r w:rsidR="00186643" w:rsidRPr="006D4E15">
        <w:rPr>
          <w:rFonts w:ascii="Times New Roman" w:hAnsi="Times New Roman"/>
        </w:rPr>
        <w:t>their</w:t>
      </w:r>
      <w:r w:rsidR="00AD4B53" w:rsidRPr="006D4E15">
        <w:rPr>
          <w:rFonts w:ascii="Times New Roman" w:hAnsi="Times New Roman"/>
        </w:rPr>
        <w:t>]</w:t>
      </w:r>
      <w:r w:rsidR="00A24DB2" w:rsidRPr="006D4E15">
        <w:rPr>
          <w:rFonts w:ascii="Times New Roman" w:hAnsi="Times New Roman"/>
        </w:rPr>
        <w:t xml:space="preserve"> or its </w:t>
      </w:r>
      <w:r w:rsidR="00A90D85" w:rsidRPr="006D4E15">
        <w:rPr>
          <w:rFonts w:ascii="Times New Roman" w:hAnsi="Times New Roman"/>
        </w:rPr>
        <w:t>safety</w:t>
      </w:r>
      <w:r w:rsidR="0012235A" w:rsidRPr="006D4E15">
        <w:rPr>
          <w:rFonts w:ascii="Times New Roman" w:hAnsi="Times New Roman"/>
        </w:rPr>
        <w:t>,</w:t>
      </w:r>
      <w:r w:rsidR="00A90D85" w:rsidRPr="006D4E15">
        <w:rPr>
          <w:rFonts w:ascii="Times New Roman" w:hAnsi="Times New Roman"/>
        </w:rPr>
        <w:t xml:space="preserve"> in circumstances where </w:t>
      </w:r>
      <w:r w:rsidR="003D6235" w:rsidRPr="006D4E15">
        <w:rPr>
          <w:rFonts w:ascii="Times New Roman" w:hAnsi="Times New Roman"/>
        </w:rPr>
        <w:t>the person</w:t>
      </w:r>
      <w:r w:rsidR="00FA35BF" w:rsidRPr="006D4E15">
        <w:rPr>
          <w:rFonts w:ascii="Times New Roman" w:hAnsi="Times New Roman"/>
        </w:rPr>
        <w:t xml:space="preserve"> affected</w:t>
      </w:r>
      <w:r w:rsidR="00A90D85" w:rsidRPr="006D4E15">
        <w:rPr>
          <w:rFonts w:ascii="Times New Roman" w:hAnsi="Times New Roman"/>
        </w:rPr>
        <w:t xml:space="preserve"> might reasonably expect that due care w</w:t>
      </w:r>
      <w:r w:rsidR="002E2799" w:rsidRPr="006D4E15">
        <w:rPr>
          <w:rFonts w:ascii="Times New Roman" w:hAnsi="Times New Roman"/>
        </w:rPr>
        <w:t>ill</w:t>
      </w:r>
      <w:r w:rsidR="00A90D85" w:rsidRPr="006D4E15">
        <w:rPr>
          <w:rFonts w:ascii="Times New Roman" w:hAnsi="Times New Roman"/>
        </w:rPr>
        <w:t xml:space="preserve"> be exercised</w:t>
      </w:r>
      <w:r w:rsidR="00A05A97" w:rsidRPr="006D4E15">
        <w:rPr>
          <w:rFonts w:ascii="Times New Roman" w:hAnsi="Times New Roman"/>
        </w:rPr>
        <w:t>"</w:t>
      </w:r>
      <w:r w:rsidR="00A90D85" w:rsidRPr="006D4E15">
        <w:rPr>
          <w:rFonts w:ascii="Times New Roman" w:hAnsi="Times New Roman"/>
        </w:rPr>
        <w:t>.</w:t>
      </w:r>
      <w:r w:rsidR="00A90D85" w:rsidRPr="006D4E15">
        <w:rPr>
          <w:rStyle w:val="FootnoteReference"/>
          <w:rFonts w:ascii="Times New Roman" w:hAnsi="Times New Roman"/>
          <w:sz w:val="24"/>
        </w:rPr>
        <w:footnoteReference w:id="41"/>
      </w:r>
      <w:r w:rsidR="00912902" w:rsidRPr="006D4E15">
        <w:rPr>
          <w:rFonts w:ascii="Times New Roman" w:hAnsi="Times New Roman"/>
        </w:rPr>
        <w:t xml:space="preserve"> A</w:t>
      </w:r>
      <w:r w:rsidR="00B24986" w:rsidRPr="006D4E15">
        <w:rPr>
          <w:rFonts w:ascii="Times New Roman" w:hAnsi="Times New Roman"/>
        </w:rPr>
        <w:t> </w:t>
      </w:r>
      <w:r w:rsidR="005F7BC4" w:rsidRPr="006D4E15">
        <w:rPr>
          <w:rFonts w:ascii="Times New Roman" w:hAnsi="Times New Roman"/>
        </w:rPr>
        <w:t>"</w:t>
      </w:r>
      <w:r w:rsidR="00912902" w:rsidRPr="006D4E15">
        <w:rPr>
          <w:rFonts w:ascii="Times New Roman" w:hAnsi="Times New Roman"/>
        </w:rPr>
        <w:t>core</w:t>
      </w:r>
      <w:r w:rsidR="002D1535" w:rsidRPr="006D4E15">
        <w:rPr>
          <w:rFonts w:ascii="Times New Roman" w:hAnsi="Times New Roman"/>
        </w:rPr>
        <w:t> </w:t>
      </w:r>
      <w:r w:rsidR="005F7BC4" w:rsidRPr="006D4E15">
        <w:rPr>
          <w:rFonts w:ascii="Times New Roman" w:hAnsi="Times New Roman"/>
        </w:rPr>
        <w:t>instance" of a non</w:t>
      </w:r>
      <w:r w:rsidR="00461ACD" w:rsidRPr="006D4E15">
        <w:rPr>
          <w:rFonts w:ascii="Times New Roman" w:hAnsi="Times New Roman"/>
        </w:rPr>
        <w:noBreakHyphen/>
      </w:r>
      <w:r w:rsidR="005F7BC4" w:rsidRPr="006D4E15">
        <w:rPr>
          <w:rFonts w:ascii="Times New Roman" w:hAnsi="Times New Roman"/>
        </w:rPr>
        <w:t>delegable duty at common law</w:t>
      </w:r>
      <w:r w:rsidR="002B330A" w:rsidRPr="006D4E15">
        <w:rPr>
          <w:rFonts w:ascii="Times New Roman" w:hAnsi="Times New Roman"/>
        </w:rPr>
        <w:t xml:space="preserve"> </w:t>
      </w:r>
      <w:r w:rsidR="00A322F4" w:rsidRPr="006D4E15">
        <w:rPr>
          <w:rFonts w:ascii="Times New Roman" w:hAnsi="Times New Roman"/>
        </w:rPr>
        <w:t>is</w:t>
      </w:r>
      <w:r w:rsidR="00C902C9" w:rsidRPr="006D4E15">
        <w:rPr>
          <w:rFonts w:ascii="Times New Roman" w:hAnsi="Times New Roman"/>
        </w:rPr>
        <w:t xml:space="preserve"> the duty that an employer usually owes to employees to provide a safe system of work.</w:t>
      </w:r>
      <w:r w:rsidR="00FD7BCC" w:rsidRPr="006D4E15">
        <w:rPr>
          <w:rStyle w:val="FootnoteReference"/>
          <w:rFonts w:ascii="Times New Roman" w:hAnsi="Times New Roman"/>
          <w:sz w:val="24"/>
        </w:rPr>
        <w:footnoteReference w:id="42"/>
      </w:r>
      <w:r w:rsidR="00112AB9" w:rsidRPr="006D4E15">
        <w:rPr>
          <w:rFonts w:ascii="Times New Roman" w:hAnsi="Times New Roman"/>
        </w:rPr>
        <w:t xml:space="preserve"> </w:t>
      </w:r>
      <w:r w:rsidR="00056603" w:rsidRPr="006D4E15">
        <w:rPr>
          <w:rFonts w:ascii="Times New Roman" w:hAnsi="Times New Roman"/>
        </w:rPr>
        <w:t>Under</w:t>
      </w:r>
      <w:r w:rsidR="00CA0F81" w:rsidRPr="006D4E15">
        <w:rPr>
          <w:rFonts w:ascii="Times New Roman" w:hAnsi="Times New Roman"/>
        </w:rPr>
        <w:t xml:space="preserve"> </w:t>
      </w:r>
      <w:r w:rsidR="008B0C2B" w:rsidRPr="006D4E15">
        <w:rPr>
          <w:rFonts w:ascii="Times New Roman" w:hAnsi="Times New Roman"/>
        </w:rPr>
        <w:t xml:space="preserve">that non-delegable </w:t>
      </w:r>
      <w:r w:rsidR="00056603" w:rsidRPr="006D4E15">
        <w:rPr>
          <w:rFonts w:ascii="Times New Roman" w:hAnsi="Times New Roman"/>
        </w:rPr>
        <w:t>duty,</w:t>
      </w:r>
      <w:r w:rsidR="008B0C2B" w:rsidRPr="006D4E15">
        <w:rPr>
          <w:rFonts w:ascii="Times New Roman" w:hAnsi="Times New Roman"/>
        </w:rPr>
        <w:t xml:space="preserve"> </w:t>
      </w:r>
      <w:r w:rsidR="008B0C2B" w:rsidRPr="006D4E15">
        <w:rPr>
          <w:rFonts w:ascii="Times New Roman" w:hAnsi="Times New Roman"/>
        </w:rPr>
        <w:lastRenderedPageBreak/>
        <w:t>the</w:t>
      </w:r>
      <w:r w:rsidR="00D41EEA">
        <w:rPr>
          <w:rFonts w:ascii="Times New Roman" w:hAnsi="Times New Roman"/>
        </w:rPr>
        <w:t> </w:t>
      </w:r>
      <w:r w:rsidR="008B0C2B" w:rsidRPr="006D4E15">
        <w:rPr>
          <w:rFonts w:ascii="Times New Roman" w:hAnsi="Times New Roman"/>
        </w:rPr>
        <w:t>employer is liable for any negligence on the part of its independent contractor or employee in failing to adopt a safe system of work.</w:t>
      </w:r>
      <w:r w:rsidR="008B0C2B" w:rsidRPr="006D4E15">
        <w:rPr>
          <w:rStyle w:val="FootnoteReference"/>
          <w:rFonts w:ascii="Times New Roman" w:hAnsi="Times New Roman"/>
          <w:sz w:val="24"/>
        </w:rPr>
        <w:footnoteReference w:id="43"/>
      </w:r>
    </w:p>
    <w:p w14:paraId="6D65AF6A" w14:textId="378170F0" w:rsidR="00D21610" w:rsidRPr="006D4E15" w:rsidRDefault="00D21610" w:rsidP="006D4E15">
      <w:pPr>
        <w:pStyle w:val="HeadingL2"/>
        <w:spacing w:after="260" w:line="280" w:lineRule="exact"/>
        <w:ind w:right="0"/>
        <w:jc w:val="both"/>
        <w:rPr>
          <w:rFonts w:ascii="Times New Roman" w:hAnsi="Times New Roman"/>
        </w:rPr>
      </w:pPr>
      <w:r w:rsidRPr="006D4E15">
        <w:rPr>
          <w:rFonts w:ascii="Times New Roman" w:hAnsi="Times New Roman"/>
        </w:rPr>
        <w:t xml:space="preserve">Notice of </w:t>
      </w:r>
      <w:r w:rsidR="00907F55" w:rsidRPr="006D4E15">
        <w:rPr>
          <w:rFonts w:ascii="Times New Roman" w:hAnsi="Times New Roman"/>
        </w:rPr>
        <w:t>c</w:t>
      </w:r>
      <w:r w:rsidRPr="006D4E15">
        <w:rPr>
          <w:rFonts w:ascii="Times New Roman" w:hAnsi="Times New Roman"/>
        </w:rPr>
        <w:t xml:space="preserve">ontention and </w:t>
      </w:r>
      <w:r w:rsidR="00907F55" w:rsidRPr="006D4E15">
        <w:rPr>
          <w:rFonts w:ascii="Times New Roman" w:hAnsi="Times New Roman"/>
        </w:rPr>
        <w:t>n</w:t>
      </w:r>
      <w:r w:rsidRPr="006D4E15">
        <w:rPr>
          <w:rFonts w:ascii="Times New Roman" w:hAnsi="Times New Roman"/>
        </w:rPr>
        <w:t>on-</w:t>
      </w:r>
      <w:r w:rsidR="00907F55" w:rsidRPr="006D4E15">
        <w:rPr>
          <w:rFonts w:ascii="Times New Roman" w:hAnsi="Times New Roman"/>
        </w:rPr>
        <w:t>d</w:t>
      </w:r>
      <w:r w:rsidRPr="006D4E15">
        <w:rPr>
          <w:rFonts w:ascii="Times New Roman" w:hAnsi="Times New Roman"/>
        </w:rPr>
        <w:t xml:space="preserve">elegable </w:t>
      </w:r>
      <w:r w:rsidR="00907F55" w:rsidRPr="006D4E15">
        <w:rPr>
          <w:rFonts w:ascii="Times New Roman" w:hAnsi="Times New Roman"/>
        </w:rPr>
        <w:t>d</w:t>
      </w:r>
      <w:r w:rsidRPr="006D4E15">
        <w:rPr>
          <w:rFonts w:ascii="Times New Roman" w:hAnsi="Times New Roman"/>
        </w:rPr>
        <w:t>uty</w:t>
      </w:r>
    </w:p>
    <w:p w14:paraId="4A95E565" w14:textId="024E2C03" w:rsidR="00C80B38"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80B38" w:rsidRPr="006D4E15">
        <w:rPr>
          <w:rFonts w:ascii="Times New Roman" w:hAnsi="Times New Roman"/>
        </w:rPr>
        <w:t xml:space="preserve">By a notice of contention, DP sought to have this Court affirm the decision of the Court of Appeal on the basis that the </w:t>
      </w:r>
      <w:r w:rsidR="00B61138" w:rsidRPr="006D4E15">
        <w:rPr>
          <w:rFonts w:ascii="Times New Roman" w:hAnsi="Times New Roman"/>
        </w:rPr>
        <w:t>Diocese</w:t>
      </w:r>
      <w:r w:rsidR="00CE5475" w:rsidRPr="006D4E15">
        <w:rPr>
          <w:rFonts w:ascii="Times New Roman" w:hAnsi="Times New Roman"/>
        </w:rPr>
        <w:t>, through the Bishop,</w:t>
      </w:r>
      <w:r w:rsidR="00B61138" w:rsidRPr="006D4E15">
        <w:rPr>
          <w:rFonts w:ascii="Times New Roman" w:hAnsi="Times New Roman"/>
        </w:rPr>
        <w:t xml:space="preserve"> </w:t>
      </w:r>
      <w:r w:rsidR="00C80B38" w:rsidRPr="006D4E15">
        <w:rPr>
          <w:rFonts w:ascii="Times New Roman" w:hAnsi="Times New Roman"/>
        </w:rPr>
        <w:t>is liable to DP for breach of a non</w:t>
      </w:r>
      <w:r w:rsidR="00C80B38" w:rsidRPr="006D4E15">
        <w:rPr>
          <w:rFonts w:ascii="Times New Roman" w:hAnsi="Times New Roman"/>
        </w:rPr>
        <w:noBreakHyphen/>
        <w:t xml:space="preserve">delegable duty owed to DP to protect him from </w:t>
      </w:r>
      <w:r w:rsidR="00DA515F" w:rsidRPr="006D4E15">
        <w:rPr>
          <w:rFonts w:ascii="Times New Roman" w:hAnsi="Times New Roman"/>
        </w:rPr>
        <w:t xml:space="preserve">the </w:t>
      </w:r>
      <w:r w:rsidR="00C80B38" w:rsidRPr="006D4E15">
        <w:rPr>
          <w:rFonts w:ascii="Times New Roman" w:hAnsi="Times New Roman"/>
        </w:rPr>
        <w:t>risk of sexual abuse by its priests, including Coffey, in the course of Coffey's functions and duties as a priest and as a representative, servant or agent of the Diocese.</w:t>
      </w:r>
      <w:r w:rsidR="00E90CFA" w:rsidRPr="006D4E15">
        <w:rPr>
          <w:rFonts w:ascii="Times New Roman" w:hAnsi="Times New Roman"/>
          <w:b/>
          <w:bCs/>
        </w:rPr>
        <w:t xml:space="preserve"> </w:t>
      </w:r>
      <w:r w:rsidR="00C80B38" w:rsidRPr="006D4E15">
        <w:rPr>
          <w:rFonts w:ascii="Times New Roman" w:hAnsi="Times New Roman"/>
        </w:rPr>
        <w:t>The</w:t>
      </w:r>
      <w:r w:rsidR="008E17C1">
        <w:rPr>
          <w:rFonts w:ascii="Times New Roman" w:hAnsi="Times New Roman"/>
        </w:rPr>
        <w:t> </w:t>
      </w:r>
      <w:r w:rsidR="00C80B38" w:rsidRPr="006D4E15">
        <w:rPr>
          <w:rFonts w:ascii="Times New Roman" w:hAnsi="Times New Roman"/>
        </w:rPr>
        <w:t xml:space="preserve">Bishop submitted that the Diocese </w:t>
      </w:r>
      <w:r w:rsidR="0005478E" w:rsidRPr="006D4E15">
        <w:rPr>
          <w:rFonts w:ascii="Times New Roman" w:hAnsi="Times New Roman"/>
        </w:rPr>
        <w:t xml:space="preserve">would be </w:t>
      </w:r>
      <w:r w:rsidR="00C80B38" w:rsidRPr="006D4E15">
        <w:rPr>
          <w:rFonts w:ascii="Times New Roman" w:hAnsi="Times New Roman"/>
        </w:rPr>
        <w:t>irremediably prejudiced by a non</w:t>
      </w:r>
      <w:r w:rsidR="00C80B38" w:rsidRPr="006D4E15">
        <w:rPr>
          <w:rFonts w:ascii="Times New Roman" w:hAnsi="Times New Roman"/>
        </w:rPr>
        <w:noBreakHyphen/>
        <w:t>delegable duty being advanced on appeal in this Court for the first time. That</w:t>
      </w:r>
      <w:r w:rsidR="008E17C1">
        <w:rPr>
          <w:rFonts w:ascii="Times New Roman" w:hAnsi="Times New Roman"/>
        </w:rPr>
        <w:t> </w:t>
      </w:r>
      <w:r w:rsidR="00C80B38" w:rsidRPr="006D4E15">
        <w:rPr>
          <w:rFonts w:ascii="Times New Roman" w:hAnsi="Times New Roman"/>
        </w:rPr>
        <w:t>submission should be accepted. The notice of contention cannot be entertained.</w:t>
      </w:r>
    </w:p>
    <w:p w14:paraId="710754F7" w14:textId="59D2CC28"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As a general rule, all substantial issues between parties should be settled at trial and new issues should not be raised on appeal.</w:t>
      </w:r>
      <w:r w:rsidRPr="006D4E15">
        <w:rPr>
          <w:rStyle w:val="FootnoteReference"/>
          <w:rFonts w:ascii="Times New Roman" w:hAnsi="Times New Roman"/>
          <w:sz w:val="24"/>
        </w:rPr>
        <w:footnoteReference w:id="44"/>
      </w:r>
      <w:r w:rsidRPr="006D4E15">
        <w:rPr>
          <w:rFonts w:ascii="Times New Roman" w:hAnsi="Times New Roman"/>
        </w:rPr>
        <w:t xml:space="preserve"> Th</w:t>
      </w:r>
      <w:r w:rsidR="007F70FD" w:rsidRPr="006D4E15">
        <w:rPr>
          <w:rFonts w:ascii="Times New Roman" w:hAnsi="Times New Roman"/>
        </w:rPr>
        <w:t>at</w:t>
      </w:r>
      <w:r w:rsidRPr="006D4E15">
        <w:rPr>
          <w:rFonts w:ascii="Times New Roman" w:hAnsi="Times New Roman"/>
        </w:rPr>
        <w:t xml:space="preserve"> rule, however, is not absolute.</w:t>
      </w:r>
      <w:r w:rsidRPr="006D4E15">
        <w:rPr>
          <w:rStyle w:val="FootnoteReference"/>
          <w:rFonts w:ascii="Times New Roman" w:hAnsi="Times New Roman"/>
          <w:sz w:val="24"/>
        </w:rPr>
        <w:footnoteReference w:id="45"/>
      </w:r>
      <w:r w:rsidRPr="006D4E15">
        <w:rPr>
          <w:rFonts w:ascii="Times New Roman" w:hAnsi="Times New Roman"/>
        </w:rPr>
        <w:t xml:space="preserve"> A party will generally be refused permission to rely on a point not taken below, among</w:t>
      </w:r>
      <w:r w:rsidR="001973C2" w:rsidRPr="006D4E15">
        <w:rPr>
          <w:rFonts w:ascii="Times New Roman" w:hAnsi="Times New Roman"/>
        </w:rPr>
        <w:t> </w:t>
      </w:r>
      <w:r w:rsidRPr="006D4E15">
        <w:rPr>
          <w:rFonts w:ascii="Times New Roman" w:hAnsi="Times New Roman"/>
        </w:rPr>
        <w:t>other grounds, where a party seeks to raise a case which did not arise on the pleadings;</w:t>
      </w:r>
      <w:r w:rsidRPr="006D4E15">
        <w:rPr>
          <w:rStyle w:val="FootnoteReference"/>
          <w:rFonts w:ascii="Times New Roman" w:hAnsi="Times New Roman"/>
          <w:sz w:val="24"/>
        </w:rPr>
        <w:footnoteReference w:id="46"/>
      </w:r>
      <w:r w:rsidRPr="006D4E15">
        <w:rPr>
          <w:rFonts w:ascii="Times New Roman" w:hAnsi="Times New Roman"/>
        </w:rPr>
        <w:t xml:space="preserve"> where if the issue had been raised at the trial, it</w:t>
      </w:r>
      <w:r w:rsidR="00A70E77" w:rsidRPr="006D4E15">
        <w:rPr>
          <w:rFonts w:ascii="Times New Roman" w:hAnsi="Times New Roman"/>
        </w:rPr>
        <w:t> </w:t>
      </w:r>
      <w:r w:rsidRPr="006D4E15">
        <w:rPr>
          <w:rFonts w:ascii="Times New Roman" w:hAnsi="Times New Roman"/>
        </w:rPr>
        <w:t>might have been the subject of evidence</w:t>
      </w:r>
      <w:r w:rsidR="00883F7C" w:rsidRPr="006D4E15">
        <w:rPr>
          <w:rFonts w:ascii="Times New Roman" w:hAnsi="Times New Roman"/>
        </w:rPr>
        <w:t>;</w:t>
      </w:r>
      <w:r w:rsidRPr="006D4E15">
        <w:rPr>
          <w:rStyle w:val="FootnoteReference"/>
          <w:rFonts w:ascii="Times New Roman" w:hAnsi="Times New Roman"/>
          <w:sz w:val="24"/>
        </w:rPr>
        <w:footnoteReference w:id="47"/>
      </w:r>
      <w:r w:rsidRPr="006D4E15">
        <w:rPr>
          <w:rFonts w:ascii="Times New Roman" w:hAnsi="Times New Roman"/>
        </w:rPr>
        <w:t xml:space="preserve"> or where the issue requires a fresh consideration of facts that are neither admitted nor beyond controversy.</w:t>
      </w:r>
      <w:r w:rsidRPr="006D4E15">
        <w:rPr>
          <w:rStyle w:val="FootnoteReference"/>
          <w:rFonts w:ascii="Times New Roman" w:hAnsi="Times New Roman"/>
          <w:sz w:val="24"/>
        </w:rPr>
        <w:footnoteReference w:id="48"/>
      </w:r>
      <w:r w:rsidRPr="006D4E15">
        <w:rPr>
          <w:rFonts w:ascii="Times New Roman" w:hAnsi="Times New Roman"/>
        </w:rPr>
        <w:t xml:space="preserve"> A party may be permitted </w:t>
      </w:r>
      <w:r w:rsidRPr="006D4E15">
        <w:rPr>
          <w:rFonts w:ascii="Times New Roman" w:hAnsi="Times New Roman"/>
        </w:rPr>
        <w:lastRenderedPageBreak/>
        <w:t>to rely upon a point not taken below, however, if the other party concedes that its case would not have been presented differently if the point had been taken below.</w:t>
      </w:r>
      <w:r w:rsidRPr="006D4E15">
        <w:rPr>
          <w:rStyle w:val="FootnoteReference"/>
          <w:rFonts w:ascii="Times New Roman" w:hAnsi="Times New Roman"/>
          <w:sz w:val="24"/>
        </w:rPr>
        <w:footnoteReference w:id="49"/>
      </w:r>
      <w:r w:rsidRPr="006D4E15">
        <w:rPr>
          <w:rFonts w:ascii="Times New Roman" w:hAnsi="Times New Roman"/>
        </w:rPr>
        <w:t xml:space="preserve"> </w:t>
      </w:r>
    </w:p>
    <w:p w14:paraId="3934545F" w14:textId="3ADA5854"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The imposition of a non</w:t>
      </w:r>
      <w:r w:rsidRPr="006D4E15">
        <w:rPr>
          <w:rFonts w:ascii="Times New Roman" w:hAnsi="Times New Roman"/>
        </w:rPr>
        <w:noBreakHyphen/>
        <w:t>delegable duty on the Diocese was not raised in the courts below. It was not raised on the pleadings or addressed in the evidence.</w:t>
      </w:r>
      <w:r w:rsidRPr="006D4E15">
        <w:rPr>
          <w:rStyle w:val="FootnoteReference"/>
          <w:rFonts w:ascii="Times New Roman" w:hAnsi="Times New Roman"/>
          <w:sz w:val="24"/>
        </w:rPr>
        <w:footnoteReference w:id="50"/>
      </w:r>
      <w:r w:rsidRPr="006D4E15">
        <w:rPr>
          <w:rFonts w:ascii="Times New Roman" w:hAnsi="Times New Roman"/>
        </w:rPr>
        <w:t xml:space="preserve"> There were only two issues at trial – vicarious liability and negligence. The second issue – that the Diocese was liable in negligence by reason of the Diocese's (and</w:t>
      </w:r>
      <w:r w:rsidR="008E17C1">
        <w:rPr>
          <w:rFonts w:ascii="Times New Roman" w:hAnsi="Times New Roman"/>
        </w:rPr>
        <w:t> </w:t>
      </w:r>
      <w:r w:rsidRPr="006D4E15">
        <w:rPr>
          <w:rFonts w:ascii="Times New Roman" w:hAnsi="Times New Roman"/>
        </w:rPr>
        <w:t>the relevant Bishop's) failure to exercise reasonable care in its authority, supervision and control of the conduct of Coffey – failed at trial.</w:t>
      </w:r>
      <w:r w:rsidRPr="006D4E15">
        <w:rPr>
          <w:rFonts w:ascii="Times New Roman" w:hAnsi="Times New Roman"/>
          <w:b/>
          <w:bCs/>
        </w:rPr>
        <w:t xml:space="preserve"> </w:t>
      </w:r>
      <w:r w:rsidRPr="006D4E15">
        <w:rPr>
          <w:rFonts w:ascii="Times New Roman" w:hAnsi="Times New Roman"/>
        </w:rPr>
        <w:t>DP did not appeal</w:t>
      </w:r>
      <w:r w:rsidRPr="006D4E15" w:rsidDel="006C046F">
        <w:rPr>
          <w:rFonts w:ascii="Times New Roman" w:hAnsi="Times New Roman"/>
        </w:rPr>
        <w:t xml:space="preserve"> that finding</w:t>
      </w:r>
      <w:r w:rsidRPr="006D4E15">
        <w:rPr>
          <w:rFonts w:ascii="Times New Roman" w:hAnsi="Times New Roman"/>
        </w:rPr>
        <w:t>.</w:t>
      </w:r>
      <w:r w:rsidR="008E7071" w:rsidRPr="006D4E15">
        <w:rPr>
          <w:rStyle w:val="FootnoteReference"/>
          <w:rFonts w:ascii="Times New Roman" w:hAnsi="Times New Roman"/>
          <w:sz w:val="24"/>
        </w:rPr>
        <w:footnoteReference w:id="51"/>
      </w:r>
      <w:r w:rsidRPr="006D4E15">
        <w:rPr>
          <w:rFonts w:ascii="Times New Roman" w:hAnsi="Times New Roman"/>
        </w:rPr>
        <w:t xml:space="preserve"> </w:t>
      </w:r>
    </w:p>
    <w:p w14:paraId="27958333" w14:textId="7C090AC6"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C2828" w:rsidRPr="006D4E15">
        <w:rPr>
          <w:rFonts w:ascii="Times New Roman" w:hAnsi="Times New Roman"/>
        </w:rPr>
        <w:t>T</w:t>
      </w:r>
      <w:r w:rsidRPr="006D4E15">
        <w:rPr>
          <w:rFonts w:ascii="Times New Roman" w:hAnsi="Times New Roman"/>
        </w:rPr>
        <w:t>he nature and content of the particular duty and responsibility allegedly owed to DP as a non</w:t>
      </w:r>
      <w:r w:rsidRPr="006D4E15">
        <w:rPr>
          <w:rFonts w:ascii="Times New Roman" w:hAnsi="Times New Roman"/>
        </w:rPr>
        <w:noBreakHyphen/>
        <w:t>delegable duty as set out in the notice of contention was not identified or pleaded at trial</w:t>
      </w:r>
      <w:r w:rsidR="00E16E5D" w:rsidRPr="006D4E15">
        <w:rPr>
          <w:rFonts w:ascii="Times New Roman" w:hAnsi="Times New Roman"/>
        </w:rPr>
        <w:t>.</w:t>
      </w:r>
      <w:r w:rsidRPr="006D4E15">
        <w:rPr>
          <w:rFonts w:ascii="Times New Roman" w:hAnsi="Times New Roman"/>
        </w:rPr>
        <w:t xml:space="preserve"> For example, there was no pleading</w:t>
      </w:r>
      <w:r w:rsidR="004A1911" w:rsidRPr="006D4E15">
        <w:rPr>
          <w:rFonts w:ascii="Times New Roman" w:hAnsi="Times New Roman"/>
        </w:rPr>
        <w:t xml:space="preserve"> </w:t>
      </w:r>
      <w:r w:rsidR="005E4B08" w:rsidRPr="006D4E15">
        <w:rPr>
          <w:rFonts w:ascii="Times New Roman" w:hAnsi="Times New Roman"/>
        </w:rPr>
        <w:t>about</w:t>
      </w:r>
      <w:r w:rsidRPr="006D4E15">
        <w:rPr>
          <w:rFonts w:ascii="Times New Roman" w:hAnsi="Times New Roman"/>
        </w:rPr>
        <w:t xml:space="preserve">, and the evidence did not address, whether there was an element in the relationship between the Bishop, or the Diocese, and DP </w:t>
      </w:r>
      <w:r w:rsidR="003E2EF1" w:rsidRPr="006D4E15">
        <w:rPr>
          <w:rFonts w:ascii="Times New Roman" w:hAnsi="Times New Roman"/>
        </w:rPr>
        <w:t>from which it could be inferred that the</w:t>
      </w:r>
      <w:r w:rsidR="00F53085" w:rsidRPr="006D4E15">
        <w:rPr>
          <w:rFonts w:ascii="Times New Roman" w:hAnsi="Times New Roman"/>
        </w:rPr>
        <w:t xml:space="preserve">y had assumed </w:t>
      </w:r>
      <w:r w:rsidRPr="006D4E15">
        <w:rPr>
          <w:rFonts w:ascii="Times New Roman" w:hAnsi="Times New Roman"/>
        </w:rPr>
        <w:t>a special responsibility or higher duty to ensure that reasonable care was taken for the safety of DP in one or more of several circumstances</w:t>
      </w:r>
      <w:r w:rsidR="007B1320" w:rsidRPr="006D4E15">
        <w:rPr>
          <w:rFonts w:ascii="Times New Roman" w:hAnsi="Times New Roman"/>
        </w:rPr>
        <w:t>, including</w:t>
      </w:r>
      <w:r w:rsidR="00FA2063" w:rsidRPr="006D4E15">
        <w:rPr>
          <w:rFonts w:ascii="Times New Roman" w:hAnsi="Times New Roman"/>
        </w:rPr>
        <w:t xml:space="preserve"> </w:t>
      </w:r>
      <w:r w:rsidR="00A24778" w:rsidRPr="006D4E15">
        <w:rPr>
          <w:rFonts w:ascii="Times New Roman" w:hAnsi="Times New Roman"/>
        </w:rPr>
        <w:t>in</w:t>
      </w:r>
      <w:r w:rsidR="00325341" w:rsidRPr="006D4E15">
        <w:rPr>
          <w:rFonts w:ascii="Times New Roman" w:hAnsi="Times New Roman"/>
        </w:rPr>
        <w:t xml:space="preserve"> </w:t>
      </w:r>
      <w:r w:rsidR="008D1575" w:rsidRPr="006D4E15">
        <w:rPr>
          <w:rFonts w:ascii="Times New Roman" w:hAnsi="Times New Roman"/>
        </w:rPr>
        <w:t>DP's parents' home</w:t>
      </w:r>
      <w:r w:rsidR="007B1320" w:rsidRPr="006D4E15">
        <w:rPr>
          <w:rFonts w:ascii="Times New Roman" w:hAnsi="Times New Roman"/>
        </w:rPr>
        <w:t>,</w:t>
      </w:r>
      <w:r w:rsidRPr="006D4E15">
        <w:rPr>
          <w:rFonts w:ascii="Times New Roman" w:hAnsi="Times New Roman"/>
        </w:rPr>
        <w:t xml:space="preserve"> because</w:t>
      </w:r>
      <w:r w:rsidR="00A70E77" w:rsidRPr="006D4E15">
        <w:rPr>
          <w:rFonts w:ascii="Times New Roman" w:hAnsi="Times New Roman"/>
        </w:rPr>
        <w:t> </w:t>
      </w:r>
      <w:r w:rsidRPr="006D4E15">
        <w:rPr>
          <w:rFonts w:ascii="Times New Roman" w:hAnsi="Times New Roman"/>
        </w:rPr>
        <w:t>the Bishop or the Diocese had undertaken the care, supervision or control of DP</w:t>
      </w:r>
      <w:r w:rsidR="00342F85" w:rsidRPr="006D4E15">
        <w:rPr>
          <w:rFonts w:ascii="Times New Roman" w:hAnsi="Times New Roman"/>
        </w:rPr>
        <w:t>,</w:t>
      </w:r>
      <w:r w:rsidRPr="006D4E15">
        <w:rPr>
          <w:rFonts w:ascii="Times New Roman" w:hAnsi="Times New Roman"/>
        </w:rPr>
        <w:t xml:space="preserve"> or </w:t>
      </w:r>
      <w:r w:rsidR="0058321C" w:rsidRPr="006D4E15">
        <w:rPr>
          <w:rFonts w:ascii="Times New Roman" w:hAnsi="Times New Roman"/>
        </w:rPr>
        <w:t>were</w:t>
      </w:r>
      <w:r w:rsidRPr="006D4E15">
        <w:rPr>
          <w:rFonts w:ascii="Times New Roman" w:hAnsi="Times New Roman"/>
        </w:rPr>
        <w:t xml:space="preserve"> so placed in relation to DP </w:t>
      </w:r>
      <w:r w:rsidR="00BA02D8" w:rsidRPr="006D4E15">
        <w:rPr>
          <w:rFonts w:ascii="Times New Roman" w:hAnsi="Times New Roman"/>
        </w:rPr>
        <w:t>as</w:t>
      </w:r>
      <w:r w:rsidR="008C257A" w:rsidRPr="006D4E15">
        <w:rPr>
          <w:rFonts w:ascii="Times New Roman" w:hAnsi="Times New Roman"/>
        </w:rPr>
        <w:t xml:space="preserve"> </w:t>
      </w:r>
      <w:r w:rsidRPr="006D4E15">
        <w:rPr>
          <w:rFonts w:ascii="Times New Roman" w:hAnsi="Times New Roman"/>
        </w:rPr>
        <w:t>to assume a particular responsibility for his safety in circumstances where DP might reasonably expect that due care would be exercised</w:t>
      </w:r>
      <w:r w:rsidR="00500AC9" w:rsidRPr="006D4E15">
        <w:rPr>
          <w:rFonts w:ascii="Times New Roman" w:hAnsi="Times New Roman"/>
        </w:rPr>
        <w:t xml:space="preserve"> by them</w:t>
      </w:r>
      <w:r w:rsidRPr="006D4E15">
        <w:rPr>
          <w:rFonts w:ascii="Times New Roman" w:hAnsi="Times New Roman"/>
        </w:rPr>
        <w:t>.</w:t>
      </w:r>
      <w:r w:rsidRPr="006D4E15">
        <w:rPr>
          <w:rStyle w:val="FootnoteReference"/>
          <w:rFonts w:ascii="Times New Roman" w:hAnsi="Times New Roman"/>
          <w:sz w:val="24"/>
        </w:rPr>
        <w:footnoteReference w:id="52"/>
      </w:r>
      <w:r w:rsidRPr="006D4E15">
        <w:rPr>
          <w:rFonts w:ascii="Times New Roman" w:hAnsi="Times New Roman"/>
        </w:rPr>
        <w:t xml:space="preserve"> Put in different terms, the</w:t>
      </w:r>
      <w:r w:rsidR="00903791" w:rsidRPr="006D4E15">
        <w:rPr>
          <w:rFonts w:ascii="Times New Roman" w:hAnsi="Times New Roman"/>
        </w:rPr>
        <w:t> </w:t>
      </w:r>
      <w:r w:rsidRPr="006D4E15">
        <w:rPr>
          <w:rFonts w:ascii="Times New Roman" w:hAnsi="Times New Roman"/>
        </w:rPr>
        <w:t>factual inquiry for a non</w:t>
      </w:r>
      <w:r w:rsidR="00A70E77" w:rsidRPr="006D4E15">
        <w:rPr>
          <w:rFonts w:ascii="Times New Roman" w:hAnsi="Times New Roman"/>
        </w:rPr>
        <w:noBreakHyphen/>
      </w:r>
      <w:r w:rsidRPr="006D4E15">
        <w:rPr>
          <w:rFonts w:ascii="Times New Roman" w:hAnsi="Times New Roman"/>
        </w:rPr>
        <w:t xml:space="preserve">delegable duty, a breach of which </w:t>
      </w:r>
      <w:r w:rsidR="000E2562" w:rsidRPr="006D4E15">
        <w:rPr>
          <w:rFonts w:ascii="Times New Roman" w:hAnsi="Times New Roman"/>
        </w:rPr>
        <w:t xml:space="preserve">gives rise to </w:t>
      </w:r>
      <w:r w:rsidRPr="006D4E15">
        <w:rPr>
          <w:rFonts w:ascii="Times New Roman" w:hAnsi="Times New Roman"/>
        </w:rPr>
        <w:t>direct l</w:t>
      </w:r>
      <w:r w:rsidR="00B926B0" w:rsidRPr="006D4E15">
        <w:rPr>
          <w:rFonts w:ascii="Times New Roman" w:hAnsi="Times New Roman"/>
        </w:rPr>
        <w:t>i</w:t>
      </w:r>
      <w:r w:rsidRPr="006D4E15">
        <w:rPr>
          <w:rFonts w:ascii="Times New Roman" w:hAnsi="Times New Roman"/>
        </w:rPr>
        <w:t>ability, can be and often is different</w:t>
      </w:r>
      <w:r w:rsidR="0005478E" w:rsidRPr="006D4E15">
        <w:rPr>
          <w:rFonts w:ascii="Times New Roman" w:hAnsi="Times New Roman"/>
        </w:rPr>
        <w:t xml:space="preserve"> from the inquiries that were pursued in respect of the issues argued at trial in this matter</w:t>
      </w:r>
      <w:r w:rsidRPr="006D4E15">
        <w:rPr>
          <w:rFonts w:ascii="Times New Roman" w:hAnsi="Times New Roman"/>
        </w:rPr>
        <w:t>.</w:t>
      </w:r>
    </w:p>
    <w:p w14:paraId="2DD70855" w14:textId="5477083F" w:rsidR="00D21610"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The significance of the fact that the particular</w:t>
      </w:r>
      <w:r w:rsidR="002209DC" w:rsidRPr="006D4E15">
        <w:rPr>
          <w:rFonts w:ascii="Times New Roman" w:hAnsi="Times New Roman"/>
        </w:rPr>
        <w:t xml:space="preserve"> nature and content of</w:t>
      </w:r>
      <w:r w:rsidRPr="006D4E15">
        <w:rPr>
          <w:rFonts w:ascii="Times New Roman" w:hAnsi="Times New Roman"/>
        </w:rPr>
        <w:t xml:space="preserve"> </w:t>
      </w:r>
      <w:r w:rsidR="000D61FE" w:rsidRPr="006D4E15">
        <w:rPr>
          <w:rFonts w:ascii="Times New Roman" w:hAnsi="Times New Roman"/>
        </w:rPr>
        <w:t>the</w:t>
      </w:r>
      <w:r w:rsidRPr="006D4E15">
        <w:rPr>
          <w:rFonts w:ascii="Times New Roman" w:hAnsi="Times New Roman"/>
        </w:rPr>
        <w:t xml:space="preserve"> </w:t>
      </w:r>
      <w:r w:rsidR="005E5C30" w:rsidRPr="006D4E15">
        <w:rPr>
          <w:rFonts w:ascii="Times New Roman" w:hAnsi="Times New Roman"/>
        </w:rPr>
        <w:t>non-delegable</w:t>
      </w:r>
      <w:r w:rsidRPr="006D4E15">
        <w:rPr>
          <w:rFonts w:ascii="Times New Roman" w:hAnsi="Times New Roman"/>
        </w:rPr>
        <w:t xml:space="preserve"> duty allegedly owed to DP as set out in the notice of contention was not identified or pleaded at trial</w:t>
      </w:r>
      <w:r w:rsidR="009666B1" w:rsidRPr="006D4E15">
        <w:rPr>
          <w:rFonts w:ascii="Times New Roman" w:hAnsi="Times New Roman"/>
        </w:rPr>
        <w:t>,</w:t>
      </w:r>
      <w:r w:rsidRPr="006D4E15">
        <w:rPr>
          <w:rFonts w:ascii="Times New Roman" w:hAnsi="Times New Roman"/>
        </w:rPr>
        <w:t xml:space="preserve"> </w:t>
      </w:r>
      <w:r w:rsidR="00743576" w:rsidRPr="006D4E15">
        <w:rPr>
          <w:rFonts w:ascii="Times New Roman" w:hAnsi="Times New Roman"/>
        </w:rPr>
        <w:t>or</w:t>
      </w:r>
      <w:r w:rsidR="00643FDD" w:rsidRPr="006D4E15">
        <w:rPr>
          <w:rFonts w:ascii="Times New Roman" w:hAnsi="Times New Roman"/>
        </w:rPr>
        <w:t> </w:t>
      </w:r>
      <w:r w:rsidR="00743576" w:rsidRPr="006D4E15">
        <w:rPr>
          <w:rFonts w:ascii="Times New Roman" w:hAnsi="Times New Roman"/>
        </w:rPr>
        <w:t>addressed during the course of the trial</w:t>
      </w:r>
      <w:r w:rsidR="009666B1" w:rsidRPr="006D4E15">
        <w:rPr>
          <w:rFonts w:ascii="Times New Roman" w:hAnsi="Times New Roman"/>
        </w:rPr>
        <w:t>,</w:t>
      </w:r>
      <w:r w:rsidR="00743576" w:rsidRPr="006D4E15">
        <w:rPr>
          <w:rFonts w:ascii="Times New Roman" w:hAnsi="Times New Roman"/>
        </w:rPr>
        <w:t xml:space="preserve"> </w:t>
      </w:r>
      <w:r w:rsidRPr="006D4E15">
        <w:rPr>
          <w:rFonts w:ascii="Times New Roman" w:hAnsi="Times New Roman"/>
        </w:rPr>
        <w:lastRenderedPageBreak/>
        <w:t>is</w:t>
      </w:r>
      <w:r w:rsidR="008E17C1">
        <w:rPr>
          <w:rFonts w:ascii="Times New Roman" w:hAnsi="Times New Roman"/>
        </w:rPr>
        <w:t> </w:t>
      </w:r>
      <w:r w:rsidRPr="006D4E15">
        <w:rPr>
          <w:rFonts w:ascii="Times New Roman" w:hAnsi="Times New Roman"/>
        </w:rPr>
        <w:t xml:space="preserve">reinforced by </w:t>
      </w:r>
      <w:r w:rsidR="00E16E5D" w:rsidRPr="006D4E15">
        <w:rPr>
          <w:rFonts w:ascii="Times New Roman" w:hAnsi="Times New Roman"/>
        </w:rPr>
        <w:t xml:space="preserve">two </w:t>
      </w:r>
      <w:r w:rsidRPr="006D4E15">
        <w:rPr>
          <w:rFonts w:ascii="Times New Roman" w:hAnsi="Times New Roman"/>
        </w:rPr>
        <w:t xml:space="preserve">further </w:t>
      </w:r>
      <w:r w:rsidR="00E16E5D" w:rsidRPr="006D4E15">
        <w:rPr>
          <w:rFonts w:ascii="Times New Roman" w:hAnsi="Times New Roman"/>
        </w:rPr>
        <w:t>considerations</w:t>
      </w:r>
      <w:r w:rsidR="005F67D2" w:rsidRPr="006D4E15">
        <w:rPr>
          <w:rFonts w:ascii="Times New Roman" w:hAnsi="Times New Roman"/>
        </w:rPr>
        <w:t>. First,</w:t>
      </w:r>
      <w:r w:rsidRPr="006D4E15" w:rsidDel="005F67D2">
        <w:rPr>
          <w:rFonts w:ascii="Times New Roman" w:hAnsi="Times New Roman"/>
        </w:rPr>
        <w:t xml:space="preserve"> </w:t>
      </w:r>
      <w:r w:rsidRPr="006D4E15">
        <w:rPr>
          <w:rFonts w:ascii="Times New Roman" w:hAnsi="Times New Roman"/>
        </w:rPr>
        <w:t xml:space="preserve">the notice of contention </w:t>
      </w:r>
      <w:r w:rsidR="00216ED4" w:rsidRPr="006D4E15">
        <w:rPr>
          <w:rFonts w:ascii="Times New Roman" w:hAnsi="Times New Roman"/>
        </w:rPr>
        <w:t>might</w:t>
      </w:r>
      <w:r w:rsidRPr="006D4E15">
        <w:rPr>
          <w:rFonts w:ascii="Times New Roman" w:hAnsi="Times New Roman"/>
        </w:rPr>
        <w:t xml:space="preserve"> require this Court to reopen and overrule this Court's decision in </w:t>
      </w:r>
      <w:r w:rsidRPr="006D4E15">
        <w:rPr>
          <w:rFonts w:ascii="Times New Roman" w:hAnsi="Times New Roman"/>
          <w:i/>
          <w:iCs/>
        </w:rPr>
        <w:t xml:space="preserve">Lepore </w:t>
      </w:r>
      <w:r w:rsidR="00391856" w:rsidRPr="006D4E15">
        <w:rPr>
          <w:rFonts w:ascii="Times New Roman" w:hAnsi="Times New Roman"/>
        </w:rPr>
        <w:t xml:space="preserve">that </w:t>
      </w:r>
      <w:r w:rsidRPr="006D4E15">
        <w:rPr>
          <w:rFonts w:ascii="Times New Roman" w:hAnsi="Times New Roman"/>
        </w:rPr>
        <w:t>a non</w:t>
      </w:r>
      <w:r w:rsidRPr="006D4E15">
        <w:rPr>
          <w:rFonts w:ascii="Times New Roman" w:hAnsi="Times New Roman"/>
        </w:rPr>
        <w:noBreakHyphen/>
        <w:t xml:space="preserve">delegable duty </w:t>
      </w:r>
      <w:r w:rsidR="00C6662F" w:rsidRPr="006D4E15">
        <w:rPr>
          <w:rFonts w:ascii="Times New Roman" w:hAnsi="Times New Roman"/>
        </w:rPr>
        <w:t>can</w:t>
      </w:r>
      <w:r w:rsidR="003B4341" w:rsidRPr="006D4E15">
        <w:rPr>
          <w:rFonts w:ascii="Times New Roman" w:hAnsi="Times New Roman"/>
        </w:rPr>
        <w:t xml:space="preserve">not arise </w:t>
      </w:r>
      <w:r w:rsidR="000D427F" w:rsidRPr="006D4E15">
        <w:rPr>
          <w:rFonts w:ascii="Times New Roman" w:hAnsi="Times New Roman"/>
        </w:rPr>
        <w:t xml:space="preserve">for </w:t>
      </w:r>
      <w:r w:rsidR="005567A0" w:rsidRPr="006D4E15">
        <w:rPr>
          <w:rFonts w:ascii="Times New Roman" w:hAnsi="Times New Roman"/>
        </w:rPr>
        <w:t xml:space="preserve">an action based upon </w:t>
      </w:r>
      <w:r w:rsidRPr="006D4E15">
        <w:rPr>
          <w:rFonts w:ascii="Times New Roman" w:hAnsi="Times New Roman"/>
        </w:rPr>
        <w:t>intentional wrongs by</w:t>
      </w:r>
      <w:r w:rsidR="00541549" w:rsidRPr="006D4E15">
        <w:rPr>
          <w:rFonts w:ascii="Times New Roman" w:hAnsi="Times New Roman"/>
        </w:rPr>
        <w:t xml:space="preserve"> </w:t>
      </w:r>
      <w:r w:rsidRPr="006D4E15">
        <w:rPr>
          <w:rFonts w:ascii="Times New Roman" w:hAnsi="Times New Roman"/>
        </w:rPr>
        <w:t>delegates</w:t>
      </w:r>
      <w:r w:rsidRPr="006D4E15">
        <w:rPr>
          <w:rStyle w:val="FootnoteReference"/>
          <w:rFonts w:ascii="Times New Roman" w:hAnsi="Times New Roman"/>
          <w:sz w:val="24"/>
        </w:rPr>
        <w:footnoteReference w:id="53"/>
      </w:r>
      <w:r w:rsidRPr="006D4E15">
        <w:rPr>
          <w:rFonts w:ascii="Times New Roman" w:hAnsi="Times New Roman"/>
        </w:rPr>
        <w:t xml:space="preserve"> in circumstances where the facts have not been pleaded or tested</w:t>
      </w:r>
      <w:r w:rsidR="0011171C" w:rsidRPr="006D4E15">
        <w:rPr>
          <w:rFonts w:ascii="Times New Roman" w:hAnsi="Times New Roman"/>
        </w:rPr>
        <w:t xml:space="preserve">. </w:t>
      </w:r>
      <w:r w:rsidR="00185C47" w:rsidRPr="006D4E15">
        <w:rPr>
          <w:rFonts w:ascii="Times New Roman" w:hAnsi="Times New Roman"/>
        </w:rPr>
        <w:t>At</w:t>
      </w:r>
      <w:r w:rsidR="00214310">
        <w:rPr>
          <w:rFonts w:ascii="Times New Roman" w:hAnsi="Times New Roman"/>
        </w:rPr>
        <w:t> </w:t>
      </w:r>
      <w:r w:rsidR="00185C47" w:rsidRPr="006D4E15">
        <w:rPr>
          <w:rFonts w:ascii="Times New Roman" w:hAnsi="Times New Roman"/>
        </w:rPr>
        <w:t xml:space="preserve">the </w:t>
      </w:r>
      <w:r w:rsidR="007949DC" w:rsidRPr="006D4E15">
        <w:rPr>
          <w:rFonts w:ascii="Times New Roman" w:hAnsi="Times New Roman"/>
        </w:rPr>
        <w:t xml:space="preserve">very </w:t>
      </w:r>
      <w:r w:rsidR="00185C47" w:rsidRPr="006D4E15">
        <w:rPr>
          <w:rFonts w:ascii="Times New Roman" w:hAnsi="Times New Roman"/>
        </w:rPr>
        <w:t xml:space="preserve">least, the notice of contention would require this Court to </w:t>
      </w:r>
      <w:r w:rsidR="001A5FEC" w:rsidRPr="006D4E15">
        <w:rPr>
          <w:rFonts w:ascii="Times New Roman" w:hAnsi="Times New Roman"/>
        </w:rPr>
        <w:t xml:space="preserve">consider </w:t>
      </w:r>
      <w:r w:rsidR="00F10CDD" w:rsidRPr="006D4E15">
        <w:rPr>
          <w:rFonts w:ascii="Times New Roman" w:hAnsi="Times New Roman"/>
        </w:rPr>
        <w:t xml:space="preserve">the existence of any </w:t>
      </w:r>
      <w:r w:rsidR="004F5513" w:rsidRPr="006D4E15">
        <w:rPr>
          <w:rFonts w:ascii="Times New Roman" w:hAnsi="Times New Roman"/>
        </w:rPr>
        <w:t>non-delegable duty</w:t>
      </w:r>
      <w:r w:rsidR="00B733F2" w:rsidRPr="006D4E15">
        <w:rPr>
          <w:rFonts w:ascii="Times New Roman" w:hAnsi="Times New Roman"/>
        </w:rPr>
        <w:t xml:space="preserve"> </w:t>
      </w:r>
      <w:r w:rsidR="008824F2" w:rsidRPr="006D4E15">
        <w:rPr>
          <w:rFonts w:ascii="Times New Roman" w:hAnsi="Times New Roman"/>
        </w:rPr>
        <w:t xml:space="preserve">to ensure that care is taken </w:t>
      </w:r>
      <w:r w:rsidR="005D3DC8" w:rsidRPr="006D4E15">
        <w:rPr>
          <w:rFonts w:ascii="Times New Roman" w:hAnsi="Times New Roman"/>
        </w:rPr>
        <w:t xml:space="preserve">in </w:t>
      </w:r>
      <w:r w:rsidR="003F43A5" w:rsidRPr="006D4E15">
        <w:rPr>
          <w:rFonts w:ascii="Times New Roman" w:hAnsi="Times New Roman"/>
        </w:rPr>
        <w:t xml:space="preserve">circumstances of </w:t>
      </w:r>
      <w:r w:rsidR="005D3DC8" w:rsidRPr="006D4E15">
        <w:rPr>
          <w:rFonts w:ascii="Times New Roman" w:hAnsi="Times New Roman"/>
        </w:rPr>
        <w:t>intentional wrongdoing.</w:t>
      </w:r>
      <w:r w:rsidR="00300102" w:rsidRPr="006D4E15">
        <w:rPr>
          <w:rStyle w:val="FootnoteReference"/>
          <w:rFonts w:ascii="Times New Roman" w:hAnsi="Times New Roman"/>
          <w:sz w:val="24"/>
        </w:rPr>
        <w:footnoteReference w:id="54"/>
      </w:r>
      <w:r w:rsidR="005D3DC8" w:rsidRPr="006D4E15">
        <w:rPr>
          <w:rFonts w:ascii="Times New Roman" w:hAnsi="Times New Roman"/>
        </w:rPr>
        <w:t xml:space="preserve"> </w:t>
      </w:r>
      <w:r w:rsidR="00300102" w:rsidRPr="006D4E15">
        <w:rPr>
          <w:rFonts w:ascii="Times New Roman" w:hAnsi="Times New Roman"/>
        </w:rPr>
        <w:t>Again,</w:t>
      </w:r>
      <w:r w:rsidR="00643FDD" w:rsidRPr="006D4E15">
        <w:rPr>
          <w:rFonts w:ascii="Times New Roman" w:hAnsi="Times New Roman"/>
        </w:rPr>
        <w:t> </w:t>
      </w:r>
      <w:r w:rsidR="00300102" w:rsidRPr="006D4E15">
        <w:rPr>
          <w:rFonts w:ascii="Times New Roman" w:hAnsi="Times New Roman"/>
        </w:rPr>
        <w:t xml:space="preserve">the factual basis for </w:t>
      </w:r>
      <w:r w:rsidR="00D20B3C" w:rsidRPr="006D4E15">
        <w:rPr>
          <w:rFonts w:ascii="Times New Roman" w:hAnsi="Times New Roman"/>
        </w:rPr>
        <w:t xml:space="preserve">such </w:t>
      </w:r>
      <w:r w:rsidR="00D0073E" w:rsidRPr="006D4E15">
        <w:rPr>
          <w:rFonts w:ascii="Times New Roman" w:hAnsi="Times New Roman"/>
        </w:rPr>
        <w:t xml:space="preserve">a </w:t>
      </w:r>
      <w:r w:rsidR="00300102" w:rsidRPr="006D4E15">
        <w:rPr>
          <w:rFonts w:ascii="Times New Roman" w:hAnsi="Times New Roman"/>
        </w:rPr>
        <w:t>duty w</w:t>
      </w:r>
      <w:r w:rsidR="00D0073E" w:rsidRPr="006D4E15">
        <w:rPr>
          <w:rFonts w:ascii="Times New Roman" w:hAnsi="Times New Roman"/>
        </w:rPr>
        <w:t>as</w:t>
      </w:r>
      <w:r w:rsidR="00300102" w:rsidRPr="006D4E15">
        <w:rPr>
          <w:rFonts w:ascii="Times New Roman" w:hAnsi="Times New Roman"/>
        </w:rPr>
        <w:t xml:space="preserve"> not pleaded or tested.</w:t>
      </w:r>
      <w:r w:rsidR="00D473D0" w:rsidRPr="006D4E15">
        <w:rPr>
          <w:rFonts w:ascii="Times New Roman" w:hAnsi="Times New Roman"/>
        </w:rPr>
        <w:t xml:space="preserve"> </w:t>
      </w:r>
      <w:r w:rsidR="0011171C" w:rsidRPr="006D4E15">
        <w:rPr>
          <w:rFonts w:ascii="Times New Roman" w:hAnsi="Times New Roman"/>
        </w:rPr>
        <w:t>Second</w:t>
      </w:r>
      <w:r w:rsidRPr="006D4E15">
        <w:rPr>
          <w:rFonts w:ascii="Times New Roman" w:hAnsi="Times New Roman"/>
        </w:rPr>
        <w:t>, during the course of oral submissions, the nature and content of the non</w:t>
      </w:r>
      <w:r w:rsidR="000C5AAE" w:rsidRPr="006D4E15">
        <w:rPr>
          <w:rFonts w:ascii="Times New Roman" w:hAnsi="Times New Roman"/>
        </w:rPr>
        <w:noBreakHyphen/>
      </w:r>
      <w:r w:rsidRPr="006D4E15">
        <w:rPr>
          <w:rFonts w:ascii="Times New Roman" w:hAnsi="Times New Roman"/>
        </w:rPr>
        <w:t>delegable duty propounded by DP was stated in less precise and arguably broader terms.</w:t>
      </w:r>
      <w:r w:rsidR="006137CA" w:rsidRPr="006D4E15">
        <w:rPr>
          <w:rFonts w:ascii="Times New Roman" w:hAnsi="Times New Roman"/>
        </w:rPr>
        <w:t xml:space="preserve"> </w:t>
      </w:r>
    </w:p>
    <w:p w14:paraId="2C0DD399" w14:textId="041F7C28" w:rsidR="002B7CDF" w:rsidRPr="006D4E15" w:rsidRDefault="00D21610" w:rsidP="006D4E15">
      <w:pPr>
        <w:pStyle w:val="FixListStyle"/>
        <w:spacing w:after="260" w:line="280" w:lineRule="exact"/>
        <w:ind w:right="0"/>
        <w:jc w:val="both"/>
        <w:rPr>
          <w:rFonts w:ascii="Times New Roman" w:hAnsi="Times New Roman"/>
        </w:rPr>
      </w:pPr>
      <w:r w:rsidRPr="006D4E15">
        <w:rPr>
          <w:rFonts w:ascii="Times New Roman" w:hAnsi="Times New Roman"/>
        </w:rPr>
        <w:tab/>
        <w:t>This Court is confined to deciding the issues which the court</w:t>
      </w:r>
      <w:r w:rsidR="0005478E" w:rsidRPr="006D4E15">
        <w:rPr>
          <w:rFonts w:ascii="Times New Roman" w:hAnsi="Times New Roman"/>
        </w:rPr>
        <w:t>s</w:t>
      </w:r>
      <w:r w:rsidRPr="006D4E15">
        <w:rPr>
          <w:rFonts w:ascii="Times New Roman" w:hAnsi="Times New Roman"/>
        </w:rPr>
        <w:t xml:space="preserve"> below were invited by DP to decide</w:t>
      </w:r>
      <w:r w:rsidR="002B52C7" w:rsidRPr="006D4E15">
        <w:rPr>
          <w:rFonts w:ascii="Times New Roman" w:hAnsi="Times New Roman"/>
        </w:rPr>
        <w:t xml:space="preserve"> and which remain in dispute </w:t>
      </w:r>
      <w:r w:rsidR="0005478E" w:rsidRPr="006D4E15">
        <w:rPr>
          <w:rFonts w:ascii="Times New Roman" w:hAnsi="Times New Roman"/>
        </w:rPr>
        <w:t>in this Court</w:t>
      </w:r>
      <w:r w:rsidRPr="006D4E15">
        <w:rPr>
          <w:rFonts w:ascii="Times New Roman" w:hAnsi="Times New Roman"/>
        </w:rPr>
        <w:t>. The notice of contention must be dismissed.</w:t>
      </w:r>
      <w:r w:rsidR="002B7CDF" w:rsidRPr="006D4E15">
        <w:rPr>
          <w:rFonts w:ascii="Times New Roman" w:hAnsi="Times New Roman"/>
        </w:rPr>
        <w:t xml:space="preserve"> </w:t>
      </w:r>
    </w:p>
    <w:p w14:paraId="0B6C166B" w14:textId="7813A5F1" w:rsidR="005B15A8" w:rsidRPr="006D4E15" w:rsidRDefault="00756D0A" w:rsidP="006D4E15">
      <w:pPr>
        <w:pStyle w:val="HeadingL1"/>
        <w:spacing w:after="260" w:line="280" w:lineRule="exact"/>
        <w:ind w:right="0"/>
        <w:jc w:val="both"/>
        <w:rPr>
          <w:rFonts w:ascii="Times New Roman" w:hAnsi="Times New Roman"/>
        </w:rPr>
      </w:pPr>
      <w:r w:rsidRPr="006D4E15">
        <w:rPr>
          <w:rFonts w:ascii="Times New Roman" w:hAnsi="Times New Roman"/>
        </w:rPr>
        <w:t>Vi</w:t>
      </w:r>
      <w:r w:rsidR="00257BBD" w:rsidRPr="006D4E15">
        <w:rPr>
          <w:rFonts w:ascii="Times New Roman" w:hAnsi="Times New Roman"/>
        </w:rPr>
        <w:t>carious liability</w:t>
      </w:r>
    </w:p>
    <w:p w14:paraId="007E8727" w14:textId="069C3F33" w:rsidR="008C57D5" w:rsidRPr="006D4E15" w:rsidRDefault="005B15A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42C8F" w:rsidRPr="006D4E15">
        <w:rPr>
          <w:rFonts w:ascii="Times New Roman" w:hAnsi="Times New Roman"/>
        </w:rPr>
        <w:t>T</w:t>
      </w:r>
      <w:r w:rsidRPr="006D4E15">
        <w:rPr>
          <w:rFonts w:ascii="Times New Roman" w:hAnsi="Times New Roman"/>
        </w:rPr>
        <w:t>he third area</w:t>
      </w:r>
      <w:r w:rsidR="000617EA" w:rsidRPr="006D4E15">
        <w:rPr>
          <w:rFonts w:ascii="Times New Roman" w:hAnsi="Times New Roman"/>
        </w:rPr>
        <w:t xml:space="preserve"> </w:t>
      </w:r>
      <w:r w:rsidR="004F57D7" w:rsidRPr="006D4E15">
        <w:rPr>
          <w:rFonts w:ascii="Times New Roman" w:hAnsi="Times New Roman"/>
        </w:rPr>
        <w:t>of law</w:t>
      </w:r>
      <w:r w:rsidR="00257FF4" w:rsidRPr="006D4E15">
        <w:rPr>
          <w:rFonts w:ascii="Times New Roman" w:hAnsi="Times New Roman"/>
        </w:rPr>
        <w:t xml:space="preserve"> </w:t>
      </w:r>
      <w:r w:rsidR="004F57D7" w:rsidRPr="006D4E15" w:rsidDel="00D446AB">
        <w:rPr>
          <w:rFonts w:ascii="Times New Roman" w:hAnsi="Times New Roman"/>
        </w:rPr>
        <w:t xml:space="preserve">where the expression </w:t>
      </w:r>
      <w:r w:rsidR="00283187" w:rsidRPr="006D4E15">
        <w:rPr>
          <w:rFonts w:ascii="Times New Roman" w:hAnsi="Times New Roman"/>
        </w:rPr>
        <w:t>vicarious liability</w:t>
      </w:r>
      <w:r w:rsidR="00283187" w:rsidRPr="006D4E15" w:rsidDel="00D446AB">
        <w:rPr>
          <w:rFonts w:ascii="Times New Roman" w:hAnsi="Times New Roman"/>
        </w:rPr>
        <w:t xml:space="preserve"> </w:t>
      </w:r>
      <w:r w:rsidR="004F57D7" w:rsidRPr="006D4E15" w:rsidDel="00D446AB">
        <w:rPr>
          <w:rFonts w:ascii="Times New Roman" w:hAnsi="Times New Roman"/>
        </w:rPr>
        <w:t>has been used</w:t>
      </w:r>
      <w:r w:rsidR="00E50AC7" w:rsidRPr="006D4E15" w:rsidDel="00D446AB">
        <w:rPr>
          <w:rFonts w:ascii="Times New Roman" w:hAnsi="Times New Roman"/>
        </w:rPr>
        <w:t>,</w:t>
      </w:r>
      <w:r w:rsidR="004F57D7" w:rsidRPr="006D4E15" w:rsidDel="00D446AB">
        <w:rPr>
          <w:rFonts w:ascii="Times New Roman" w:hAnsi="Times New Roman"/>
        </w:rPr>
        <w:t xml:space="preserve"> </w:t>
      </w:r>
      <w:r w:rsidR="00F33CFD" w:rsidRPr="006D4E15" w:rsidDel="00D446AB">
        <w:rPr>
          <w:rFonts w:ascii="Times New Roman" w:hAnsi="Times New Roman"/>
        </w:rPr>
        <w:t xml:space="preserve">and </w:t>
      </w:r>
      <w:r w:rsidR="00BB3E24" w:rsidRPr="006D4E15" w:rsidDel="00D446AB">
        <w:rPr>
          <w:rFonts w:ascii="Times New Roman" w:hAnsi="Times New Roman"/>
        </w:rPr>
        <w:t xml:space="preserve">where its </w:t>
      </w:r>
      <w:r w:rsidR="00F33CFD" w:rsidRPr="006D4E15" w:rsidDel="00D446AB">
        <w:rPr>
          <w:rFonts w:ascii="Times New Roman" w:hAnsi="Times New Roman"/>
        </w:rPr>
        <w:t>use</w:t>
      </w:r>
      <w:r w:rsidR="00BB3E24" w:rsidRPr="006D4E15" w:rsidDel="00D446AB">
        <w:rPr>
          <w:rFonts w:ascii="Times New Roman" w:hAnsi="Times New Roman"/>
        </w:rPr>
        <w:t xml:space="preserve"> is apposite</w:t>
      </w:r>
      <w:r w:rsidR="003D4EFB" w:rsidRPr="006D4E15">
        <w:rPr>
          <w:rFonts w:ascii="Times New Roman" w:hAnsi="Times New Roman"/>
        </w:rPr>
        <w:t>,</w:t>
      </w:r>
      <w:r w:rsidR="00542C8F" w:rsidRPr="006D4E15" w:rsidDel="00D446AB">
        <w:rPr>
          <w:rFonts w:ascii="Times New Roman" w:hAnsi="Times New Roman"/>
        </w:rPr>
        <w:t xml:space="preserve"> </w:t>
      </w:r>
      <w:r w:rsidR="00D446AB" w:rsidRPr="006D4E15">
        <w:rPr>
          <w:rFonts w:ascii="Times New Roman" w:hAnsi="Times New Roman"/>
        </w:rPr>
        <w:t>involves</w:t>
      </w:r>
      <w:r w:rsidR="00870D33" w:rsidRPr="006D4E15">
        <w:rPr>
          <w:rFonts w:ascii="Times New Roman" w:hAnsi="Times New Roman"/>
        </w:rPr>
        <w:t xml:space="preserve"> cases</w:t>
      </w:r>
      <w:r w:rsidR="00542C8F" w:rsidRPr="006D4E15" w:rsidDel="00870D33">
        <w:rPr>
          <w:rFonts w:ascii="Times New Roman" w:hAnsi="Times New Roman"/>
        </w:rPr>
        <w:t xml:space="preserve"> of </w:t>
      </w:r>
      <w:r w:rsidR="00306613" w:rsidRPr="006D4E15">
        <w:rPr>
          <w:rFonts w:ascii="Times New Roman" w:hAnsi="Times New Roman"/>
        </w:rPr>
        <w:t xml:space="preserve">secondary liability based on attribution of liability, not </w:t>
      </w:r>
      <w:r w:rsidR="0005478E" w:rsidRPr="006D4E15">
        <w:rPr>
          <w:rFonts w:ascii="Times New Roman" w:hAnsi="Times New Roman"/>
        </w:rPr>
        <w:t xml:space="preserve">attribution of the </w:t>
      </w:r>
      <w:r w:rsidR="00306613" w:rsidRPr="006D4E15">
        <w:rPr>
          <w:rFonts w:ascii="Times New Roman" w:hAnsi="Times New Roman"/>
        </w:rPr>
        <w:t xml:space="preserve">acts, </w:t>
      </w:r>
      <w:r w:rsidR="00864C61" w:rsidRPr="006D4E15">
        <w:rPr>
          <w:rFonts w:ascii="Times New Roman" w:hAnsi="Times New Roman"/>
        </w:rPr>
        <w:t xml:space="preserve">of a wrongdoer </w:t>
      </w:r>
      <w:r w:rsidR="00306613" w:rsidRPr="006D4E15">
        <w:rPr>
          <w:rFonts w:ascii="Times New Roman" w:hAnsi="Times New Roman"/>
        </w:rPr>
        <w:t>to a defendant.</w:t>
      </w:r>
      <w:r w:rsidR="008D7F54" w:rsidRPr="006D4E15">
        <w:rPr>
          <w:rFonts w:ascii="Times New Roman" w:hAnsi="Times New Roman"/>
        </w:rPr>
        <w:t xml:space="preserve"> </w:t>
      </w:r>
      <w:r w:rsidR="00B76E1A" w:rsidRPr="006D4E15">
        <w:rPr>
          <w:rFonts w:ascii="Times New Roman" w:hAnsi="Times New Roman"/>
        </w:rPr>
        <w:t xml:space="preserve">This is vicarious liability in its true </w:t>
      </w:r>
      <w:r w:rsidR="000E721F" w:rsidRPr="006D4E15">
        <w:rPr>
          <w:rFonts w:ascii="Times New Roman" w:hAnsi="Times New Roman"/>
        </w:rPr>
        <w:t xml:space="preserve">or </w:t>
      </w:r>
      <w:r w:rsidR="00B76E1A" w:rsidRPr="006D4E15">
        <w:rPr>
          <w:rFonts w:ascii="Times New Roman" w:hAnsi="Times New Roman"/>
        </w:rPr>
        <w:t>proper sense</w:t>
      </w:r>
      <w:r w:rsidR="00DE5405" w:rsidRPr="006D4E15">
        <w:rPr>
          <w:rFonts w:ascii="Times New Roman" w:hAnsi="Times New Roman"/>
        </w:rPr>
        <w:t xml:space="preserve"> –</w:t>
      </w:r>
      <w:r w:rsidR="00EE027E" w:rsidRPr="006D4E15">
        <w:rPr>
          <w:rFonts w:ascii="Times New Roman" w:hAnsi="Times New Roman"/>
        </w:rPr>
        <w:t xml:space="preserve"> </w:t>
      </w:r>
      <w:r w:rsidR="00C03374" w:rsidRPr="006D4E15">
        <w:rPr>
          <w:rFonts w:ascii="Times New Roman" w:hAnsi="Times New Roman"/>
        </w:rPr>
        <w:t>liability based on the attribution of the liability of another</w:t>
      </w:r>
      <w:r w:rsidR="00B76E1A" w:rsidRPr="006D4E15">
        <w:rPr>
          <w:rFonts w:ascii="Times New Roman" w:hAnsi="Times New Roman"/>
        </w:rPr>
        <w:t>.</w:t>
      </w:r>
      <w:r w:rsidR="00ED5D9D" w:rsidRPr="006D4E15">
        <w:rPr>
          <w:rStyle w:val="FootnoteReference"/>
          <w:rFonts w:ascii="Times New Roman" w:hAnsi="Times New Roman"/>
          <w:sz w:val="24"/>
        </w:rPr>
        <w:footnoteReference w:id="55"/>
      </w:r>
      <w:r w:rsidR="00B76E1A" w:rsidRPr="006D4E15">
        <w:rPr>
          <w:rFonts w:ascii="Times New Roman" w:hAnsi="Times New Roman"/>
        </w:rPr>
        <w:t xml:space="preserve"> </w:t>
      </w:r>
      <w:r w:rsidR="00366CFC" w:rsidRPr="006D4E15">
        <w:rPr>
          <w:rFonts w:ascii="Times New Roman" w:hAnsi="Times New Roman"/>
        </w:rPr>
        <w:t xml:space="preserve">As is self-evident, </w:t>
      </w:r>
      <w:r w:rsidR="00D45698" w:rsidRPr="006D4E15">
        <w:rPr>
          <w:rFonts w:ascii="Times New Roman" w:hAnsi="Times New Roman"/>
        </w:rPr>
        <w:t xml:space="preserve">vicarious liability </w:t>
      </w:r>
      <w:r w:rsidR="00FE0334" w:rsidRPr="006D4E15">
        <w:rPr>
          <w:rFonts w:ascii="Times New Roman" w:hAnsi="Times New Roman"/>
        </w:rPr>
        <w:t>is a form of strict liability</w:t>
      </w:r>
      <w:r w:rsidR="008C57D5" w:rsidRPr="006D4E15">
        <w:rPr>
          <w:rFonts w:ascii="Times New Roman" w:hAnsi="Times New Roman"/>
        </w:rPr>
        <w:t>, whereby a defendant is held liable for the wrongs of another</w:t>
      </w:r>
      <w:r w:rsidR="00366CFC" w:rsidRPr="006D4E15">
        <w:rPr>
          <w:rFonts w:ascii="Times New Roman" w:hAnsi="Times New Roman"/>
        </w:rPr>
        <w:t xml:space="preserve">, despite </w:t>
      </w:r>
      <w:r w:rsidR="00090A38" w:rsidRPr="006D4E15">
        <w:rPr>
          <w:rFonts w:ascii="Times New Roman" w:hAnsi="Times New Roman"/>
        </w:rPr>
        <w:t>the</w:t>
      </w:r>
      <w:r w:rsidR="00F4512A" w:rsidRPr="006D4E15">
        <w:rPr>
          <w:rFonts w:ascii="Times New Roman" w:hAnsi="Times New Roman"/>
        </w:rPr>
        <w:t xml:space="preserve"> defendant</w:t>
      </w:r>
      <w:r w:rsidR="00DE57D7" w:rsidRPr="006D4E15">
        <w:rPr>
          <w:rFonts w:ascii="Times New Roman" w:hAnsi="Times New Roman"/>
        </w:rPr>
        <w:t xml:space="preserve"> </w:t>
      </w:r>
      <w:r w:rsidR="00366CFC" w:rsidRPr="006D4E15">
        <w:rPr>
          <w:rFonts w:ascii="Times New Roman" w:hAnsi="Times New Roman"/>
        </w:rPr>
        <w:t>being free of fault</w:t>
      </w:r>
      <w:r w:rsidR="00246E58" w:rsidRPr="006D4E15">
        <w:rPr>
          <w:rFonts w:ascii="Times New Roman" w:hAnsi="Times New Roman"/>
        </w:rPr>
        <w:t>.</w:t>
      </w:r>
      <w:r w:rsidR="00246E58" w:rsidRPr="006D4E15">
        <w:rPr>
          <w:rStyle w:val="FootnoteReference"/>
          <w:rFonts w:ascii="Times New Roman" w:hAnsi="Times New Roman"/>
          <w:sz w:val="24"/>
        </w:rPr>
        <w:footnoteReference w:id="56"/>
      </w:r>
      <w:r w:rsidR="00246E58" w:rsidRPr="006D4E15">
        <w:rPr>
          <w:rFonts w:ascii="Times New Roman" w:hAnsi="Times New Roman"/>
        </w:rPr>
        <w:t xml:space="preserve"> </w:t>
      </w:r>
    </w:p>
    <w:p w14:paraId="51FAD9E3" w14:textId="7CCF0189" w:rsidR="00B43ABE" w:rsidRPr="006D4E15" w:rsidRDefault="00DF5EB5"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3E25EF" w:rsidRPr="006D4E15">
        <w:rPr>
          <w:rFonts w:ascii="Times New Roman" w:hAnsi="Times New Roman"/>
        </w:rPr>
        <w:t>T</w:t>
      </w:r>
      <w:r w:rsidR="002F6081" w:rsidRPr="006D4E15">
        <w:rPr>
          <w:rFonts w:ascii="Times New Roman" w:hAnsi="Times New Roman"/>
          <w:iCs/>
        </w:rPr>
        <w:t>he </w:t>
      </w:r>
      <w:r w:rsidR="002F6081" w:rsidRPr="006D4E15">
        <w:rPr>
          <w:rFonts w:ascii="Times New Roman" w:hAnsi="Times New Roman"/>
        </w:rPr>
        <w:t>common law of Australia</w:t>
      </w:r>
      <w:r w:rsidR="003E25EF" w:rsidRPr="006D4E15">
        <w:rPr>
          <w:rFonts w:ascii="Times New Roman" w:hAnsi="Times New Roman"/>
        </w:rPr>
        <w:t xml:space="preserve">, as </w:t>
      </w:r>
      <w:r w:rsidR="005A2760" w:rsidRPr="006D4E15">
        <w:rPr>
          <w:rFonts w:ascii="Times New Roman" w:hAnsi="Times New Roman"/>
        </w:rPr>
        <w:t xml:space="preserve">repeatedly </w:t>
      </w:r>
      <w:r w:rsidR="00BE287A" w:rsidRPr="006D4E15">
        <w:rPr>
          <w:rFonts w:ascii="Times New Roman" w:hAnsi="Times New Roman"/>
        </w:rPr>
        <w:t>stated</w:t>
      </w:r>
      <w:r w:rsidR="003E25EF" w:rsidRPr="006D4E15">
        <w:rPr>
          <w:rFonts w:ascii="Times New Roman" w:hAnsi="Times New Roman"/>
        </w:rPr>
        <w:t xml:space="preserve"> by this Court,</w:t>
      </w:r>
      <w:r w:rsidR="005A2760" w:rsidRPr="006D4E15">
        <w:rPr>
          <w:rStyle w:val="FootnoteReference"/>
          <w:rFonts w:ascii="Times New Roman" w:hAnsi="Times New Roman"/>
          <w:sz w:val="24"/>
        </w:rPr>
        <w:footnoteReference w:id="57"/>
      </w:r>
      <w:r w:rsidR="002F6081" w:rsidRPr="006D4E15">
        <w:rPr>
          <w:rFonts w:ascii="Times New Roman" w:hAnsi="Times New Roman"/>
        </w:rPr>
        <w:t xml:space="preserve"> has adhered to the rule that</w:t>
      </w:r>
      <w:r w:rsidR="008B16BC" w:rsidRPr="006D4E15">
        <w:rPr>
          <w:rFonts w:ascii="Times New Roman" w:hAnsi="Times New Roman"/>
        </w:rPr>
        <w:t xml:space="preserve"> a </w:t>
      </w:r>
      <w:r w:rsidR="00972269" w:rsidRPr="006D4E15">
        <w:rPr>
          <w:rFonts w:ascii="Times New Roman" w:hAnsi="Times New Roman"/>
        </w:rPr>
        <w:t xml:space="preserve">relationship of employment is a necessary precursor to a finding of vicarious liability. </w:t>
      </w:r>
      <w:r w:rsidR="0009639E" w:rsidRPr="006D4E15">
        <w:rPr>
          <w:rFonts w:ascii="Times New Roman" w:hAnsi="Times New Roman"/>
        </w:rPr>
        <w:t xml:space="preserve">In that context, a </w:t>
      </w:r>
      <w:r w:rsidR="00B43ABE" w:rsidRPr="006D4E15">
        <w:rPr>
          <w:rFonts w:ascii="Times New Roman" w:hAnsi="Times New Roman"/>
        </w:rPr>
        <w:t>relationship of employment operates within a legal framework</w:t>
      </w:r>
      <w:r w:rsidR="005D586D" w:rsidRPr="006D4E15">
        <w:rPr>
          <w:rFonts w:ascii="Times New Roman" w:hAnsi="Times New Roman"/>
        </w:rPr>
        <w:t>,</w:t>
      </w:r>
      <w:r w:rsidR="00B43ABE" w:rsidRPr="006D4E15">
        <w:rPr>
          <w:rFonts w:ascii="Times New Roman" w:hAnsi="Times New Roman"/>
        </w:rPr>
        <w:t xml:space="preserve"> defined by statute</w:t>
      </w:r>
      <w:r w:rsidR="00B43ABE" w:rsidRPr="006D4E15">
        <w:rPr>
          <w:rStyle w:val="FootnoteReference"/>
          <w:rFonts w:ascii="Times New Roman" w:hAnsi="Times New Roman"/>
          <w:sz w:val="24"/>
        </w:rPr>
        <w:footnoteReference w:id="58"/>
      </w:r>
      <w:r w:rsidR="00B43ABE" w:rsidRPr="006D4E15">
        <w:rPr>
          <w:rFonts w:ascii="Times New Roman" w:hAnsi="Times New Roman"/>
        </w:rPr>
        <w:t xml:space="preserve"> and by common law principles which inform the content and construction of a contract of employment.</w:t>
      </w:r>
      <w:r w:rsidR="00B43ABE" w:rsidRPr="006D4E15">
        <w:rPr>
          <w:rStyle w:val="FootnoteReference"/>
          <w:rFonts w:ascii="Times New Roman" w:hAnsi="Times New Roman"/>
          <w:sz w:val="24"/>
        </w:rPr>
        <w:footnoteReference w:id="59"/>
      </w:r>
      <w:r w:rsidR="005D586D" w:rsidRPr="006D4E15">
        <w:rPr>
          <w:rFonts w:ascii="Times New Roman" w:hAnsi="Times New Roman"/>
        </w:rPr>
        <w:t xml:space="preserve"> </w:t>
      </w:r>
    </w:p>
    <w:p w14:paraId="3604AE93" w14:textId="598B614D" w:rsidR="002B7E44" w:rsidRPr="006D4E15" w:rsidRDefault="00B43AB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E287A" w:rsidRPr="006D4E15">
        <w:rPr>
          <w:rFonts w:ascii="Times New Roman" w:hAnsi="Times New Roman"/>
        </w:rPr>
        <w:t xml:space="preserve">In Australia, an employer may be liable for the acts of its employees, but </w:t>
      </w:r>
      <w:r w:rsidR="00BE287A" w:rsidRPr="006D4E15" w:rsidDel="00E03EDA">
        <w:rPr>
          <w:rFonts w:ascii="Times New Roman" w:hAnsi="Times New Roman"/>
        </w:rPr>
        <w:t xml:space="preserve">there is </w:t>
      </w:r>
      <w:r w:rsidR="0078773F" w:rsidRPr="006D4E15" w:rsidDel="00E03EDA">
        <w:rPr>
          <w:rFonts w:ascii="Times New Roman" w:hAnsi="Times New Roman"/>
        </w:rPr>
        <w:t xml:space="preserve">no </w:t>
      </w:r>
      <w:r w:rsidR="0078773F" w:rsidRPr="006D4E15">
        <w:rPr>
          <w:rFonts w:ascii="Times New Roman" w:hAnsi="Times New Roman"/>
        </w:rPr>
        <w:t>vicarious liability</w:t>
      </w:r>
      <w:r w:rsidR="00185B11" w:rsidRPr="006D4E15">
        <w:rPr>
          <w:rFonts w:ascii="Times New Roman" w:hAnsi="Times New Roman"/>
        </w:rPr>
        <w:t>,</w:t>
      </w:r>
      <w:r w:rsidR="0078773F" w:rsidRPr="006D4E15">
        <w:rPr>
          <w:rFonts w:ascii="Times New Roman" w:hAnsi="Times New Roman"/>
        </w:rPr>
        <w:t xml:space="preserve"> </w:t>
      </w:r>
      <w:r w:rsidR="0005478E" w:rsidRPr="006D4E15">
        <w:rPr>
          <w:rFonts w:ascii="Times New Roman" w:hAnsi="Times New Roman"/>
        </w:rPr>
        <w:t xml:space="preserve">in the sense </w:t>
      </w:r>
      <w:r w:rsidR="00B57790" w:rsidRPr="006D4E15">
        <w:rPr>
          <w:rFonts w:ascii="Times New Roman" w:hAnsi="Times New Roman"/>
        </w:rPr>
        <w:t xml:space="preserve">it is </w:t>
      </w:r>
      <w:r w:rsidR="0005478E" w:rsidRPr="006D4E15">
        <w:rPr>
          <w:rFonts w:ascii="Times New Roman" w:hAnsi="Times New Roman"/>
        </w:rPr>
        <w:t>now being discussed</w:t>
      </w:r>
      <w:r w:rsidR="00185B11" w:rsidRPr="006D4E15">
        <w:rPr>
          <w:rFonts w:ascii="Times New Roman" w:hAnsi="Times New Roman"/>
        </w:rPr>
        <w:t>,</w:t>
      </w:r>
      <w:r w:rsidR="0005478E" w:rsidRPr="006D4E15">
        <w:rPr>
          <w:rFonts w:ascii="Times New Roman" w:hAnsi="Times New Roman"/>
        </w:rPr>
        <w:t xml:space="preserve"> </w:t>
      </w:r>
      <w:r w:rsidR="0078773F" w:rsidRPr="006D4E15">
        <w:rPr>
          <w:rFonts w:ascii="Times New Roman" w:hAnsi="Times New Roman"/>
        </w:rPr>
        <w:t xml:space="preserve">for the </w:t>
      </w:r>
      <w:r w:rsidR="00030A4F" w:rsidRPr="006D4E15">
        <w:rPr>
          <w:rFonts w:ascii="Times New Roman" w:hAnsi="Times New Roman"/>
        </w:rPr>
        <w:t xml:space="preserve">acts of </w:t>
      </w:r>
      <w:r w:rsidR="00433585" w:rsidRPr="006D4E15">
        <w:rPr>
          <w:rFonts w:ascii="Times New Roman" w:hAnsi="Times New Roman"/>
        </w:rPr>
        <w:t>those</w:t>
      </w:r>
      <w:r w:rsidR="00E02A5C" w:rsidRPr="006D4E15">
        <w:rPr>
          <w:rFonts w:ascii="Times New Roman" w:hAnsi="Times New Roman"/>
        </w:rPr>
        <w:t xml:space="preserve"> not in a relationship of employment</w:t>
      </w:r>
      <w:r w:rsidR="009E3DD2" w:rsidRPr="006D4E15">
        <w:rPr>
          <w:rFonts w:ascii="Times New Roman" w:hAnsi="Times New Roman"/>
        </w:rPr>
        <w:t xml:space="preserve">, namely </w:t>
      </w:r>
      <w:r w:rsidR="00030A4F" w:rsidRPr="006D4E15">
        <w:rPr>
          <w:rFonts w:ascii="Times New Roman" w:hAnsi="Times New Roman"/>
        </w:rPr>
        <w:t xml:space="preserve">acts of third parties </w:t>
      </w:r>
      <w:r w:rsidR="008B16BC" w:rsidRPr="006D4E15">
        <w:rPr>
          <w:rFonts w:ascii="Times New Roman" w:hAnsi="Times New Roman"/>
        </w:rPr>
        <w:t xml:space="preserve">outside of </w:t>
      </w:r>
      <w:r w:rsidR="00030A4F" w:rsidRPr="006D4E15">
        <w:rPr>
          <w:rFonts w:ascii="Times New Roman" w:hAnsi="Times New Roman"/>
        </w:rPr>
        <w:t>that context</w:t>
      </w:r>
      <w:r w:rsidR="00C3660E" w:rsidRPr="006D4E15">
        <w:rPr>
          <w:rFonts w:ascii="Times New Roman" w:hAnsi="Times New Roman"/>
        </w:rPr>
        <w:t xml:space="preserve">. </w:t>
      </w:r>
      <w:r w:rsidR="00D7310D" w:rsidRPr="006D4E15" w:rsidDel="00930FB6">
        <w:rPr>
          <w:rFonts w:ascii="Times New Roman" w:hAnsi="Times New Roman"/>
        </w:rPr>
        <w:t>I</w:t>
      </w:r>
      <w:r w:rsidR="003A76FF" w:rsidRPr="006D4E15" w:rsidDel="00930FB6">
        <w:rPr>
          <w:rFonts w:ascii="Times New Roman" w:hAnsi="Times New Roman"/>
        </w:rPr>
        <w:t>f</w:t>
      </w:r>
      <w:r w:rsidR="00476C87" w:rsidRPr="006D4E15">
        <w:rPr>
          <w:rFonts w:ascii="Times New Roman" w:hAnsi="Times New Roman"/>
        </w:rPr>
        <w:t> </w:t>
      </w:r>
      <w:r w:rsidR="003A76FF" w:rsidRPr="006D4E15" w:rsidDel="00930FB6">
        <w:rPr>
          <w:rFonts w:ascii="Times New Roman" w:hAnsi="Times New Roman"/>
        </w:rPr>
        <w:t>the act complained of is not that of an employee</w:t>
      </w:r>
      <w:r w:rsidR="001D1E1A" w:rsidRPr="006D4E15" w:rsidDel="00930FB6">
        <w:rPr>
          <w:rFonts w:ascii="Times New Roman" w:hAnsi="Times New Roman"/>
        </w:rPr>
        <w:t xml:space="preserve">, then the </w:t>
      </w:r>
      <w:r w:rsidR="00752C20" w:rsidRPr="006D4E15" w:rsidDel="00930FB6">
        <w:rPr>
          <w:rFonts w:ascii="Times New Roman" w:hAnsi="Times New Roman"/>
        </w:rPr>
        <w:t>defendant</w:t>
      </w:r>
      <w:r w:rsidR="001D1E1A" w:rsidRPr="006D4E15" w:rsidDel="00930FB6">
        <w:rPr>
          <w:rFonts w:ascii="Times New Roman" w:hAnsi="Times New Roman"/>
        </w:rPr>
        <w:t xml:space="preserve"> is not, without more, liable</w:t>
      </w:r>
      <w:r w:rsidR="00752C20" w:rsidRPr="006D4E15" w:rsidDel="00930FB6">
        <w:rPr>
          <w:rFonts w:ascii="Times New Roman" w:hAnsi="Times New Roman"/>
        </w:rPr>
        <w:t>.</w:t>
      </w:r>
      <w:r w:rsidR="00752C20" w:rsidRPr="006D4E15" w:rsidDel="00930FB6">
        <w:rPr>
          <w:rStyle w:val="FootnoteReference"/>
          <w:rFonts w:ascii="Times New Roman" w:hAnsi="Times New Roman"/>
          <w:sz w:val="24"/>
        </w:rPr>
        <w:footnoteReference w:id="60"/>
      </w:r>
      <w:r w:rsidR="004A3951" w:rsidRPr="006D4E15" w:rsidDel="00930FB6">
        <w:rPr>
          <w:rFonts w:ascii="Times New Roman" w:hAnsi="Times New Roman"/>
        </w:rPr>
        <w:t xml:space="preserve"> </w:t>
      </w:r>
      <w:r w:rsidR="00E56019" w:rsidRPr="006D4E15">
        <w:rPr>
          <w:rFonts w:ascii="Times New Roman" w:hAnsi="Times New Roman"/>
        </w:rPr>
        <w:t xml:space="preserve">Most recently, in </w:t>
      </w:r>
      <w:r w:rsidR="009421CD" w:rsidRPr="006D4E15">
        <w:rPr>
          <w:rFonts w:ascii="Times New Roman" w:hAnsi="Times New Roman"/>
          <w:i/>
          <w:iCs/>
        </w:rPr>
        <w:t xml:space="preserve">CCIG </w:t>
      </w:r>
      <w:r w:rsidR="009421CD" w:rsidRPr="006D4E15">
        <w:rPr>
          <w:rFonts w:ascii="Times New Roman" w:hAnsi="Times New Roman"/>
          <w:i/>
        </w:rPr>
        <w:t>Investments Pty Ltd v Schokman</w:t>
      </w:r>
      <w:r w:rsidR="009421CD" w:rsidRPr="006D4E15">
        <w:rPr>
          <w:rStyle w:val="FootnoteReference"/>
          <w:rFonts w:ascii="Times New Roman" w:hAnsi="Times New Roman"/>
          <w:iCs/>
          <w:sz w:val="24"/>
        </w:rPr>
        <w:footnoteReference w:id="61"/>
      </w:r>
      <w:r w:rsidR="009421CD" w:rsidRPr="006D4E15">
        <w:rPr>
          <w:rFonts w:ascii="Times New Roman" w:hAnsi="Times New Roman"/>
          <w:iCs/>
        </w:rPr>
        <w:t xml:space="preserve"> </w:t>
      </w:r>
      <w:r w:rsidR="00713C27" w:rsidRPr="006D4E15">
        <w:rPr>
          <w:rFonts w:ascii="Times New Roman" w:hAnsi="Times New Roman"/>
        </w:rPr>
        <w:t xml:space="preserve">– </w:t>
      </w:r>
      <w:r w:rsidR="009421CD" w:rsidRPr="006D4E15">
        <w:rPr>
          <w:rFonts w:ascii="Times New Roman" w:hAnsi="Times New Roman"/>
          <w:iCs/>
        </w:rPr>
        <w:t>decided after the Court of Appeal handed down the decision the subject of this appeal</w:t>
      </w:r>
      <w:r w:rsidR="00713C27" w:rsidRPr="006D4E15">
        <w:rPr>
          <w:rFonts w:ascii="Times New Roman" w:hAnsi="Times New Roman"/>
          <w:iCs/>
        </w:rPr>
        <w:t xml:space="preserve"> </w:t>
      </w:r>
      <w:r w:rsidR="00713C27" w:rsidRPr="006D4E15">
        <w:rPr>
          <w:rFonts w:ascii="Times New Roman" w:hAnsi="Times New Roman"/>
        </w:rPr>
        <w:t>–</w:t>
      </w:r>
      <w:r w:rsidR="009421CD" w:rsidRPr="006D4E15">
        <w:rPr>
          <w:rFonts w:ascii="Times New Roman" w:hAnsi="Times New Roman"/>
          <w:iCs/>
        </w:rPr>
        <w:t xml:space="preserve"> this</w:t>
      </w:r>
      <w:r w:rsidR="00643FDD" w:rsidRPr="006D4E15">
        <w:rPr>
          <w:rFonts w:ascii="Times New Roman" w:hAnsi="Times New Roman"/>
          <w:iCs/>
        </w:rPr>
        <w:t> </w:t>
      </w:r>
      <w:r w:rsidR="009421CD" w:rsidRPr="006D4E15">
        <w:rPr>
          <w:rFonts w:ascii="Times New Roman" w:hAnsi="Times New Roman"/>
          <w:iCs/>
        </w:rPr>
        <w:t xml:space="preserve">Court restated </w:t>
      </w:r>
      <w:r w:rsidR="00223B4A" w:rsidRPr="006D4E15">
        <w:rPr>
          <w:rFonts w:ascii="Times New Roman" w:hAnsi="Times New Roman"/>
          <w:iCs/>
        </w:rPr>
        <w:t xml:space="preserve">that the </w:t>
      </w:r>
      <w:r w:rsidR="00E47C3A" w:rsidRPr="006D4E15">
        <w:rPr>
          <w:rFonts w:ascii="Times New Roman" w:hAnsi="Times New Roman"/>
          <w:iCs/>
        </w:rPr>
        <w:t>"just limi</w:t>
      </w:r>
      <w:r w:rsidR="00AF6813" w:rsidRPr="006D4E15">
        <w:rPr>
          <w:rFonts w:ascii="Times New Roman" w:hAnsi="Times New Roman"/>
          <w:iCs/>
        </w:rPr>
        <w:t>ts</w:t>
      </w:r>
      <w:r w:rsidR="00E47C3A" w:rsidRPr="006D4E15">
        <w:rPr>
          <w:rFonts w:ascii="Times New Roman" w:hAnsi="Times New Roman"/>
          <w:iCs/>
        </w:rPr>
        <w:t>"</w:t>
      </w:r>
      <w:r w:rsidR="00FC2E99" w:rsidRPr="006D4E15">
        <w:rPr>
          <w:rFonts w:ascii="Times New Roman" w:hAnsi="Times New Roman"/>
          <w:iCs/>
        </w:rPr>
        <w:t>,</w:t>
      </w:r>
      <w:r w:rsidR="00076FA8" w:rsidRPr="006D4E15">
        <w:rPr>
          <w:rStyle w:val="FootnoteReference"/>
          <w:rFonts w:ascii="Times New Roman" w:hAnsi="Times New Roman"/>
          <w:iCs/>
          <w:sz w:val="24"/>
        </w:rPr>
        <w:footnoteReference w:id="62"/>
      </w:r>
      <w:r w:rsidR="009421CD" w:rsidRPr="006D4E15">
        <w:rPr>
          <w:rFonts w:ascii="Times New Roman" w:hAnsi="Times New Roman"/>
          <w:iCs/>
        </w:rPr>
        <w:t xml:space="preserve"> </w:t>
      </w:r>
      <w:r w:rsidR="00FC2E99" w:rsidRPr="006D4E15">
        <w:rPr>
          <w:rFonts w:ascii="Times New Roman" w:hAnsi="Times New Roman"/>
          <w:iCs/>
        </w:rPr>
        <w:t>or</w:t>
      </w:r>
      <w:r w:rsidR="00643FDD" w:rsidRPr="006D4E15">
        <w:rPr>
          <w:rFonts w:ascii="Times New Roman" w:hAnsi="Times New Roman"/>
          <w:iCs/>
        </w:rPr>
        <w:t> </w:t>
      </w:r>
      <w:r w:rsidR="00FC2E99" w:rsidRPr="006D4E15">
        <w:rPr>
          <w:rFonts w:ascii="Times New Roman" w:hAnsi="Times New Roman"/>
          <w:iCs/>
        </w:rPr>
        <w:t>"essential</w:t>
      </w:r>
      <w:r w:rsidR="00643FDD" w:rsidRPr="006D4E15">
        <w:rPr>
          <w:rFonts w:ascii="Times New Roman" w:hAnsi="Times New Roman"/>
          <w:iCs/>
        </w:rPr>
        <w:t> </w:t>
      </w:r>
      <w:r w:rsidR="00FC2E99" w:rsidRPr="006D4E15">
        <w:rPr>
          <w:rFonts w:ascii="Times New Roman" w:hAnsi="Times New Roman"/>
          <w:iCs/>
        </w:rPr>
        <w:t>requirement",</w:t>
      </w:r>
      <w:r w:rsidR="00FC2E99" w:rsidRPr="006D4E15">
        <w:rPr>
          <w:rStyle w:val="FootnoteReference"/>
          <w:rFonts w:ascii="Times New Roman" w:hAnsi="Times New Roman"/>
          <w:iCs/>
          <w:sz w:val="24"/>
        </w:rPr>
        <w:footnoteReference w:id="63"/>
      </w:r>
      <w:r w:rsidR="00FC2E99" w:rsidRPr="006D4E15">
        <w:rPr>
          <w:rFonts w:ascii="Times New Roman" w:hAnsi="Times New Roman"/>
          <w:iCs/>
        </w:rPr>
        <w:t xml:space="preserve"> </w:t>
      </w:r>
      <w:r w:rsidR="00E47C3A" w:rsidRPr="006D4E15">
        <w:rPr>
          <w:rFonts w:ascii="Times New Roman" w:hAnsi="Times New Roman"/>
          <w:iCs/>
        </w:rPr>
        <w:t>for this form of secondary or attributed liability</w:t>
      </w:r>
      <w:r w:rsidR="009421CD" w:rsidRPr="006D4E15">
        <w:rPr>
          <w:rFonts w:ascii="Times New Roman" w:hAnsi="Times New Roman"/>
          <w:iCs/>
        </w:rPr>
        <w:t xml:space="preserve">, </w:t>
      </w:r>
      <w:r w:rsidR="009421CD" w:rsidRPr="006D4E15">
        <w:rPr>
          <w:rFonts w:ascii="Times New Roman" w:hAnsi="Times New Roman"/>
          <w:iCs/>
        </w:rPr>
        <w:lastRenderedPageBreak/>
        <w:t>sometimes described as a rule of law,</w:t>
      </w:r>
      <w:r w:rsidR="00314988" w:rsidRPr="006D4E15">
        <w:rPr>
          <w:rStyle w:val="FootnoteReference"/>
          <w:rFonts w:ascii="Times New Roman" w:hAnsi="Times New Roman"/>
          <w:iCs/>
          <w:sz w:val="24"/>
        </w:rPr>
        <w:footnoteReference w:id="64"/>
      </w:r>
      <w:r w:rsidR="009421CD" w:rsidRPr="006D4E15">
        <w:rPr>
          <w:rFonts w:ascii="Times New Roman" w:hAnsi="Times New Roman"/>
          <w:iCs/>
        </w:rPr>
        <w:t xml:space="preserve"> </w:t>
      </w:r>
      <w:r w:rsidR="002E5AC0" w:rsidRPr="006D4E15">
        <w:rPr>
          <w:rFonts w:ascii="Times New Roman" w:hAnsi="Times New Roman"/>
          <w:iCs/>
        </w:rPr>
        <w:t>are</w:t>
      </w:r>
      <w:r w:rsidR="00643FDD" w:rsidRPr="006D4E15">
        <w:rPr>
          <w:rFonts w:ascii="Times New Roman" w:hAnsi="Times New Roman"/>
          <w:iCs/>
        </w:rPr>
        <w:t> </w:t>
      </w:r>
      <w:r w:rsidR="00E47C3A" w:rsidRPr="006D4E15">
        <w:rPr>
          <w:rFonts w:ascii="Times New Roman" w:hAnsi="Times New Roman"/>
          <w:iCs/>
        </w:rPr>
        <w:t>"marked out</w:t>
      </w:r>
      <w:r w:rsidR="00446E51" w:rsidRPr="006D4E15">
        <w:rPr>
          <w:rFonts w:ascii="Times New Roman" w:hAnsi="Times New Roman"/>
          <w:iCs/>
        </w:rPr>
        <w:t>"</w:t>
      </w:r>
      <w:r w:rsidR="00E47C3A" w:rsidRPr="006D4E15">
        <w:rPr>
          <w:rFonts w:ascii="Times New Roman" w:hAnsi="Times New Roman"/>
          <w:iCs/>
        </w:rPr>
        <w:t xml:space="preserve"> by</w:t>
      </w:r>
      <w:r w:rsidR="005B557A" w:rsidRPr="006D4E15">
        <w:rPr>
          <w:rFonts w:ascii="Times New Roman" w:hAnsi="Times New Roman"/>
          <w:iCs/>
        </w:rPr>
        <w:t> </w:t>
      </w:r>
      <w:r w:rsidR="00E47C3A" w:rsidRPr="006D4E15">
        <w:rPr>
          <w:rFonts w:ascii="Times New Roman" w:hAnsi="Times New Roman"/>
          <w:iCs/>
        </w:rPr>
        <w:t>the rule that the employee's wrongful act</w:t>
      </w:r>
      <w:r w:rsidR="00FC6A06" w:rsidRPr="006D4E15">
        <w:rPr>
          <w:rFonts w:ascii="Times New Roman" w:hAnsi="Times New Roman"/>
          <w:iCs/>
        </w:rPr>
        <w:t xml:space="preserve"> </w:t>
      </w:r>
      <w:r w:rsidR="00FC6A06" w:rsidRPr="006D4E15">
        <w:rPr>
          <w:rFonts w:ascii="Times New Roman" w:hAnsi="Times New Roman"/>
        </w:rPr>
        <w:t>–</w:t>
      </w:r>
      <w:r w:rsidR="00E47C3A" w:rsidRPr="006D4E15">
        <w:rPr>
          <w:rFonts w:ascii="Times New Roman" w:hAnsi="Times New Roman"/>
          <w:iCs/>
        </w:rPr>
        <w:t xml:space="preserve"> </w:t>
      </w:r>
      <w:r w:rsidR="000C320A" w:rsidRPr="006D4E15">
        <w:rPr>
          <w:rFonts w:ascii="Times New Roman" w:hAnsi="Times New Roman"/>
          <w:iCs/>
        </w:rPr>
        <w:t xml:space="preserve">for </w:t>
      </w:r>
      <w:r w:rsidR="00094259" w:rsidRPr="006D4E15">
        <w:rPr>
          <w:rFonts w:ascii="Times New Roman" w:hAnsi="Times New Roman"/>
          <w:iCs/>
        </w:rPr>
        <w:t xml:space="preserve">which </w:t>
      </w:r>
      <w:r w:rsidR="000C320A" w:rsidRPr="006D4E15">
        <w:rPr>
          <w:rFonts w:ascii="Times New Roman" w:hAnsi="Times New Roman"/>
          <w:iCs/>
        </w:rPr>
        <w:t xml:space="preserve">liability is attributed to </w:t>
      </w:r>
      <w:r w:rsidR="00E47C3A" w:rsidRPr="006D4E15">
        <w:rPr>
          <w:rFonts w:ascii="Times New Roman" w:hAnsi="Times New Roman"/>
          <w:iCs/>
        </w:rPr>
        <w:t>the employer</w:t>
      </w:r>
      <w:r w:rsidR="004F4287" w:rsidRPr="006D4E15">
        <w:rPr>
          <w:rFonts w:ascii="Times New Roman" w:hAnsi="Times New Roman"/>
          <w:iCs/>
        </w:rPr>
        <w:t xml:space="preserve"> </w:t>
      </w:r>
      <w:r w:rsidR="00FC6A06" w:rsidRPr="006D4E15">
        <w:rPr>
          <w:rFonts w:ascii="Times New Roman" w:hAnsi="Times New Roman"/>
        </w:rPr>
        <w:t>–</w:t>
      </w:r>
      <w:r w:rsidR="00E47C3A" w:rsidRPr="006D4E15">
        <w:rPr>
          <w:rFonts w:ascii="Times New Roman" w:hAnsi="Times New Roman"/>
          <w:iCs/>
        </w:rPr>
        <w:t xml:space="preserve"> </w:t>
      </w:r>
      <w:r w:rsidR="00094259" w:rsidRPr="006D4E15">
        <w:rPr>
          <w:rFonts w:ascii="Times New Roman" w:hAnsi="Times New Roman"/>
          <w:iCs/>
        </w:rPr>
        <w:t>"</w:t>
      </w:r>
      <w:r w:rsidR="00E47C3A" w:rsidRPr="006D4E15">
        <w:rPr>
          <w:rFonts w:ascii="Times New Roman" w:hAnsi="Times New Roman"/>
          <w:iCs/>
        </w:rPr>
        <w:t>must</w:t>
      </w:r>
      <w:r w:rsidR="00DE4F16">
        <w:rPr>
          <w:rFonts w:ascii="Times New Roman" w:hAnsi="Times New Roman"/>
          <w:iCs/>
        </w:rPr>
        <w:t> </w:t>
      </w:r>
      <w:r w:rsidR="00E47C3A" w:rsidRPr="006D4E15">
        <w:rPr>
          <w:rFonts w:ascii="Times New Roman" w:hAnsi="Times New Roman"/>
          <w:iCs/>
        </w:rPr>
        <w:t xml:space="preserve">be committed in </w:t>
      </w:r>
      <w:r w:rsidR="00601FE3" w:rsidRPr="006D4E15">
        <w:rPr>
          <w:rFonts w:ascii="Times New Roman" w:hAnsi="Times New Roman"/>
        </w:rPr>
        <w:t xml:space="preserve">the </w:t>
      </w:r>
      <w:r w:rsidR="0034484A" w:rsidRPr="006D4E15">
        <w:rPr>
          <w:rFonts w:ascii="Times New Roman" w:hAnsi="Times New Roman"/>
        </w:rPr>
        <w:t xml:space="preserve">course </w:t>
      </w:r>
      <w:r w:rsidR="00684187" w:rsidRPr="006D4E15">
        <w:rPr>
          <w:rFonts w:ascii="Times New Roman" w:hAnsi="Times New Roman"/>
        </w:rPr>
        <w:t>or scope</w:t>
      </w:r>
      <w:r w:rsidR="0034484A" w:rsidRPr="006D4E15">
        <w:rPr>
          <w:rFonts w:ascii="Times New Roman" w:hAnsi="Times New Roman"/>
        </w:rPr>
        <w:t xml:space="preserve"> of </w:t>
      </w:r>
      <w:r w:rsidR="00FD7168" w:rsidRPr="006D4E15">
        <w:rPr>
          <w:rFonts w:ascii="Times New Roman" w:hAnsi="Times New Roman"/>
        </w:rPr>
        <w:t xml:space="preserve">the </w:t>
      </w:r>
      <w:r w:rsidR="00601FE3" w:rsidRPr="006D4E15">
        <w:rPr>
          <w:rFonts w:ascii="Times New Roman" w:hAnsi="Times New Roman"/>
        </w:rPr>
        <w:t>employment</w:t>
      </w:r>
      <w:r w:rsidR="00B657A4" w:rsidRPr="006D4E15">
        <w:rPr>
          <w:rFonts w:ascii="Times New Roman" w:hAnsi="Times New Roman"/>
        </w:rPr>
        <w:t>"</w:t>
      </w:r>
      <w:r w:rsidR="009C3E27" w:rsidRPr="006D4E15">
        <w:rPr>
          <w:rFonts w:ascii="Times New Roman" w:hAnsi="Times New Roman"/>
        </w:rPr>
        <w:t>.</w:t>
      </w:r>
      <w:r w:rsidR="00B657A4" w:rsidRPr="006D4E15">
        <w:rPr>
          <w:rStyle w:val="FootnoteReference"/>
          <w:rFonts w:ascii="Times New Roman" w:hAnsi="Times New Roman"/>
          <w:sz w:val="24"/>
        </w:rPr>
        <w:footnoteReference w:id="65"/>
      </w:r>
      <w:r w:rsidR="009C3E27" w:rsidRPr="006D4E15">
        <w:rPr>
          <w:rFonts w:ascii="Times New Roman" w:hAnsi="Times New Roman"/>
        </w:rPr>
        <w:t xml:space="preserve"> </w:t>
      </w:r>
      <w:r w:rsidR="00496AA6" w:rsidRPr="006D4E15">
        <w:rPr>
          <w:rFonts w:ascii="Times New Roman" w:hAnsi="Times New Roman"/>
        </w:rPr>
        <w:t>The</w:t>
      </w:r>
      <w:r w:rsidR="00E42298" w:rsidRPr="006D4E15">
        <w:rPr>
          <w:rFonts w:ascii="Times New Roman" w:hAnsi="Times New Roman"/>
        </w:rPr>
        <w:t xml:space="preserve"> relevant inquiry</w:t>
      </w:r>
      <w:r w:rsidR="004A51E6" w:rsidRPr="006D4E15">
        <w:rPr>
          <w:rFonts w:ascii="Times New Roman" w:hAnsi="Times New Roman"/>
        </w:rPr>
        <w:t xml:space="preserve"> </w:t>
      </w:r>
      <w:r w:rsidR="00E42298" w:rsidRPr="006D4E15">
        <w:rPr>
          <w:rFonts w:ascii="Times New Roman" w:hAnsi="Times New Roman"/>
        </w:rPr>
        <w:t>is</w:t>
      </w:r>
      <w:r w:rsidR="00E67324" w:rsidRPr="006D4E15">
        <w:rPr>
          <w:rFonts w:ascii="Times New Roman" w:hAnsi="Times New Roman"/>
        </w:rPr>
        <w:t>,</w:t>
      </w:r>
      <w:r w:rsidR="00E42298" w:rsidRPr="006D4E15">
        <w:rPr>
          <w:rFonts w:ascii="Times New Roman" w:hAnsi="Times New Roman"/>
        </w:rPr>
        <w:t xml:space="preserve"> </w:t>
      </w:r>
      <w:r w:rsidR="00083A48" w:rsidRPr="006D4E15">
        <w:rPr>
          <w:rFonts w:ascii="Times New Roman" w:hAnsi="Times New Roman"/>
        </w:rPr>
        <w:t>theref</w:t>
      </w:r>
      <w:r w:rsidR="006B2E2A" w:rsidRPr="006D4E15">
        <w:rPr>
          <w:rFonts w:ascii="Times New Roman" w:hAnsi="Times New Roman"/>
        </w:rPr>
        <w:t>ore</w:t>
      </w:r>
      <w:r w:rsidR="00E67324" w:rsidRPr="006D4E15">
        <w:rPr>
          <w:rFonts w:ascii="Times New Roman" w:hAnsi="Times New Roman"/>
        </w:rPr>
        <w:t>,</w:t>
      </w:r>
      <w:r w:rsidR="006B2E2A" w:rsidRPr="006D4E15">
        <w:rPr>
          <w:rFonts w:ascii="Times New Roman" w:hAnsi="Times New Roman"/>
        </w:rPr>
        <w:t xml:space="preserve"> </w:t>
      </w:r>
      <w:r w:rsidR="00E42298" w:rsidRPr="006D4E15">
        <w:rPr>
          <w:rFonts w:ascii="Times New Roman" w:hAnsi="Times New Roman"/>
        </w:rPr>
        <w:t>twofold:</w:t>
      </w:r>
      <w:r w:rsidR="00DD6F88" w:rsidRPr="006D4E15">
        <w:rPr>
          <w:rStyle w:val="FootnoteReference"/>
          <w:rFonts w:ascii="Times New Roman" w:hAnsi="Times New Roman"/>
          <w:sz w:val="24"/>
        </w:rPr>
        <w:footnoteReference w:id="66"/>
      </w:r>
      <w:r w:rsidR="00E42298" w:rsidRPr="006D4E15">
        <w:rPr>
          <w:rFonts w:ascii="Times New Roman" w:hAnsi="Times New Roman"/>
        </w:rPr>
        <w:t xml:space="preserve"> whether </w:t>
      </w:r>
      <w:r w:rsidR="00560479" w:rsidRPr="006D4E15">
        <w:rPr>
          <w:rFonts w:ascii="Times New Roman" w:hAnsi="Times New Roman"/>
        </w:rPr>
        <w:t xml:space="preserve">the </w:t>
      </w:r>
      <w:r w:rsidR="00E42298" w:rsidRPr="006D4E15">
        <w:rPr>
          <w:rFonts w:ascii="Times New Roman" w:hAnsi="Times New Roman"/>
        </w:rPr>
        <w:t xml:space="preserve">alleged tortfeasor was </w:t>
      </w:r>
      <w:r w:rsidR="001E5CFB" w:rsidRPr="006D4E15">
        <w:rPr>
          <w:rFonts w:ascii="Times New Roman" w:hAnsi="Times New Roman"/>
        </w:rPr>
        <w:t xml:space="preserve">an employee </w:t>
      </w:r>
      <w:r w:rsidR="006B2E2A" w:rsidRPr="006D4E15">
        <w:rPr>
          <w:rFonts w:ascii="Times New Roman" w:hAnsi="Times New Roman"/>
        </w:rPr>
        <w:t>of the defendant</w:t>
      </w:r>
      <w:r w:rsidR="00A26FE2" w:rsidRPr="006D4E15">
        <w:rPr>
          <w:rFonts w:ascii="Times New Roman" w:hAnsi="Times New Roman"/>
        </w:rPr>
        <w:t>,</w:t>
      </w:r>
      <w:r w:rsidR="008455CB" w:rsidRPr="006D4E15">
        <w:rPr>
          <w:rStyle w:val="FootnoteReference"/>
          <w:rFonts w:ascii="Times New Roman" w:hAnsi="Times New Roman"/>
          <w:sz w:val="24"/>
        </w:rPr>
        <w:footnoteReference w:id="67"/>
      </w:r>
      <w:r w:rsidR="006B2E2A" w:rsidRPr="006D4E15">
        <w:rPr>
          <w:rFonts w:ascii="Times New Roman" w:hAnsi="Times New Roman"/>
        </w:rPr>
        <w:t xml:space="preserve"> </w:t>
      </w:r>
      <w:r w:rsidR="001E5CFB" w:rsidRPr="006D4E15">
        <w:rPr>
          <w:rFonts w:ascii="Times New Roman" w:hAnsi="Times New Roman"/>
        </w:rPr>
        <w:t>and then the separate question whether the relevant act or omission of the a</w:t>
      </w:r>
      <w:r w:rsidR="00492342" w:rsidRPr="006D4E15">
        <w:rPr>
          <w:rFonts w:ascii="Times New Roman" w:hAnsi="Times New Roman"/>
        </w:rPr>
        <w:t>lleged employee took place in the course or scope of that employment.</w:t>
      </w:r>
      <w:r w:rsidR="00492342" w:rsidRPr="006D4E15">
        <w:rPr>
          <w:rStyle w:val="FootnoteReference"/>
          <w:rFonts w:ascii="Times New Roman" w:hAnsi="Times New Roman"/>
          <w:sz w:val="24"/>
        </w:rPr>
        <w:footnoteReference w:id="68"/>
      </w:r>
      <w:r w:rsidR="00496AA6" w:rsidRPr="006D4E15">
        <w:rPr>
          <w:rFonts w:ascii="Times New Roman" w:hAnsi="Times New Roman"/>
        </w:rPr>
        <w:t xml:space="preserve"> </w:t>
      </w:r>
    </w:p>
    <w:p w14:paraId="0694715D" w14:textId="4277BA3F" w:rsidR="00775152" w:rsidRPr="006D4E15" w:rsidRDefault="0077515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18731D" w:rsidRPr="006D4E15">
        <w:rPr>
          <w:rFonts w:ascii="Times New Roman" w:hAnsi="Times New Roman"/>
        </w:rPr>
        <w:t xml:space="preserve">The </w:t>
      </w:r>
      <w:r w:rsidR="001A29AE" w:rsidRPr="006D4E15">
        <w:rPr>
          <w:rFonts w:ascii="Times New Roman" w:hAnsi="Times New Roman"/>
        </w:rPr>
        <w:t>issue</w:t>
      </w:r>
      <w:r w:rsidR="006B2E2A" w:rsidRPr="006D4E15">
        <w:rPr>
          <w:rFonts w:ascii="Times New Roman" w:hAnsi="Times New Roman"/>
        </w:rPr>
        <w:t xml:space="preserve"> </w:t>
      </w:r>
      <w:r w:rsidR="001A29AE" w:rsidRPr="006D4E15">
        <w:rPr>
          <w:rFonts w:ascii="Times New Roman" w:hAnsi="Times New Roman"/>
        </w:rPr>
        <w:t>is whether</w:t>
      </w:r>
      <w:r w:rsidR="0095317E" w:rsidRPr="006D4E15">
        <w:rPr>
          <w:rFonts w:ascii="Times New Roman" w:hAnsi="Times New Roman"/>
        </w:rPr>
        <w:t>,</w:t>
      </w:r>
      <w:r w:rsidR="001A29AE" w:rsidRPr="006D4E15">
        <w:rPr>
          <w:rFonts w:ascii="Times New Roman" w:hAnsi="Times New Roman"/>
        </w:rPr>
        <w:t xml:space="preserve"> </w:t>
      </w:r>
      <w:r w:rsidR="00747E70" w:rsidRPr="006D4E15">
        <w:rPr>
          <w:rFonts w:ascii="Times New Roman" w:hAnsi="Times New Roman"/>
        </w:rPr>
        <w:t xml:space="preserve">in </w:t>
      </w:r>
      <w:r w:rsidR="00C6483A" w:rsidRPr="006D4E15">
        <w:rPr>
          <w:rFonts w:ascii="Times New Roman" w:hAnsi="Times New Roman"/>
        </w:rPr>
        <w:t xml:space="preserve">undertaking </w:t>
      </w:r>
      <w:r w:rsidR="00747E70" w:rsidRPr="006D4E15">
        <w:rPr>
          <w:rFonts w:ascii="Times New Roman" w:hAnsi="Times New Roman"/>
        </w:rPr>
        <w:t>the first step</w:t>
      </w:r>
      <w:r w:rsidR="00C22694" w:rsidRPr="006D4E15">
        <w:rPr>
          <w:rFonts w:ascii="Times New Roman" w:hAnsi="Times New Roman"/>
        </w:rPr>
        <w:t xml:space="preserve"> of th</w:t>
      </w:r>
      <w:r w:rsidR="00DD5E67" w:rsidRPr="006D4E15">
        <w:rPr>
          <w:rFonts w:ascii="Times New Roman" w:hAnsi="Times New Roman"/>
        </w:rPr>
        <w:t>at</w:t>
      </w:r>
      <w:r w:rsidR="00C22694" w:rsidRPr="006D4E15">
        <w:rPr>
          <w:rFonts w:ascii="Times New Roman" w:hAnsi="Times New Roman"/>
        </w:rPr>
        <w:t xml:space="preserve"> inquiry, </w:t>
      </w:r>
      <w:r w:rsidR="00976235" w:rsidRPr="006D4E15">
        <w:rPr>
          <w:rFonts w:ascii="Times New Roman" w:hAnsi="Times New Roman"/>
        </w:rPr>
        <w:t>the Court</w:t>
      </w:r>
      <w:r w:rsidR="00FB352A" w:rsidRPr="006D4E15">
        <w:rPr>
          <w:rFonts w:ascii="Times New Roman" w:hAnsi="Times New Roman"/>
        </w:rPr>
        <w:t xml:space="preserve"> should now</w:t>
      </w:r>
      <w:r w:rsidR="006F7020" w:rsidRPr="006D4E15">
        <w:rPr>
          <w:rFonts w:ascii="Times New Roman" w:hAnsi="Times New Roman"/>
        </w:rPr>
        <w:t xml:space="preserve"> expand the boundaries of vicarious liability beyond a relationship of employment</w:t>
      </w:r>
      <w:r w:rsidR="004648C5" w:rsidRPr="006D4E15">
        <w:rPr>
          <w:rFonts w:ascii="Times New Roman" w:hAnsi="Times New Roman"/>
        </w:rPr>
        <w:t xml:space="preserve"> to one that is "akin to employment"</w:t>
      </w:r>
      <w:r w:rsidR="00FB352A" w:rsidRPr="006D4E15">
        <w:rPr>
          <w:rFonts w:ascii="Times New Roman" w:hAnsi="Times New Roman"/>
        </w:rPr>
        <w:t>.</w:t>
      </w:r>
      <w:r w:rsidR="001A29AE" w:rsidRPr="006D4E15">
        <w:rPr>
          <w:rFonts w:ascii="Times New Roman" w:hAnsi="Times New Roman"/>
        </w:rPr>
        <w:t xml:space="preserve"> Contrary to the decisions of the </w:t>
      </w:r>
      <w:r w:rsidR="004079A9" w:rsidRPr="006D4E15">
        <w:rPr>
          <w:rFonts w:ascii="Times New Roman" w:hAnsi="Times New Roman"/>
        </w:rPr>
        <w:t>c</w:t>
      </w:r>
      <w:r w:rsidR="001A29AE" w:rsidRPr="006D4E15">
        <w:rPr>
          <w:rFonts w:ascii="Times New Roman" w:hAnsi="Times New Roman"/>
        </w:rPr>
        <w:t>ourts below</w:t>
      </w:r>
      <w:r w:rsidR="004648C5" w:rsidRPr="006D4E15">
        <w:rPr>
          <w:rFonts w:ascii="Times New Roman" w:hAnsi="Times New Roman"/>
        </w:rPr>
        <w:t xml:space="preserve"> and the submissions of DP</w:t>
      </w:r>
      <w:r w:rsidR="001A29AE" w:rsidRPr="006D4E15">
        <w:rPr>
          <w:rFonts w:ascii="Times New Roman" w:hAnsi="Times New Roman"/>
        </w:rPr>
        <w:t xml:space="preserve">, the answer is </w:t>
      </w:r>
      <w:r w:rsidR="004F07A1" w:rsidRPr="006D4E15">
        <w:rPr>
          <w:rFonts w:ascii="Times New Roman" w:hAnsi="Times New Roman"/>
        </w:rPr>
        <w:t>n</w:t>
      </w:r>
      <w:r w:rsidR="0074135F" w:rsidRPr="006D4E15">
        <w:rPr>
          <w:rFonts w:ascii="Times New Roman" w:hAnsi="Times New Roman"/>
        </w:rPr>
        <w:t>o.</w:t>
      </w:r>
      <w:r w:rsidR="003B1315" w:rsidRPr="006D4E15">
        <w:rPr>
          <w:rFonts w:ascii="Times New Roman" w:hAnsi="Times New Roman"/>
        </w:rPr>
        <w:t xml:space="preserve"> </w:t>
      </w:r>
    </w:p>
    <w:p w14:paraId="07EFF5DB" w14:textId="60D72E5D" w:rsidR="00DA75A4" w:rsidRPr="006D4E15" w:rsidRDefault="00FB352A"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FB09C2" w:rsidRPr="006D4E15">
        <w:rPr>
          <w:rFonts w:ascii="Times New Roman" w:hAnsi="Times New Roman"/>
        </w:rPr>
        <w:t>V</w:t>
      </w:r>
      <w:r w:rsidR="00DA75A4" w:rsidRPr="006D4E15">
        <w:rPr>
          <w:rFonts w:ascii="Times New Roman" w:hAnsi="Times New Roman"/>
        </w:rPr>
        <w:t xml:space="preserve">icarious liability has had a tortured history </w:t>
      </w:r>
      <w:r w:rsidR="006B0DA7" w:rsidRPr="006D4E15">
        <w:rPr>
          <w:rFonts w:ascii="Times New Roman" w:hAnsi="Times New Roman"/>
        </w:rPr>
        <w:t xml:space="preserve">not only </w:t>
      </w:r>
      <w:r w:rsidR="00DA75A4" w:rsidRPr="006D4E15">
        <w:rPr>
          <w:rFonts w:ascii="Times New Roman" w:hAnsi="Times New Roman"/>
        </w:rPr>
        <w:t>in this Court</w:t>
      </w:r>
      <w:r w:rsidR="00DA75A4" w:rsidRPr="006D4E15">
        <w:rPr>
          <w:rStyle w:val="FootnoteReference"/>
          <w:rFonts w:ascii="Times New Roman" w:hAnsi="Times New Roman"/>
          <w:sz w:val="24"/>
        </w:rPr>
        <w:footnoteReference w:id="69"/>
      </w:r>
      <w:r w:rsidR="00DA75A4" w:rsidRPr="006D4E15">
        <w:rPr>
          <w:rFonts w:ascii="Times New Roman" w:hAnsi="Times New Roman"/>
        </w:rPr>
        <w:t xml:space="preserve"> </w:t>
      </w:r>
      <w:r w:rsidR="006B0DA7" w:rsidRPr="006D4E15">
        <w:rPr>
          <w:rFonts w:ascii="Times New Roman" w:hAnsi="Times New Roman"/>
        </w:rPr>
        <w:t>but also i</w:t>
      </w:r>
      <w:r w:rsidR="00DA75A4" w:rsidRPr="006D4E15">
        <w:rPr>
          <w:rFonts w:ascii="Times New Roman" w:hAnsi="Times New Roman"/>
        </w:rPr>
        <w:t>n other jurisdictions.</w:t>
      </w:r>
      <w:r w:rsidR="00DA75A4" w:rsidRPr="006D4E15">
        <w:rPr>
          <w:rStyle w:val="FootnoteReference"/>
          <w:rFonts w:ascii="Times New Roman" w:hAnsi="Times New Roman"/>
          <w:sz w:val="24"/>
        </w:rPr>
        <w:footnoteReference w:id="70"/>
      </w:r>
      <w:r w:rsidR="00DA75A4" w:rsidRPr="006D4E15">
        <w:rPr>
          <w:rFonts w:ascii="Times New Roman" w:hAnsi="Times New Roman"/>
        </w:rPr>
        <w:t xml:space="preserve"> So, for example, more than 20 years ago, in </w:t>
      </w:r>
      <w:r w:rsidR="00DA75A4" w:rsidRPr="006D4E15">
        <w:rPr>
          <w:rFonts w:ascii="Times New Roman" w:hAnsi="Times New Roman"/>
          <w:i/>
          <w:iCs/>
        </w:rPr>
        <w:t>Hollis</w:t>
      </w:r>
      <w:r w:rsidR="00DA75A4" w:rsidRPr="006D4E15">
        <w:rPr>
          <w:rFonts w:ascii="Times New Roman" w:hAnsi="Times New Roman"/>
        </w:rPr>
        <w:t>,</w:t>
      </w:r>
      <w:r w:rsidR="00DA75A4" w:rsidRPr="006D4E15">
        <w:rPr>
          <w:rStyle w:val="FootnoteReference"/>
          <w:rFonts w:ascii="Times New Roman" w:hAnsi="Times New Roman"/>
          <w:sz w:val="24"/>
        </w:rPr>
        <w:footnoteReference w:id="71"/>
      </w:r>
      <w:r w:rsidR="00DA75A4" w:rsidRPr="006D4E15">
        <w:rPr>
          <w:rFonts w:ascii="Times New Roman" w:hAnsi="Times New Roman"/>
        </w:rPr>
        <w:t xml:space="preserve"> this</w:t>
      </w:r>
      <w:r w:rsidR="00122C1A">
        <w:rPr>
          <w:rFonts w:ascii="Times New Roman" w:hAnsi="Times New Roman"/>
        </w:rPr>
        <w:t> </w:t>
      </w:r>
      <w:r w:rsidR="00DA75A4" w:rsidRPr="006D4E15">
        <w:rPr>
          <w:rFonts w:ascii="Times New Roman" w:hAnsi="Times New Roman"/>
        </w:rPr>
        <w:t>Court observed that the modern doctrine relating to vicarious liability of an employer for the torts committed by an employee "was adopted not by way of an exercise in analytical jurisprudence but as a matter of policy"</w:t>
      </w:r>
      <w:r w:rsidR="00DA75A4" w:rsidRPr="006D4E15">
        <w:rPr>
          <w:rStyle w:val="FootnoteReference"/>
          <w:rFonts w:ascii="Times New Roman" w:hAnsi="Times New Roman"/>
          <w:sz w:val="24"/>
        </w:rPr>
        <w:footnoteReference w:id="72"/>
      </w:r>
      <w:r w:rsidR="00DA75A4" w:rsidRPr="006D4E15">
        <w:rPr>
          <w:rFonts w:ascii="Times New Roman" w:hAnsi="Times New Roman"/>
        </w:rPr>
        <w:t xml:space="preserve"> and</w:t>
      </w:r>
      <w:r w:rsidR="007F137B" w:rsidRPr="006D4E15">
        <w:rPr>
          <w:rFonts w:ascii="Times New Roman" w:hAnsi="Times New Roman"/>
        </w:rPr>
        <w:t> </w:t>
      </w:r>
      <w:r w:rsidR="00DA75A4" w:rsidRPr="006D4E15">
        <w:rPr>
          <w:rFonts w:ascii="Times New Roman" w:hAnsi="Times New Roman"/>
        </w:rPr>
        <w:t>that "</w:t>
      </w:r>
      <w:r w:rsidR="006846B1" w:rsidRPr="006D4E15">
        <w:rPr>
          <w:rFonts w:ascii="Times New Roman" w:hAnsi="Times New Roman"/>
        </w:rPr>
        <w:t>[</w:t>
      </w:r>
      <w:r w:rsidR="00DA75A4" w:rsidRPr="006D4E15">
        <w:rPr>
          <w:rFonts w:ascii="Times New Roman" w:hAnsi="Times New Roman"/>
        </w:rPr>
        <w:t>a</w:t>
      </w:r>
      <w:r w:rsidR="006846B1" w:rsidRPr="006D4E15">
        <w:rPr>
          <w:rFonts w:ascii="Times New Roman" w:hAnsi="Times New Roman"/>
        </w:rPr>
        <w:t>]</w:t>
      </w:r>
      <w:r w:rsidR="00476C87" w:rsidRPr="006D4E15">
        <w:rPr>
          <w:rFonts w:ascii="Times New Roman" w:hAnsi="Times New Roman"/>
        </w:rPr>
        <w:t> </w:t>
      </w:r>
      <w:r w:rsidR="00DA75A4" w:rsidRPr="006D4E15">
        <w:rPr>
          <w:rFonts w:ascii="Times New Roman" w:hAnsi="Times New Roman"/>
        </w:rPr>
        <w:t>fully</w:t>
      </w:r>
      <w:r w:rsidR="00122C1A">
        <w:rPr>
          <w:rFonts w:ascii="Times New Roman" w:hAnsi="Times New Roman"/>
        </w:rPr>
        <w:t> </w:t>
      </w:r>
      <w:r w:rsidR="00DA75A4" w:rsidRPr="006D4E15">
        <w:rPr>
          <w:rFonts w:ascii="Times New Roman" w:hAnsi="Times New Roman"/>
        </w:rPr>
        <w:t>satisfactory rationale for the imposition of vicarious liability in the employment relationship" has proven to be quite elusive</w:t>
      </w:r>
      <w:r w:rsidR="00972C79" w:rsidRPr="006D4E15">
        <w:rPr>
          <w:rFonts w:ascii="Times New Roman" w:hAnsi="Times New Roman"/>
        </w:rPr>
        <w:t>.</w:t>
      </w:r>
      <w:r w:rsidR="00DA75A4" w:rsidRPr="006D4E15">
        <w:rPr>
          <w:rStyle w:val="FootnoteReference"/>
          <w:rFonts w:ascii="Times New Roman" w:hAnsi="Times New Roman"/>
          <w:sz w:val="24"/>
        </w:rPr>
        <w:footnoteReference w:id="73"/>
      </w:r>
      <w:r w:rsidR="00DA75A4" w:rsidRPr="006D4E15">
        <w:rPr>
          <w:rFonts w:ascii="Times New Roman" w:hAnsi="Times New Roman"/>
        </w:rPr>
        <w:t xml:space="preserve"> Since then, this Court has, more than once, repeated</w:t>
      </w:r>
      <w:r w:rsidR="00643FDD" w:rsidRPr="006D4E15">
        <w:rPr>
          <w:rFonts w:ascii="Times New Roman" w:hAnsi="Times New Roman"/>
        </w:rPr>
        <w:t> </w:t>
      </w:r>
      <w:r w:rsidR="00DA75A4" w:rsidRPr="006D4E15">
        <w:rPr>
          <w:rFonts w:ascii="Times New Roman" w:hAnsi="Times New Roman"/>
        </w:rPr>
        <w:t>those concerns describing vicarious liability</w:t>
      </w:r>
      <w:r w:rsidR="00F72F09" w:rsidRPr="006D4E15">
        <w:rPr>
          <w:rFonts w:ascii="Times New Roman" w:hAnsi="Times New Roman"/>
        </w:rPr>
        <w:t xml:space="preserve"> as</w:t>
      </w:r>
      <w:r w:rsidR="00DA75A4" w:rsidRPr="006D4E15">
        <w:rPr>
          <w:rFonts w:ascii="Times New Roman" w:hAnsi="Times New Roman"/>
        </w:rPr>
        <w:t>, among other things, an "unstable principle",</w:t>
      </w:r>
      <w:r w:rsidR="00DA75A4" w:rsidRPr="006D4E15">
        <w:rPr>
          <w:rStyle w:val="FootnoteReference"/>
          <w:rFonts w:ascii="Times New Roman" w:hAnsi="Times New Roman"/>
          <w:sz w:val="24"/>
        </w:rPr>
        <w:footnoteReference w:id="74"/>
      </w:r>
      <w:r w:rsidR="00DA75A4" w:rsidRPr="006D4E15">
        <w:rPr>
          <w:rFonts w:ascii="Times New Roman" w:hAnsi="Times New Roman"/>
        </w:rPr>
        <w:t xml:space="preserve"> for which a "coherent basis"</w:t>
      </w:r>
      <w:r w:rsidR="00DA75A4" w:rsidRPr="006D4E15">
        <w:rPr>
          <w:rStyle w:val="FootnoteReference"/>
          <w:rFonts w:ascii="Times New Roman" w:hAnsi="Times New Roman"/>
          <w:sz w:val="24"/>
        </w:rPr>
        <w:footnoteReference w:id="75"/>
      </w:r>
      <w:r w:rsidR="00DA75A4" w:rsidRPr="006D4E15">
        <w:rPr>
          <w:rFonts w:ascii="Times New Roman" w:hAnsi="Times New Roman"/>
        </w:rPr>
        <w:t xml:space="preserve"> and</w:t>
      </w:r>
      <w:r w:rsidR="00122C1A">
        <w:t> </w:t>
      </w:r>
      <w:r w:rsidR="00DA75A4" w:rsidRPr="006D4E15">
        <w:rPr>
          <w:rFonts w:ascii="Times New Roman" w:hAnsi="Times New Roman"/>
        </w:rPr>
        <w:t xml:space="preserve">"fully satisfactory rationale" for its imposition </w:t>
      </w:r>
      <w:r w:rsidR="00033EEB" w:rsidRPr="006D4E15">
        <w:rPr>
          <w:rFonts w:ascii="Times New Roman" w:hAnsi="Times New Roman"/>
        </w:rPr>
        <w:t xml:space="preserve">have </w:t>
      </w:r>
      <w:r w:rsidR="00DA75A4" w:rsidRPr="006D4E15">
        <w:rPr>
          <w:rFonts w:ascii="Times New Roman" w:hAnsi="Times New Roman"/>
        </w:rPr>
        <w:t xml:space="preserve">been "slow to appear in </w:t>
      </w:r>
      <w:r w:rsidR="00DA75A4" w:rsidRPr="006D4E15">
        <w:rPr>
          <w:rFonts w:ascii="Times New Roman" w:hAnsi="Times New Roman"/>
        </w:rPr>
        <w:lastRenderedPageBreak/>
        <w:t>the case law".</w:t>
      </w:r>
      <w:r w:rsidR="00DA75A4" w:rsidRPr="006D4E15">
        <w:rPr>
          <w:rStyle w:val="FootnoteReference"/>
          <w:rFonts w:ascii="Times New Roman" w:hAnsi="Times New Roman"/>
          <w:sz w:val="24"/>
        </w:rPr>
        <w:footnoteReference w:id="76"/>
      </w:r>
      <w:r w:rsidR="00DA75A4" w:rsidRPr="006D4E15">
        <w:rPr>
          <w:rFonts w:ascii="Times New Roman" w:hAnsi="Times New Roman"/>
        </w:rPr>
        <w:t xml:space="preserve"> </w:t>
      </w:r>
      <w:r w:rsidR="00550D01" w:rsidRPr="006D4E15">
        <w:rPr>
          <w:rFonts w:ascii="Times New Roman" w:hAnsi="Times New Roman"/>
        </w:rPr>
        <w:t xml:space="preserve">Part of the difficulty </w:t>
      </w:r>
      <w:r w:rsidR="00914983" w:rsidRPr="006D4E15">
        <w:rPr>
          <w:rFonts w:ascii="Times New Roman" w:hAnsi="Times New Roman"/>
        </w:rPr>
        <w:t xml:space="preserve">may have been the use of the expression "vicarious liability" to describe three different concepts. </w:t>
      </w:r>
      <w:r w:rsidR="00F02898" w:rsidRPr="006D4E15">
        <w:rPr>
          <w:rFonts w:ascii="Times New Roman" w:hAnsi="Times New Roman"/>
        </w:rPr>
        <w:t>But e</w:t>
      </w:r>
      <w:r w:rsidR="007500BA" w:rsidRPr="006D4E15">
        <w:rPr>
          <w:rFonts w:ascii="Times New Roman" w:hAnsi="Times New Roman"/>
        </w:rPr>
        <w:t xml:space="preserve">ven </w:t>
      </w:r>
      <w:r w:rsidR="00006572" w:rsidRPr="006D4E15">
        <w:rPr>
          <w:rFonts w:ascii="Times New Roman" w:hAnsi="Times New Roman"/>
        </w:rPr>
        <w:t>with</w:t>
      </w:r>
      <w:r w:rsidR="007500BA" w:rsidRPr="006D4E15">
        <w:rPr>
          <w:rFonts w:ascii="Times New Roman" w:hAnsi="Times New Roman"/>
        </w:rPr>
        <w:t xml:space="preserve"> vicarious liability in its true or proper sense – liability based on the attribution of the liability of another</w:t>
      </w:r>
      <w:r w:rsidR="007500BA" w:rsidRPr="006D4E15" w:rsidDel="007500BA">
        <w:rPr>
          <w:rFonts w:ascii="Times New Roman" w:hAnsi="Times New Roman"/>
        </w:rPr>
        <w:t xml:space="preserve"> </w:t>
      </w:r>
      <w:r w:rsidR="00A858EC" w:rsidRPr="006D4E15">
        <w:rPr>
          <w:rFonts w:ascii="Times New Roman" w:hAnsi="Times New Roman"/>
        </w:rPr>
        <w:t>–</w:t>
      </w:r>
      <w:r w:rsidR="00824E7D" w:rsidRPr="006D4E15">
        <w:rPr>
          <w:rFonts w:ascii="Times New Roman" w:hAnsi="Times New Roman"/>
        </w:rPr>
        <w:t xml:space="preserve"> this Court has not accepted</w:t>
      </w:r>
      <w:r w:rsidR="00A858EC" w:rsidRPr="006D4E15">
        <w:rPr>
          <w:rFonts w:ascii="Times New Roman" w:hAnsi="Times New Roman"/>
        </w:rPr>
        <w:t xml:space="preserve"> a</w:t>
      </w:r>
      <w:r w:rsidR="003D048B" w:rsidRPr="006D4E15">
        <w:rPr>
          <w:rFonts w:ascii="Times New Roman" w:hAnsi="Times New Roman"/>
        </w:rPr>
        <w:t xml:space="preserve">n overarching theory based on "enterprise </w:t>
      </w:r>
      <w:r w:rsidR="000D3C1F" w:rsidRPr="006D4E15">
        <w:rPr>
          <w:rFonts w:ascii="Times New Roman" w:hAnsi="Times New Roman"/>
        </w:rPr>
        <w:t>risk</w:t>
      </w:r>
      <w:r w:rsidR="003D048B" w:rsidRPr="006D4E15">
        <w:rPr>
          <w:rFonts w:ascii="Times New Roman" w:hAnsi="Times New Roman"/>
        </w:rPr>
        <w:t>"</w:t>
      </w:r>
      <w:r w:rsidR="00CF58D4" w:rsidRPr="006D4E15">
        <w:rPr>
          <w:rFonts w:ascii="Times New Roman" w:hAnsi="Times New Roman"/>
        </w:rPr>
        <w:t xml:space="preserve"> </w:t>
      </w:r>
      <w:r w:rsidR="00D35AF8" w:rsidRPr="006D4E15">
        <w:rPr>
          <w:rFonts w:ascii="Times New Roman" w:hAnsi="Times New Roman"/>
        </w:rPr>
        <w:t>beyond</w:t>
      </w:r>
      <w:r w:rsidR="00824E7D" w:rsidRPr="006D4E15">
        <w:rPr>
          <w:rFonts w:ascii="Times New Roman" w:hAnsi="Times New Roman"/>
        </w:rPr>
        <w:t xml:space="preserve"> any</w:t>
      </w:r>
      <w:r w:rsidR="00B27390" w:rsidRPr="006D4E15">
        <w:rPr>
          <w:rFonts w:ascii="Times New Roman" w:hAnsi="Times New Roman"/>
        </w:rPr>
        <w:t xml:space="preserve"> employment</w:t>
      </w:r>
      <w:r w:rsidR="00824E7D" w:rsidRPr="006D4E15">
        <w:rPr>
          <w:rFonts w:ascii="Times New Roman" w:hAnsi="Times New Roman"/>
        </w:rPr>
        <w:t xml:space="preserve"> relationship</w:t>
      </w:r>
      <w:r w:rsidR="00F02898" w:rsidRPr="006D4E15">
        <w:rPr>
          <w:rFonts w:ascii="Times New Roman" w:hAnsi="Times New Roman"/>
        </w:rPr>
        <w:t>.</w:t>
      </w:r>
      <w:r w:rsidR="00F02898" w:rsidRPr="006D4E15">
        <w:rPr>
          <w:rStyle w:val="FootnoteReference"/>
          <w:rFonts w:ascii="Times New Roman" w:hAnsi="Times New Roman"/>
          <w:sz w:val="24"/>
        </w:rPr>
        <w:footnoteReference w:id="77"/>
      </w:r>
      <w:r w:rsidR="00F02898" w:rsidRPr="006D4E15">
        <w:rPr>
          <w:rFonts w:ascii="Times New Roman" w:hAnsi="Times New Roman"/>
        </w:rPr>
        <w:t xml:space="preserve"> </w:t>
      </w:r>
      <w:r w:rsidR="00D35AF8" w:rsidRPr="006D4E15">
        <w:rPr>
          <w:rFonts w:ascii="Times New Roman" w:hAnsi="Times New Roman"/>
        </w:rPr>
        <w:t xml:space="preserve">Whether or not </w:t>
      </w:r>
      <w:r w:rsidR="00756792" w:rsidRPr="006D4E15">
        <w:rPr>
          <w:rFonts w:ascii="Times New Roman" w:hAnsi="Times New Roman"/>
        </w:rPr>
        <w:t>true vicarious liability can be explained by any theory</w:t>
      </w:r>
      <w:r w:rsidR="001A7D68" w:rsidRPr="006D4E15">
        <w:rPr>
          <w:rFonts w:ascii="Times New Roman" w:hAnsi="Times New Roman"/>
        </w:rPr>
        <w:t xml:space="preserve"> based on a relationship of employment</w:t>
      </w:r>
      <w:r w:rsidR="00B27390" w:rsidRPr="006D4E15">
        <w:rPr>
          <w:rFonts w:ascii="Times New Roman" w:hAnsi="Times New Roman"/>
        </w:rPr>
        <w:t>,</w:t>
      </w:r>
      <w:r w:rsidR="00DD3AED" w:rsidRPr="006D4E15">
        <w:rPr>
          <w:rStyle w:val="FootnoteReference"/>
          <w:rFonts w:ascii="Times New Roman" w:hAnsi="Times New Roman"/>
          <w:sz w:val="24"/>
        </w:rPr>
        <w:footnoteReference w:id="78"/>
      </w:r>
      <w:r w:rsidR="00B27390" w:rsidRPr="006D4E15">
        <w:rPr>
          <w:rFonts w:ascii="Times New Roman" w:hAnsi="Times New Roman"/>
        </w:rPr>
        <w:t xml:space="preserve"> </w:t>
      </w:r>
      <w:r w:rsidR="00756792" w:rsidRPr="006D4E15">
        <w:rPr>
          <w:rFonts w:ascii="Times New Roman" w:hAnsi="Times New Roman"/>
        </w:rPr>
        <w:t>a</w:t>
      </w:r>
      <w:r w:rsidR="00122C1A">
        <w:rPr>
          <w:rFonts w:ascii="Times New Roman" w:hAnsi="Times New Roman"/>
        </w:rPr>
        <w:t> </w:t>
      </w:r>
      <w:r w:rsidR="00A858EC" w:rsidRPr="006D4E15">
        <w:rPr>
          <w:rFonts w:ascii="Times New Roman" w:hAnsi="Times New Roman"/>
        </w:rPr>
        <w:t xml:space="preserve">relationship of employment </w:t>
      </w:r>
      <w:r w:rsidR="005D2976" w:rsidRPr="006D4E15">
        <w:rPr>
          <w:rFonts w:ascii="Times New Roman" w:hAnsi="Times New Roman"/>
        </w:rPr>
        <w:t xml:space="preserve">has always been </w:t>
      </w:r>
      <w:r w:rsidR="00A858EC" w:rsidRPr="006D4E15">
        <w:rPr>
          <w:rFonts w:ascii="Times New Roman" w:hAnsi="Times New Roman"/>
        </w:rPr>
        <w:t xml:space="preserve">a necessary precursor </w:t>
      </w:r>
      <w:r w:rsidR="005D2976" w:rsidRPr="006D4E15">
        <w:rPr>
          <w:rFonts w:ascii="Times New Roman" w:hAnsi="Times New Roman"/>
        </w:rPr>
        <w:t xml:space="preserve">in this country </w:t>
      </w:r>
      <w:r w:rsidR="00A858EC" w:rsidRPr="006D4E15">
        <w:rPr>
          <w:rFonts w:ascii="Times New Roman" w:hAnsi="Times New Roman"/>
        </w:rPr>
        <w:t>to a finding of vicarious liability</w:t>
      </w:r>
      <w:r w:rsidR="00A858EC" w:rsidRPr="006D4E15" w:rsidDel="007500BA">
        <w:rPr>
          <w:rFonts w:ascii="Times New Roman" w:hAnsi="Times New Roman"/>
        </w:rPr>
        <w:t xml:space="preserve"> </w:t>
      </w:r>
      <w:r w:rsidR="0001088D" w:rsidRPr="006D4E15">
        <w:rPr>
          <w:rFonts w:ascii="Times New Roman" w:hAnsi="Times New Roman"/>
        </w:rPr>
        <w:t>and</w:t>
      </w:r>
      <w:r w:rsidR="005D2976" w:rsidRPr="006D4E15">
        <w:rPr>
          <w:rFonts w:ascii="Times New Roman" w:hAnsi="Times New Roman"/>
        </w:rPr>
        <w:t xml:space="preserve"> it has always been necessary that</w:t>
      </w:r>
      <w:r w:rsidR="0001088D" w:rsidRPr="006D4E15">
        <w:rPr>
          <w:rFonts w:ascii="Times New Roman" w:hAnsi="Times New Roman"/>
        </w:rPr>
        <w:t xml:space="preserve"> the </w:t>
      </w:r>
      <w:r w:rsidR="00880BC3" w:rsidRPr="006D4E15">
        <w:rPr>
          <w:rFonts w:ascii="Times New Roman" w:hAnsi="Times New Roman"/>
        </w:rPr>
        <w:t xml:space="preserve">wrongful </w:t>
      </w:r>
      <w:r w:rsidR="006F26EF" w:rsidRPr="006D4E15">
        <w:rPr>
          <w:rFonts w:ascii="Times New Roman" w:hAnsi="Times New Roman"/>
        </w:rPr>
        <w:t xml:space="preserve">acts </w:t>
      </w:r>
      <w:r w:rsidR="006F26EF" w:rsidRPr="006D4E15">
        <w:rPr>
          <w:rFonts w:ascii="Times New Roman" w:hAnsi="Times New Roman"/>
          <w:iCs/>
        </w:rPr>
        <w:t xml:space="preserve">must be committed in </w:t>
      </w:r>
      <w:r w:rsidR="006F26EF" w:rsidRPr="006D4E15">
        <w:rPr>
          <w:rFonts w:ascii="Times New Roman" w:hAnsi="Times New Roman"/>
        </w:rPr>
        <w:t>the course or scope of the employment.</w:t>
      </w:r>
      <w:r w:rsidR="006F26EF" w:rsidRPr="006D4E15">
        <w:rPr>
          <w:rStyle w:val="FootnoteReference"/>
          <w:rFonts w:ascii="Times New Roman" w:hAnsi="Times New Roman"/>
          <w:sz w:val="24"/>
        </w:rPr>
        <w:footnoteReference w:id="79"/>
      </w:r>
      <w:r w:rsidR="006F26EF" w:rsidRPr="006D4E15">
        <w:rPr>
          <w:rFonts w:ascii="Times New Roman" w:hAnsi="Times New Roman"/>
        </w:rPr>
        <w:t xml:space="preserve"> </w:t>
      </w:r>
      <w:r w:rsidR="00B50DDB" w:rsidRPr="006D4E15">
        <w:rPr>
          <w:rFonts w:ascii="Times New Roman" w:hAnsi="Times New Roman"/>
        </w:rPr>
        <w:t>There is no</w:t>
      </w:r>
      <w:r w:rsidR="00DA75A4" w:rsidRPr="006D4E15">
        <w:rPr>
          <w:rFonts w:ascii="Times New Roman" w:hAnsi="Times New Roman"/>
        </w:rPr>
        <w:t xml:space="preserve"> </w:t>
      </w:r>
      <w:r w:rsidR="0009168A" w:rsidRPr="006D4E15">
        <w:rPr>
          <w:rFonts w:ascii="Times New Roman" w:hAnsi="Times New Roman"/>
        </w:rPr>
        <w:t>solid foundation for expansion of the doctrine</w:t>
      </w:r>
      <w:r w:rsidR="003000C2" w:rsidRPr="006D4E15">
        <w:rPr>
          <w:rFonts w:ascii="Times New Roman" w:hAnsi="Times New Roman"/>
        </w:rPr>
        <w:t xml:space="preserve"> or for </w:t>
      </w:r>
      <w:r w:rsidR="00CD2503" w:rsidRPr="006D4E15">
        <w:rPr>
          <w:rFonts w:ascii="Times New Roman" w:hAnsi="Times New Roman"/>
        </w:rPr>
        <w:t xml:space="preserve">its </w:t>
      </w:r>
      <w:r w:rsidR="003000C2" w:rsidRPr="006D4E15">
        <w:rPr>
          <w:rFonts w:ascii="Times New Roman" w:hAnsi="Times New Roman"/>
        </w:rPr>
        <w:t>bounds to be redrawn</w:t>
      </w:r>
      <w:r w:rsidR="00D159B0" w:rsidRPr="006D4E15">
        <w:rPr>
          <w:rFonts w:ascii="Times New Roman" w:hAnsi="Times New Roman"/>
        </w:rPr>
        <w:t>.</w:t>
      </w:r>
    </w:p>
    <w:p w14:paraId="677CE9DB" w14:textId="68FA0C36" w:rsidR="00CB71CB" w:rsidRPr="006D4E15" w:rsidRDefault="00DA75A4"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7719E" w:rsidRPr="006D4E15">
        <w:rPr>
          <w:rFonts w:ascii="Times New Roman" w:hAnsi="Times New Roman"/>
        </w:rPr>
        <w:t>O</w:t>
      </w:r>
      <w:r w:rsidR="00E13020" w:rsidRPr="006D4E15">
        <w:rPr>
          <w:rFonts w:ascii="Times New Roman" w:hAnsi="Times New Roman"/>
        </w:rPr>
        <w:t xml:space="preserve">ver the last </w:t>
      </w:r>
      <w:r w:rsidR="00F258E9" w:rsidRPr="006D4E15">
        <w:rPr>
          <w:rFonts w:ascii="Times New Roman" w:hAnsi="Times New Roman"/>
        </w:rPr>
        <w:t>25</w:t>
      </w:r>
      <w:r w:rsidR="00E13020" w:rsidRPr="006D4E15">
        <w:rPr>
          <w:rFonts w:ascii="Times New Roman" w:hAnsi="Times New Roman"/>
        </w:rPr>
        <w:t xml:space="preserve"> years, this Court </w:t>
      </w:r>
      <w:r w:rsidR="00363820" w:rsidRPr="006D4E15">
        <w:rPr>
          <w:rFonts w:ascii="Times New Roman" w:hAnsi="Times New Roman"/>
        </w:rPr>
        <w:t xml:space="preserve">has </w:t>
      </w:r>
      <w:r w:rsidR="00E13020" w:rsidRPr="006D4E15">
        <w:rPr>
          <w:rFonts w:ascii="Times New Roman" w:hAnsi="Times New Roman"/>
        </w:rPr>
        <w:t>repeatedly refused to extend the bound</w:t>
      </w:r>
      <w:r w:rsidR="00363820" w:rsidRPr="006D4E15">
        <w:rPr>
          <w:rFonts w:ascii="Times New Roman" w:hAnsi="Times New Roman"/>
        </w:rPr>
        <w:t>aries</w:t>
      </w:r>
      <w:r w:rsidR="00156E66" w:rsidRPr="006D4E15">
        <w:rPr>
          <w:rFonts w:ascii="Times New Roman" w:hAnsi="Times New Roman"/>
        </w:rPr>
        <w:t xml:space="preserve"> to include independent contractors</w:t>
      </w:r>
      <w:r w:rsidR="00E13020" w:rsidRPr="006D4E15">
        <w:rPr>
          <w:rStyle w:val="FootnoteReference"/>
          <w:rFonts w:ascii="Times New Roman" w:hAnsi="Times New Roman"/>
          <w:sz w:val="24"/>
        </w:rPr>
        <w:footnoteReference w:id="80"/>
      </w:r>
      <w:r w:rsidR="006A439E" w:rsidRPr="006D4E15">
        <w:rPr>
          <w:rFonts w:ascii="Times New Roman" w:hAnsi="Times New Roman"/>
        </w:rPr>
        <w:t xml:space="preserve"> </w:t>
      </w:r>
      <w:r w:rsidR="0005478E" w:rsidRPr="006D4E15">
        <w:rPr>
          <w:rFonts w:ascii="Times New Roman" w:hAnsi="Times New Roman"/>
        </w:rPr>
        <w:t xml:space="preserve">or </w:t>
      </w:r>
      <w:r w:rsidR="008A2D73" w:rsidRPr="006D4E15">
        <w:rPr>
          <w:rFonts w:ascii="Times New Roman" w:hAnsi="Times New Roman"/>
        </w:rPr>
        <w:t xml:space="preserve">to </w:t>
      </w:r>
      <w:r w:rsidR="0005478E" w:rsidRPr="006D4E15">
        <w:rPr>
          <w:rFonts w:ascii="Times New Roman" w:hAnsi="Times New Roman"/>
        </w:rPr>
        <w:t>extend</w:t>
      </w:r>
      <w:r w:rsidR="00C635C1" w:rsidRPr="006D4E15">
        <w:rPr>
          <w:rFonts w:ascii="Times New Roman" w:hAnsi="Times New Roman"/>
        </w:rPr>
        <w:t xml:space="preserve"> the doctrine</w:t>
      </w:r>
      <w:r w:rsidR="0005478E" w:rsidRPr="006D4E15">
        <w:rPr>
          <w:rFonts w:ascii="Times New Roman" w:hAnsi="Times New Roman"/>
        </w:rPr>
        <w:t xml:space="preserve"> </w:t>
      </w:r>
      <w:r w:rsidR="00472E8E" w:rsidRPr="006D4E15">
        <w:rPr>
          <w:rFonts w:ascii="Times New Roman" w:hAnsi="Times New Roman"/>
        </w:rPr>
        <w:t xml:space="preserve">by reference to </w:t>
      </w:r>
      <w:r w:rsidR="006D018E" w:rsidRPr="006D4E15">
        <w:rPr>
          <w:rFonts w:ascii="Times New Roman" w:hAnsi="Times New Roman"/>
        </w:rPr>
        <w:t xml:space="preserve">policy considerations </w:t>
      </w:r>
      <w:r w:rsidR="006B4BCA" w:rsidRPr="006D4E15">
        <w:rPr>
          <w:rFonts w:ascii="Times New Roman" w:hAnsi="Times New Roman"/>
        </w:rPr>
        <w:t>as</w:t>
      </w:r>
      <w:r w:rsidR="0005478E" w:rsidRPr="006D4E15">
        <w:rPr>
          <w:rFonts w:ascii="Times New Roman" w:hAnsi="Times New Roman"/>
        </w:rPr>
        <w:t xml:space="preserve"> </w:t>
      </w:r>
      <w:r w:rsidR="006D018E" w:rsidRPr="006D4E15">
        <w:rPr>
          <w:rFonts w:ascii="Times New Roman" w:hAnsi="Times New Roman"/>
        </w:rPr>
        <w:t xml:space="preserve">the sole or determinative basis for developing </w:t>
      </w:r>
      <w:r w:rsidR="006D018E" w:rsidRPr="006D4E15">
        <w:rPr>
          <w:rFonts w:ascii="Times New Roman" w:hAnsi="Times New Roman"/>
        </w:rPr>
        <w:lastRenderedPageBreak/>
        <w:t xml:space="preserve">the principle. </w:t>
      </w:r>
      <w:r w:rsidR="00B32255" w:rsidRPr="006D4E15">
        <w:rPr>
          <w:rFonts w:ascii="Times New Roman" w:hAnsi="Times New Roman"/>
        </w:rPr>
        <w:t xml:space="preserve">For </w:t>
      </w:r>
      <w:r w:rsidR="00232FFC" w:rsidRPr="006D4E15">
        <w:rPr>
          <w:rFonts w:ascii="Times New Roman" w:hAnsi="Times New Roman"/>
        </w:rPr>
        <w:t xml:space="preserve">this </w:t>
      </w:r>
      <w:r w:rsidR="00B32255" w:rsidRPr="006D4E15">
        <w:rPr>
          <w:rFonts w:ascii="Times New Roman" w:hAnsi="Times New Roman"/>
        </w:rPr>
        <w:t xml:space="preserve">Court to do so </w:t>
      </w:r>
      <w:r w:rsidR="00724587" w:rsidRPr="006D4E15">
        <w:rPr>
          <w:rFonts w:ascii="Times New Roman" w:hAnsi="Times New Roman"/>
        </w:rPr>
        <w:t>now</w:t>
      </w:r>
      <w:r w:rsidR="00C26BBE" w:rsidRPr="006D4E15">
        <w:rPr>
          <w:rFonts w:ascii="Times New Roman" w:hAnsi="Times New Roman"/>
        </w:rPr>
        <w:t xml:space="preserve"> </w:t>
      </w:r>
      <w:r w:rsidR="00B32255" w:rsidRPr="006D4E15">
        <w:rPr>
          <w:rFonts w:ascii="Times New Roman" w:hAnsi="Times New Roman"/>
        </w:rPr>
        <w:t xml:space="preserve">would require </w:t>
      </w:r>
      <w:r w:rsidR="00232FFC" w:rsidRPr="006D4E15">
        <w:rPr>
          <w:rFonts w:ascii="Times New Roman" w:hAnsi="Times New Roman"/>
        </w:rPr>
        <w:t xml:space="preserve">the </w:t>
      </w:r>
      <w:r w:rsidR="00B32255" w:rsidRPr="006D4E15">
        <w:rPr>
          <w:rFonts w:ascii="Times New Roman" w:hAnsi="Times New Roman"/>
        </w:rPr>
        <w:t xml:space="preserve">Court to revisit and overrule </w:t>
      </w:r>
      <w:r w:rsidR="00CE06B5" w:rsidRPr="006D4E15">
        <w:rPr>
          <w:rFonts w:ascii="Times New Roman" w:hAnsi="Times New Roman"/>
          <w:i/>
          <w:iCs/>
        </w:rPr>
        <w:t>Hollis</w:t>
      </w:r>
      <w:r w:rsidR="008E0D46" w:rsidRPr="006D4E15">
        <w:rPr>
          <w:rStyle w:val="FootnoteReference"/>
          <w:rFonts w:ascii="Times New Roman" w:hAnsi="Times New Roman"/>
          <w:sz w:val="24"/>
        </w:rPr>
        <w:footnoteReference w:id="81"/>
      </w:r>
      <w:r w:rsidR="00E21738" w:rsidRPr="006D4E15">
        <w:rPr>
          <w:rFonts w:ascii="Times New Roman" w:hAnsi="Times New Roman"/>
        </w:rPr>
        <w:t xml:space="preserve"> and</w:t>
      </w:r>
      <w:r w:rsidR="00436993" w:rsidRPr="006D4E15">
        <w:rPr>
          <w:rFonts w:ascii="Times New Roman" w:hAnsi="Times New Roman"/>
        </w:rPr>
        <w:t xml:space="preserve"> </w:t>
      </w:r>
      <w:r w:rsidR="009D7AE7" w:rsidRPr="006D4E15">
        <w:rPr>
          <w:rFonts w:ascii="Times New Roman" w:hAnsi="Times New Roman"/>
          <w:i/>
          <w:iCs/>
        </w:rPr>
        <w:t>Sweeney</w:t>
      </w:r>
      <w:r w:rsidR="008E0D46" w:rsidRPr="006D4E15">
        <w:rPr>
          <w:rStyle w:val="FootnoteReference"/>
          <w:rFonts w:ascii="Times New Roman" w:hAnsi="Times New Roman"/>
          <w:sz w:val="24"/>
        </w:rPr>
        <w:footnoteReference w:id="82"/>
      </w:r>
      <w:r w:rsidR="00436993" w:rsidRPr="006D4E15">
        <w:rPr>
          <w:rFonts w:ascii="Times New Roman" w:hAnsi="Times New Roman"/>
        </w:rPr>
        <w:t xml:space="preserve"> and at least aspects of </w:t>
      </w:r>
      <w:r w:rsidR="00275F79" w:rsidRPr="006D4E15">
        <w:rPr>
          <w:rFonts w:ascii="Times New Roman" w:hAnsi="Times New Roman"/>
          <w:i/>
          <w:iCs/>
        </w:rPr>
        <w:t>Scott</w:t>
      </w:r>
      <w:r w:rsidR="008E0D46" w:rsidRPr="006D4E15">
        <w:rPr>
          <w:rStyle w:val="FootnoteReference"/>
          <w:rFonts w:ascii="Times New Roman" w:hAnsi="Times New Roman"/>
          <w:sz w:val="24"/>
        </w:rPr>
        <w:footnoteReference w:id="83"/>
      </w:r>
      <w:r w:rsidR="00275F79" w:rsidRPr="006D4E15">
        <w:rPr>
          <w:rFonts w:ascii="Times New Roman" w:hAnsi="Times New Roman"/>
          <w:i/>
          <w:iCs/>
        </w:rPr>
        <w:t xml:space="preserve"> </w:t>
      </w:r>
      <w:r w:rsidR="00275F79" w:rsidRPr="006D4E15">
        <w:rPr>
          <w:rFonts w:ascii="Times New Roman" w:hAnsi="Times New Roman"/>
        </w:rPr>
        <w:t xml:space="preserve">and </w:t>
      </w:r>
      <w:r w:rsidR="00436993" w:rsidRPr="006D4E15">
        <w:rPr>
          <w:rFonts w:ascii="Times New Roman" w:hAnsi="Times New Roman"/>
          <w:i/>
          <w:iCs/>
        </w:rPr>
        <w:t>Lepore</w:t>
      </w:r>
      <w:r w:rsidR="006A18E6" w:rsidRPr="006D4E15">
        <w:rPr>
          <w:rFonts w:ascii="Times New Roman" w:hAnsi="Times New Roman"/>
        </w:rPr>
        <w:t>.</w:t>
      </w:r>
      <w:r w:rsidR="008E0D46" w:rsidRPr="006D4E15">
        <w:rPr>
          <w:rStyle w:val="FootnoteReference"/>
          <w:rFonts w:ascii="Times New Roman" w:hAnsi="Times New Roman"/>
          <w:sz w:val="24"/>
        </w:rPr>
        <w:footnoteReference w:id="84"/>
      </w:r>
      <w:r w:rsidR="007E4C44" w:rsidRPr="006D4E15">
        <w:rPr>
          <w:rFonts w:ascii="Times New Roman" w:hAnsi="Times New Roman"/>
        </w:rPr>
        <w:t xml:space="preserve"> </w:t>
      </w:r>
    </w:p>
    <w:p w14:paraId="3D54A856" w14:textId="05E89B3E" w:rsidR="007E61AB" w:rsidRPr="006D4E15" w:rsidRDefault="00CB71C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301CC" w:rsidRPr="006D4E15">
        <w:rPr>
          <w:rFonts w:ascii="Times New Roman" w:hAnsi="Times New Roman"/>
        </w:rPr>
        <w:t>T</w:t>
      </w:r>
      <w:r w:rsidR="00A91926" w:rsidRPr="006D4E15">
        <w:rPr>
          <w:rFonts w:ascii="Times New Roman" w:hAnsi="Times New Roman"/>
        </w:rPr>
        <w:t>he redrawing of the boundaries</w:t>
      </w:r>
      <w:r w:rsidR="00C4510D" w:rsidRPr="006D4E15">
        <w:rPr>
          <w:rFonts w:ascii="Times New Roman" w:hAnsi="Times New Roman"/>
        </w:rPr>
        <w:t xml:space="preserve"> in</w:t>
      </w:r>
      <w:r w:rsidR="00475919" w:rsidRPr="006D4E15">
        <w:rPr>
          <w:rFonts w:ascii="Times New Roman" w:hAnsi="Times New Roman"/>
        </w:rPr>
        <w:t xml:space="preserve"> Canada and the United Kingdom </w:t>
      </w:r>
      <w:r w:rsidR="0013107F" w:rsidRPr="006D4E15">
        <w:rPr>
          <w:rFonts w:ascii="Times New Roman" w:hAnsi="Times New Roman"/>
        </w:rPr>
        <w:t xml:space="preserve">of </w:t>
      </w:r>
      <w:r w:rsidR="00724587" w:rsidRPr="006D4E15">
        <w:rPr>
          <w:rFonts w:ascii="Times New Roman" w:hAnsi="Times New Roman"/>
        </w:rPr>
        <w:t xml:space="preserve">the </w:t>
      </w:r>
      <w:r w:rsidR="00515590" w:rsidRPr="006D4E15">
        <w:rPr>
          <w:rFonts w:ascii="Times New Roman" w:hAnsi="Times New Roman"/>
        </w:rPr>
        <w:t xml:space="preserve">relationships between a tortfeasor and one who may be liable for the conduct of the tortfeasor </w:t>
      </w:r>
      <w:r w:rsidR="000539EC" w:rsidRPr="006D4E15">
        <w:rPr>
          <w:rFonts w:ascii="Times New Roman" w:hAnsi="Times New Roman"/>
        </w:rPr>
        <w:t>under the rubric of "vicarious liability"</w:t>
      </w:r>
      <w:r w:rsidR="0013107F" w:rsidRPr="006D4E15">
        <w:rPr>
          <w:rFonts w:ascii="Times New Roman" w:hAnsi="Times New Roman"/>
        </w:rPr>
        <w:t xml:space="preserve"> </w:t>
      </w:r>
      <w:r w:rsidR="00A70814" w:rsidRPr="006D4E15">
        <w:rPr>
          <w:rFonts w:ascii="Times New Roman" w:hAnsi="Times New Roman"/>
        </w:rPr>
        <w:t>has</w:t>
      </w:r>
      <w:r w:rsidR="0013107F" w:rsidRPr="006D4E15">
        <w:rPr>
          <w:rFonts w:ascii="Times New Roman" w:hAnsi="Times New Roman"/>
        </w:rPr>
        <w:t xml:space="preserve"> </w:t>
      </w:r>
      <w:r w:rsidR="00000232" w:rsidRPr="006D4E15">
        <w:rPr>
          <w:rFonts w:ascii="Times New Roman" w:hAnsi="Times New Roman"/>
        </w:rPr>
        <w:t xml:space="preserve">previously been rejected </w:t>
      </w:r>
      <w:r w:rsidR="00436D7A" w:rsidRPr="006D4E15">
        <w:rPr>
          <w:rFonts w:ascii="Times New Roman" w:hAnsi="Times New Roman"/>
        </w:rPr>
        <w:t xml:space="preserve">by this Court on </w:t>
      </w:r>
      <w:r w:rsidR="00005568" w:rsidRPr="006D4E15">
        <w:rPr>
          <w:rFonts w:ascii="Times New Roman" w:hAnsi="Times New Roman"/>
        </w:rPr>
        <w:t xml:space="preserve">a number of </w:t>
      </w:r>
      <w:r w:rsidR="00436D7A" w:rsidRPr="006D4E15">
        <w:rPr>
          <w:rFonts w:ascii="Times New Roman" w:hAnsi="Times New Roman"/>
        </w:rPr>
        <w:t>occasions</w:t>
      </w:r>
      <w:r w:rsidR="005B391C" w:rsidRPr="006D4E15">
        <w:rPr>
          <w:rFonts w:ascii="Times New Roman" w:hAnsi="Times New Roman"/>
        </w:rPr>
        <w:t xml:space="preserve"> at a level of principle</w:t>
      </w:r>
      <w:r w:rsidR="0005478E" w:rsidRPr="006D4E15">
        <w:rPr>
          <w:rFonts w:ascii="Times New Roman" w:hAnsi="Times New Roman"/>
        </w:rPr>
        <w:t>. M</w:t>
      </w:r>
      <w:r w:rsidR="00005568" w:rsidRPr="006D4E15">
        <w:rPr>
          <w:rFonts w:ascii="Times New Roman" w:hAnsi="Times New Roman"/>
        </w:rPr>
        <w:t>oreover,</w:t>
      </w:r>
      <w:r w:rsidR="00E73FFF">
        <w:rPr>
          <w:rFonts w:ascii="Times New Roman" w:hAnsi="Times New Roman"/>
        </w:rPr>
        <w:t> </w:t>
      </w:r>
      <w:r w:rsidR="00005568" w:rsidRPr="006D4E15">
        <w:rPr>
          <w:rFonts w:ascii="Times New Roman" w:hAnsi="Times New Roman"/>
        </w:rPr>
        <w:t>s</w:t>
      </w:r>
      <w:r w:rsidR="00E71CBF" w:rsidRPr="006D4E15">
        <w:rPr>
          <w:rFonts w:ascii="Times New Roman" w:hAnsi="Times New Roman"/>
        </w:rPr>
        <w:t>ubsequent</w:t>
      </w:r>
      <w:r w:rsidR="002A703C" w:rsidRPr="006D4E15">
        <w:rPr>
          <w:rFonts w:ascii="Times New Roman" w:hAnsi="Times New Roman"/>
        </w:rPr>
        <w:t> </w:t>
      </w:r>
      <w:r w:rsidR="00E71CBF" w:rsidRPr="006D4E15">
        <w:rPr>
          <w:rFonts w:ascii="Times New Roman" w:hAnsi="Times New Roman"/>
        </w:rPr>
        <w:t xml:space="preserve">history has </w:t>
      </w:r>
      <w:r w:rsidR="00753A80" w:rsidRPr="006D4E15">
        <w:rPr>
          <w:rFonts w:ascii="Times New Roman" w:hAnsi="Times New Roman"/>
        </w:rPr>
        <w:t xml:space="preserve">also </w:t>
      </w:r>
      <w:r w:rsidR="00E71CBF" w:rsidRPr="006D4E15">
        <w:rPr>
          <w:rFonts w:ascii="Times New Roman" w:hAnsi="Times New Roman"/>
        </w:rPr>
        <w:t>shown that the expansion adopted by those countries has not been without difficulty.</w:t>
      </w:r>
    </w:p>
    <w:p w14:paraId="08207880" w14:textId="46F355A7" w:rsidR="003F55CC" w:rsidRPr="006D4E15" w:rsidRDefault="00674F9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CD488D" w:rsidRPr="006D4E15">
        <w:rPr>
          <w:rFonts w:ascii="Times New Roman" w:hAnsi="Times New Roman"/>
        </w:rPr>
        <w:t>Th</w:t>
      </w:r>
      <w:r w:rsidR="00FA77C5" w:rsidRPr="006D4E15">
        <w:rPr>
          <w:rFonts w:ascii="Times New Roman" w:hAnsi="Times New Roman"/>
        </w:rPr>
        <w:t>at</w:t>
      </w:r>
      <w:r w:rsidR="00CD488D" w:rsidRPr="006D4E15">
        <w:rPr>
          <w:rFonts w:ascii="Times New Roman" w:hAnsi="Times New Roman"/>
        </w:rPr>
        <w:t xml:space="preserve"> </w:t>
      </w:r>
      <w:r w:rsidR="00530D14" w:rsidRPr="006D4E15">
        <w:rPr>
          <w:rFonts w:ascii="Times New Roman" w:hAnsi="Times New Roman"/>
        </w:rPr>
        <w:t>redrawing</w:t>
      </w:r>
      <w:r w:rsidR="00B82E50" w:rsidRPr="006D4E15">
        <w:rPr>
          <w:rFonts w:ascii="Times New Roman" w:hAnsi="Times New Roman"/>
        </w:rPr>
        <w:t xml:space="preserve"> </w:t>
      </w:r>
      <w:r w:rsidR="00626C64" w:rsidRPr="006D4E15">
        <w:rPr>
          <w:rFonts w:ascii="Times New Roman" w:hAnsi="Times New Roman"/>
        </w:rPr>
        <w:t xml:space="preserve">arguably </w:t>
      </w:r>
      <w:r w:rsidR="00530D14" w:rsidRPr="006D4E15">
        <w:rPr>
          <w:rFonts w:ascii="Times New Roman" w:hAnsi="Times New Roman"/>
        </w:rPr>
        <w:t xml:space="preserve">started </w:t>
      </w:r>
      <w:r w:rsidR="002C5773" w:rsidRPr="006D4E15">
        <w:rPr>
          <w:rFonts w:ascii="Times New Roman" w:hAnsi="Times New Roman"/>
        </w:rPr>
        <w:t>with t</w:t>
      </w:r>
      <w:r w:rsidR="003F55CC" w:rsidRPr="006D4E15">
        <w:rPr>
          <w:rFonts w:ascii="Times New Roman" w:hAnsi="Times New Roman"/>
        </w:rPr>
        <w:t>he 1999 decision of the Supreme Court of Canada</w:t>
      </w:r>
      <w:r w:rsidR="003F55CC" w:rsidRPr="006D4E15" w:rsidDel="00627811">
        <w:rPr>
          <w:rFonts w:ascii="Times New Roman" w:hAnsi="Times New Roman"/>
        </w:rPr>
        <w:t xml:space="preserve"> </w:t>
      </w:r>
      <w:r w:rsidR="003F55CC" w:rsidRPr="006D4E15">
        <w:rPr>
          <w:rFonts w:ascii="Times New Roman" w:hAnsi="Times New Roman"/>
        </w:rPr>
        <w:t xml:space="preserve">in </w:t>
      </w:r>
      <w:r w:rsidR="003F55CC" w:rsidRPr="006D4E15">
        <w:rPr>
          <w:rFonts w:ascii="Times New Roman" w:hAnsi="Times New Roman"/>
          <w:i/>
          <w:iCs/>
        </w:rPr>
        <w:t>Bazley</w:t>
      </w:r>
      <w:r w:rsidR="003F55CC" w:rsidRPr="006D4E15" w:rsidDel="00CD0452">
        <w:rPr>
          <w:rFonts w:ascii="Times New Roman" w:hAnsi="Times New Roman"/>
        </w:rPr>
        <w:t xml:space="preserve"> </w:t>
      </w:r>
      <w:r w:rsidR="00B82E50" w:rsidRPr="006D4E15">
        <w:rPr>
          <w:rFonts w:ascii="Times New Roman" w:hAnsi="Times New Roman"/>
        </w:rPr>
        <w:t xml:space="preserve">which </w:t>
      </w:r>
      <w:r w:rsidR="003F55CC" w:rsidRPr="006D4E15">
        <w:rPr>
          <w:rFonts w:ascii="Times New Roman" w:hAnsi="Times New Roman"/>
        </w:rPr>
        <w:t>held that an employer could be vicariously liable for sexual assaults committed by an employee.</w:t>
      </w:r>
      <w:r w:rsidR="003F55CC" w:rsidRPr="006D4E15">
        <w:rPr>
          <w:rStyle w:val="FootnoteReference"/>
          <w:rFonts w:ascii="Times New Roman" w:hAnsi="Times New Roman"/>
          <w:sz w:val="24"/>
        </w:rPr>
        <w:footnoteReference w:id="85"/>
      </w:r>
      <w:r w:rsidR="003F55CC" w:rsidRPr="006D4E15">
        <w:rPr>
          <w:rFonts w:ascii="Times New Roman" w:hAnsi="Times New Roman"/>
        </w:rPr>
        <w:t xml:space="preserve"> </w:t>
      </w:r>
      <w:r w:rsidR="001E6E49" w:rsidRPr="006D4E15">
        <w:rPr>
          <w:rFonts w:ascii="Times New Roman" w:hAnsi="Times New Roman"/>
        </w:rPr>
        <w:t xml:space="preserve">That case focussed on whether there was a material increase in the risk of harm as a consequence of the employer's enterprise and duties entrusted to the employee. </w:t>
      </w:r>
      <w:r w:rsidR="003F55CC" w:rsidRPr="006D4E15">
        <w:rPr>
          <w:rFonts w:ascii="Times New Roman" w:hAnsi="Times New Roman"/>
        </w:rPr>
        <w:t>The</w:t>
      </w:r>
      <w:r w:rsidR="00187377" w:rsidRPr="006D4E15">
        <w:rPr>
          <w:rFonts w:ascii="Times New Roman" w:hAnsi="Times New Roman"/>
        </w:rPr>
        <w:t> </w:t>
      </w:r>
      <w:r w:rsidR="003F55CC" w:rsidRPr="006D4E15">
        <w:rPr>
          <w:rFonts w:ascii="Times New Roman" w:hAnsi="Times New Roman"/>
        </w:rPr>
        <w:t>imposition of liability on the employer in such circumstances was said to be justified by two policy considerations:</w:t>
      </w:r>
      <w:r w:rsidR="003F55CC" w:rsidRPr="006D4E15">
        <w:rPr>
          <w:rStyle w:val="FootnoteReference"/>
          <w:rFonts w:ascii="Times New Roman" w:hAnsi="Times New Roman"/>
          <w:sz w:val="24"/>
        </w:rPr>
        <w:footnoteReference w:id="86"/>
      </w:r>
      <w:r w:rsidR="003F55CC" w:rsidRPr="006D4E15">
        <w:rPr>
          <w:rFonts w:ascii="Times New Roman" w:hAnsi="Times New Roman"/>
        </w:rPr>
        <w:t xml:space="preserve"> first, that the employer carried on an enterprise which carried risks (and that employer should be liable if the risks materialised);</w:t>
      </w:r>
      <w:r w:rsidR="003F55CC" w:rsidRPr="006D4E15">
        <w:rPr>
          <w:rStyle w:val="FootnoteReference"/>
          <w:rFonts w:ascii="Times New Roman" w:hAnsi="Times New Roman"/>
          <w:sz w:val="24"/>
        </w:rPr>
        <w:footnoteReference w:id="87"/>
      </w:r>
      <w:r w:rsidR="003F55CC" w:rsidRPr="006D4E15">
        <w:rPr>
          <w:rFonts w:ascii="Times New Roman" w:hAnsi="Times New Roman"/>
        </w:rPr>
        <w:t xml:space="preserve"> and second, deterrence of future harm, including that holding the employer responsible would encourage the employer to take greater care when deciding who to employ.</w:t>
      </w:r>
      <w:r w:rsidR="003F55CC" w:rsidRPr="006D4E15">
        <w:rPr>
          <w:rStyle w:val="FootnoteReference"/>
          <w:rFonts w:ascii="Times New Roman" w:hAnsi="Times New Roman"/>
          <w:sz w:val="24"/>
        </w:rPr>
        <w:footnoteReference w:id="88"/>
      </w:r>
      <w:r w:rsidR="003F55CC" w:rsidRPr="006D4E15">
        <w:rPr>
          <w:rFonts w:ascii="Times New Roman" w:hAnsi="Times New Roman"/>
        </w:rPr>
        <w:t xml:space="preserve"> </w:t>
      </w:r>
    </w:p>
    <w:p w14:paraId="1A365120" w14:textId="677E7B46" w:rsidR="00176F17" w:rsidRPr="006D4E15" w:rsidRDefault="003F55CC" w:rsidP="006D4E15">
      <w:pPr>
        <w:pStyle w:val="FixListStyle"/>
        <w:spacing w:after="260" w:line="280" w:lineRule="exact"/>
        <w:ind w:right="0"/>
        <w:jc w:val="both"/>
        <w:rPr>
          <w:rFonts w:ascii="Times New Roman" w:hAnsi="Times New Roman"/>
        </w:rPr>
      </w:pPr>
      <w:r w:rsidRPr="006D4E15">
        <w:rPr>
          <w:rFonts w:ascii="Times New Roman" w:hAnsi="Times New Roman"/>
        </w:rPr>
        <w:tab/>
        <w:t>The</w:t>
      </w:r>
      <w:r w:rsidR="00F864A1" w:rsidRPr="006D4E15">
        <w:rPr>
          <w:rFonts w:ascii="Times New Roman" w:hAnsi="Times New Roman"/>
        </w:rPr>
        <w:t>n, in</w:t>
      </w:r>
      <w:r w:rsidRPr="006D4E15">
        <w:rPr>
          <w:rFonts w:ascii="Times New Roman" w:hAnsi="Times New Roman"/>
        </w:rPr>
        <w:t xml:space="preserve"> 2002</w:t>
      </w:r>
      <w:r w:rsidR="000D1314" w:rsidRPr="006D4E15">
        <w:rPr>
          <w:rFonts w:ascii="Times New Roman" w:hAnsi="Times New Roman"/>
        </w:rPr>
        <w:t>, a</w:t>
      </w:r>
      <w:r w:rsidRPr="006D4E15">
        <w:rPr>
          <w:rFonts w:ascii="Times New Roman" w:hAnsi="Times New Roman"/>
        </w:rPr>
        <w:t xml:space="preserve"> decision </w:t>
      </w:r>
      <w:r w:rsidR="00DB46A8" w:rsidRPr="006D4E15">
        <w:rPr>
          <w:rFonts w:ascii="Times New Roman" w:hAnsi="Times New Roman"/>
        </w:rPr>
        <w:t xml:space="preserve">of the </w:t>
      </w:r>
      <w:r w:rsidR="00A36737" w:rsidRPr="006D4E15">
        <w:rPr>
          <w:rFonts w:ascii="Times New Roman" w:hAnsi="Times New Roman"/>
        </w:rPr>
        <w:t>House of Lords</w:t>
      </w:r>
      <w:r w:rsidRPr="006D4E15">
        <w:rPr>
          <w:rFonts w:ascii="Times New Roman" w:hAnsi="Times New Roman"/>
        </w:rPr>
        <w:t xml:space="preserve"> in </w:t>
      </w:r>
      <w:r w:rsidRPr="006D4E15">
        <w:rPr>
          <w:rFonts w:ascii="Times New Roman" w:hAnsi="Times New Roman"/>
          <w:i/>
          <w:iCs/>
        </w:rPr>
        <w:t>Lister</w:t>
      </w:r>
      <w:r w:rsidR="00754E90" w:rsidRPr="006D4E15">
        <w:rPr>
          <w:rFonts w:ascii="Times New Roman" w:hAnsi="Times New Roman"/>
          <w:i/>
          <w:iCs/>
        </w:rPr>
        <w:t xml:space="preserve"> v </w:t>
      </w:r>
      <w:r w:rsidR="00372517" w:rsidRPr="006D4E15">
        <w:rPr>
          <w:rFonts w:ascii="Times New Roman" w:hAnsi="Times New Roman"/>
          <w:i/>
          <w:iCs/>
        </w:rPr>
        <w:t>H</w:t>
      </w:r>
      <w:r w:rsidR="00754E90" w:rsidRPr="006D4E15">
        <w:rPr>
          <w:rFonts w:ascii="Times New Roman" w:hAnsi="Times New Roman"/>
          <w:i/>
          <w:iCs/>
        </w:rPr>
        <w:t xml:space="preserve">esley Hall </w:t>
      </w:r>
      <w:r w:rsidR="00724FED" w:rsidRPr="006D4E15">
        <w:rPr>
          <w:rFonts w:ascii="Times New Roman" w:hAnsi="Times New Roman"/>
          <w:i/>
          <w:iCs/>
        </w:rPr>
        <w:t>Ltd</w:t>
      </w:r>
      <w:r w:rsidR="00DD5F44" w:rsidRPr="006D4E15">
        <w:rPr>
          <w:rFonts w:ascii="Times New Roman" w:hAnsi="Times New Roman"/>
        </w:rPr>
        <w:t>,</w:t>
      </w:r>
      <w:r w:rsidRPr="006D4E15">
        <w:rPr>
          <w:rStyle w:val="FootnoteReference"/>
          <w:rFonts w:ascii="Times New Roman" w:hAnsi="Times New Roman"/>
          <w:sz w:val="24"/>
        </w:rPr>
        <w:footnoteReference w:id="89"/>
      </w:r>
      <w:r w:rsidRPr="006D4E15">
        <w:rPr>
          <w:rFonts w:ascii="Times New Roman" w:hAnsi="Times New Roman"/>
        </w:rPr>
        <w:t xml:space="preserve"> another employment case</w:t>
      </w:r>
      <w:r w:rsidR="00DB46A8" w:rsidRPr="006D4E15">
        <w:rPr>
          <w:rFonts w:ascii="Times New Roman" w:hAnsi="Times New Roman"/>
        </w:rPr>
        <w:t xml:space="preserve"> in which an employer was found vicariously liable </w:t>
      </w:r>
      <w:r w:rsidR="00DB46A8" w:rsidRPr="006D4E15">
        <w:rPr>
          <w:rFonts w:ascii="Times New Roman" w:hAnsi="Times New Roman"/>
        </w:rPr>
        <w:lastRenderedPageBreak/>
        <w:t>for its employee warden's sexual assaults</w:t>
      </w:r>
      <w:r w:rsidR="00531965" w:rsidRPr="006D4E15">
        <w:rPr>
          <w:rFonts w:ascii="Times New Roman" w:hAnsi="Times New Roman"/>
        </w:rPr>
        <w:t>,</w:t>
      </w:r>
      <w:r w:rsidR="00BB7709" w:rsidRPr="006D4E15">
        <w:rPr>
          <w:rFonts w:ascii="Times New Roman" w:hAnsi="Times New Roman"/>
        </w:rPr>
        <w:t xml:space="preserve"> went further</w:t>
      </w:r>
      <w:r w:rsidR="00DB46A8" w:rsidRPr="006D4E15">
        <w:rPr>
          <w:rFonts w:ascii="Times New Roman" w:hAnsi="Times New Roman"/>
        </w:rPr>
        <w:t xml:space="preserve">. </w:t>
      </w:r>
      <w:r w:rsidR="001C1A3B" w:rsidRPr="006D4E15">
        <w:rPr>
          <w:rFonts w:ascii="Times New Roman" w:hAnsi="Times New Roman"/>
        </w:rPr>
        <w:t>The previous Canadian decisions (including</w:t>
      </w:r>
      <w:r w:rsidR="002A703C" w:rsidRPr="006D4E15">
        <w:rPr>
          <w:rFonts w:ascii="Times New Roman" w:hAnsi="Times New Roman"/>
        </w:rPr>
        <w:t> </w:t>
      </w:r>
      <w:r w:rsidR="001C1A3B" w:rsidRPr="006D4E15">
        <w:rPr>
          <w:rFonts w:ascii="Times New Roman" w:hAnsi="Times New Roman"/>
          <w:i/>
          <w:iCs/>
        </w:rPr>
        <w:t>Bazley</w:t>
      </w:r>
      <w:r w:rsidR="001C1A3B" w:rsidRPr="006D4E15">
        <w:rPr>
          <w:rFonts w:ascii="Times New Roman" w:hAnsi="Times New Roman"/>
        </w:rPr>
        <w:t>) were very influential.</w:t>
      </w:r>
      <w:r w:rsidR="001C1A3B" w:rsidRPr="006D4E15">
        <w:rPr>
          <w:rStyle w:val="FootnoteReference"/>
          <w:rFonts w:ascii="Times New Roman" w:hAnsi="Times New Roman"/>
          <w:sz w:val="24"/>
        </w:rPr>
        <w:footnoteReference w:id="90"/>
      </w:r>
      <w:r w:rsidR="001C1A3B" w:rsidRPr="006D4E15">
        <w:rPr>
          <w:rFonts w:ascii="Times New Roman" w:hAnsi="Times New Roman"/>
        </w:rPr>
        <w:t xml:space="preserve"> </w:t>
      </w:r>
      <w:r w:rsidR="007966F3" w:rsidRPr="006D4E15">
        <w:rPr>
          <w:rFonts w:ascii="Times New Roman" w:hAnsi="Times New Roman"/>
        </w:rPr>
        <w:t>The approach focu</w:t>
      </w:r>
      <w:r w:rsidR="00372517" w:rsidRPr="006D4E15">
        <w:rPr>
          <w:rFonts w:ascii="Times New Roman" w:hAnsi="Times New Roman"/>
        </w:rPr>
        <w:t>s</w:t>
      </w:r>
      <w:r w:rsidR="007966F3" w:rsidRPr="006D4E15">
        <w:rPr>
          <w:rFonts w:ascii="Times New Roman" w:hAnsi="Times New Roman"/>
        </w:rPr>
        <w:t xml:space="preserve">sed on </w:t>
      </w:r>
      <w:r w:rsidR="001C1A3B" w:rsidRPr="006D4E15">
        <w:rPr>
          <w:rFonts w:ascii="Times New Roman" w:hAnsi="Times New Roman"/>
        </w:rPr>
        <w:t xml:space="preserve">the </w:t>
      </w:r>
      <w:r w:rsidR="007966F3" w:rsidRPr="006D4E15">
        <w:rPr>
          <w:rFonts w:ascii="Times New Roman" w:hAnsi="Times New Roman"/>
        </w:rPr>
        <w:t>"relative closeness of the connection between the nature of the employment and the particular tort</w:t>
      </w:r>
      <w:r w:rsidR="001C1A3B" w:rsidRPr="006D4E15">
        <w:rPr>
          <w:rFonts w:ascii="Times New Roman" w:hAnsi="Times New Roman"/>
        </w:rPr>
        <w:t>"</w:t>
      </w:r>
      <w:r w:rsidR="001C1A3B" w:rsidRPr="006D4E15">
        <w:rPr>
          <w:rStyle w:val="FootnoteReference"/>
          <w:rFonts w:ascii="Times New Roman" w:hAnsi="Times New Roman"/>
          <w:sz w:val="24"/>
        </w:rPr>
        <w:footnoteReference w:id="91"/>
      </w:r>
      <w:r w:rsidR="001C1A3B" w:rsidRPr="006D4E15">
        <w:rPr>
          <w:rFonts w:ascii="Times New Roman" w:hAnsi="Times New Roman"/>
        </w:rPr>
        <w:t xml:space="preserve"> </w:t>
      </w:r>
      <w:r w:rsidR="00AE242D" w:rsidRPr="006D4E15">
        <w:rPr>
          <w:rFonts w:ascii="Times New Roman" w:hAnsi="Times New Roman"/>
        </w:rPr>
        <w:t xml:space="preserve">– </w:t>
      </w:r>
      <w:r w:rsidR="001C1A3B" w:rsidRPr="006D4E15">
        <w:rPr>
          <w:rFonts w:ascii="Times New Roman" w:hAnsi="Times New Roman"/>
        </w:rPr>
        <w:t xml:space="preserve">the degree of </w:t>
      </w:r>
      <w:r w:rsidR="007966F3" w:rsidRPr="006D4E15">
        <w:rPr>
          <w:rFonts w:ascii="Times New Roman" w:hAnsi="Times New Roman"/>
        </w:rPr>
        <w:t xml:space="preserve">connection between the </w:t>
      </w:r>
      <w:r w:rsidR="001C1A3B" w:rsidRPr="006D4E15">
        <w:rPr>
          <w:rFonts w:ascii="Times New Roman" w:hAnsi="Times New Roman"/>
        </w:rPr>
        <w:t>conduct</w:t>
      </w:r>
      <w:r w:rsidR="007966F3" w:rsidRPr="006D4E15">
        <w:rPr>
          <w:rFonts w:ascii="Times New Roman" w:hAnsi="Times New Roman"/>
        </w:rPr>
        <w:t xml:space="preserve"> and the employment </w:t>
      </w:r>
      <w:r w:rsidR="00D92938" w:rsidRPr="006D4E15">
        <w:rPr>
          <w:rFonts w:ascii="Times New Roman" w:hAnsi="Times New Roman"/>
        </w:rPr>
        <w:t xml:space="preserve">– </w:t>
      </w:r>
      <w:r w:rsidR="00731BC9" w:rsidRPr="006D4E15">
        <w:rPr>
          <w:rFonts w:ascii="Times New Roman" w:hAnsi="Times New Roman"/>
        </w:rPr>
        <w:t xml:space="preserve">which was to be shown </w:t>
      </w:r>
      <w:r w:rsidR="001C1A3B" w:rsidRPr="006D4E15">
        <w:rPr>
          <w:rFonts w:ascii="Times New Roman" w:hAnsi="Times New Roman"/>
        </w:rPr>
        <w:t>to warrant finding vicarious responsibility</w:t>
      </w:r>
      <w:r w:rsidR="007966F3" w:rsidRPr="006D4E15">
        <w:rPr>
          <w:rFonts w:ascii="Times New Roman" w:hAnsi="Times New Roman"/>
        </w:rPr>
        <w:t>.</w:t>
      </w:r>
      <w:r w:rsidR="007966F3" w:rsidRPr="006D4E15">
        <w:rPr>
          <w:rStyle w:val="FootnoteReference"/>
          <w:rFonts w:ascii="Times New Roman" w:hAnsi="Times New Roman"/>
          <w:sz w:val="24"/>
        </w:rPr>
        <w:footnoteReference w:id="92"/>
      </w:r>
      <w:r w:rsidR="001C1A3B" w:rsidRPr="006D4E15">
        <w:rPr>
          <w:rFonts w:ascii="Times New Roman" w:hAnsi="Times New Roman"/>
        </w:rPr>
        <w:t xml:space="preserve"> Specifically,</w:t>
      </w:r>
      <w:r w:rsidR="00DB46A8" w:rsidRPr="006D4E15">
        <w:rPr>
          <w:rFonts w:ascii="Times New Roman" w:hAnsi="Times New Roman"/>
        </w:rPr>
        <w:t xml:space="preserve"> </w:t>
      </w:r>
      <w:r w:rsidR="00237F99" w:rsidRPr="006D4E15">
        <w:rPr>
          <w:rFonts w:ascii="Times New Roman" w:hAnsi="Times New Roman"/>
        </w:rPr>
        <w:t xml:space="preserve">the question was </w:t>
      </w:r>
      <w:r w:rsidR="00DB46A8" w:rsidRPr="006D4E15">
        <w:rPr>
          <w:rFonts w:ascii="Times New Roman" w:hAnsi="Times New Roman"/>
        </w:rPr>
        <w:t>whether</w:t>
      </w:r>
      <w:r w:rsidR="002A703C" w:rsidRPr="006D4E15">
        <w:rPr>
          <w:rFonts w:ascii="Times New Roman" w:hAnsi="Times New Roman"/>
        </w:rPr>
        <w:t> </w:t>
      </w:r>
      <w:r w:rsidR="00DB46A8" w:rsidRPr="006D4E15">
        <w:rPr>
          <w:rFonts w:ascii="Times New Roman" w:hAnsi="Times New Roman"/>
        </w:rPr>
        <w:t>there was a "sufficient connection" between the abuse and the work the warden was employed to do;</w:t>
      </w:r>
      <w:r w:rsidR="00DB46A8" w:rsidRPr="006D4E15">
        <w:rPr>
          <w:rStyle w:val="FootnoteReference"/>
          <w:rFonts w:ascii="Times New Roman" w:hAnsi="Times New Roman"/>
          <w:sz w:val="24"/>
        </w:rPr>
        <w:footnoteReference w:id="93"/>
      </w:r>
      <w:r w:rsidR="00DB46A8" w:rsidRPr="006D4E15">
        <w:rPr>
          <w:rFonts w:ascii="Times New Roman" w:hAnsi="Times New Roman"/>
        </w:rPr>
        <w:t xml:space="preserve"> or such a connection of the unlawful acts with the duties of the employee that they fell within the scope of the employment duties</w:t>
      </w:r>
      <w:r w:rsidR="00B74A93" w:rsidRPr="006D4E15" w:rsidDel="007966F3">
        <w:rPr>
          <w:rFonts w:ascii="Times New Roman" w:hAnsi="Times New Roman"/>
        </w:rPr>
        <w:t>.</w:t>
      </w:r>
      <w:r w:rsidR="00DB46A8" w:rsidRPr="006D4E15">
        <w:rPr>
          <w:rStyle w:val="FootnoteReference"/>
          <w:rFonts w:ascii="Times New Roman" w:hAnsi="Times New Roman"/>
          <w:sz w:val="24"/>
        </w:rPr>
        <w:footnoteReference w:id="94"/>
      </w:r>
      <w:r w:rsidRPr="006D4E15">
        <w:rPr>
          <w:rFonts w:ascii="Times New Roman" w:hAnsi="Times New Roman"/>
        </w:rPr>
        <w:t xml:space="preserve"> Even so, there were some significant differences in the reasons given by the members about how that focus on connection should be understood to be related to the United Kingdom's existing understanding of vicarious liability.</w:t>
      </w:r>
      <w:r w:rsidRPr="006D4E15">
        <w:rPr>
          <w:rStyle w:val="FootnoteReference"/>
          <w:rFonts w:ascii="Times New Roman" w:hAnsi="Times New Roman"/>
          <w:sz w:val="24"/>
        </w:rPr>
        <w:footnoteReference w:id="95"/>
      </w:r>
      <w:r w:rsidRPr="006D4E15">
        <w:rPr>
          <w:rFonts w:ascii="Times New Roman" w:hAnsi="Times New Roman"/>
        </w:rPr>
        <w:t xml:space="preserve"> </w:t>
      </w:r>
      <w:r w:rsidR="007B2682" w:rsidRPr="006D4E15">
        <w:rPr>
          <w:rFonts w:ascii="Times New Roman" w:hAnsi="Times New Roman"/>
        </w:rPr>
        <w:t>For example,</w:t>
      </w:r>
      <w:r w:rsidR="000767F7" w:rsidRPr="006D4E15">
        <w:rPr>
          <w:rFonts w:ascii="Times New Roman" w:hAnsi="Times New Roman"/>
        </w:rPr>
        <w:t xml:space="preserve"> </w:t>
      </w:r>
      <w:r w:rsidR="009A739F" w:rsidRPr="006D4E15">
        <w:rPr>
          <w:rFonts w:ascii="Times New Roman" w:hAnsi="Times New Roman"/>
        </w:rPr>
        <w:t xml:space="preserve">Lord Steyn </w:t>
      </w:r>
      <w:r w:rsidR="00EC38E9" w:rsidRPr="006D4E15">
        <w:rPr>
          <w:rFonts w:ascii="Times New Roman" w:hAnsi="Times New Roman"/>
        </w:rPr>
        <w:t xml:space="preserve">described </w:t>
      </w:r>
      <w:r w:rsidR="00EC3DB9" w:rsidRPr="006D4E15">
        <w:rPr>
          <w:rFonts w:ascii="Times New Roman" w:hAnsi="Times New Roman"/>
        </w:rPr>
        <w:t xml:space="preserve">the case of </w:t>
      </w:r>
      <w:r w:rsidR="00EC38E9" w:rsidRPr="006D4E15">
        <w:rPr>
          <w:rFonts w:ascii="Times New Roman" w:hAnsi="Times New Roman"/>
          <w:i/>
          <w:iCs/>
        </w:rPr>
        <w:t>Morris v C</w:t>
      </w:r>
      <w:r w:rsidR="00482245" w:rsidRPr="006D4E15">
        <w:rPr>
          <w:rFonts w:ascii="Times New Roman" w:hAnsi="Times New Roman"/>
          <w:i/>
          <w:iCs/>
        </w:rPr>
        <w:t> </w:t>
      </w:r>
      <w:r w:rsidR="00EC38E9" w:rsidRPr="006D4E15">
        <w:rPr>
          <w:rFonts w:ascii="Times New Roman" w:hAnsi="Times New Roman"/>
          <w:i/>
          <w:iCs/>
        </w:rPr>
        <w:t>W</w:t>
      </w:r>
      <w:r w:rsidR="00482245" w:rsidRPr="006D4E15">
        <w:rPr>
          <w:rFonts w:ascii="Times New Roman" w:hAnsi="Times New Roman"/>
          <w:i/>
          <w:iCs/>
        </w:rPr>
        <w:t> </w:t>
      </w:r>
      <w:r w:rsidR="00EC38E9" w:rsidRPr="006D4E15">
        <w:rPr>
          <w:rFonts w:ascii="Times New Roman" w:hAnsi="Times New Roman"/>
          <w:i/>
          <w:iCs/>
        </w:rPr>
        <w:t>Martin &amp; Sons Ltd</w:t>
      </w:r>
      <w:r w:rsidR="009A1645" w:rsidRPr="006D4E15">
        <w:rPr>
          <w:rStyle w:val="FootnoteReference"/>
          <w:rFonts w:ascii="Times New Roman" w:hAnsi="Times New Roman"/>
          <w:sz w:val="24"/>
        </w:rPr>
        <w:footnoteReference w:id="96"/>
      </w:r>
      <w:r w:rsidR="009A739F" w:rsidRPr="006D4E15">
        <w:rPr>
          <w:rFonts w:ascii="Times New Roman" w:hAnsi="Times New Roman"/>
          <w:i/>
        </w:rPr>
        <w:t xml:space="preserve"> </w:t>
      </w:r>
      <w:r w:rsidR="00EC38E9" w:rsidRPr="006D4E15">
        <w:rPr>
          <w:rFonts w:ascii="Times New Roman" w:hAnsi="Times New Roman"/>
        </w:rPr>
        <w:t>as</w:t>
      </w:r>
      <w:r w:rsidR="009A739F" w:rsidRPr="006D4E15">
        <w:rPr>
          <w:rFonts w:ascii="Times New Roman" w:hAnsi="Times New Roman"/>
        </w:rPr>
        <w:t xml:space="preserve"> a "classic example of vicarious liability for intentional wrongdoing"</w:t>
      </w:r>
      <w:r w:rsidR="00EC38E9" w:rsidRPr="006D4E15" w:rsidDel="0031438E">
        <w:rPr>
          <w:rFonts w:ascii="Times New Roman" w:hAnsi="Times New Roman"/>
        </w:rPr>
        <w:t xml:space="preserve"> </w:t>
      </w:r>
      <w:r w:rsidR="00EC38E9" w:rsidRPr="006D4E15">
        <w:rPr>
          <w:rFonts w:ascii="Times New Roman" w:hAnsi="Times New Roman"/>
        </w:rPr>
        <w:t>and a</w:t>
      </w:r>
      <w:r w:rsidR="00D30827" w:rsidRPr="006D4E15">
        <w:rPr>
          <w:rFonts w:ascii="Times New Roman" w:hAnsi="Times New Roman"/>
        </w:rPr>
        <w:t>s "high authority on the principles of vicarious liability".</w:t>
      </w:r>
      <w:r w:rsidR="0031438E" w:rsidRPr="006D4E15">
        <w:rPr>
          <w:rStyle w:val="FootnoteReference"/>
          <w:rFonts w:ascii="Times New Roman" w:hAnsi="Times New Roman"/>
          <w:sz w:val="24"/>
        </w:rPr>
        <w:footnoteReference w:id="97"/>
      </w:r>
      <w:r w:rsidR="0031438E" w:rsidRPr="006D4E15">
        <w:rPr>
          <w:rFonts w:ascii="Times New Roman" w:hAnsi="Times New Roman"/>
        </w:rPr>
        <w:t xml:space="preserve"> </w:t>
      </w:r>
      <w:r w:rsidR="00D30827" w:rsidRPr="006D4E15">
        <w:rPr>
          <w:rFonts w:ascii="Times New Roman" w:hAnsi="Times New Roman"/>
        </w:rPr>
        <w:t>But</w:t>
      </w:r>
      <w:r w:rsidR="00951C2B">
        <w:rPr>
          <w:rFonts w:ascii="Times New Roman" w:hAnsi="Times New Roman"/>
        </w:rPr>
        <w:t> </w:t>
      </w:r>
      <w:r w:rsidR="00CE248F" w:rsidRPr="006D4E15">
        <w:rPr>
          <w:rFonts w:ascii="Times New Roman" w:hAnsi="Times New Roman"/>
        </w:rPr>
        <w:t>that case</w:t>
      </w:r>
      <w:r w:rsidR="003067DD" w:rsidRPr="006D4E15">
        <w:rPr>
          <w:rFonts w:ascii="Times New Roman" w:hAnsi="Times New Roman"/>
        </w:rPr>
        <w:t>, properly understood,</w:t>
      </w:r>
      <w:r w:rsidR="00CE248F" w:rsidRPr="006D4E15">
        <w:rPr>
          <w:rFonts w:ascii="Times New Roman" w:hAnsi="Times New Roman"/>
        </w:rPr>
        <w:t xml:space="preserve"> involved </w:t>
      </w:r>
      <w:r w:rsidR="00927105" w:rsidRPr="006D4E15">
        <w:rPr>
          <w:rFonts w:ascii="Times New Roman" w:hAnsi="Times New Roman"/>
        </w:rPr>
        <w:t>a</w:t>
      </w:r>
      <w:r w:rsidR="00CE248F" w:rsidRPr="006D4E15">
        <w:rPr>
          <w:rFonts w:ascii="Times New Roman" w:hAnsi="Times New Roman"/>
        </w:rPr>
        <w:t xml:space="preserve"> </w:t>
      </w:r>
      <w:r w:rsidR="00B240D7" w:rsidRPr="006D4E15">
        <w:rPr>
          <w:rFonts w:ascii="Times New Roman" w:hAnsi="Times New Roman"/>
        </w:rPr>
        <w:t>breach of</w:t>
      </w:r>
      <w:r w:rsidR="00CE248F" w:rsidRPr="006D4E15">
        <w:rPr>
          <w:rFonts w:ascii="Times New Roman" w:hAnsi="Times New Roman"/>
        </w:rPr>
        <w:t xml:space="preserve"> a personal, non</w:t>
      </w:r>
      <w:r w:rsidR="00664EEF" w:rsidRPr="006D4E15">
        <w:rPr>
          <w:rFonts w:ascii="Times New Roman" w:hAnsi="Times New Roman"/>
        </w:rPr>
        <w:noBreakHyphen/>
      </w:r>
      <w:r w:rsidR="00CE248F" w:rsidRPr="006D4E15">
        <w:rPr>
          <w:rFonts w:ascii="Times New Roman" w:hAnsi="Times New Roman"/>
        </w:rPr>
        <w:t xml:space="preserve">delegable duty owed by the </w:t>
      </w:r>
      <w:r w:rsidR="00610B4F" w:rsidRPr="006D4E15">
        <w:rPr>
          <w:rFonts w:ascii="Times New Roman" w:hAnsi="Times New Roman"/>
        </w:rPr>
        <w:t>sub-</w:t>
      </w:r>
      <w:r w:rsidR="00CE248F" w:rsidRPr="006D4E15">
        <w:rPr>
          <w:rFonts w:ascii="Times New Roman" w:hAnsi="Times New Roman"/>
        </w:rPr>
        <w:t>bailee to the bailor of goods.</w:t>
      </w:r>
      <w:r w:rsidR="00D8457F" w:rsidRPr="006D4E15">
        <w:rPr>
          <w:rStyle w:val="FootnoteReference"/>
          <w:rFonts w:ascii="Times New Roman" w:hAnsi="Times New Roman"/>
          <w:sz w:val="24"/>
        </w:rPr>
        <w:footnoteReference w:id="98"/>
      </w:r>
      <w:r w:rsidR="00CE248F" w:rsidRPr="006D4E15">
        <w:rPr>
          <w:rFonts w:ascii="Times New Roman" w:hAnsi="Times New Roman"/>
        </w:rPr>
        <w:t xml:space="preserve"> </w:t>
      </w:r>
      <w:r w:rsidR="0092619F" w:rsidRPr="006D4E15">
        <w:rPr>
          <w:rFonts w:ascii="Times New Roman" w:hAnsi="Times New Roman"/>
        </w:rPr>
        <w:t xml:space="preserve">What was said in </w:t>
      </w:r>
      <w:r w:rsidR="00C72A7F" w:rsidRPr="006D4E15">
        <w:rPr>
          <w:rFonts w:ascii="Times New Roman" w:hAnsi="Times New Roman"/>
          <w:i/>
          <w:iCs/>
        </w:rPr>
        <w:t>Lister</w:t>
      </w:r>
      <w:r w:rsidR="00927105" w:rsidRPr="006D4E15">
        <w:rPr>
          <w:rFonts w:ascii="Times New Roman" w:hAnsi="Times New Roman"/>
        </w:rPr>
        <w:t xml:space="preserve"> </w:t>
      </w:r>
      <w:r w:rsidR="000E5B0B" w:rsidRPr="006D4E15">
        <w:rPr>
          <w:rFonts w:ascii="Times New Roman" w:hAnsi="Times New Roman"/>
        </w:rPr>
        <w:t>conflate</w:t>
      </w:r>
      <w:r w:rsidR="0092619F" w:rsidRPr="006D4E15">
        <w:rPr>
          <w:rFonts w:ascii="Times New Roman" w:hAnsi="Times New Roman"/>
        </w:rPr>
        <w:t>d</w:t>
      </w:r>
      <w:r w:rsidR="00927105" w:rsidRPr="006D4E15">
        <w:rPr>
          <w:rFonts w:ascii="Times New Roman" w:hAnsi="Times New Roman"/>
        </w:rPr>
        <w:t xml:space="preserve"> the two species of liability.</w:t>
      </w:r>
      <w:r w:rsidR="00927105" w:rsidRPr="006D4E15">
        <w:rPr>
          <w:rStyle w:val="FootnoteReference"/>
          <w:rFonts w:ascii="Times New Roman" w:hAnsi="Times New Roman"/>
          <w:sz w:val="24"/>
        </w:rPr>
        <w:footnoteReference w:id="99"/>
      </w:r>
      <w:r w:rsidR="00927105" w:rsidRPr="006D4E15">
        <w:rPr>
          <w:rFonts w:ascii="Times New Roman" w:hAnsi="Times New Roman"/>
        </w:rPr>
        <w:t xml:space="preserve"> </w:t>
      </w:r>
      <w:r w:rsidR="00483ADF" w:rsidRPr="006D4E15">
        <w:rPr>
          <w:rFonts w:ascii="Times New Roman" w:hAnsi="Times New Roman"/>
        </w:rPr>
        <w:t xml:space="preserve">As stated earlier, </w:t>
      </w:r>
      <w:r w:rsidR="00B240D7" w:rsidRPr="006D4E15">
        <w:rPr>
          <w:rFonts w:ascii="Times New Roman" w:hAnsi="Times New Roman"/>
        </w:rPr>
        <w:t xml:space="preserve">breach of a non-delegable duty is not a species of </w:t>
      </w:r>
      <w:r w:rsidR="00483ADF" w:rsidRPr="006D4E15">
        <w:rPr>
          <w:rFonts w:ascii="Times New Roman" w:hAnsi="Times New Roman"/>
        </w:rPr>
        <w:t xml:space="preserve">vicarious liability </w:t>
      </w:r>
      <w:r w:rsidR="00B240D7" w:rsidRPr="006D4E15">
        <w:rPr>
          <w:rFonts w:ascii="Times New Roman" w:hAnsi="Times New Roman"/>
        </w:rPr>
        <w:t>but, rather, is a form of direct liability</w:t>
      </w:r>
      <w:r w:rsidR="00D74C37" w:rsidRPr="006D4E15">
        <w:rPr>
          <w:rFonts w:ascii="Times New Roman" w:hAnsi="Times New Roman"/>
        </w:rPr>
        <w:t>.</w:t>
      </w:r>
      <w:r w:rsidR="00B240D7" w:rsidRPr="006D4E15">
        <w:rPr>
          <w:rFonts w:ascii="Times New Roman" w:hAnsi="Times New Roman"/>
        </w:rPr>
        <w:t xml:space="preserve"> </w:t>
      </w:r>
    </w:p>
    <w:p w14:paraId="71EA2DE9" w14:textId="3A791C68" w:rsidR="00B64AED" w:rsidRPr="006D4E15" w:rsidRDefault="008810D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r>
      <w:r w:rsidR="0096296A" w:rsidRPr="006D4E15">
        <w:rPr>
          <w:rFonts w:ascii="Times New Roman" w:hAnsi="Times New Roman"/>
        </w:rPr>
        <w:t xml:space="preserve">Five Justices </w:t>
      </w:r>
      <w:r w:rsidR="00591ABA" w:rsidRPr="006D4E15">
        <w:rPr>
          <w:rFonts w:ascii="Times New Roman" w:hAnsi="Times New Roman"/>
        </w:rPr>
        <w:t>of th</w:t>
      </w:r>
      <w:r w:rsidR="00650C15" w:rsidRPr="006D4E15">
        <w:rPr>
          <w:rFonts w:ascii="Times New Roman" w:hAnsi="Times New Roman"/>
        </w:rPr>
        <w:t>is</w:t>
      </w:r>
      <w:r w:rsidR="00591ABA" w:rsidRPr="006D4E15">
        <w:rPr>
          <w:rFonts w:ascii="Times New Roman" w:hAnsi="Times New Roman"/>
        </w:rPr>
        <w:t xml:space="preserve"> Court </w:t>
      </w:r>
      <w:r w:rsidR="0005478E" w:rsidRPr="006D4E15">
        <w:rPr>
          <w:rFonts w:ascii="Times New Roman" w:hAnsi="Times New Roman"/>
        </w:rPr>
        <w:t xml:space="preserve">in </w:t>
      </w:r>
      <w:r w:rsidR="0005478E" w:rsidRPr="006D4E15">
        <w:rPr>
          <w:rFonts w:ascii="Times New Roman" w:hAnsi="Times New Roman"/>
          <w:i/>
          <w:iCs/>
        </w:rPr>
        <w:t>Prince Alfred</w:t>
      </w:r>
      <w:r w:rsidR="0005478E" w:rsidRPr="006D4E15">
        <w:rPr>
          <w:rFonts w:ascii="Times New Roman" w:hAnsi="Times New Roman"/>
        </w:rPr>
        <w:t xml:space="preserve"> </w:t>
      </w:r>
      <w:r w:rsidR="0005478E" w:rsidRPr="006D4E15">
        <w:rPr>
          <w:rFonts w:ascii="Times New Roman" w:hAnsi="Times New Roman"/>
          <w:i/>
          <w:iCs/>
        </w:rPr>
        <w:t>College</w:t>
      </w:r>
      <w:r w:rsidR="0005478E" w:rsidRPr="006D4E15">
        <w:rPr>
          <w:rFonts w:ascii="Times New Roman" w:hAnsi="Times New Roman"/>
        </w:rPr>
        <w:t xml:space="preserve"> </w:t>
      </w:r>
      <w:r w:rsidR="00591ABA" w:rsidRPr="006D4E15">
        <w:rPr>
          <w:rFonts w:ascii="Times New Roman" w:hAnsi="Times New Roman"/>
        </w:rPr>
        <w:t xml:space="preserve">stated that </w:t>
      </w:r>
      <w:r w:rsidR="00447BD9" w:rsidRPr="006D4E15">
        <w:rPr>
          <w:rFonts w:ascii="Times New Roman" w:hAnsi="Times New Roman"/>
        </w:rPr>
        <w:t xml:space="preserve">principles </w:t>
      </w:r>
      <w:r w:rsidR="002A0249" w:rsidRPr="006D4E15">
        <w:rPr>
          <w:rFonts w:ascii="Times New Roman" w:hAnsi="Times New Roman"/>
        </w:rPr>
        <w:t xml:space="preserve">of vicarious liability </w:t>
      </w:r>
      <w:r w:rsidR="00447BD9" w:rsidRPr="006D4E15">
        <w:rPr>
          <w:rFonts w:ascii="Times New Roman" w:hAnsi="Times New Roman"/>
        </w:rPr>
        <w:t xml:space="preserve">such as those stated in </w:t>
      </w:r>
      <w:r w:rsidR="002A0249" w:rsidRPr="006D4E15">
        <w:rPr>
          <w:rFonts w:ascii="Times New Roman" w:hAnsi="Times New Roman"/>
          <w:i/>
          <w:iCs/>
        </w:rPr>
        <w:t>Bazley</w:t>
      </w:r>
      <w:r w:rsidR="002A0249" w:rsidRPr="006D4E15">
        <w:rPr>
          <w:rFonts w:ascii="Times New Roman" w:hAnsi="Times New Roman"/>
          <w:i/>
        </w:rPr>
        <w:t xml:space="preserve"> </w:t>
      </w:r>
      <w:r w:rsidR="00DC1E5E" w:rsidRPr="006D4E15">
        <w:rPr>
          <w:rFonts w:ascii="Times New Roman" w:hAnsi="Times New Roman"/>
        </w:rPr>
        <w:t xml:space="preserve">in Canada </w:t>
      </w:r>
      <w:r w:rsidR="002A0249" w:rsidRPr="006D4E15">
        <w:rPr>
          <w:rFonts w:ascii="Times New Roman" w:hAnsi="Times New Roman"/>
        </w:rPr>
        <w:t xml:space="preserve">and </w:t>
      </w:r>
      <w:r w:rsidR="002A0249" w:rsidRPr="006D4E15">
        <w:rPr>
          <w:rFonts w:ascii="Times New Roman" w:hAnsi="Times New Roman"/>
          <w:i/>
          <w:iCs/>
        </w:rPr>
        <w:t xml:space="preserve">Lister </w:t>
      </w:r>
      <w:r w:rsidR="00F4203E" w:rsidRPr="006D4E15">
        <w:rPr>
          <w:rFonts w:ascii="Times New Roman" w:hAnsi="Times New Roman"/>
        </w:rPr>
        <w:t>in the United Kingdom</w:t>
      </w:r>
      <w:r w:rsidR="0095710C" w:rsidRPr="006D4E15">
        <w:rPr>
          <w:rFonts w:ascii="Times New Roman" w:hAnsi="Times New Roman"/>
        </w:rPr>
        <w:t xml:space="preserve"> </w:t>
      </w:r>
      <w:r w:rsidR="00591ABA" w:rsidRPr="006D4E15">
        <w:rPr>
          <w:rFonts w:ascii="Times New Roman" w:hAnsi="Times New Roman"/>
        </w:rPr>
        <w:t xml:space="preserve">"do </w:t>
      </w:r>
      <w:r w:rsidR="00005568" w:rsidRPr="006D4E15">
        <w:rPr>
          <w:rFonts w:ascii="Times New Roman" w:hAnsi="Times New Roman"/>
        </w:rPr>
        <w:t>not reflect the current state of the law in Australia".</w:t>
      </w:r>
      <w:r w:rsidR="00005568" w:rsidRPr="006D4E15">
        <w:rPr>
          <w:rStyle w:val="FootnoteReference"/>
          <w:rFonts w:ascii="Times New Roman" w:hAnsi="Times New Roman"/>
          <w:sz w:val="24"/>
        </w:rPr>
        <w:footnoteReference w:id="100"/>
      </w:r>
      <w:r w:rsidR="0057711A" w:rsidRPr="006D4E15">
        <w:rPr>
          <w:rFonts w:ascii="Times New Roman" w:hAnsi="Times New Roman"/>
        </w:rPr>
        <w:t xml:space="preserve"> </w:t>
      </w:r>
      <w:r w:rsidR="00563D52" w:rsidRPr="006D4E15">
        <w:rPr>
          <w:rFonts w:ascii="Times New Roman" w:hAnsi="Times New Roman"/>
        </w:rPr>
        <w:t>T</w:t>
      </w:r>
      <w:r w:rsidR="00591ABA" w:rsidRPr="006D4E15">
        <w:rPr>
          <w:rFonts w:ascii="Times New Roman" w:hAnsi="Times New Roman"/>
        </w:rPr>
        <w:t>hat approach was not new. T</w:t>
      </w:r>
      <w:r w:rsidR="00687B07" w:rsidRPr="006D4E15">
        <w:rPr>
          <w:rFonts w:ascii="Times New Roman" w:hAnsi="Times New Roman"/>
        </w:rPr>
        <w:t>h</w:t>
      </w:r>
      <w:r w:rsidR="00A70814" w:rsidRPr="006D4E15">
        <w:rPr>
          <w:rFonts w:ascii="Times New Roman" w:hAnsi="Times New Roman"/>
        </w:rPr>
        <w:t>is</w:t>
      </w:r>
      <w:r w:rsidR="00A0776D" w:rsidRPr="006D4E15">
        <w:rPr>
          <w:rFonts w:ascii="Times New Roman" w:hAnsi="Times New Roman"/>
        </w:rPr>
        <w:t> </w:t>
      </w:r>
      <w:r w:rsidR="001B4DC0" w:rsidRPr="006D4E15">
        <w:rPr>
          <w:rFonts w:ascii="Times New Roman" w:hAnsi="Times New Roman"/>
        </w:rPr>
        <w:t xml:space="preserve">Court </w:t>
      </w:r>
      <w:r w:rsidR="00A70814" w:rsidRPr="006D4E15">
        <w:rPr>
          <w:rFonts w:ascii="Times New Roman" w:hAnsi="Times New Roman"/>
        </w:rPr>
        <w:t xml:space="preserve">took an important turn </w:t>
      </w:r>
      <w:r w:rsidR="00DE4880" w:rsidRPr="006D4E15">
        <w:rPr>
          <w:rFonts w:ascii="Times New Roman" w:hAnsi="Times New Roman"/>
        </w:rPr>
        <w:t xml:space="preserve">in </w:t>
      </w:r>
      <w:r w:rsidR="00675840" w:rsidRPr="006D4E15">
        <w:rPr>
          <w:rFonts w:ascii="Times New Roman" w:hAnsi="Times New Roman"/>
        </w:rPr>
        <w:t xml:space="preserve">2003 in </w:t>
      </w:r>
      <w:r w:rsidR="00DE4880" w:rsidRPr="006D4E15">
        <w:rPr>
          <w:rFonts w:ascii="Times New Roman" w:hAnsi="Times New Roman"/>
          <w:i/>
          <w:iCs/>
        </w:rPr>
        <w:t>Lepore</w:t>
      </w:r>
      <w:r w:rsidR="001B105A" w:rsidRPr="006D4E15">
        <w:rPr>
          <w:rStyle w:val="FootnoteReference"/>
          <w:rFonts w:ascii="Times New Roman" w:hAnsi="Times New Roman"/>
          <w:sz w:val="24"/>
        </w:rPr>
        <w:footnoteReference w:id="101"/>
      </w:r>
      <w:r w:rsidR="00DE4880" w:rsidRPr="006D4E15">
        <w:rPr>
          <w:rFonts w:ascii="Times New Roman" w:hAnsi="Times New Roman"/>
          <w:i/>
          <w:iCs/>
        </w:rPr>
        <w:t xml:space="preserve"> </w:t>
      </w:r>
      <w:r w:rsidR="00974228" w:rsidRPr="006D4E15">
        <w:rPr>
          <w:rFonts w:ascii="Times New Roman" w:hAnsi="Times New Roman"/>
        </w:rPr>
        <w:t xml:space="preserve">when </w:t>
      </w:r>
      <w:r w:rsidR="00A70814" w:rsidRPr="006D4E15">
        <w:rPr>
          <w:rFonts w:ascii="Times New Roman" w:hAnsi="Times New Roman"/>
        </w:rPr>
        <w:t xml:space="preserve">it </w:t>
      </w:r>
      <w:r w:rsidR="001B4DC0" w:rsidRPr="006D4E15">
        <w:rPr>
          <w:rFonts w:ascii="Times New Roman" w:hAnsi="Times New Roman"/>
        </w:rPr>
        <w:t>rejected the</w:t>
      </w:r>
      <w:r w:rsidR="00687B07" w:rsidRPr="006D4E15">
        <w:rPr>
          <w:rFonts w:ascii="Times New Roman" w:hAnsi="Times New Roman"/>
        </w:rPr>
        <w:t xml:space="preserve"> </w:t>
      </w:r>
      <w:r w:rsidR="004765F4" w:rsidRPr="006D4E15">
        <w:rPr>
          <w:rFonts w:ascii="Times New Roman" w:hAnsi="Times New Roman"/>
        </w:rPr>
        <w:t xml:space="preserve">vicarious liability </w:t>
      </w:r>
      <w:r w:rsidR="00192BDB" w:rsidRPr="006D4E15">
        <w:rPr>
          <w:rFonts w:ascii="Times New Roman" w:hAnsi="Times New Roman"/>
        </w:rPr>
        <w:t xml:space="preserve">reasoning </w:t>
      </w:r>
      <w:r w:rsidR="0005478E" w:rsidRPr="006D4E15">
        <w:rPr>
          <w:rFonts w:ascii="Times New Roman" w:hAnsi="Times New Roman"/>
        </w:rPr>
        <w:t xml:space="preserve">in </w:t>
      </w:r>
      <w:r w:rsidR="0005478E" w:rsidRPr="006D4E15">
        <w:rPr>
          <w:rFonts w:ascii="Times New Roman" w:hAnsi="Times New Roman"/>
          <w:i/>
          <w:iCs/>
        </w:rPr>
        <w:t xml:space="preserve">Bazley </w:t>
      </w:r>
      <w:r w:rsidR="0005478E" w:rsidRPr="006D4E15">
        <w:rPr>
          <w:rFonts w:ascii="Times New Roman" w:hAnsi="Times New Roman"/>
        </w:rPr>
        <w:t>and</w:t>
      </w:r>
      <w:r w:rsidR="00563D52" w:rsidRPr="006D4E15">
        <w:rPr>
          <w:rFonts w:ascii="Times New Roman" w:hAnsi="Times New Roman"/>
        </w:rPr>
        <w:t xml:space="preserve"> </w:t>
      </w:r>
      <w:r w:rsidR="005873FA" w:rsidRPr="006D4E15">
        <w:rPr>
          <w:rFonts w:ascii="Times New Roman" w:hAnsi="Times New Roman"/>
        </w:rPr>
        <w:t xml:space="preserve">in </w:t>
      </w:r>
      <w:r w:rsidR="005873FA" w:rsidRPr="006D4E15">
        <w:rPr>
          <w:rFonts w:ascii="Times New Roman" w:hAnsi="Times New Roman"/>
          <w:i/>
          <w:iCs/>
        </w:rPr>
        <w:t>Lister</w:t>
      </w:r>
      <w:r w:rsidR="00603DAC" w:rsidRPr="006D4E15">
        <w:rPr>
          <w:rFonts w:ascii="Times New Roman" w:hAnsi="Times New Roman"/>
        </w:rPr>
        <w:t>.</w:t>
      </w:r>
      <w:r w:rsidR="006C4A7A" w:rsidRPr="006D4E15">
        <w:rPr>
          <w:rFonts w:ascii="Times New Roman" w:hAnsi="Times New Roman"/>
          <w:i/>
          <w:iCs/>
        </w:rPr>
        <w:t xml:space="preserve"> </w:t>
      </w:r>
    </w:p>
    <w:p w14:paraId="568E70EF" w14:textId="532BC4A2" w:rsidR="001267C9" w:rsidRPr="006D4E15" w:rsidRDefault="00C30B29"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Something </w:t>
      </w:r>
      <w:r w:rsidR="001561BF" w:rsidRPr="006D4E15">
        <w:rPr>
          <w:rFonts w:ascii="Times New Roman" w:hAnsi="Times New Roman"/>
        </w:rPr>
        <w:t>must</w:t>
      </w:r>
      <w:r w:rsidRPr="006D4E15" w:rsidDel="00AC3126">
        <w:rPr>
          <w:rFonts w:ascii="Times New Roman" w:hAnsi="Times New Roman"/>
        </w:rPr>
        <w:t xml:space="preserve"> </w:t>
      </w:r>
      <w:r w:rsidR="003B3593" w:rsidRPr="006D4E15">
        <w:rPr>
          <w:rFonts w:ascii="Times New Roman" w:hAnsi="Times New Roman"/>
        </w:rPr>
        <w:t>then</w:t>
      </w:r>
      <w:r w:rsidRPr="006D4E15">
        <w:rPr>
          <w:rFonts w:ascii="Times New Roman" w:hAnsi="Times New Roman"/>
        </w:rPr>
        <w:t xml:space="preserve"> be said of </w:t>
      </w:r>
      <w:r w:rsidR="001561BF" w:rsidRPr="006D4E15">
        <w:rPr>
          <w:rFonts w:ascii="Times New Roman" w:hAnsi="Times New Roman"/>
        </w:rPr>
        <w:t>later</w:t>
      </w:r>
      <w:r w:rsidRPr="006D4E15">
        <w:rPr>
          <w:rFonts w:ascii="Times New Roman" w:hAnsi="Times New Roman"/>
        </w:rPr>
        <w:t xml:space="preserve"> decisions of the United Kingdom on which much emphasis was placed by the </w:t>
      </w:r>
      <w:r w:rsidR="0006016F" w:rsidRPr="006D4E15">
        <w:rPr>
          <w:rFonts w:ascii="Times New Roman" w:hAnsi="Times New Roman"/>
        </w:rPr>
        <w:t>c</w:t>
      </w:r>
      <w:r w:rsidRPr="006D4E15">
        <w:rPr>
          <w:rFonts w:ascii="Times New Roman" w:hAnsi="Times New Roman"/>
        </w:rPr>
        <w:t xml:space="preserve">ourts below and by DP. </w:t>
      </w:r>
      <w:r w:rsidR="001561BF" w:rsidRPr="006D4E15">
        <w:rPr>
          <w:rFonts w:ascii="Times New Roman" w:hAnsi="Times New Roman"/>
        </w:rPr>
        <w:t xml:space="preserve">These decisions built on the approaches </w:t>
      </w:r>
      <w:r w:rsidR="007C369D" w:rsidRPr="006D4E15">
        <w:rPr>
          <w:rFonts w:ascii="Times New Roman" w:hAnsi="Times New Roman"/>
        </w:rPr>
        <w:t xml:space="preserve">to vicarious liability </w:t>
      </w:r>
      <w:r w:rsidR="001561BF" w:rsidRPr="006D4E15">
        <w:rPr>
          <w:rFonts w:ascii="Times New Roman" w:hAnsi="Times New Roman"/>
        </w:rPr>
        <w:t xml:space="preserve">in </w:t>
      </w:r>
      <w:r w:rsidR="001561BF" w:rsidRPr="006D4E15">
        <w:rPr>
          <w:rFonts w:ascii="Times New Roman" w:hAnsi="Times New Roman"/>
          <w:i/>
          <w:iCs/>
        </w:rPr>
        <w:t xml:space="preserve">Bazley </w:t>
      </w:r>
      <w:r w:rsidR="001561BF" w:rsidRPr="006D4E15">
        <w:rPr>
          <w:rFonts w:ascii="Times New Roman" w:hAnsi="Times New Roman"/>
        </w:rPr>
        <w:t xml:space="preserve">and </w:t>
      </w:r>
      <w:r w:rsidR="001561BF" w:rsidRPr="006D4E15">
        <w:rPr>
          <w:rFonts w:ascii="Times New Roman" w:hAnsi="Times New Roman"/>
          <w:i/>
          <w:iCs/>
        </w:rPr>
        <w:t xml:space="preserve">Lister </w:t>
      </w:r>
      <w:r w:rsidR="001561BF" w:rsidRPr="006D4E15">
        <w:rPr>
          <w:rFonts w:ascii="Times New Roman" w:hAnsi="Times New Roman"/>
        </w:rPr>
        <w:t xml:space="preserve">which this Court had rejected. </w:t>
      </w:r>
      <w:r w:rsidR="0037592F" w:rsidRPr="006D4E15">
        <w:rPr>
          <w:rFonts w:ascii="Times New Roman" w:hAnsi="Times New Roman"/>
        </w:rPr>
        <w:t xml:space="preserve">It is </w:t>
      </w:r>
      <w:r w:rsidR="00421174" w:rsidRPr="006D4E15">
        <w:rPr>
          <w:rFonts w:ascii="Times New Roman" w:hAnsi="Times New Roman"/>
        </w:rPr>
        <w:t xml:space="preserve">appropriate </w:t>
      </w:r>
      <w:r w:rsidR="0037592F" w:rsidRPr="006D4E15">
        <w:rPr>
          <w:rFonts w:ascii="Times New Roman" w:hAnsi="Times New Roman"/>
        </w:rPr>
        <w:t xml:space="preserve">to start </w:t>
      </w:r>
      <w:r w:rsidR="00421174" w:rsidRPr="006D4E15">
        <w:rPr>
          <w:rFonts w:ascii="Times New Roman" w:hAnsi="Times New Roman"/>
        </w:rPr>
        <w:t>with the decision</w:t>
      </w:r>
      <w:r w:rsidR="00567E48" w:rsidRPr="006D4E15">
        <w:rPr>
          <w:rFonts w:ascii="Times New Roman" w:hAnsi="Times New Roman"/>
        </w:rPr>
        <w:t xml:space="preserve"> of the Supreme Court of the United Kingdom</w:t>
      </w:r>
      <w:r w:rsidR="00421174" w:rsidRPr="006D4E15">
        <w:rPr>
          <w:rFonts w:ascii="Times New Roman" w:hAnsi="Times New Roman"/>
        </w:rPr>
        <w:t xml:space="preserve"> in </w:t>
      </w:r>
      <w:r w:rsidR="00523CA6" w:rsidRPr="006D4E15">
        <w:rPr>
          <w:rFonts w:ascii="Times New Roman" w:hAnsi="Times New Roman"/>
        </w:rPr>
        <w:t xml:space="preserve">2012 </w:t>
      </w:r>
      <w:r w:rsidR="00421174" w:rsidRPr="006D4E15">
        <w:rPr>
          <w:rFonts w:ascii="Times New Roman" w:hAnsi="Times New Roman"/>
        </w:rPr>
        <w:t>i</w:t>
      </w:r>
      <w:r w:rsidR="00384713" w:rsidRPr="006D4E15">
        <w:rPr>
          <w:rFonts w:ascii="Times New Roman" w:hAnsi="Times New Roman"/>
        </w:rPr>
        <w:t>n</w:t>
      </w:r>
      <w:r w:rsidR="003C64E7" w:rsidRPr="006D4E15">
        <w:rPr>
          <w:rFonts w:ascii="Times New Roman" w:hAnsi="Times New Roman"/>
        </w:rPr>
        <w:t xml:space="preserve"> </w:t>
      </w:r>
      <w:r w:rsidR="003C64E7" w:rsidRPr="006D4E15">
        <w:rPr>
          <w:rFonts w:ascii="Times New Roman" w:hAnsi="Times New Roman"/>
          <w:i/>
          <w:iCs/>
        </w:rPr>
        <w:t>Christian Brothers</w:t>
      </w:r>
      <w:r w:rsidR="00306B18" w:rsidRPr="006D4E15">
        <w:rPr>
          <w:rFonts w:ascii="Times New Roman" w:hAnsi="Times New Roman"/>
        </w:rPr>
        <w:t>.</w:t>
      </w:r>
      <w:r w:rsidR="00E775E6" w:rsidRPr="006D4E15">
        <w:rPr>
          <w:rStyle w:val="FootnoteReference"/>
          <w:rFonts w:ascii="Times New Roman" w:hAnsi="Times New Roman"/>
          <w:sz w:val="24"/>
        </w:rPr>
        <w:footnoteReference w:id="102"/>
      </w:r>
      <w:r w:rsidR="005E5D0D" w:rsidRPr="006D4E15">
        <w:rPr>
          <w:rFonts w:ascii="Times New Roman" w:hAnsi="Times New Roman"/>
        </w:rPr>
        <w:t xml:space="preserve"> </w:t>
      </w:r>
      <w:r w:rsidR="00306B18" w:rsidRPr="006D4E15">
        <w:rPr>
          <w:rFonts w:ascii="Times New Roman" w:hAnsi="Times New Roman"/>
        </w:rPr>
        <w:t xml:space="preserve">That case </w:t>
      </w:r>
      <w:r w:rsidR="00A6401B" w:rsidRPr="006D4E15">
        <w:rPr>
          <w:rFonts w:ascii="Times New Roman" w:hAnsi="Times New Roman"/>
        </w:rPr>
        <w:t xml:space="preserve">concerned </w:t>
      </w:r>
      <w:r w:rsidR="00E443DA" w:rsidRPr="006D4E15">
        <w:rPr>
          <w:rFonts w:ascii="Times New Roman" w:hAnsi="Times New Roman"/>
        </w:rPr>
        <w:t xml:space="preserve">the liability of a lay Roman Catholic order </w:t>
      </w:r>
      <w:r w:rsidR="0042482C" w:rsidRPr="006D4E15">
        <w:rPr>
          <w:rFonts w:ascii="Times New Roman" w:hAnsi="Times New Roman"/>
        </w:rPr>
        <w:t>–</w:t>
      </w:r>
      <w:r w:rsidR="00932C29" w:rsidRPr="006D4E15">
        <w:rPr>
          <w:rFonts w:ascii="Times New Roman" w:hAnsi="Times New Roman"/>
        </w:rPr>
        <w:t xml:space="preserve"> </w:t>
      </w:r>
      <w:r w:rsidR="00E443DA" w:rsidRPr="006D4E15">
        <w:rPr>
          <w:rFonts w:ascii="Times New Roman" w:hAnsi="Times New Roman"/>
        </w:rPr>
        <w:t xml:space="preserve">the Brothers of the Christian Schools </w:t>
      </w:r>
      <w:r w:rsidR="00567E48" w:rsidRPr="006D4E15">
        <w:rPr>
          <w:rFonts w:ascii="Times New Roman" w:hAnsi="Times New Roman"/>
        </w:rPr>
        <w:t>("the</w:t>
      </w:r>
      <w:r w:rsidR="00951C2B">
        <w:rPr>
          <w:rFonts w:ascii="Times New Roman" w:hAnsi="Times New Roman"/>
        </w:rPr>
        <w:t> </w:t>
      </w:r>
      <w:r w:rsidR="00567E48" w:rsidRPr="006D4E15">
        <w:rPr>
          <w:rFonts w:ascii="Times New Roman" w:hAnsi="Times New Roman"/>
        </w:rPr>
        <w:t xml:space="preserve">Institute") </w:t>
      </w:r>
      <w:r w:rsidR="0042482C" w:rsidRPr="006D4E15">
        <w:rPr>
          <w:rFonts w:ascii="Times New Roman" w:hAnsi="Times New Roman"/>
        </w:rPr>
        <w:t>–</w:t>
      </w:r>
      <w:r w:rsidR="0010079E" w:rsidRPr="006D4E15">
        <w:rPr>
          <w:rFonts w:ascii="Times New Roman" w:hAnsi="Times New Roman"/>
        </w:rPr>
        <w:t xml:space="preserve"> </w:t>
      </w:r>
      <w:r w:rsidR="00567E48" w:rsidRPr="006D4E15">
        <w:rPr>
          <w:rFonts w:ascii="Times New Roman" w:hAnsi="Times New Roman"/>
        </w:rPr>
        <w:t xml:space="preserve">for sexual </w:t>
      </w:r>
      <w:r w:rsidR="00A77C0A" w:rsidRPr="006D4E15">
        <w:rPr>
          <w:rFonts w:ascii="Times New Roman" w:hAnsi="Times New Roman"/>
        </w:rPr>
        <w:t xml:space="preserve">and physical </w:t>
      </w:r>
      <w:r w:rsidR="00567E48" w:rsidRPr="006D4E15">
        <w:rPr>
          <w:rFonts w:ascii="Times New Roman" w:hAnsi="Times New Roman"/>
        </w:rPr>
        <w:t xml:space="preserve">abuse perpetrated by </w:t>
      </w:r>
      <w:r w:rsidR="00B91B2C" w:rsidRPr="006D4E15">
        <w:rPr>
          <w:rFonts w:ascii="Times New Roman" w:hAnsi="Times New Roman"/>
        </w:rPr>
        <w:t>teachers</w:t>
      </w:r>
      <w:r w:rsidR="00567E48" w:rsidRPr="006D4E15">
        <w:rPr>
          <w:rFonts w:ascii="Times New Roman" w:hAnsi="Times New Roman"/>
        </w:rPr>
        <w:t xml:space="preserve"> against </w:t>
      </w:r>
      <w:r w:rsidR="006B0E0C" w:rsidRPr="006D4E15">
        <w:rPr>
          <w:rFonts w:ascii="Times New Roman" w:hAnsi="Times New Roman"/>
        </w:rPr>
        <w:t xml:space="preserve">pupils </w:t>
      </w:r>
      <w:r w:rsidR="00567E48" w:rsidRPr="006D4E15">
        <w:rPr>
          <w:rFonts w:ascii="Times New Roman" w:hAnsi="Times New Roman"/>
        </w:rPr>
        <w:t>at a residential institution</w:t>
      </w:r>
      <w:r w:rsidR="004463BE" w:rsidRPr="006D4E15">
        <w:rPr>
          <w:rFonts w:ascii="Times New Roman" w:hAnsi="Times New Roman"/>
        </w:rPr>
        <w:t xml:space="preserve"> for boys in need of care.</w:t>
      </w:r>
      <w:r w:rsidR="004463BE" w:rsidRPr="006D4E15">
        <w:rPr>
          <w:rStyle w:val="FootnoteReference"/>
          <w:rFonts w:ascii="Times New Roman" w:hAnsi="Times New Roman"/>
          <w:sz w:val="24"/>
        </w:rPr>
        <w:footnoteReference w:id="103"/>
      </w:r>
      <w:r w:rsidR="00567E48" w:rsidRPr="006D4E15">
        <w:rPr>
          <w:rFonts w:ascii="Times New Roman" w:hAnsi="Times New Roman"/>
        </w:rPr>
        <w:t xml:space="preserve"> </w:t>
      </w:r>
      <w:r w:rsidR="00875BCF" w:rsidRPr="006D4E15">
        <w:rPr>
          <w:rFonts w:ascii="Times New Roman" w:hAnsi="Times New Roman"/>
        </w:rPr>
        <w:t>The teachers were lay brothers of the Roman Catholic Church and</w:t>
      </w:r>
      <w:r w:rsidR="0078421A" w:rsidRPr="006D4E15">
        <w:rPr>
          <w:rFonts w:ascii="Times New Roman" w:hAnsi="Times New Roman"/>
        </w:rPr>
        <w:t>,</w:t>
      </w:r>
      <w:r w:rsidR="00875BCF" w:rsidRPr="006D4E15">
        <w:rPr>
          <w:rFonts w:ascii="Times New Roman" w:hAnsi="Times New Roman"/>
        </w:rPr>
        <w:t xml:space="preserve"> although members of </w:t>
      </w:r>
      <w:r w:rsidR="006D394E" w:rsidRPr="006D4E15">
        <w:rPr>
          <w:rFonts w:ascii="Times New Roman" w:hAnsi="Times New Roman"/>
        </w:rPr>
        <w:t xml:space="preserve">the </w:t>
      </w:r>
      <w:r w:rsidR="00875BCF" w:rsidRPr="006D4E15">
        <w:rPr>
          <w:rFonts w:ascii="Times New Roman" w:hAnsi="Times New Roman"/>
        </w:rPr>
        <w:t>Institute, were not bound by contract to the Institute but by vows each had taken.</w:t>
      </w:r>
      <w:r w:rsidR="00875BCF" w:rsidRPr="006D4E15">
        <w:rPr>
          <w:rStyle w:val="FootnoteReference"/>
          <w:rFonts w:ascii="Times New Roman" w:hAnsi="Times New Roman"/>
          <w:sz w:val="24"/>
        </w:rPr>
        <w:footnoteReference w:id="104"/>
      </w:r>
      <w:r w:rsidR="00875BCF" w:rsidRPr="006D4E15">
        <w:rPr>
          <w:rFonts w:ascii="Times New Roman" w:hAnsi="Times New Roman"/>
        </w:rPr>
        <w:t xml:space="preserve"> </w:t>
      </w:r>
      <w:r w:rsidR="00A9406D" w:rsidRPr="006D4E15">
        <w:rPr>
          <w:rFonts w:ascii="Times New Roman" w:hAnsi="Times New Roman"/>
        </w:rPr>
        <w:t xml:space="preserve">The Institute </w:t>
      </w:r>
      <w:r w:rsidR="00AB4E4D" w:rsidRPr="006D4E15">
        <w:rPr>
          <w:rFonts w:ascii="Times New Roman" w:hAnsi="Times New Roman"/>
        </w:rPr>
        <w:t>was</w:t>
      </w:r>
      <w:r w:rsidR="00A9406D" w:rsidRPr="006D4E15">
        <w:rPr>
          <w:rFonts w:ascii="Times New Roman" w:hAnsi="Times New Roman"/>
        </w:rPr>
        <w:t xml:space="preserve"> an unincorporated association</w:t>
      </w:r>
      <w:r w:rsidR="0067754C" w:rsidRPr="006D4E15">
        <w:rPr>
          <w:rFonts w:ascii="Times New Roman" w:hAnsi="Times New Roman"/>
        </w:rPr>
        <w:t xml:space="preserve"> whose mission </w:t>
      </w:r>
      <w:r w:rsidR="007A75CF" w:rsidRPr="006D4E15">
        <w:rPr>
          <w:rFonts w:ascii="Times New Roman" w:hAnsi="Times New Roman"/>
        </w:rPr>
        <w:t>was to provide Christian education to children</w:t>
      </w:r>
      <w:r w:rsidR="0067754C" w:rsidRPr="006D4E15">
        <w:rPr>
          <w:rFonts w:ascii="Times New Roman" w:hAnsi="Times New Roman"/>
        </w:rPr>
        <w:t>.</w:t>
      </w:r>
      <w:r w:rsidR="000715A7" w:rsidRPr="006D4E15">
        <w:rPr>
          <w:rStyle w:val="FootnoteReference"/>
          <w:rFonts w:ascii="Times New Roman" w:hAnsi="Times New Roman"/>
          <w:sz w:val="24"/>
        </w:rPr>
        <w:footnoteReference w:id="105"/>
      </w:r>
      <w:r w:rsidR="007A216F" w:rsidRPr="006D4E15">
        <w:rPr>
          <w:rFonts w:ascii="Times New Roman" w:hAnsi="Times New Roman"/>
        </w:rPr>
        <w:t xml:space="preserve"> </w:t>
      </w:r>
      <w:r w:rsidR="00865C39" w:rsidRPr="006D4E15">
        <w:rPr>
          <w:rFonts w:ascii="Times New Roman" w:hAnsi="Times New Roman"/>
        </w:rPr>
        <w:t>The</w:t>
      </w:r>
      <w:r w:rsidR="00E27B5F" w:rsidRPr="006D4E15">
        <w:rPr>
          <w:rFonts w:ascii="Times New Roman" w:hAnsi="Times New Roman"/>
        </w:rPr>
        <w:t> </w:t>
      </w:r>
      <w:r w:rsidR="00865C39" w:rsidRPr="006D4E15">
        <w:rPr>
          <w:rFonts w:ascii="Times New Roman" w:hAnsi="Times New Roman"/>
        </w:rPr>
        <w:t xml:space="preserve">question on appeal was whether the relationship between the Institute </w:t>
      </w:r>
      <w:r w:rsidR="005A6C7F" w:rsidRPr="006D4E15">
        <w:rPr>
          <w:rFonts w:ascii="Times New Roman" w:hAnsi="Times New Roman"/>
        </w:rPr>
        <w:t xml:space="preserve">and the </w:t>
      </w:r>
      <w:r w:rsidR="00B23D97" w:rsidRPr="006D4E15">
        <w:rPr>
          <w:rFonts w:ascii="Times New Roman" w:hAnsi="Times New Roman"/>
        </w:rPr>
        <w:t xml:space="preserve">teachers </w:t>
      </w:r>
      <w:r w:rsidR="005A6C7F" w:rsidRPr="006D4E15">
        <w:rPr>
          <w:rFonts w:ascii="Times New Roman" w:hAnsi="Times New Roman"/>
        </w:rPr>
        <w:t>attract</w:t>
      </w:r>
      <w:r w:rsidR="007D31B2" w:rsidRPr="006D4E15">
        <w:rPr>
          <w:rFonts w:ascii="Times New Roman" w:hAnsi="Times New Roman"/>
        </w:rPr>
        <w:t>ed</w:t>
      </w:r>
      <w:r w:rsidR="005A6C7F" w:rsidRPr="006D4E15">
        <w:rPr>
          <w:rFonts w:ascii="Times New Roman" w:hAnsi="Times New Roman"/>
        </w:rPr>
        <w:t xml:space="preserve"> the principles of vicarious liability.</w:t>
      </w:r>
      <w:r w:rsidR="005A6C7F" w:rsidRPr="006D4E15">
        <w:rPr>
          <w:rStyle w:val="FootnoteReference"/>
          <w:rFonts w:ascii="Times New Roman" w:hAnsi="Times New Roman"/>
          <w:sz w:val="24"/>
        </w:rPr>
        <w:footnoteReference w:id="106"/>
      </w:r>
    </w:p>
    <w:p w14:paraId="0087F084" w14:textId="73548239" w:rsidR="00D22CAA" w:rsidRPr="006D4E15" w:rsidRDefault="001267C9"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93B24" w:rsidRPr="006D4E15">
        <w:rPr>
          <w:rFonts w:ascii="Times New Roman" w:hAnsi="Times New Roman"/>
        </w:rPr>
        <w:t>Lord Phillips</w:t>
      </w:r>
      <w:r w:rsidR="00107CD0" w:rsidRPr="006D4E15">
        <w:rPr>
          <w:rFonts w:ascii="Times New Roman" w:hAnsi="Times New Roman"/>
        </w:rPr>
        <w:t xml:space="preserve"> </w:t>
      </w:r>
      <w:r w:rsidR="00CA6D37" w:rsidRPr="006D4E15">
        <w:rPr>
          <w:rFonts w:ascii="Times New Roman" w:hAnsi="Times New Roman"/>
        </w:rPr>
        <w:t>of Worth Matravers</w:t>
      </w:r>
      <w:r w:rsidR="005E5D0D" w:rsidRPr="006D4E15">
        <w:rPr>
          <w:rFonts w:ascii="Times New Roman" w:hAnsi="Times New Roman"/>
        </w:rPr>
        <w:t>,</w:t>
      </w:r>
      <w:r w:rsidR="00F93B24" w:rsidRPr="006D4E15">
        <w:rPr>
          <w:rFonts w:ascii="Times New Roman" w:hAnsi="Times New Roman"/>
        </w:rPr>
        <w:t xml:space="preserve"> </w:t>
      </w:r>
      <w:r w:rsidR="00851845" w:rsidRPr="006D4E15">
        <w:rPr>
          <w:rFonts w:ascii="Times New Roman" w:hAnsi="Times New Roman"/>
        </w:rPr>
        <w:t>for the Supreme Court of the United Kingdom</w:t>
      </w:r>
      <w:r w:rsidR="005E5D0D" w:rsidRPr="006D4E15">
        <w:rPr>
          <w:rFonts w:ascii="Times New Roman" w:hAnsi="Times New Roman"/>
        </w:rPr>
        <w:t>,</w:t>
      </w:r>
      <w:r w:rsidR="00421174" w:rsidRPr="006D4E15">
        <w:rPr>
          <w:rFonts w:ascii="Times New Roman" w:hAnsi="Times New Roman"/>
        </w:rPr>
        <w:t xml:space="preserve"> </w:t>
      </w:r>
      <w:r w:rsidR="003535AB" w:rsidRPr="006D4E15">
        <w:rPr>
          <w:rFonts w:ascii="Times New Roman" w:hAnsi="Times New Roman"/>
        </w:rPr>
        <w:t xml:space="preserve">opened his analysis </w:t>
      </w:r>
      <w:r w:rsidR="00AB02F4" w:rsidRPr="006D4E15">
        <w:rPr>
          <w:rFonts w:ascii="Times New Roman" w:hAnsi="Times New Roman"/>
        </w:rPr>
        <w:t xml:space="preserve">by </w:t>
      </w:r>
      <w:r w:rsidR="003535AB" w:rsidRPr="006D4E15">
        <w:rPr>
          <w:rFonts w:ascii="Times New Roman" w:hAnsi="Times New Roman"/>
        </w:rPr>
        <w:t>observ</w:t>
      </w:r>
      <w:r w:rsidR="00AB02F4" w:rsidRPr="006D4E15">
        <w:rPr>
          <w:rFonts w:ascii="Times New Roman" w:hAnsi="Times New Roman"/>
        </w:rPr>
        <w:t>ing</w:t>
      </w:r>
      <w:r w:rsidR="003535AB" w:rsidRPr="006D4E15">
        <w:rPr>
          <w:rFonts w:ascii="Times New Roman" w:hAnsi="Times New Roman"/>
        </w:rPr>
        <w:t xml:space="preserve"> that </w:t>
      </w:r>
      <w:r w:rsidR="00384713" w:rsidRPr="006D4E15">
        <w:rPr>
          <w:rFonts w:ascii="Times New Roman" w:hAnsi="Times New Roman"/>
        </w:rPr>
        <w:t>"</w:t>
      </w:r>
      <w:r w:rsidR="004A0CA0" w:rsidRPr="006D4E15">
        <w:rPr>
          <w:rFonts w:ascii="Times New Roman" w:hAnsi="Times New Roman"/>
        </w:rPr>
        <w:t>[</w:t>
      </w:r>
      <w:r w:rsidR="00384713" w:rsidRPr="006D4E15">
        <w:rPr>
          <w:rFonts w:ascii="Times New Roman" w:hAnsi="Times New Roman"/>
        </w:rPr>
        <w:t>t</w:t>
      </w:r>
      <w:r w:rsidR="004A0CA0" w:rsidRPr="006D4E15">
        <w:rPr>
          <w:rFonts w:ascii="Times New Roman" w:hAnsi="Times New Roman"/>
        </w:rPr>
        <w:t>]</w:t>
      </w:r>
      <w:r w:rsidR="00384713" w:rsidRPr="006D4E15">
        <w:rPr>
          <w:rFonts w:ascii="Times New Roman" w:hAnsi="Times New Roman"/>
        </w:rPr>
        <w:t>he</w:t>
      </w:r>
      <w:r w:rsidR="00BB5CE8" w:rsidRPr="006D4E15">
        <w:rPr>
          <w:rFonts w:ascii="Times New Roman" w:hAnsi="Times New Roman"/>
        </w:rPr>
        <w:t> </w:t>
      </w:r>
      <w:r w:rsidR="00384713" w:rsidRPr="006D4E15">
        <w:rPr>
          <w:rFonts w:ascii="Times New Roman" w:hAnsi="Times New Roman"/>
        </w:rPr>
        <w:t xml:space="preserve">law of vicarious liability </w:t>
      </w:r>
      <w:r w:rsidR="002A570B" w:rsidRPr="006D4E15">
        <w:rPr>
          <w:rFonts w:ascii="Times New Roman" w:hAnsi="Times New Roman"/>
        </w:rPr>
        <w:t>is on the move".</w:t>
      </w:r>
      <w:r w:rsidR="00E775E6" w:rsidRPr="006D4E15">
        <w:rPr>
          <w:rStyle w:val="FootnoteReference"/>
          <w:rFonts w:ascii="Times New Roman" w:hAnsi="Times New Roman"/>
          <w:sz w:val="24"/>
        </w:rPr>
        <w:footnoteReference w:id="107"/>
      </w:r>
      <w:r w:rsidR="002A570B" w:rsidRPr="006D4E15">
        <w:rPr>
          <w:rFonts w:ascii="Times New Roman" w:hAnsi="Times New Roman"/>
        </w:rPr>
        <w:t xml:space="preserve"> It is important to </w:t>
      </w:r>
      <w:r w:rsidR="00F218F7" w:rsidRPr="006D4E15">
        <w:rPr>
          <w:rFonts w:ascii="Times New Roman" w:hAnsi="Times New Roman"/>
        </w:rPr>
        <w:t>understand</w:t>
      </w:r>
      <w:r w:rsidR="00FF0DDD" w:rsidRPr="006D4E15">
        <w:rPr>
          <w:rFonts w:ascii="Times New Roman" w:hAnsi="Times New Roman"/>
        </w:rPr>
        <w:t>,</w:t>
      </w:r>
      <w:r w:rsidR="0005478E" w:rsidRPr="006D4E15">
        <w:rPr>
          <w:rFonts w:ascii="Times New Roman" w:hAnsi="Times New Roman"/>
        </w:rPr>
        <w:t xml:space="preserve"> however</w:t>
      </w:r>
      <w:r w:rsidR="00FF0DDD" w:rsidRPr="006D4E15">
        <w:rPr>
          <w:rFonts w:ascii="Times New Roman" w:hAnsi="Times New Roman"/>
        </w:rPr>
        <w:t>,</w:t>
      </w:r>
      <w:r w:rsidR="002A570B" w:rsidRPr="006D4E15">
        <w:rPr>
          <w:rFonts w:ascii="Times New Roman" w:hAnsi="Times New Roman"/>
        </w:rPr>
        <w:t xml:space="preserve"> </w:t>
      </w:r>
      <w:r w:rsidR="008544B4" w:rsidRPr="006D4E15">
        <w:rPr>
          <w:rFonts w:ascii="Times New Roman" w:hAnsi="Times New Roman"/>
        </w:rPr>
        <w:t xml:space="preserve">that </w:t>
      </w:r>
      <w:r w:rsidR="00743B2D" w:rsidRPr="006D4E15">
        <w:rPr>
          <w:rFonts w:ascii="Times New Roman" w:hAnsi="Times New Roman"/>
        </w:rPr>
        <w:t>this "movement" in</w:t>
      </w:r>
      <w:r w:rsidR="00AA738C">
        <w:rPr>
          <w:rFonts w:ascii="Times New Roman" w:hAnsi="Times New Roman"/>
        </w:rPr>
        <w:t> </w:t>
      </w:r>
      <w:r w:rsidR="00743B2D" w:rsidRPr="006D4E15">
        <w:rPr>
          <w:rFonts w:ascii="Times New Roman" w:hAnsi="Times New Roman"/>
        </w:rPr>
        <w:t>the law of vicarious liability in England</w:t>
      </w:r>
      <w:r w:rsidR="006718BD" w:rsidRPr="006D4E15">
        <w:rPr>
          <w:rFonts w:ascii="Times New Roman" w:hAnsi="Times New Roman"/>
        </w:rPr>
        <w:t xml:space="preserve"> emerged</w:t>
      </w:r>
      <w:r w:rsidR="00743B2D" w:rsidRPr="006D4E15">
        <w:rPr>
          <w:rFonts w:ascii="Times New Roman" w:hAnsi="Times New Roman"/>
        </w:rPr>
        <w:t xml:space="preserve"> </w:t>
      </w:r>
      <w:r w:rsidR="008544B4" w:rsidRPr="006D4E15">
        <w:rPr>
          <w:rFonts w:ascii="Times New Roman" w:hAnsi="Times New Roman"/>
        </w:rPr>
        <w:t>from a</w:t>
      </w:r>
      <w:r w:rsidR="00D22B70" w:rsidRPr="006D4E15">
        <w:rPr>
          <w:rFonts w:ascii="Times New Roman" w:hAnsi="Times New Roman"/>
        </w:rPr>
        <w:t xml:space="preserve"> </w:t>
      </w:r>
      <w:r w:rsidR="008544B4" w:rsidRPr="006D4E15">
        <w:rPr>
          <w:rFonts w:ascii="Times New Roman" w:hAnsi="Times New Roman"/>
        </w:rPr>
        <w:t xml:space="preserve">radically different set of </w:t>
      </w:r>
      <w:r w:rsidR="00D22B70" w:rsidRPr="006D4E15">
        <w:rPr>
          <w:rFonts w:ascii="Times New Roman" w:hAnsi="Times New Roman"/>
        </w:rPr>
        <w:t xml:space="preserve">starting </w:t>
      </w:r>
      <w:r w:rsidR="008544B4" w:rsidRPr="006D4E15">
        <w:rPr>
          <w:rFonts w:ascii="Times New Roman" w:hAnsi="Times New Roman"/>
        </w:rPr>
        <w:t>principles</w:t>
      </w:r>
      <w:r w:rsidR="005B27B7" w:rsidRPr="006D4E15">
        <w:rPr>
          <w:rFonts w:ascii="Times New Roman" w:hAnsi="Times New Roman"/>
        </w:rPr>
        <w:t>,</w:t>
      </w:r>
      <w:r w:rsidR="008544B4" w:rsidRPr="006D4E15">
        <w:rPr>
          <w:rFonts w:ascii="Times New Roman" w:hAnsi="Times New Roman"/>
        </w:rPr>
        <w:t xml:space="preserve"> </w:t>
      </w:r>
      <w:r w:rsidR="00820FEC" w:rsidRPr="006D4E15">
        <w:rPr>
          <w:rFonts w:ascii="Times New Roman" w:hAnsi="Times New Roman"/>
        </w:rPr>
        <w:t xml:space="preserve">which were </w:t>
      </w:r>
      <w:r w:rsidR="005B27B7" w:rsidRPr="006D4E15">
        <w:rPr>
          <w:rFonts w:ascii="Times New Roman" w:hAnsi="Times New Roman"/>
        </w:rPr>
        <w:t xml:space="preserve">not the </w:t>
      </w:r>
      <w:r w:rsidR="00317EE8" w:rsidRPr="006D4E15">
        <w:rPr>
          <w:rFonts w:ascii="Times New Roman" w:hAnsi="Times New Roman"/>
        </w:rPr>
        <w:t>law in Australia</w:t>
      </w:r>
      <w:r w:rsidR="002A570B" w:rsidRPr="006D4E15">
        <w:rPr>
          <w:rFonts w:ascii="Times New Roman" w:hAnsi="Times New Roman"/>
        </w:rPr>
        <w:t>.</w:t>
      </w:r>
      <w:r w:rsidR="00164853" w:rsidRPr="006D4E15">
        <w:rPr>
          <w:rFonts w:ascii="Times New Roman" w:hAnsi="Times New Roman"/>
        </w:rPr>
        <w:t xml:space="preserve"> </w:t>
      </w:r>
      <w:r w:rsidR="00F218F7" w:rsidRPr="006D4E15">
        <w:rPr>
          <w:rFonts w:ascii="Times New Roman" w:hAnsi="Times New Roman"/>
        </w:rPr>
        <w:t xml:space="preserve">The point is best </w:t>
      </w:r>
      <w:r w:rsidR="00F218F7" w:rsidRPr="006D4E15">
        <w:rPr>
          <w:rFonts w:ascii="Times New Roman" w:hAnsi="Times New Roman"/>
        </w:rPr>
        <w:lastRenderedPageBreak/>
        <w:t xml:space="preserve">illustrated by </w:t>
      </w:r>
      <w:r w:rsidR="00CE49C4" w:rsidRPr="006D4E15">
        <w:rPr>
          <w:rFonts w:ascii="Times New Roman" w:hAnsi="Times New Roman"/>
        </w:rPr>
        <w:t xml:space="preserve">looking at </w:t>
      </w:r>
      <w:r w:rsidR="005B27B7" w:rsidRPr="006D4E15">
        <w:rPr>
          <w:rFonts w:ascii="Times New Roman" w:hAnsi="Times New Roman"/>
        </w:rPr>
        <w:t xml:space="preserve">what </w:t>
      </w:r>
      <w:r w:rsidR="000C6FB0" w:rsidRPr="006D4E15">
        <w:rPr>
          <w:rFonts w:ascii="Times New Roman" w:hAnsi="Times New Roman"/>
        </w:rPr>
        <w:t>Lord Phillips</w:t>
      </w:r>
      <w:r w:rsidR="00377D4B" w:rsidRPr="006D4E15">
        <w:rPr>
          <w:rFonts w:ascii="Times New Roman" w:hAnsi="Times New Roman"/>
        </w:rPr>
        <w:t xml:space="preserve"> </w:t>
      </w:r>
      <w:r w:rsidR="005B27B7" w:rsidRPr="006D4E15">
        <w:rPr>
          <w:rFonts w:ascii="Times New Roman" w:hAnsi="Times New Roman"/>
        </w:rPr>
        <w:t>described</w:t>
      </w:r>
      <w:r w:rsidR="00022B72" w:rsidRPr="006D4E15">
        <w:rPr>
          <w:rFonts w:ascii="Times New Roman" w:hAnsi="Times New Roman"/>
        </w:rPr>
        <w:t xml:space="preserve"> </w:t>
      </w:r>
      <w:r w:rsidR="005B27B7" w:rsidRPr="006D4E15">
        <w:rPr>
          <w:rFonts w:ascii="Times New Roman" w:hAnsi="Times New Roman"/>
        </w:rPr>
        <w:t xml:space="preserve">as </w:t>
      </w:r>
      <w:r w:rsidR="00171D5C" w:rsidRPr="006D4E15">
        <w:rPr>
          <w:rFonts w:ascii="Times New Roman" w:hAnsi="Times New Roman"/>
        </w:rPr>
        <w:t xml:space="preserve">the established propositions </w:t>
      </w:r>
      <w:r w:rsidR="00377D4B" w:rsidRPr="006D4E15">
        <w:rPr>
          <w:rFonts w:ascii="Times New Roman" w:hAnsi="Times New Roman"/>
        </w:rPr>
        <w:t xml:space="preserve">underpinning the law of </w:t>
      </w:r>
      <w:r w:rsidR="00AA05A8" w:rsidRPr="006D4E15">
        <w:rPr>
          <w:rFonts w:ascii="Times New Roman" w:hAnsi="Times New Roman"/>
        </w:rPr>
        <w:t>vicarious liability</w:t>
      </w:r>
      <w:r w:rsidR="00EC41F8" w:rsidRPr="006D4E15">
        <w:rPr>
          <w:rFonts w:ascii="Times New Roman" w:hAnsi="Times New Roman"/>
        </w:rPr>
        <w:t xml:space="preserve"> in England</w:t>
      </w:r>
      <w:r w:rsidR="00D22CAA" w:rsidRPr="006D4E15">
        <w:rPr>
          <w:rFonts w:ascii="Times New Roman" w:hAnsi="Times New Roman"/>
        </w:rPr>
        <w:t>:</w:t>
      </w:r>
      <w:r w:rsidR="00AA05A8" w:rsidRPr="006D4E15">
        <w:rPr>
          <w:rStyle w:val="FootnoteReference"/>
          <w:rFonts w:ascii="Times New Roman" w:hAnsi="Times New Roman"/>
          <w:sz w:val="24"/>
        </w:rPr>
        <w:footnoteReference w:id="108"/>
      </w:r>
      <w:r w:rsidR="00056704" w:rsidRPr="006D4E15">
        <w:rPr>
          <w:rFonts w:ascii="Times New Roman" w:hAnsi="Times New Roman"/>
        </w:rPr>
        <w:t xml:space="preserve"> (i) </w:t>
      </w:r>
      <w:r w:rsidR="00F74326" w:rsidRPr="006D4E15">
        <w:rPr>
          <w:rFonts w:ascii="Times New Roman" w:hAnsi="Times New Roman"/>
        </w:rPr>
        <w:t xml:space="preserve">it is possible for an unincorporated association to be vicariously liable for the tortious acts of one or more of its members; </w:t>
      </w:r>
      <w:r w:rsidR="00070F04" w:rsidRPr="006D4E15">
        <w:rPr>
          <w:rFonts w:ascii="Times New Roman" w:hAnsi="Times New Roman"/>
        </w:rPr>
        <w:t xml:space="preserve">(ii) D2 may be vicariously liable for the tortious act of D1 even though the act in question constitutes a violation of the duty owed to D2 by </w:t>
      </w:r>
      <w:r w:rsidR="007718D1" w:rsidRPr="006D4E15">
        <w:rPr>
          <w:rFonts w:ascii="Times New Roman" w:hAnsi="Times New Roman"/>
        </w:rPr>
        <w:t>D</w:t>
      </w:r>
      <w:r w:rsidR="00070F04" w:rsidRPr="006D4E15">
        <w:rPr>
          <w:rFonts w:ascii="Times New Roman" w:hAnsi="Times New Roman"/>
        </w:rPr>
        <w:t>1 and even if the act in question is a criminal offence</w:t>
      </w:r>
      <w:r w:rsidR="00F74326" w:rsidRPr="006D4E15">
        <w:rPr>
          <w:rFonts w:ascii="Times New Roman" w:hAnsi="Times New Roman"/>
        </w:rPr>
        <w:t>; (iii)</w:t>
      </w:r>
      <w:r w:rsidR="00BB5CE8" w:rsidRPr="006D4E15">
        <w:rPr>
          <w:rFonts w:ascii="Times New Roman" w:hAnsi="Times New Roman"/>
        </w:rPr>
        <w:t> </w:t>
      </w:r>
      <w:r w:rsidR="00015F1E" w:rsidRPr="006D4E15">
        <w:rPr>
          <w:rFonts w:ascii="Times New Roman" w:hAnsi="Times New Roman"/>
        </w:rPr>
        <w:t>v</w:t>
      </w:r>
      <w:r w:rsidR="00070F04" w:rsidRPr="006D4E15">
        <w:rPr>
          <w:rFonts w:ascii="Times New Roman" w:hAnsi="Times New Roman"/>
        </w:rPr>
        <w:t>icarious</w:t>
      </w:r>
      <w:r w:rsidR="00AA738C">
        <w:rPr>
          <w:rFonts w:ascii="Times New Roman" w:hAnsi="Times New Roman"/>
        </w:rPr>
        <w:t> </w:t>
      </w:r>
      <w:r w:rsidR="00070F04" w:rsidRPr="006D4E15">
        <w:rPr>
          <w:rFonts w:ascii="Times New Roman" w:hAnsi="Times New Roman"/>
        </w:rPr>
        <w:t>liability can even extend to liability for a criminal act of sexual assault</w:t>
      </w:r>
      <w:r w:rsidR="00F74326" w:rsidRPr="006D4E15">
        <w:rPr>
          <w:rFonts w:ascii="Times New Roman" w:hAnsi="Times New Roman"/>
        </w:rPr>
        <w:t xml:space="preserve">; </w:t>
      </w:r>
      <w:r w:rsidR="00D3778A" w:rsidRPr="006D4E15">
        <w:rPr>
          <w:rFonts w:ascii="Times New Roman" w:hAnsi="Times New Roman"/>
        </w:rPr>
        <w:t xml:space="preserve">and </w:t>
      </w:r>
      <w:r w:rsidR="00F74326" w:rsidRPr="006D4E15">
        <w:rPr>
          <w:rFonts w:ascii="Times New Roman" w:hAnsi="Times New Roman"/>
        </w:rPr>
        <w:t>(iv)</w:t>
      </w:r>
      <w:r w:rsidR="002A703C" w:rsidRPr="006D4E15">
        <w:rPr>
          <w:rFonts w:ascii="Times New Roman" w:hAnsi="Times New Roman"/>
        </w:rPr>
        <w:t> </w:t>
      </w:r>
      <w:r w:rsidR="00F74326" w:rsidRPr="006D4E15">
        <w:rPr>
          <w:rFonts w:ascii="Times New Roman" w:hAnsi="Times New Roman"/>
        </w:rPr>
        <w:t>it</w:t>
      </w:r>
      <w:r w:rsidR="002A703C" w:rsidRPr="006D4E15">
        <w:rPr>
          <w:rFonts w:ascii="Times New Roman" w:hAnsi="Times New Roman"/>
        </w:rPr>
        <w:t> </w:t>
      </w:r>
      <w:r w:rsidR="00F74326" w:rsidRPr="006D4E15">
        <w:rPr>
          <w:rFonts w:ascii="Times New Roman" w:hAnsi="Times New Roman"/>
        </w:rPr>
        <w:t>is possible for two different defendants, D2 and D3, each to be vicariously liable for the single tortious act of D1.</w:t>
      </w:r>
      <w:r w:rsidR="00F74326" w:rsidRPr="006D4E15">
        <w:rPr>
          <w:rStyle w:val="FootnoteReference"/>
          <w:rFonts w:ascii="Times New Roman" w:hAnsi="Times New Roman"/>
          <w:sz w:val="24"/>
        </w:rPr>
        <w:footnoteReference w:id="109"/>
      </w:r>
    </w:p>
    <w:p w14:paraId="29C71402" w14:textId="711B46DF" w:rsidR="00CB20FE" w:rsidRPr="006D4E15" w:rsidRDefault="007A67C4" w:rsidP="006D4E15">
      <w:pPr>
        <w:pStyle w:val="FixListStyle"/>
        <w:spacing w:after="260" w:line="280" w:lineRule="exact"/>
        <w:ind w:right="0"/>
        <w:jc w:val="both"/>
        <w:rPr>
          <w:rFonts w:ascii="Times New Roman" w:hAnsi="Times New Roman"/>
        </w:rPr>
      </w:pPr>
      <w:r w:rsidRPr="006D4E15">
        <w:rPr>
          <w:rFonts w:ascii="Times New Roman" w:hAnsi="Times New Roman"/>
        </w:rPr>
        <w:tab/>
        <w:t>P</w:t>
      </w:r>
      <w:r w:rsidR="00AC5039" w:rsidRPr="006D4E15">
        <w:rPr>
          <w:rFonts w:ascii="Times New Roman" w:hAnsi="Times New Roman"/>
        </w:rPr>
        <w:t xml:space="preserve">roposition (i) </w:t>
      </w:r>
      <w:r w:rsidR="00A34F6C" w:rsidRPr="006D4E15">
        <w:rPr>
          <w:rFonts w:ascii="Times New Roman" w:hAnsi="Times New Roman"/>
        </w:rPr>
        <w:t>did not then,</w:t>
      </w:r>
      <w:r w:rsidR="000611B3" w:rsidRPr="006D4E15">
        <w:rPr>
          <w:rFonts w:ascii="Times New Roman" w:hAnsi="Times New Roman"/>
        </w:rPr>
        <w:t xml:space="preserve"> and </w:t>
      </w:r>
      <w:r w:rsidR="00A34F6C" w:rsidRPr="006D4E15">
        <w:rPr>
          <w:rFonts w:ascii="Times New Roman" w:hAnsi="Times New Roman"/>
        </w:rPr>
        <w:t>does not now, reflect</w:t>
      </w:r>
      <w:r w:rsidR="00BB5CE8" w:rsidRPr="006D4E15">
        <w:rPr>
          <w:rFonts w:ascii="Times New Roman" w:hAnsi="Times New Roman"/>
        </w:rPr>
        <w:t> </w:t>
      </w:r>
      <w:r w:rsidR="00A34F6C" w:rsidRPr="006D4E15">
        <w:rPr>
          <w:rFonts w:ascii="Times New Roman" w:hAnsi="Times New Roman"/>
        </w:rPr>
        <w:t>the law in Australia.</w:t>
      </w:r>
      <w:r w:rsidR="00905A85" w:rsidRPr="006D4E15">
        <w:rPr>
          <w:rStyle w:val="FootnoteReference"/>
          <w:rFonts w:ascii="Times New Roman" w:hAnsi="Times New Roman"/>
          <w:sz w:val="24"/>
        </w:rPr>
        <w:footnoteReference w:id="110"/>
      </w:r>
      <w:r w:rsidR="000611B3" w:rsidRPr="006D4E15">
        <w:rPr>
          <w:rFonts w:ascii="Times New Roman" w:hAnsi="Times New Roman"/>
        </w:rPr>
        <w:t xml:space="preserve"> </w:t>
      </w:r>
      <w:r w:rsidR="00A34F6C" w:rsidRPr="006D4E15">
        <w:rPr>
          <w:rFonts w:ascii="Times New Roman" w:hAnsi="Times New Roman"/>
        </w:rPr>
        <w:t>P</w:t>
      </w:r>
      <w:r w:rsidR="00AC5039" w:rsidRPr="006D4E15">
        <w:rPr>
          <w:rFonts w:ascii="Times New Roman" w:hAnsi="Times New Roman"/>
        </w:rPr>
        <w:t>roposition (iii)</w:t>
      </w:r>
      <w:r w:rsidR="003A0C17" w:rsidRPr="006D4E15">
        <w:rPr>
          <w:rFonts w:ascii="Times New Roman" w:hAnsi="Times New Roman"/>
        </w:rPr>
        <w:t xml:space="preserve"> </w:t>
      </w:r>
      <w:r w:rsidR="00D529DA" w:rsidRPr="006D4E15">
        <w:rPr>
          <w:rFonts w:ascii="Times New Roman" w:hAnsi="Times New Roman"/>
        </w:rPr>
        <w:t xml:space="preserve">is in tension with the requirement that </w:t>
      </w:r>
      <w:r w:rsidR="00CA4AD2" w:rsidRPr="006D4E15">
        <w:rPr>
          <w:rFonts w:ascii="Times New Roman" w:hAnsi="Times New Roman"/>
        </w:rPr>
        <w:t>the acts must be committed in the course of employment</w:t>
      </w:r>
      <w:r w:rsidR="000C6D7E" w:rsidRPr="006D4E15">
        <w:rPr>
          <w:rFonts w:ascii="Times New Roman" w:hAnsi="Times New Roman"/>
        </w:rPr>
        <w:t>.</w:t>
      </w:r>
      <w:r w:rsidR="00905A85" w:rsidRPr="006D4E15">
        <w:rPr>
          <w:rStyle w:val="FootnoteReference"/>
          <w:rFonts w:ascii="Times New Roman" w:hAnsi="Times New Roman"/>
          <w:sz w:val="24"/>
        </w:rPr>
        <w:footnoteReference w:id="111"/>
      </w:r>
      <w:r w:rsidR="000C6D7E" w:rsidRPr="006D4E15">
        <w:rPr>
          <w:rFonts w:ascii="Times New Roman" w:hAnsi="Times New Roman"/>
        </w:rPr>
        <w:t xml:space="preserve"> </w:t>
      </w:r>
      <w:r w:rsidR="00852355" w:rsidRPr="006D4E15" w:rsidDel="0074501A">
        <w:rPr>
          <w:rFonts w:ascii="Times New Roman" w:hAnsi="Times New Roman"/>
        </w:rPr>
        <w:t>Another way of analysing</w:t>
      </w:r>
      <w:r w:rsidR="00CE271B" w:rsidRPr="006D4E15">
        <w:rPr>
          <w:rFonts w:ascii="Times New Roman" w:hAnsi="Times New Roman"/>
        </w:rPr>
        <w:t xml:space="preserve"> </w:t>
      </w:r>
      <w:r w:rsidR="00D9275C" w:rsidRPr="006D4E15">
        <w:rPr>
          <w:rFonts w:ascii="Times New Roman" w:hAnsi="Times New Roman"/>
        </w:rPr>
        <w:t>t</w:t>
      </w:r>
      <w:r w:rsidR="00852355" w:rsidRPr="006D4E15">
        <w:rPr>
          <w:rFonts w:ascii="Times New Roman" w:hAnsi="Times New Roman"/>
        </w:rPr>
        <w:t>he</w:t>
      </w:r>
      <w:r w:rsidR="003E2144" w:rsidRPr="006D4E15">
        <w:rPr>
          <w:rFonts w:ascii="Times New Roman" w:hAnsi="Times New Roman"/>
        </w:rPr>
        <w:t xml:space="preserve"> </w:t>
      </w:r>
      <w:r w:rsidR="00852355" w:rsidRPr="006D4E15">
        <w:rPr>
          <w:rFonts w:ascii="Times New Roman" w:hAnsi="Times New Roman"/>
        </w:rPr>
        <w:t xml:space="preserve">propositions </w:t>
      </w:r>
      <w:r w:rsidR="00852355" w:rsidRPr="006D4E15" w:rsidDel="00996C42">
        <w:rPr>
          <w:rFonts w:ascii="Times New Roman" w:hAnsi="Times New Roman"/>
        </w:rPr>
        <w:t xml:space="preserve">is </w:t>
      </w:r>
      <w:r w:rsidR="00D9275C" w:rsidRPr="006D4E15">
        <w:rPr>
          <w:rFonts w:ascii="Times New Roman" w:hAnsi="Times New Roman"/>
        </w:rPr>
        <w:t>that</w:t>
      </w:r>
      <w:r w:rsidR="00996C42" w:rsidRPr="006D4E15">
        <w:rPr>
          <w:rFonts w:ascii="Times New Roman" w:hAnsi="Times New Roman"/>
        </w:rPr>
        <w:t xml:space="preserve"> </w:t>
      </w:r>
      <w:r w:rsidR="00852355" w:rsidRPr="006D4E15">
        <w:rPr>
          <w:rFonts w:ascii="Times New Roman" w:hAnsi="Times New Roman"/>
        </w:rPr>
        <w:t xml:space="preserve">the Court </w:t>
      </w:r>
      <w:r w:rsidR="00852355" w:rsidRPr="006D4E15" w:rsidDel="00996C42">
        <w:rPr>
          <w:rFonts w:ascii="Times New Roman" w:hAnsi="Times New Roman"/>
        </w:rPr>
        <w:t>included</w:t>
      </w:r>
      <w:r w:rsidR="003E2144" w:rsidRPr="006D4E15" w:rsidDel="00996C42">
        <w:rPr>
          <w:rFonts w:ascii="Times New Roman" w:hAnsi="Times New Roman"/>
        </w:rPr>
        <w:t xml:space="preserve"> </w:t>
      </w:r>
      <w:r w:rsidR="00852355" w:rsidRPr="006D4E15">
        <w:rPr>
          <w:rFonts w:ascii="Times New Roman" w:hAnsi="Times New Roman"/>
        </w:rPr>
        <w:t xml:space="preserve">under the </w:t>
      </w:r>
      <w:r w:rsidR="001861D7" w:rsidRPr="006D4E15">
        <w:rPr>
          <w:rFonts w:ascii="Times New Roman" w:hAnsi="Times New Roman"/>
        </w:rPr>
        <w:t>general</w:t>
      </w:r>
      <w:r w:rsidR="00014175" w:rsidRPr="006D4E15">
        <w:rPr>
          <w:rFonts w:ascii="Times New Roman" w:hAnsi="Times New Roman"/>
        </w:rPr>
        <w:t xml:space="preserve"> </w:t>
      </w:r>
      <w:r w:rsidR="00852355" w:rsidRPr="006D4E15">
        <w:rPr>
          <w:rFonts w:ascii="Times New Roman" w:hAnsi="Times New Roman"/>
        </w:rPr>
        <w:t xml:space="preserve">rubric </w:t>
      </w:r>
      <w:r w:rsidR="00583269" w:rsidRPr="006D4E15">
        <w:rPr>
          <w:rFonts w:ascii="Times New Roman" w:hAnsi="Times New Roman"/>
        </w:rPr>
        <w:t xml:space="preserve">of </w:t>
      </w:r>
      <w:r w:rsidR="00852355" w:rsidRPr="006D4E15">
        <w:rPr>
          <w:rFonts w:ascii="Times New Roman" w:hAnsi="Times New Roman"/>
        </w:rPr>
        <w:t>"vicarious</w:t>
      </w:r>
      <w:r w:rsidR="00BB5CE8" w:rsidRPr="006D4E15">
        <w:rPr>
          <w:rFonts w:ascii="Times New Roman" w:hAnsi="Times New Roman"/>
        </w:rPr>
        <w:t> </w:t>
      </w:r>
      <w:r w:rsidR="00852355" w:rsidRPr="006D4E15">
        <w:rPr>
          <w:rFonts w:ascii="Times New Roman" w:hAnsi="Times New Roman"/>
        </w:rPr>
        <w:t xml:space="preserve">liability" </w:t>
      </w:r>
      <w:r w:rsidR="00852355" w:rsidRPr="006D4E15" w:rsidDel="00014175">
        <w:rPr>
          <w:rFonts w:ascii="Times New Roman" w:hAnsi="Times New Roman"/>
        </w:rPr>
        <w:t xml:space="preserve">the areas of </w:t>
      </w:r>
      <w:r w:rsidR="00A01845" w:rsidRPr="006D4E15" w:rsidDel="00014175">
        <w:rPr>
          <w:rFonts w:ascii="Times New Roman" w:hAnsi="Times New Roman"/>
        </w:rPr>
        <w:t>"</w:t>
      </w:r>
      <w:r w:rsidR="00A01845" w:rsidRPr="006D4E15" w:rsidDel="003E2144">
        <w:rPr>
          <w:rFonts w:ascii="Times New Roman" w:hAnsi="Times New Roman"/>
        </w:rPr>
        <w:t>agency" and "non-delegable duty</w:t>
      </w:r>
      <w:r w:rsidR="00E6501B" w:rsidRPr="006D4E15">
        <w:rPr>
          <w:rFonts w:ascii="Times New Roman" w:hAnsi="Times New Roman"/>
        </w:rPr>
        <w:t>"</w:t>
      </w:r>
      <w:r w:rsidR="00A01845" w:rsidRPr="006D4E15" w:rsidDel="003E2144">
        <w:rPr>
          <w:rFonts w:ascii="Times New Roman" w:hAnsi="Times New Roman"/>
        </w:rPr>
        <w:t xml:space="preserve"> </w:t>
      </w:r>
      <w:r w:rsidR="00A01845" w:rsidRPr="006D4E15" w:rsidDel="00014175">
        <w:rPr>
          <w:rFonts w:ascii="Times New Roman" w:hAnsi="Times New Roman"/>
        </w:rPr>
        <w:t xml:space="preserve">when, </w:t>
      </w:r>
      <w:r w:rsidR="00852355" w:rsidRPr="006D4E15">
        <w:rPr>
          <w:rFonts w:ascii="Times New Roman" w:hAnsi="Times New Roman"/>
        </w:rPr>
        <w:t xml:space="preserve">as has </w:t>
      </w:r>
      <w:r w:rsidR="00A01845" w:rsidRPr="006D4E15">
        <w:rPr>
          <w:rFonts w:ascii="Times New Roman" w:hAnsi="Times New Roman"/>
        </w:rPr>
        <w:t xml:space="preserve">been </w:t>
      </w:r>
      <w:r w:rsidR="00852355" w:rsidRPr="006D4E15">
        <w:rPr>
          <w:rFonts w:ascii="Times New Roman" w:hAnsi="Times New Roman"/>
        </w:rPr>
        <w:t xml:space="preserve">explained, </w:t>
      </w:r>
      <w:r w:rsidR="00A01845" w:rsidRPr="006D4E15">
        <w:rPr>
          <w:rFonts w:ascii="Times New Roman" w:hAnsi="Times New Roman"/>
        </w:rPr>
        <w:t>t</w:t>
      </w:r>
      <w:r w:rsidR="00C74933" w:rsidRPr="006D4E15">
        <w:rPr>
          <w:rFonts w:ascii="Times New Roman" w:hAnsi="Times New Roman"/>
        </w:rPr>
        <w:t>hose</w:t>
      </w:r>
      <w:r w:rsidR="00B20D78" w:rsidRPr="006D4E15">
        <w:rPr>
          <w:rFonts w:ascii="Times New Roman" w:hAnsi="Times New Roman"/>
        </w:rPr>
        <w:t xml:space="preserve"> </w:t>
      </w:r>
      <w:r w:rsidR="006F667D" w:rsidRPr="006D4E15">
        <w:rPr>
          <w:rFonts w:ascii="Times New Roman" w:hAnsi="Times New Roman"/>
        </w:rPr>
        <w:t xml:space="preserve">areas of law </w:t>
      </w:r>
      <w:r w:rsidR="00A01845" w:rsidRPr="006D4E15">
        <w:rPr>
          <w:rFonts w:ascii="Times New Roman" w:hAnsi="Times New Roman"/>
        </w:rPr>
        <w:t xml:space="preserve">are </w:t>
      </w:r>
      <w:r w:rsidR="00B20D78" w:rsidRPr="006D4E15">
        <w:rPr>
          <w:rFonts w:ascii="Times New Roman" w:hAnsi="Times New Roman"/>
        </w:rPr>
        <w:t xml:space="preserve">distinct </w:t>
      </w:r>
      <w:r w:rsidR="00996C42" w:rsidRPr="006D4E15">
        <w:rPr>
          <w:rFonts w:ascii="Times New Roman" w:hAnsi="Times New Roman"/>
        </w:rPr>
        <w:t xml:space="preserve">and should </w:t>
      </w:r>
      <w:r w:rsidR="00A01845" w:rsidRPr="006D4E15">
        <w:rPr>
          <w:rFonts w:ascii="Times New Roman" w:hAnsi="Times New Roman"/>
        </w:rPr>
        <w:t xml:space="preserve">not be shoe-horned into </w:t>
      </w:r>
      <w:r w:rsidR="00FC2864" w:rsidRPr="006D4E15">
        <w:rPr>
          <w:rFonts w:ascii="Times New Roman" w:hAnsi="Times New Roman"/>
        </w:rPr>
        <w:t>a single</w:t>
      </w:r>
      <w:r w:rsidR="00A01845" w:rsidRPr="006D4E15">
        <w:rPr>
          <w:rFonts w:ascii="Times New Roman" w:hAnsi="Times New Roman"/>
        </w:rPr>
        <w:t xml:space="preserve"> doctrine </w:t>
      </w:r>
      <w:r w:rsidR="00B20D78" w:rsidRPr="006D4E15">
        <w:rPr>
          <w:rFonts w:ascii="Times New Roman" w:hAnsi="Times New Roman"/>
        </w:rPr>
        <w:t xml:space="preserve">of </w:t>
      </w:r>
      <w:r w:rsidR="0031161D" w:rsidRPr="006D4E15">
        <w:rPr>
          <w:rFonts w:ascii="Times New Roman" w:hAnsi="Times New Roman"/>
        </w:rPr>
        <w:t xml:space="preserve">vicarious </w:t>
      </w:r>
      <w:r w:rsidR="00B20D78" w:rsidRPr="006D4E15">
        <w:rPr>
          <w:rFonts w:ascii="Times New Roman" w:hAnsi="Times New Roman"/>
        </w:rPr>
        <w:t>liability</w:t>
      </w:r>
      <w:r w:rsidR="005B1539" w:rsidRPr="006D4E15">
        <w:rPr>
          <w:rFonts w:ascii="Times New Roman" w:hAnsi="Times New Roman"/>
        </w:rPr>
        <w:t xml:space="preserve"> </w:t>
      </w:r>
      <w:r w:rsidR="00A01845" w:rsidRPr="006D4E15" w:rsidDel="00B20D78">
        <w:rPr>
          <w:rFonts w:ascii="Times New Roman" w:hAnsi="Times New Roman"/>
        </w:rPr>
        <w:t xml:space="preserve">but </w:t>
      </w:r>
      <w:r w:rsidR="00852355" w:rsidRPr="006D4E15" w:rsidDel="00B20D78">
        <w:rPr>
          <w:rFonts w:ascii="Times New Roman" w:hAnsi="Times New Roman"/>
        </w:rPr>
        <w:t>kept separate</w:t>
      </w:r>
      <w:r w:rsidR="00852355" w:rsidRPr="006D4E15">
        <w:rPr>
          <w:rFonts w:ascii="Times New Roman" w:hAnsi="Times New Roman"/>
        </w:rPr>
        <w:t>.</w:t>
      </w:r>
    </w:p>
    <w:p w14:paraId="09E60530" w14:textId="209EF2BD" w:rsidR="00937408" w:rsidRPr="006D4E15" w:rsidRDefault="00CB20F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011DA" w:rsidRPr="006D4E15">
        <w:rPr>
          <w:rFonts w:ascii="Times New Roman" w:hAnsi="Times New Roman"/>
        </w:rPr>
        <w:t>It was these propositions, unchallenged in that Court, that led Lord Phillips to</w:t>
      </w:r>
      <w:r w:rsidR="00194048" w:rsidRPr="006D4E15">
        <w:rPr>
          <w:rFonts w:ascii="Times New Roman" w:hAnsi="Times New Roman"/>
        </w:rPr>
        <w:t xml:space="preserve"> </w:t>
      </w:r>
      <w:r w:rsidR="00B62D70" w:rsidRPr="006D4E15">
        <w:rPr>
          <w:rFonts w:ascii="Times New Roman" w:hAnsi="Times New Roman"/>
        </w:rPr>
        <w:t>state</w:t>
      </w:r>
      <w:r w:rsidR="00194048" w:rsidRPr="006D4E15">
        <w:rPr>
          <w:rFonts w:ascii="Times New Roman" w:hAnsi="Times New Roman"/>
        </w:rPr>
        <w:t xml:space="preserve"> that </w:t>
      </w:r>
      <w:r w:rsidR="00082CC4" w:rsidRPr="006D4E15">
        <w:rPr>
          <w:rFonts w:ascii="Times New Roman" w:hAnsi="Times New Roman"/>
        </w:rPr>
        <w:t>it ha</w:t>
      </w:r>
      <w:r w:rsidR="009C43E7" w:rsidRPr="006D4E15">
        <w:rPr>
          <w:rFonts w:ascii="Times New Roman" w:hAnsi="Times New Roman"/>
        </w:rPr>
        <w:t>d</w:t>
      </w:r>
      <w:r w:rsidR="00793ED0" w:rsidRPr="006D4E15">
        <w:rPr>
          <w:rFonts w:ascii="Times New Roman" w:hAnsi="Times New Roman"/>
        </w:rPr>
        <w:t xml:space="preserve"> become</w:t>
      </w:r>
      <w:r w:rsidR="00082CC4" w:rsidRPr="006D4E15">
        <w:rPr>
          <w:rFonts w:ascii="Times New Roman" w:hAnsi="Times New Roman"/>
        </w:rPr>
        <w:t xml:space="preserve"> </w:t>
      </w:r>
      <w:r w:rsidR="00FC7079" w:rsidRPr="006D4E15">
        <w:rPr>
          <w:rFonts w:ascii="Times New Roman" w:hAnsi="Times New Roman"/>
        </w:rPr>
        <w:t>"</w:t>
      </w:r>
      <w:r w:rsidR="0063318A" w:rsidRPr="006D4E15">
        <w:rPr>
          <w:rFonts w:ascii="Times New Roman" w:hAnsi="Times New Roman"/>
        </w:rPr>
        <w:t>more difficult to identify the criteria that must be demonstrated to establish vicarious liability</w:t>
      </w:r>
      <w:r w:rsidR="00012D41" w:rsidRPr="006D4E15">
        <w:rPr>
          <w:rFonts w:ascii="Times New Roman" w:hAnsi="Times New Roman"/>
        </w:rPr>
        <w:t xml:space="preserve"> </w:t>
      </w:r>
      <w:r w:rsidR="0063318A" w:rsidRPr="006D4E15">
        <w:rPr>
          <w:rFonts w:ascii="Times New Roman" w:hAnsi="Times New Roman"/>
        </w:rPr>
        <w:t>than it was 50 years ago</w:t>
      </w:r>
      <w:r w:rsidR="00422C38" w:rsidRPr="006D4E15">
        <w:rPr>
          <w:rFonts w:ascii="Times New Roman" w:hAnsi="Times New Roman"/>
        </w:rPr>
        <w:t>"</w:t>
      </w:r>
      <w:r w:rsidR="0063318A" w:rsidRPr="006D4E15">
        <w:rPr>
          <w:rFonts w:ascii="Times New Roman" w:hAnsi="Times New Roman"/>
        </w:rPr>
        <w:t>.</w:t>
      </w:r>
      <w:r w:rsidR="0063318A" w:rsidRPr="006D4E15">
        <w:rPr>
          <w:rStyle w:val="FootnoteReference"/>
          <w:rFonts w:ascii="Times New Roman" w:hAnsi="Times New Roman"/>
          <w:sz w:val="24"/>
        </w:rPr>
        <w:footnoteReference w:id="112"/>
      </w:r>
      <w:r w:rsidR="004D6AFC" w:rsidRPr="006D4E15">
        <w:rPr>
          <w:rFonts w:ascii="Times New Roman" w:hAnsi="Times New Roman"/>
        </w:rPr>
        <w:t xml:space="preserve"> </w:t>
      </w:r>
      <w:r w:rsidR="00D95A56" w:rsidRPr="006D4E15">
        <w:rPr>
          <w:rFonts w:ascii="Times New Roman" w:hAnsi="Times New Roman"/>
        </w:rPr>
        <w:t>It was in that context that</w:t>
      </w:r>
      <w:r w:rsidR="00D95A56" w:rsidRPr="006D4E15" w:rsidDel="00453AFE">
        <w:rPr>
          <w:rFonts w:ascii="Times New Roman" w:hAnsi="Times New Roman"/>
        </w:rPr>
        <w:t xml:space="preserve"> although</w:t>
      </w:r>
      <w:r w:rsidR="00D95A56" w:rsidRPr="006D4E15">
        <w:rPr>
          <w:rFonts w:ascii="Times New Roman" w:hAnsi="Times New Roman"/>
        </w:rPr>
        <w:t xml:space="preserve"> t</w:t>
      </w:r>
      <w:r w:rsidR="004D6AFC" w:rsidRPr="006D4E15">
        <w:rPr>
          <w:rFonts w:ascii="Times New Roman" w:hAnsi="Times New Roman"/>
        </w:rPr>
        <w:t>he</w:t>
      </w:r>
      <w:r w:rsidR="00012D41" w:rsidRPr="006D4E15">
        <w:rPr>
          <w:rFonts w:ascii="Times New Roman" w:hAnsi="Times New Roman"/>
        </w:rPr>
        <w:t xml:space="preserve"> </w:t>
      </w:r>
      <w:r w:rsidR="004D6AFC" w:rsidRPr="006D4E15" w:rsidDel="00453AFE">
        <w:rPr>
          <w:rFonts w:ascii="Times New Roman" w:hAnsi="Times New Roman"/>
        </w:rPr>
        <w:t>two</w:t>
      </w:r>
      <w:r w:rsidR="00F06579" w:rsidRPr="006D4E15">
        <w:rPr>
          <w:rFonts w:ascii="Times New Roman" w:hAnsi="Times New Roman"/>
        </w:rPr>
        <w:noBreakHyphen/>
      </w:r>
      <w:r w:rsidR="004D6AFC" w:rsidRPr="006D4E15">
        <w:rPr>
          <w:rFonts w:ascii="Times New Roman" w:hAnsi="Times New Roman"/>
        </w:rPr>
        <w:t>stage</w:t>
      </w:r>
      <w:r w:rsidR="00012D41" w:rsidRPr="006D4E15">
        <w:rPr>
          <w:rFonts w:ascii="Times New Roman" w:hAnsi="Times New Roman"/>
        </w:rPr>
        <w:t xml:space="preserve"> </w:t>
      </w:r>
      <w:r w:rsidR="004D6AFC" w:rsidRPr="006D4E15" w:rsidDel="000D10FA">
        <w:rPr>
          <w:rFonts w:ascii="Times New Roman" w:hAnsi="Times New Roman"/>
        </w:rPr>
        <w:t xml:space="preserve">inquiry </w:t>
      </w:r>
      <w:r w:rsidR="004D6AFC" w:rsidRPr="006D4E15" w:rsidDel="00453AFE">
        <w:rPr>
          <w:rFonts w:ascii="Times New Roman" w:hAnsi="Times New Roman"/>
        </w:rPr>
        <w:t>remained</w:t>
      </w:r>
      <w:r w:rsidR="00D95A56" w:rsidRPr="006D4E15" w:rsidDel="00453AFE">
        <w:rPr>
          <w:rFonts w:ascii="Times New Roman" w:hAnsi="Times New Roman"/>
        </w:rPr>
        <w:t xml:space="preserve">, </w:t>
      </w:r>
      <w:r w:rsidR="00C81768" w:rsidRPr="006D4E15" w:rsidDel="00453AFE">
        <w:rPr>
          <w:rFonts w:ascii="Times New Roman" w:hAnsi="Times New Roman"/>
        </w:rPr>
        <w:t xml:space="preserve">the </w:t>
      </w:r>
      <w:r w:rsidR="008E4F58" w:rsidRPr="006D4E15" w:rsidDel="00453AFE">
        <w:rPr>
          <w:rFonts w:ascii="Times New Roman" w:hAnsi="Times New Roman"/>
        </w:rPr>
        <w:t>principle</w:t>
      </w:r>
      <w:r w:rsidR="00023848" w:rsidRPr="006D4E15" w:rsidDel="00453AFE">
        <w:rPr>
          <w:rFonts w:ascii="Times New Roman" w:hAnsi="Times New Roman"/>
        </w:rPr>
        <w:t xml:space="preserve"> </w:t>
      </w:r>
      <w:r w:rsidR="00850D5D" w:rsidRPr="006D4E15" w:rsidDel="00012D41">
        <w:rPr>
          <w:rFonts w:ascii="Times New Roman" w:hAnsi="Times New Roman"/>
        </w:rPr>
        <w:t xml:space="preserve">was </w:t>
      </w:r>
      <w:r w:rsidR="00310190" w:rsidRPr="006D4E15" w:rsidDel="00012D41">
        <w:rPr>
          <w:rFonts w:ascii="Times New Roman" w:hAnsi="Times New Roman"/>
        </w:rPr>
        <w:t xml:space="preserve">expanded </w:t>
      </w:r>
      <w:r w:rsidR="00850D5D" w:rsidRPr="006D4E15">
        <w:rPr>
          <w:rFonts w:ascii="Times New Roman" w:hAnsi="Times New Roman"/>
        </w:rPr>
        <w:t>beyond a relationship of employment</w:t>
      </w:r>
      <w:r w:rsidR="00937408" w:rsidRPr="006D4E15">
        <w:rPr>
          <w:rFonts w:ascii="Times New Roman" w:hAnsi="Times New Roman"/>
        </w:rPr>
        <w:t xml:space="preserve"> </w:t>
      </w:r>
      <w:r w:rsidR="008E4F58" w:rsidRPr="006D4E15" w:rsidDel="00453AFE">
        <w:rPr>
          <w:rFonts w:ascii="Times New Roman" w:hAnsi="Times New Roman"/>
        </w:rPr>
        <w:t xml:space="preserve">so that, </w:t>
      </w:r>
      <w:r w:rsidR="00A316F2" w:rsidRPr="006D4E15" w:rsidDel="00453AFE">
        <w:rPr>
          <w:rFonts w:ascii="Times New Roman" w:hAnsi="Times New Roman"/>
        </w:rPr>
        <w:t xml:space="preserve">in some circumstances, </w:t>
      </w:r>
      <w:r w:rsidR="00A316F2" w:rsidRPr="006D4E15">
        <w:rPr>
          <w:rFonts w:ascii="Times New Roman" w:hAnsi="Times New Roman"/>
        </w:rPr>
        <w:t>a</w:t>
      </w:r>
      <w:r w:rsidR="002A703C" w:rsidRPr="006D4E15">
        <w:rPr>
          <w:rFonts w:ascii="Times New Roman" w:hAnsi="Times New Roman"/>
        </w:rPr>
        <w:t> </w:t>
      </w:r>
      <w:r w:rsidR="00A316F2" w:rsidRPr="006D4E15">
        <w:rPr>
          <w:rFonts w:ascii="Times New Roman" w:hAnsi="Times New Roman"/>
        </w:rPr>
        <w:t xml:space="preserve">relationship that is </w:t>
      </w:r>
      <w:r w:rsidR="00107EE7" w:rsidRPr="006D4E15">
        <w:rPr>
          <w:rFonts w:ascii="Times New Roman" w:hAnsi="Times New Roman"/>
        </w:rPr>
        <w:t>"</w:t>
      </w:r>
      <w:r w:rsidR="00A316F2" w:rsidRPr="006D4E15">
        <w:rPr>
          <w:rFonts w:ascii="Times New Roman" w:hAnsi="Times New Roman"/>
        </w:rPr>
        <w:t>akin to employment</w:t>
      </w:r>
      <w:r w:rsidR="00107EE7" w:rsidRPr="006D4E15">
        <w:rPr>
          <w:rFonts w:ascii="Times New Roman" w:hAnsi="Times New Roman"/>
        </w:rPr>
        <w:t>"</w:t>
      </w:r>
      <w:r w:rsidR="00A316F2" w:rsidRPr="006D4E15" w:rsidDel="00453AFE">
        <w:rPr>
          <w:rFonts w:ascii="Times New Roman" w:hAnsi="Times New Roman"/>
        </w:rPr>
        <w:t xml:space="preserve"> will be sufficient to impose vicarious liability</w:t>
      </w:r>
      <w:r w:rsidR="00A83289" w:rsidRPr="006D4E15">
        <w:rPr>
          <w:rFonts w:ascii="Times New Roman" w:hAnsi="Times New Roman"/>
        </w:rPr>
        <w:t xml:space="preserve">. </w:t>
      </w:r>
    </w:p>
    <w:p w14:paraId="630AB6E7" w14:textId="14B8E60C" w:rsidR="00DA4A4A" w:rsidRPr="006D4E15" w:rsidRDefault="0093740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040ED7" w:rsidRPr="006D4E15">
        <w:rPr>
          <w:rFonts w:ascii="Times New Roman" w:hAnsi="Times New Roman"/>
        </w:rPr>
        <w:t>D</w:t>
      </w:r>
      <w:r w:rsidR="00E32641" w:rsidRPr="006D4E15">
        <w:rPr>
          <w:rFonts w:ascii="Times New Roman" w:hAnsi="Times New Roman"/>
        </w:rPr>
        <w:t>ecided as a preliminary issue</w:t>
      </w:r>
      <w:r w:rsidR="00C82E15" w:rsidRPr="006D4E15">
        <w:rPr>
          <w:rFonts w:ascii="Times New Roman" w:hAnsi="Times New Roman"/>
        </w:rPr>
        <w:t>,</w:t>
      </w:r>
      <w:r w:rsidR="00E32641" w:rsidRPr="006D4E15">
        <w:rPr>
          <w:rFonts w:ascii="Times New Roman" w:hAnsi="Times New Roman"/>
        </w:rPr>
        <w:t xml:space="preserve"> </w:t>
      </w:r>
      <w:r w:rsidR="00040ED7" w:rsidRPr="006D4E15">
        <w:rPr>
          <w:rFonts w:ascii="Times New Roman" w:hAnsi="Times New Roman"/>
        </w:rPr>
        <w:t xml:space="preserve">the </w:t>
      </w:r>
      <w:r w:rsidR="00661F00" w:rsidRPr="006D4E15">
        <w:rPr>
          <w:rFonts w:ascii="Times New Roman" w:hAnsi="Times New Roman"/>
        </w:rPr>
        <w:t xml:space="preserve">Supreme </w:t>
      </w:r>
      <w:r w:rsidR="00040ED7" w:rsidRPr="006D4E15">
        <w:rPr>
          <w:rFonts w:ascii="Times New Roman" w:hAnsi="Times New Roman"/>
        </w:rPr>
        <w:t xml:space="preserve">Court </w:t>
      </w:r>
      <w:r w:rsidR="008378D9" w:rsidRPr="006D4E15">
        <w:rPr>
          <w:rFonts w:ascii="Times New Roman" w:hAnsi="Times New Roman"/>
        </w:rPr>
        <w:t xml:space="preserve">held </w:t>
      </w:r>
      <w:r w:rsidR="00525567" w:rsidRPr="006D4E15">
        <w:rPr>
          <w:rFonts w:ascii="Times New Roman" w:hAnsi="Times New Roman"/>
        </w:rPr>
        <w:t>t</w:t>
      </w:r>
      <w:r w:rsidR="00E32641" w:rsidRPr="006D4E15">
        <w:rPr>
          <w:rFonts w:ascii="Times New Roman" w:hAnsi="Times New Roman"/>
        </w:rPr>
        <w:t xml:space="preserve">hat the </w:t>
      </w:r>
      <w:r w:rsidR="009B76DB" w:rsidRPr="006D4E15">
        <w:rPr>
          <w:rFonts w:ascii="Times New Roman" w:hAnsi="Times New Roman"/>
        </w:rPr>
        <w:t xml:space="preserve">Institute </w:t>
      </w:r>
      <w:r w:rsidR="00B366A8" w:rsidRPr="006D4E15">
        <w:rPr>
          <w:rFonts w:ascii="Times New Roman" w:hAnsi="Times New Roman"/>
        </w:rPr>
        <w:t>was</w:t>
      </w:r>
      <w:r w:rsidR="00B77C55" w:rsidRPr="006D4E15">
        <w:rPr>
          <w:rFonts w:ascii="Times New Roman" w:hAnsi="Times New Roman"/>
        </w:rPr>
        <w:t xml:space="preserve"> capable of being held</w:t>
      </w:r>
      <w:r w:rsidR="00B366A8" w:rsidRPr="006D4E15">
        <w:rPr>
          <w:rFonts w:ascii="Times New Roman" w:hAnsi="Times New Roman"/>
        </w:rPr>
        <w:t xml:space="preserve"> vicariously liable </w:t>
      </w:r>
      <w:r w:rsidR="00C82E15" w:rsidRPr="006D4E15">
        <w:rPr>
          <w:rFonts w:ascii="Times New Roman" w:hAnsi="Times New Roman"/>
        </w:rPr>
        <w:t xml:space="preserve">on that extended basis </w:t>
      </w:r>
      <w:r w:rsidR="00B366A8" w:rsidRPr="006D4E15">
        <w:rPr>
          <w:rFonts w:ascii="Times New Roman" w:hAnsi="Times New Roman"/>
        </w:rPr>
        <w:t>for the sexual and other abuse</w:t>
      </w:r>
      <w:r w:rsidR="00B334AF" w:rsidRPr="006D4E15">
        <w:rPr>
          <w:rFonts w:ascii="Times New Roman" w:hAnsi="Times New Roman"/>
        </w:rPr>
        <w:t xml:space="preserve"> alleged to have been committed by </w:t>
      </w:r>
      <w:r w:rsidR="00CE67E8" w:rsidRPr="006D4E15">
        <w:rPr>
          <w:rFonts w:ascii="Times New Roman" w:hAnsi="Times New Roman"/>
        </w:rPr>
        <w:t xml:space="preserve">the brother </w:t>
      </w:r>
      <w:r w:rsidR="00B334AF" w:rsidRPr="006D4E15">
        <w:rPr>
          <w:rFonts w:ascii="Times New Roman" w:hAnsi="Times New Roman"/>
        </w:rPr>
        <w:t xml:space="preserve">teachers at </w:t>
      </w:r>
      <w:r w:rsidR="004463BE" w:rsidRPr="006D4E15">
        <w:rPr>
          <w:rFonts w:ascii="Times New Roman" w:hAnsi="Times New Roman"/>
        </w:rPr>
        <w:t xml:space="preserve">the </w:t>
      </w:r>
      <w:r w:rsidR="001F7A68" w:rsidRPr="006D4E15">
        <w:rPr>
          <w:rFonts w:ascii="Times New Roman" w:hAnsi="Times New Roman"/>
        </w:rPr>
        <w:t>residential institution</w:t>
      </w:r>
      <w:r w:rsidR="00AE1E1E" w:rsidRPr="006D4E15">
        <w:rPr>
          <w:rFonts w:ascii="Times New Roman" w:hAnsi="Times New Roman"/>
        </w:rPr>
        <w:t xml:space="preserve">. </w:t>
      </w:r>
      <w:r w:rsidR="006E52DC" w:rsidRPr="006D4E15">
        <w:rPr>
          <w:rFonts w:ascii="Times New Roman" w:hAnsi="Times New Roman"/>
        </w:rPr>
        <w:t>The</w:t>
      </w:r>
      <w:r w:rsidR="002A703C" w:rsidRPr="006D4E15">
        <w:rPr>
          <w:rFonts w:ascii="Times New Roman" w:hAnsi="Times New Roman"/>
        </w:rPr>
        <w:t> </w:t>
      </w:r>
      <w:r w:rsidR="00C82E15" w:rsidRPr="006D4E15">
        <w:rPr>
          <w:rFonts w:ascii="Times New Roman" w:hAnsi="Times New Roman"/>
        </w:rPr>
        <w:t xml:space="preserve">factors which </w:t>
      </w:r>
      <w:r w:rsidR="0062630D" w:rsidRPr="006D4E15">
        <w:rPr>
          <w:rFonts w:ascii="Times New Roman" w:hAnsi="Times New Roman"/>
        </w:rPr>
        <w:t xml:space="preserve">led the </w:t>
      </w:r>
      <w:r w:rsidR="006E52DC" w:rsidRPr="006D4E15">
        <w:rPr>
          <w:rFonts w:ascii="Times New Roman" w:hAnsi="Times New Roman"/>
        </w:rPr>
        <w:t xml:space="preserve">Supreme Court </w:t>
      </w:r>
      <w:r w:rsidR="0062630D" w:rsidRPr="006D4E15">
        <w:rPr>
          <w:rFonts w:ascii="Times New Roman" w:hAnsi="Times New Roman"/>
        </w:rPr>
        <w:t xml:space="preserve">to conclude that the relationship </w:t>
      </w:r>
      <w:r w:rsidR="00521EB1" w:rsidRPr="006D4E15">
        <w:rPr>
          <w:rFonts w:ascii="Times New Roman" w:hAnsi="Times New Roman"/>
        </w:rPr>
        <w:t xml:space="preserve">between the Institute and the brother </w:t>
      </w:r>
      <w:r w:rsidR="007C5F98" w:rsidRPr="006D4E15">
        <w:rPr>
          <w:rFonts w:ascii="Times New Roman" w:hAnsi="Times New Roman"/>
        </w:rPr>
        <w:t xml:space="preserve">teachers </w:t>
      </w:r>
      <w:r w:rsidR="0062630D" w:rsidRPr="006D4E15">
        <w:rPr>
          <w:rFonts w:ascii="Times New Roman" w:hAnsi="Times New Roman"/>
        </w:rPr>
        <w:t>was</w:t>
      </w:r>
      <w:r w:rsidR="00521EB1" w:rsidRPr="006D4E15">
        <w:rPr>
          <w:rFonts w:ascii="Times New Roman" w:hAnsi="Times New Roman"/>
        </w:rPr>
        <w:t xml:space="preserve"> </w:t>
      </w:r>
      <w:r w:rsidR="00946DF3" w:rsidRPr="006D4E15">
        <w:rPr>
          <w:rFonts w:ascii="Times New Roman" w:hAnsi="Times New Roman"/>
        </w:rPr>
        <w:lastRenderedPageBreak/>
        <w:t>"</w:t>
      </w:r>
      <w:r w:rsidR="00732FEE" w:rsidRPr="006D4E15">
        <w:rPr>
          <w:rFonts w:ascii="Times New Roman" w:hAnsi="Times New Roman"/>
        </w:rPr>
        <w:t>sufficiently</w:t>
      </w:r>
      <w:r w:rsidR="00AA738C">
        <w:rPr>
          <w:rFonts w:ascii="Times New Roman" w:hAnsi="Times New Roman"/>
        </w:rPr>
        <w:t> </w:t>
      </w:r>
      <w:r w:rsidR="0062630D" w:rsidRPr="006D4E15">
        <w:rPr>
          <w:rFonts w:ascii="Times New Roman" w:hAnsi="Times New Roman"/>
        </w:rPr>
        <w:t>akin</w:t>
      </w:r>
      <w:r w:rsidR="00236B48" w:rsidRPr="006D4E15">
        <w:rPr>
          <w:rFonts w:ascii="Times New Roman" w:hAnsi="Times New Roman"/>
        </w:rPr>
        <w:t>"</w:t>
      </w:r>
      <w:r w:rsidR="0062630D" w:rsidRPr="006D4E15">
        <w:rPr>
          <w:rFonts w:ascii="Times New Roman" w:hAnsi="Times New Roman"/>
        </w:rPr>
        <w:t xml:space="preserve"> to employment</w:t>
      </w:r>
      <w:r w:rsidR="004A7956" w:rsidRPr="006D4E15">
        <w:rPr>
          <w:rStyle w:val="FootnoteReference"/>
          <w:rFonts w:ascii="Times New Roman" w:hAnsi="Times New Roman"/>
          <w:sz w:val="24"/>
        </w:rPr>
        <w:footnoteReference w:id="113"/>
      </w:r>
      <w:r w:rsidR="00BE7A7D" w:rsidRPr="006D4E15">
        <w:rPr>
          <w:rFonts w:ascii="Times New Roman" w:hAnsi="Times New Roman"/>
        </w:rPr>
        <w:t xml:space="preserve"> as to warrant the imposition of</w:t>
      </w:r>
      <w:r w:rsidR="003B11AB" w:rsidRPr="006D4E15">
        <w:rPr>
          <w:rFonts w:ascii="Times New Roman" w:hAnsi="Times New Roman"/>
        </w:rPr>
        <w:t xml:space="preserve"> vicarious liability </w:t>
      </w:r>
      <w:r w:rsidR="0015589E" w:rsidRPr="006D4E15">
        <w:rPr>
          <w:rFonts w:ascii="Times New Roman" w:hAnsi="Times New Roman"/>
        </w:rPr>
        <w:t>were that</w:t>
      </w:r>
      <w:r w:rsidR="0036562B" w:rsidRPr="006D4E15">
        <w:rPr>
          <w:rFonts w:ascii="Times New Roman" w:hAnsi="Times New Roman"/>
        </w:rPr>
        <w:t>:</w:t>
      </w:r>
      <w:r w:rsidR="0015589E" w:rsidRPr="006D4E15">
        <w:rPr>
          <w:rFonts w:ascii="Times New Roman" w:hAnsi="Times New Roman"/>
        </w:rPr>
        <w:t xml:space="preserve"> </w:t>
      </w:r>
      <w:r w:rsidR="008A4FD4" w:rsidRPr="006D4E15">
        <w:rPr>
          <w:rFonts w:ascii="Times New Roman" w:hAnsi="Times New Roman"/>
        </w:rPr>
        <w:t>"</w:t>
      </w:r>
      <w:r w:rsidR="00D41695" w:rsidRPr="006D4E15">
        <w:rPr>
          <w:rFonts w:ascii="Times New Roman" w:hAnsi="Times New Roman"/>
        </w:rPr>
        <w:t>(</w:t>
      </w:r>
      <w:r w:rsidR="00BA21B2" w:rsidRPr="006D4E15">
        <w:rPr>
          <w:rFonts w:ascii="Times New Roman" w:hAnsi="Times New Roman"/>
        </w:rPr>
        <w:t xml:space="preserve">i) </w:t>
      </w:r>
      <w:r w:rsidR="00A332DB" w:rsidRPr="006D4E15">
        <w:rPr>
          <w:rFonts w:ascii="Times New Roman" w:hAnsi="Times New Roman"/>
        </w:rPr>
        <w:t>T</w:t>
      </w:r>
      <w:r w:rsidR="00BA21B2" w:rsidRPr="006D4E15">
        <w:rPr>
          <w:rFonts w:ascii="Times New Roman" w:hAnsi="Times New Roman"/>
        </w:rPr>
        <w:t>he institute was subdivided into a hierarchical structure and conducted</w:t>
      </w:r>
      <w:r w:rsidR="008A4FD4" w:rsidRPr="006D4E15">
        <w:rPr>
          <w:rFonts w:ascii="Times New Roman" w:hAnsi="Times New Roman"/>
        </w:rPr>
        <w:t xml:space="preserve"> </w:t>
      </w:r>
      <w:r w:rsidR="00BA21B2" w:rsidRPr="006D4E15">
        <w:rPr>
          <w:rFonts w:ascii="Times New Roman" w:hAnsi="Times New Roman"/>
        </w:rPr>
        <w:t>its activities as if it were a corporate body</w:t>
      </w:r>
      <w:r w:rsidR="001E7276" w:rsidRPr="006D4E15">
        <w:rPr>
          <w:rFonts w:ascii="Times New Roman" w:hAnsi="Times New Roman"/>
        </w:rPr>
        <w:t>.</w:t>
      </w:r>
      <w:r w:rsidR="00BA21B2" w:rsidRPr="006D4E15">
        <w:rPr>
          <w:rFonts w:ascii="Times New Roman" w:hAnsi="Times New Roman"/>
        </w:rPr>
        <w:t xml:space="preserve"> (ii) </w:t>
      </w:r>
      <w:r w:rsidR="001E7276" w:rsidRPr="006D4E15">
        <w:rPr>
          <w:rFonts w:ascii="Times New Roman" w:hAnsi="Times New Roman"/>
        </w:rPr>
        <w:t>T</w:t>
      </w:r>
      <w:r w:rsidR="00BA21B2" w:rsidRPr="006D4E15">
        <w:rPr>
          <w:rFonts w:ascii="Times New Roman" w:hAnsi="Times New Roman"/>
        </w:rPr>
        <w:t>he teaching activity of the</w:t>
      </w:r>
      <w:r w:rsidR="008A4FD4" w:rsidRPr="006D4E15">
        <w:rPr>
          <w:rFonts w:ascii="Times New Roman" w:hAnsi="Times New Roman"/>
        </w:rPr>
        <w:t xml:space="preserve"> </w:t>
      </w:r>
      <w:r w:rsidR="00BA21B2" w:rsidRPr="006D4E15">
        <w:rPr>
          <w:rFonts w:ascii="Times New Roman" w:hAnsi="Times New Roman"/>
        </w:rPr>
        <w:t>brothers was undertaken because the provincial directed the brothers to</w:t>
      </w:r>
      <w:r w:rsidR="008A4FD4" w:rsidRPr="006D4E15">
        <w:rPr>
          <w:rFonts w:ascii="Times New Roman" w:hAnsi="Times New Roman"/>
        </w:rPr>
        <w:t xml:space="preserve"> </w:t>
      </w:r>
      <w:r w:rsidR="00BA21B2" w:rsidRPr="006D4E15">
        <w:rPr>
          <w:rFonts w:ascii="Times New Roman" w:hAnsi="Times New Roman"/>
        </w:rPr>
        <w:t>undertake it.</w:t>
      </w:r>
      <w:r w:rsidR="008A4FD4" w:rsidRPr="006D4E15">
        <w:rPr>
          <w:rFonts w:ascii="Times New Roman" w:hAnsi="Times New Roman"/>
        </w:rPr>
        <w:t xml:space="preserve"> ...</w:t>
      </w:r>
      <w:r w:rsidR="00BA21B2" w:rsidRPr="006D4E15">
        <w:rPr>
          <w:rFonts w:ascii="Times New Roman" w:hAnsi="Times New Roman"/>
        </w:rPr>
        <w:t xml:space="preserve"> (iii) </w:t>
      </w:r>
      <w:r w:rsidR="00234FCD" w:rsidRPr="006D4E15">
        <w:rPr>
          <w:rFonts w:ascii="Times New Roman" w:hAnsi="Times New Roman"/>
        </w:rPr>
        <w:t>T</w:t>
      </w:r>
      <w:r w:rsidR="00BA21B2" w:rsidRPr="006D4E15">
        <w:rPr>
          <w:rFonts w:ascii="Times New Roman" w:hAnsi="Times New Roman"/>
        </w:rPr>
        <w:t>he teaching activity undertaken</w:t>
      </w:r>
      <w:r w:rsidR="00F23B4A" w:rsidRPr="006D4E15">
        <w:rPr>
          <w:rFonts w:ascii="Times New Roman" w:hAnsi="Times New Roman"/>
        </w:rPr>
        <w:t xml:space="preserve"> </w:t>
      </w:r>
      <w:r w:rsidR="00BA21B2" w:rsidRPr="006D4E15">
        <w:rPr>
          <w:rFonts w:ascii="Times New Roman" w:hAnsi="Times New Roman"/>
        </w:rPr>
        <w:t>by the brothers was in furtherance of the objective, or mission, of the</w:t>
      </w:r>
      <w:r w:rsidR="00F23B4A" w:rsidRPr="006D4E15">
        <w:rPr>
          <w:rFonts w:ascii="Times New Roman" w:hAnsi="Times New Roman"/>
        </w:rPr>
        <w:t xml:space="preserve"> </w:t>
      </w:r>
      <w:r w:rsidR="00BA21B2" w:rsidRPr="006D4E15">
        <w:rPr>
          <w:rFonts w:ascii="Times New Roman" w:hAnsi="Times New Roman"/>
        </w:rPr>
        <w:t>institute</w:t>
      </w:r>
      <w:r w:rsidR="00756ADC" w:rsidRPr="006D4E15">
        <w:rPr>
          <w:rFonts w:ascii="Times New Roman" w:hAnsi="Times New Roman"/>
        </w:rPr>
        <w:t>.</w:t>
      </w:r>
      <w:r w:rsidR="00BA21B2" w:rsidRPr="006D4E15">
        <w:rPr>
          <w:rFonts w:ascii="Times New Roman" w:hAnsi="Times New Roman"/>
        </w:rPr>
        <w:t xml:space="preserve"> (iv)</w:t>
      </w:r>
      <w:r w:rsidR="002A703C" w:rsidRPr="006D4E15">
        <w:rPr>
          <w:rFonts w:ascii="Times New Roman" w:hAnsi="Times New Roman"/>
        </w:rPr>
        <w:t> </w:t>
      </w:r>
      <w:r w:rsidR="00756ADC" w:rsidRPr="006D4E15">
        <w:rPr>
          <w:rFonts w:ascii="Times New Roman" w:hAnsi="Times New Roman"/>
        </w:rPr>
        <w:t>T</w:t>
      </w:r>
      <w:r w:rsidR="00BA21B2" w:rsidRPr="006D4E15">
        <w:rPr>
          <w:rFonts w:ascii="Times New Roman" w:hAnsi="Times New Roman"/>
        </w:rPr>
        <w:t>he</w:t>
      </w:r>
      <w:r w:rsidR="002A703C" w:rsidRPr="006D4E15">
        <w:rPr>
          <w:rFonts w:ascii="Times New Roman" w:hAnsi="Times New Roman"/>
        </w:rPr>
        <w:t> </w:t>
      </w:r>
      <w:r w:rsidR="00BA21B2" w:rsidRPr="006D4E15">
        <w:rPr>
          <w:rFonts w:ascii="Times New Roman" w:hAnsi="Times New Roman"/>
        </w:rPr>
        <w:t>manner in which the brother teachers were obliged to</w:t>
      </w:r>
      <w:r w:rsidR="00F23B4A" w:rsidRPr="006D4E15">
        <w:rPr>
          <w:rFonts w:ascii="Times New Roman" w:hAnsi="Times New Roman"/>
        </w:rPr>
        <w:t xml:space="preserve"> </w:t>
      </w:r>
      <w:r w:rsidR="00BA21B2" w:rsidRPr="006D4E15">
        <w:rPr>
          <w:rFonts w:ascii="Times New Roman" w:hAnsi="Times New Roman"/>
        </w:rPr>
        <w:t>conduct themselves as teachers was dictated by the institute</w:t>
      </w:r>
      <w:r w:rsidR="00F23B4A" w:rsidRPr="006D4E15">
        <w:rPr>
          <w:rFonts w:ascii="Times New Roman" w:hAnsi="Times New Roman"/>
        </w:rPr>
        <w:t>'</w:t>
      </w:r>
      <w:r w:rsidR="00BA21B2" w:rsidRPr="006D4E15">
        <w:rPr>
          <w:rFonts w:ascii="Times New Roman" w:hAnsi="Times New Roman"/>
        </w:rPr>
        <w:t>s rules</w:t>
      </w:r>
      <w:r w:rsidR="00F23B4A" w:rsidRPr="006D4E15">
        <w:rPr>
          <w:rFonts w:ascii="Times New Roman" w:hAnsi="Times New Roman"/>
        </w:rPr>
        <w:t>.</w:t>
      </w:r>
      <w:r w:rsidR="00E6312C" w:rsidRPr="006D4E15">
        <w:rPr>
          <w:rFonts w:ascii="Times New Roman" w:hAnsi="Times New Roman"/>
        </w:rPr>
        <w:t>"</w:t>
      </w:r>
      <w:r w:rsidR="00F03857" w:rsidRPr="006D4E15">
        <w:rPr>
          <w:rStyle w:val="FootnoteReference"/>
          <w:rFonts w:ascii="Times New Roman" w:hAnsi="Times New Roman"/>
          <w:sz w:val="24"/>
        </w:rPr>
        <w:footnoteReference w:id="114"/>
      </w:r>
      <w:r w:rsidR="009A2F20" w:rsidRPr="006D4E15">
        <w:rPr>
          <w:rFonts w:ascii="Times New Roman" w:hAnsi="Times New Roman"/>
        </w:rPr>
        <w:t xml:space="preserve"> </w:t>
      </w:r>
    </w:p>
    <w:p w14:paraId="025BFF02" w14:textId="3E7ADBD6" w:rsidR="00C84686" w:rsidRPr="006D4E15" w:rsidRDefault="00DA4A4A"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10939" w:rsidRPr="006D4E15">
        <w:rPr>
          <w:rFonts w:ascii="Times New Roman" w:hAnsi="Times New Roman"/>
        </w:rPr>
        <w:t xml:space="preserve">The </w:t>
      </w:r>
      <w:r w:rsidR="00C50067" w:rsidRPr="006D4E15">
        <w:rPr>
          <w:rFonts w:ascii="Times New Roman" w:hAnsi="Times New Roman"/>
        </w:rPr>
        <w:t xml:space="preserve">Supreme </w:t>
      </w:r>
      <w:r w:rsidR="00CD7608" w:rsidRPr="006D4E15">
        <w:rPr>
          <w:rFonts w:ascii="Times New Roman" w:hAnsi="Times New Roman"/>
        </w:rPr>
        <w:t>Court</w:t>
      </w:r>
      <w:r w:rsidR="000D5D49" w:rsidRPr="006D4E15">
        <w:rPr>
          <w:rFonts w:ascii="Times New Roman" w:hAnsi="Times New Roman"/>
        </w:rPr>
        <w:t xml:space="preserve"> </w:t>
      </w:r>
      <w:r w:rsidR="00E43431" w:rsidRPr="006D4E15">
        <w:rPr>
          <w:rFonts w:ascii="Times New Roman" w:hAnsi="Times New Roman"/>
        </w:rPr>
        <w:t>justified</w:t>
      </w:r>
      <w:r w:rsidR="000D5D49" w:rsidRPr="006D4E15">
        <w:rPr>
          <w:rFonts w:ascii="Times New Roman" w:hAnsi="Times New Roman"/>
        </w:rPr>
        <w:t xml:space="preserve"> it</w:t>
      </w:r>
      <w:r w:rsidR="00CD7608" w:rsidRPr="006D4E15">
        <w:rPr>
          <w:rFonts w:ascii="Times New Roman" w:hAnsi="Times New Roman"/>
        </w:rPr>
        <w:t xml:space="preserve">s </w:t>
      </w:r>
      <w:r w:rsidR="00F24A21" w:rsidRPr="006D4E15">
        <w:rPr>
          <w:rFonts w:ascii="Times New Roman" w:hAnsi="Times New Roman"/>
        </w:rPr>
        <w:t xml:space="preserve">adoption of the </w:t>
      </w:r>
      <w:r w:rsidR="00510939" w:rsidRPr="006D4E15">
        <w:rPr>
          <w:rFonts w:ascii="Times New Roman" w:hAnsi="Times New Roman"/>
        </w:rPr>
        <w:t xml:space="preserve">test of </w:t>
      </w:r>
      <w:r w:rsidR="00DC4D86" w:rsidRPr="006D4E15">
        <w:rPr>
          <w:rFonts w:ascii="Times New Roman" w:hAnsi="Times New Roman"/>
        </w:rPr>
        <w:t>"</w:t>
      </w:r>
      <w:r w:rsidR="00510939" w:rsidRPr="006D4E15">
        <w:rPr>
          <w:rFonts w:ascii="Times New Roman" w:hAnsi="Times New Roman"/>
        </w:rPr>
        <w:t>akin to employment</w:t>
      </w:r>
      <w:r w:rsidR="00DC4D86" w:rsidRPr="006D4E15">
        <w:rPr>
          <w:rFonts w:ascii="Times New Roman" w:hAnsi="Times New Roman"/>
        </w:rPr>
        <w:t>"</w:t>
      </w:r>
      <w:r w:rsidR="00510939" w:rsidRPr="006D4E15">
        <w:rPr>
          <w:rFonts w:ascii="Times New Roman" w:hAnsi="Times New Roman"/>
        </w:rPr>
        <w:t xml:space="preserve"> </w:t>
      </w:r>
      <w:r w:rsidR="00BD2CDB" w:rsidRPr="006D4E15">
        <w:rPr>
          <w:rFonts w:ascii="Times New Roman" w:hAnsi="Times New Roman"/>
        </w:rPr>
        <w:t xml:space="preserve">on </w:t>
      </w:r>
      <w:r w:rsidR="00E7149F" w:rsidRPr="006D4E15">
        <w:rPr>
          <w:rFonts w:ascii="Times New Roman" w:hAnsi="Times New Roman"/>
        </w:rPr>
        <w:t xml:space="preserve">the </w:t>
      </w:r>
      <w:r w:rsidR="00BD2CDB" w:rsidRPr="006D4E15">
        <w:rPr>
          <w:rFonts w:ascii="Times New Roman" w:hAnsi="Times New Roman"/>
        </w:rPr>
        <w:t>grounds</w:t>
      </w:r>
      <w:r w:rsidR="00A6248A" w:rsidRPr="006D4E15">
        <w:rPr>
          <w:rFonts w:ascii="Times New Roman" w:hAnsi="Times New Roman"/>
        </w:rPr>
        <w:t xml:space="preserve"> that the policy objective underlying vicarious liability is </w:t>
      </w:r>
      <w:r w:rsidR="00DF6589" w:rsidRPr="006D4E15">
        <w:rPr>
          <w:rFonts w:ascii="Times New Roman" w:hAnsi="Times New Roman"/>
        </w:rPr>
        <w:t>"</w:t>
      </w:r>
      <w:r w:rsidR="00A6248A" w:rsidRPr="006D4E15">
        <w:rPr>
          <w:rFonts w:ascii="Times New Roman" w:hAnsi="Times New Roman"/>
        </w:rPr>
        <w:t xml:space="preserve">to ensure, in so far as it is </w:t>
      </w:r>
      <w:r w:rsidR="00A6248A" w:rsidRPr="006D4E15">
        <w:rPr>
          <w:rFonts w:ascii="Times New Roman" w:hAnsi="Times New Roman"/>
          <w:i/>
          <w:iCs/>
        </w:rPr>
        <w:t>fair, just and reasonable</w:t>
      </w:r>
      <w:r w:rsidR="00A6248A" w:rsidRPr="006D4E15">
        <w:rPr>
          <w:rFonts w:ascii="Times New Roman" w:hAnsi="Times New Roman"/>
        </w:rPr>
        <w:t>, that liability for tortiou</w:t>
      </w:r>
      <w:r w:rsidR="0086644D" w:rsidRPr="006D4E15">
        <w:rPr>
          <w:rFonts w:ascii="Times New Roman" w:hAnsi="Times New Roman"/>
        </w:rPr>
        <w:t>s</w:t>
      </w:r>
      <w:r w:rsidR="00A6248A" w:rsidRPr="006D4E15">
        <w:rPr>
          <w:rFonts w:ascii="Times New Roman" w:hAnsi="Times New Roman"/>
        </w:rPr>
        <w:t xml:space="preserve"> wrong is borne by a defendant with the means to compensate the victim</w:t>
      </w:r>
      <w:r w:rsidR="00E030AC" w:rsidRPr="006D4E15">
        <w:rPr>
          <w:rFonts w:ascii="Times New Roman" w:hAnsi="Times New Roman"/>
        </w:rPr>
        <w:t>"</w:t>
      </w:r>
      <w:r w:rsidR="00A6248A" w:rsidRPr="006D4E15">
        <w:rPr>
          <w:rFonts w:ascii="Times New Roman" w:hAnsi="Times New Roman"/>
        </w:rPr>
        <w:t>.</w:t>
      </w:r>
      <w:r w:rsidR="00E45859" w:rsidRPr="006D4E15">
        <w:rPr>
          <w:rStyle w:val="FootnoteReference"/>
          <w:rFonts w:ascii="Times New Roman" w:hAnsi="Times New Roman"/>
          <w:sz w:val="24"/>
        </w:rPr>
        <w:footnoteReference w:id="115"/>
      </w:r>
      <w:r w:rsidR="0086644D" w:rsidRPr="006D4E15">
        <w:rPr>
          <w:rFonts w:ascii="Times New Roman" w:hAnsi="Times New Roman"/>
        </w:rPr>
        <w:t xml:space="preserve"> </w:t>
      </w:r>
      <w:r w:rsidR="00DF6589" w:rsidRPr="006D4E15">
        <w:rPr>
          <w:rFonts w:ascii="Times New Roman" w:hAnsi="Times New Roman"/>
        </w:rPr>
        <w:t>The Court stated that it was</w:t>
      </w:r>
      <w:r w:rsidR="00931F1E" w:rsidRPr="006D4E15">
        <w:rPr>
          <w:rFonts w:ascii="Times New Roman" w:hAnsi="Times New Roman"/>
        </w:rPr>
        <w:t xml:space="preserve"> </w:t>
      </w:r>
      <w:r w:rsidR="007C79F9" w:rsidRPr="006D4E15">
        <w:rPr>
          <w:rFonts w:ascii="Times New Roman" w:hAnsi="Times New Roman"/>
        </w:rPr>
        <w:t xml:space="preserve">for </w:t>
      </w:r>
      <w:r w:rsidR="00BE0D57" w:rsidRPr="006D4E15">
        <w:rPr>
          <w:rFonts w:ascii="Times New Roman" w:hAnsi="Times New Roman"/>
        </w:rPr>
        <w:t>"</w:t>
      </w:r>
      <w:r w:rsidR="007C79F9" w:rsidRPr="006D4E15">
        <w:rPr>
          <w:rFonts w:ascii="Times New Roman" w:hAnsi="Times New Roman"/>
        </w:rPr>
        <w:t>the court to identify the policy reasons why it is fair, just</w:t>
      </w:r>
      <w:r w:rsidR="002A703C" w:rsidRPr="006D4E15">
        <w:rPr>
          <w:rFonts w:ascii="Times New Roman" w:hAnsi="Times New Roman"/>
        </w:rPr>
        <w:t> </w:t>
      </w:r>
      <w:r w:rsidR="007C79F9" w:rsidRPr="006D4E15">
        <w:rPr>
          <w:rFonts w:ascii="Times New Roman" w:hAnsi="Times New Roman"/>
        </w:rPr>
        <w:t>and reasonable to impose vicarious liability and to lay down the criteria that must be shown to be satisfied in order to establish vicarious liability"</w:t>
      </w:r>
      <w:r w:rsidR="00EB552B">
        <w:rPr>
          <w:rFonts w:ascii="Times New Roman" w:hAnsi="Times New Roman"/>
        </w:rPr>
        <w:t>.</w:t>
      </w:r>
      <w:r w:rsidR="007C79F9" w:rsidRPr="006D4E15">
        <w:rPr>
          <w:rStyle w:val="FootnoteReference"/>
          <w:rFonts w:ascii="Times New Roman" w:hAnsi="Times New Roman"/>
          <w:sz w:val="24"/>
        </w:rPr>
        <w:footnoteReference w:id="116"/>
      </w:r>
      <w:r w:rsidR="007C79F9" w:rsidRPr="006D4E15">
        <w:rPr>
          <w:rFonts w:ascii="Times New Roman" w:hAnsi="Times New Roman"/>
        </w:rPr>
        <w:t xml:space="preserve"> </w:t>
      </w:r>
      <w:r w:rsidR="00EE4A48" w:rsidRPr="006D4E15">
        <w:rPr>
          <w:rFonts w:ascii="Times New Roman" w:hAnsi="Times New Roman"/>
        </w:rPr>
        <w:t xml:space="preserve">The </w:t>
      </w:r>
      <w:r w:rsidR="00A96F70" w:rsidRPr="006D4E15">
        <w:rPr>
          <w:rFonts w:ascii="Times New Roman" w:hAnsi="Times New Roman"/>
        </w:rPr>
        <w:t>policy reasons</w:t>
      </w:r>
      <w:r w:rsidR="00B43546" w:rsidRPr="006D4E15">
        <w:rPr>
          <w:rFonts w:ascii="Times New Roman" w:hAnsi="Times New Roman"/>
        </w:rPr>
        <w:t xml:space="preserve"> </w:t>
      </w:r>
      <w:r w:rsidR="00EE4A48" w:rsidRPr="006D4E15">
        <w:rPr>
          <w:rFonts w:ascii="Times New Roman" w:hAnsi="Times New Roman"/>
        </w:rPr>
        <w:t xml:space="preserve">for </w:t>
      </w:r>
      <w:r w:rsidR="005E2290" w:rsidRPr="006D4E15">
        <w:rPr>
          <w:rFonts w:ascii="Times New Roman" w:hAnsi="Times New Roman"/>
        </w:rPr>
        <w:t xml:space="preserve">the overarching test </w:t>
      </w:r>
      <w:r w:rsidR="0025627B" w:rsidRPr="006D4E15">
        <w:rPr>
          <w:rFonts w:ascii="Times New Roman" w:hAnsi="Times New Roman"/>
        </w:rPr>
        <w:t>– that usually ma</w:t>
      </w:r>
      <w:r w:rsidR="00363F9C" w:rsidRPr="006D4E15">
        <w:rPr>
          <w:rFonts w:ascii="Times New Roman" w:hAnsi="Times New Roman"/>
        </w:rPr>
        <w:t>d</w:t>
      </w:r>
      <w:r w:rsidR="0025627B" w:rsidRPr="006D4E15">
        <w:rPr>
          <w:rFonts w:ascii="Times New Roman" w:hAnsi="Times New Roman"/>
        </w:rPr>
        <w:t xml:space="preserve">e it </w:t>
      </w:r>
      <w:r w:rsidR="005E2290" w:rsidRPr="006D4E15">
        <w:rPr>
          <w:rFonts w:ascii="Times New Roman" w:hAnsi="Times New Roman"/>
        </w:rPr>
        <w:t>"fair,</w:t>
      </w:r>
      <w:r w:rsidR="00E238D1">
        <w:rPr>
          <w:rFonts w:ascii="Times New Roman" w:hAnsi="Times New Roman"/>
        </w:rPr>
        <w:t> </w:t>
      </w:r>
      <w:r w:rsidR="005E2290" w:rsidRPr="006D4E15">
        <w:rPr>
          <w:rFonts w:ascii="Times New Roman" w:hAnsi="Times New Roman"/>
        </w:rPr>
        <w:t>just and reasonable</w:t>
      </w:r>
      <w:r w:rsidR="0007382B" w:rsidRPr="006D4E15">
        <w:rPr>
          <w:rFonts w:ascii="Times New Roman" w:hAnsi="Times New Roman"/>
        </w:rPr>
        <w:t xml:space="preserve">" to impose vicarious liability on </w:t>
      </w:r>
      <w:r w:rsidR="00A96F70" w:rsidRPr="006D4E15">
        <w:rPr>
          <w:rFonts w:ascii="Times New Roman" w:hAnsi="Times New Roman"/>
        </w:rPr>
        <w:t xml:space="preserve">an </w:t>
      </w:r>
      <w:r w:rsidR="00801D87" w:rsidRPr="006D4E15">
        <w:rPr>
          <w:rFonts w:ascii="Times New Roman" w:hAnsi="Times New Roman"/>
        </w:rPr>
        <w:t>employer</w:t>
      </w:r>
      <w:r w:rsidR="00942EE3" w:rsidRPr="006D4E15">
        <w:rPr>
          <w:rFonts w:ascii="Times New Roman" w:hAnsi="Times New Roman"/>
        </w:rPr>
        <w:t xml:space="preserve"> – </w:t>
      </w:r>
      <w:r w:rsidR="00EE4A48" w:rsidRPr="006D4E15">
        <w:rPr>
          <w:rFonts w:ascii="Times New Roman" w:hAnsi="Times New Roman"/>
        </w:rPr>
        <w:t>were</w:t>
      </w:r>
      <w:r w:rsidR="00E238D1">
        <w:rPr>
          <w:rFonts w:ascii="Times New Roman" w:hAnsi="Times New Roman"/>
        </w:rPr>
        <w:t> </w:t>
      </w:r>
      <w:r w:rsidR="008F5EAF" w:rsidRPr="006D4E15">
        <w:rPr>
          <w:rFonts w:ascii="Times New Roman" w:hAnsi="Times New Roman"/>
        </w:rPr>
        <w:t>stated to be</w:t>
      </w:r>
      <w:r w:rsidR="002D1660" w:rsidRPr="006D4E15">
        <w:rPr>
          <w:rFonts w:ascii="Times New Roman" w:hAnsi="Times New Roman"/>
        </w:rPr>
        <w:t>:</w:t>
      </w:r>
      <w:r w:rsidR="00A4181A" w:rsidRPr="006D4E15">
        <w:rPr>
          <w:rStyle w:val="FootnoteReference"/>
          <w:rFonts w:ascii="Times New Roman" w:hAnsi="Times New Roman"/>
          <w:sz w:val="24"/>
        </w:rPr>
        <w:footnoteReference w:id="117"/>
      </w:r>
      <w:r w:rsidR="00A4181A" w:rsidRPr="006D4E15">
        <w:rPr>
          <w:rFonts w:ascii="Times New Roman" w:hAnsi="Times New Roman"/>
        </w:rPr>
        <w:t xml:space="preserve"> </w:t>
      </w:r>
      <w:r w:rsidR="007C5148" w:rsidRPr="006D4E15">
        <w:rPr>
          <w:rFonts w:ascii="Times New Roman" w:hAnsi="Times New Roman"/>
        </w:rPr>
        <w:t>"</w:t>
      </w:r>
      <w:r w:rsidR="00803EC3" w:rsidRPr="006D4E15">
        <w:rPr>
          <w:rFonts w:ascii="Times New Roman" w:hAnsi="Times New Roman"/>
        </w:rPr>
        <w:t>(i)</w:t>
      </w:r>
      <w:r w:rsidRPr="006D4E15">
        <w:rPr>
          <w:rFonts w:ascii="Times New Roman" w:hAnsi="Times New Roman"/>
        </w:rPr>
        <w:t xml:space="preserve"> the employer is more likely to have the means to compensate</w:t>
      </w:r>
      <w:r w:rsidR="007C5148" w:rsidRPr="006D4E15">
        <w:rPr>
          <w:rFonts w:ascii="Times New Roman" w:hAnsi="Times New Roman"/>
        </w:rPr>
        <w:t xml:space="preserve"> </w:t>
      </w:r>
      <w:r w:rsidRPr="006D4E15">
        <w:rPr>
          <w:rFonts w:ascii="Times New Roman" w:hAnsi="Times New Roman"/>
        </w:rPr>
        <w:t>the victim than the employee and can be expected to have insured against</w:t>
      </w:r>
      <w:r w:rsidR="007C5148" w:rsidRPr="006D4E15">
        <w:rPr>
          <w:rFonts w:ascii="Times New Roman" w:hAnsi="Times New Roman"/>
        </w:rPr>
        <w:t xml:space="preserve"> </w:t>
      </w:r>
      <w:r w:rsidRPr="006D4E15">
        <w:rPr>
          <w:rFonts w:ascii="Times New Roman" w:hAnsi="Times New Roman"/>
        </w:rPr>
        <w:t>that liability; (ii)</w:t>
      </w:r>
      <w:r w:rsidR="00E238D1">
        <w:rPr>
          <w:rFonts w:ascii="Times New Roman" w:hAnsi="Times New Roman"/>
        </w:rPr>
        <w:t> </w:t>
      </w:r>
      <w:r w:rsidRPr="006D4E15">
        <w:rPr>
          <w:rFonts w:ascii="Times New Roman" w:hAnsi="Times New Roman"/>
        </w:rPr>
        <w:t>the tort will have been committed as a result of activity</w:t>
      </w:r>
      <w:r w:rsidR="007C5148" w:rsidRPr="006D4E15">
        <w:rPr>
          <w:rFonts w:ascii="Times New Roman" w:hAnsi="Times New Roman"/>
        </w:rPr>
        <w:t xml:space="preserve"> </w:t>
      </w:r>
      <w:r w:rsidRPr="006D4E15">
        <w:rPr>
          <w:rFonts w:ascii="Times New Roman" w:hAnsi="Times New Roman"/>
        </w:rPr>
        <w:t>being taken by the employee on behalf of the employer; (iii)</w:t>
      </w:r>
      <w:r w:rsidR="002A703C" w:rsidRPr="006D4E15">
        <w:rPr>
          <w:rFonts w:ascii="Times New Roman" w:hAnsi="Times New Roman"/>
        </w:rPr>
        <w:t> </w:t>
      </w:r>
      <w:r w:rsidRPr="006D4E15">
        <w:rPr>
          <w:rFonts w:ascii="Times New Roman" w:hAnsi="Times New Roman"/>
        </w:rPr>
        <w:t>the</w:t>
      </w:r>
      <w:r w:rsidR="002A703C" w:rsidRPr="006D4E15">
        <w:rPr>
          <w:rFonts w:ascii="Times New Roman" w:hAnsi="Times New Roman"/>
        </w:rPr>
        <w:t> </w:t>
      </w:r>
      <w:r w:rsidRPr="006D4E15">
        <w:rPr>
          <w:rFonts w:ascii="Times New Roman" w:hAnsi="Times New Roman"/>
        </w:rPr>
        <w:t>employee</w:t>
      </w:r>
      <w:r w:rsidR="007C5148" w:rsidRPr="006D4E15">
        <w:rPr>
          <w:rFonts w:ascii="Times New Roman" w:hAnsi="Times New Roman"/>
        </w:rPr>
        <w:t>'</w:t>
      </w:r>
      <w:r w:rsidRPr="006D4E15">
        <w:rPr>
          <w:rFonts w:ascii="Times New Roman" w:hAnsi="Times New Roman"/>
        </w:rPr>
        <w:t>s</w:t>
      </w:r>
      <w:r w:rsidR="007C5148" w:rsidRPr="006D4E15">
        <w:rPr>
          <w:rFonts w:ascii="Times New Roman" w:hAnsi="Times New Roman"/>
        </w:rPr>
        <w:t xml:space="preserve"> </w:t>
      </w:r>
      <w:r w:rsidRPr="006D4E15">
        <w:rPr>
          <w:rFonts w:ascii="Times New Roman" w:hAnsi="Times New Roman"/>
        </w:rPr>
        <w:t>activity is likely to be part of the business activity of the employer; (iv)</w:t>
      </w:r>
      <w:r w:rsidR="00A060A1">
        <w:rPr>
          <w:rFonts w:ascii="Times New Roman" w:hAnsi="Times New Roman"/>
        </w:rPr>
        <w:t> </w:t>
      </w:r>
      <w:r w:rsidRPr="006D4E15">
        <w:rPr>
          <w:rFonts w:ascii="Times New Roman" w:hAnsi="Times New Roman"/>
        </w:rPr>
        <w:t>the</w:t>
      </w:r>
      <w:r w:rsidR="00A060A1">
        <w:rPr>
          <w:rFonts w:ascii="Times New Roman" w:hAnsi="Times New Roman"/>
        </w:rPr>
        <w:t> </w:t>
      </w:r>
      <w:r w:rsidRPr="006D4E15">
        <w:rPr>
          <w:rFonts w:ascii="Times New Roman" w:hAnsi="Times New Roman"/>
        </w:rPr>
        <w:t>employer, by employing the employee to carry on the activity will have</w:t>
      </w:r>
      <w:r w:rsidR="007C5148" w:rsidRPr="006D4E15">
        <w:rPr>
          <w:rFonts w:ascii="Times New Roman" w:hAnsi="Times New Roman"/>
        </w:rPr>
        <w:t xml:space="preserve"> </w:t>
      </w:r>
      <w:r w:rsidRPr="006D4E15">
        <w:rPr>
          <w:rFonts w:ascii="Times New Roman" w:hAnsi="Times New Roman"/>
        </w:rPr>
        <w:t>created the risk of the tort committed by the employee; (v) the employee will,</w:t>
      </w:r>
      <w:r w:rsidR="007C5148" w:rsidRPr="006D4E15">
        <w:rPr>
          <w:rFonts w:ascii="Times New Roman" w:hAnsi="Times New Roman"/>
        </w:rPr>
        <w:t xml:space="preserve"> </w:t>
      </w:r>
      <w:r w:rsidRPr="006D4E15">
        <w:rPr>
          <w:rFonts w:ascii="Times New Roman" w:hAnsi="Times New Roman"/>
        </w:rPr>
        <w:t>to a greater or lesser degree, have been under the control of the employer</w:t>
      </w:r>
      <w:r w:rsidR="00D13AE7" w:rsidRPr="006D4E15">
        <w:rPr>
          <w:rFonts w:ascii="Times New Roman" w:hAnsi="Times New Roman"/>
        </w:rPr>
        <w:t>".</w:t>
      </w:r>
      <w:r w:rsidR="002D1660" w:rsidRPr="006D4E15">
        <w:rPr>
          <w:rStyle w:val="FootnoteReference"/>
          <w:rFonts w:ascii="Times New Roman" w:hAnsi="Times New Roman"/>
          <w:sz w:val="24"/>
        </w:rPr>
        <w:footnoteReference w:id="118"/>
      </w:r>
      <w:r w:rsidR="00EE4709" w:rsidRPr="006D4E15">
        <w:rPr>
          <w:rFonts w:ascii="Times New Roman" w:hAnsi="Times New Roman"/>
        </w:rPr>
        <w:t xml:space="preserve"> </w:t>
      </w:r>
      <w:r w:rsidR="00AC5446" w:rsidRPr="006D4E15">
        <w:rPr>
          <w:rFonts w:ascii="Times New Roman" w:hAnsi="Times New Roman"/>
        </w:rPr>
        <w:t>It</w:t>
      </w:r>
      <w:r w:rsidR="002A703C" w:rsidRPr="006D4E15">
        <w:rPr>
          <w:rFonts w:ascii="Times New Roman" w:hAnsi="Times New Roman"/>
        </w:rPr>
        <w:t> </w:t>
      </w:r>
      <w:r w:rsidR="00AC5446" w:rsidRPr="006D4E15">
        <w:rPr>
          <w:rFonts w:ascii="Times New Roman" w:hAnsi="Times New Roman"/>
        </w:rPr>
        <w:t xml:space="preserve">followed, in the </w:t>
      </w:r>
      <w:r w:rsidR="005A6834" w:rsidRPr="006D4E15">
        <w:rPr>
          <w:rFonts w:ascii="Times New Roman" w:hAnsi="Times New Roman"/>
        </w:rPr>
        <w:t>Court</w:t>
      </w:r>
      <w:r w:rsidR="00AC5446" w:rsidRPr="006D4E15">
        <w:rPr>
          <w:rFonts w:ascii="Times New Roman" w:hAnsi="Times New Roman"/>
        </w:rPr>
        <w:t>'s view, that</w:t>
      </w:r>
      <w:r w:rsidR="00A86B7A" w:rsidRPr="006D4E15">
        <w:rPr>
          <w:rFonts w:ascii="Times New Roman" w:hAnsi="Times New Roman"/>
        </w:rPr>
        <w:t xml:space="preserve"> </w:t>
      </w:r>
      <w:r w:rsidR="005A6834" w:rsidRPr="006D4E15">
        <w:rPr>
          <w:rFonts w:ascii="Times New Roman" w:hAnsi="Times New Roman"/>
        </w:rPr>
        <w:t xml:space="preserve">"[w]here the defendant and the tortfeasor are not bound by a contract of employment, but their relationship has the same </w:t>
      </w:r>
      <w:r w:rsidR="00D21983" w:rsidRPr="006D4E15">
        <w:rPr>
          <w:rFonts w:ascii="Times New Roman" w:hAnsi="Times New Roman"/>
        </w:rPr>
        <w:t xml:space="preserve">[five] </w:t>
      </w:r>
      <w:r w:rsidR="005A6834" w:rsidRPr="006D4E15">
        <w:rPr>
          <w:rFonts w:ascii="Times New Roman" w:hAnsi="Times New Roman"/>
        </w:rPr>
        <w:lastRenderedPageBreak/>
        <w:t>incidents, that relationship can properly give rise to vicarious liability on the ground that it is 'akin</w:t>
      </w:r>
      <w:r w:rsidR="00E238D1">
        <w:rPr>
          <w:rFonts w:ascii="Times New Roman" w:hAnsi="Times New Roman"/>
        </w:rPr>
        <w:t> </w:t>
      </w:r>
      <w:r w:rsidR="005A6834" w:rsidRPr="006D4E15">
        <w:rPr>
          <w:rFonts w:ascii="Times New Roman" w:hAnsi="Times New Roman"/>
        </w:rPr>
        <w:t>to that between an employer and an employee'".</w:t>
      </w:r>
      <w:r w:rsidR="00250C96" w:rsidRPr="006D4E15">
        <w:rPr>
          <w:rStyle w:val="FootnoteReference"/>
          <w:rFonts w:ascii="Times New Roman" w:hAnsi="Times New Roman"/>
          <w:sz w:val="24"/>
        </w:rPr>
        <w:footnoteReference w:id="119"/>
      </w:r>
      <w:r w:rsidR="00E65740" w:rsidRPr="006D4E15">
        <w:rPr>
          <w:rFonts w:ascii="Times New Roman" w:hAnsi="Times New Roman"/>
        </w:rPr>
        <w:t xml:space="preserve"> </w:t>
      </w:r>
    </w:p>
    <w:p w14:paraId="65E2E958" w14:textId="03C199A4" w:rsidR="00D82F9B" w:rsidRPr="006D4E15" w:rsidRDefault="00C84686"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4C557F" w:rsidRPr="006D4E15">
        <w:rPr>
          <w:rFonts w:ascii="Times New Roman" w:hAnsi="Times New Roman"/>
        </w:rPr>
        <w:t>Th</w:t>
      </w:r>
      <w:r w:rsidR="00A40B61" w:rsidRPr="006D4E15">
        <w:rPr>
          <w:rFonts w:ascii="Times New Roman" w:hAnsi="Times New Roman"/>
        </w:rPr>
        <w:t>e</w:t>
      </w:r>
      <w:r w:rsidR="004C557F" w:rsidRPr="006D4E15">
        <w:rPr>
          <w:rFonts w:ascii="Times New Roman" w:hAnsi="Times New Roman"/>
        </w:rPr>
        <w:t xml:space="preserve"> </w:t>
      </w:r>
      <w:r w:rsidR="00E530F1" w:rsidRPr="006D4E15">
        <w:rPr>
          <w:rFonts w:ascii="Times New Roman" w:hAnsi="Times New Roman"/>
        </w:rPr>
        <w:t xml:space="preserve">decision </w:t>
      </w:r>
      <w:r w:rsidR="00A40B61" w:rsidRPr="006D4E15">
        <w:rPr>
          <w:rFonts w:ascii="Times New Roman" w:hAnsi="Times New Roman"/>
        </w:rPr>
        <w:t xml:space="preserve">at the time </w:t>
      </w:r>
      <w:r w:rsidR="0001041E" w:rsidRPr="006D4E15">
        <w:rPr>
          <w:rFonts w:ascii="Times New Roman" w:hAnsi="Times New Roman"/>
        </w:rPr>
        <w:t>contributed to</w:t>
      </w:r>
      <w:r w:rsidR="008B0D41" w:rsidRPr="006D4E15">
        <w:rPr>
          <w:rFonts w:ascii="Times New Roman" w:hAnsi="Times New Roman"/>
        </w:rPr>
        <w:t>,</w:t>
      </w:r>
      <w:r w:rsidR="0001041E" w:rsidRPr="006D4E15">
        <w:rPr>
          <w:rFonts w:ascii="Times New Roman" w:hAnsi="Times New Roman"/>
        </w:rPr>
        <w:t xml:space="preserve"> and </w:t>
      </w:r>
      <w:r w:rsidR="00E530F1" w:rsidRPr="006D4E15">
        <w:rPr>
          <w:rFonts w:ascii="Times New Roman" w:hAnsi="Times New Roman"/>
        </w:rPr>
        <w:t>provoked</w:t>
      </w:r>
      <w:r w:rsidR="008B0D41" w:rsidRPr="006D4E15">
        <w:rPr>
          <w:rFonts w:ascii="Times New Roman" w:hAnsi="Times New Roman"/>
        </w:rPr>
        <w:t>,</w:t>
      </w:r>
      <w:r w:rsidR="00E530F1" w:rsidRPr="006D4E15">
        <w:rPr>
          <w:rFonts w:ascii="Times New Roman" w:hAnsi="Times New Roman"/>
        </w:rPr>
        <w:t xml:space="preserve"> discussion</w:t>
      </w:r>
      <w:r w:rsidR="00616A92" w:rsidRPr="006D4E15">
        <w:rPr>
          <w:rFonts w:ascii="Times New Roman" w:hAnsi="Times New Roman"/>
        </w:rPr>
        <w:t xml:space="preserve"> and </w:t>
      </w:r>
      <w:r w:rsidR="00A40B61" w:rsidRPr="006D4E15">
        <w:rPr>
          <w:rFonts w:ascii="Times New Roman" w:hAnsi="Times New Roman"/>
        </w:rPr>
        <w:t>debate</w:t>
      </w:r>
      <w:r w:rsidR="00E530F1" w:rsidRPr="006D4E15">
        <w:rPr>
          <w:rFonts w:ascii="Times New Roman" w:hAnsi="Times New Roman"/>
        </w:rPr>
        <w:t xml:space="preserve"> about whether departing</w:t>
      </w:r>
      <w:r w:rsidR="004C557F" w:rsidRPr="006D4E15">
        <w:rPr>
          <w:rFonts w:ascii="Times New Roman" w:hAnsi="Times New Roman"/>
        </w:rPr>
        <w:t xml:space="preserve"> from the classical paradigm of employer-employee </w:t>
      </w:r>
      <w:r w:rsidR="00E530F1" w:rsidRPr="006D4E15">
        <w:rPr>
          <w:rFonts w:ascii="Times New Roman" w:hAnsi="Times New Roman"/>
        </w:rPr>
        <w:t>would introduce</w:t>
      </w:r>
      <w:r w:rsidR="00571919" w:rsidRPr="006D4E15">
        <w:rPr>
          <w:rFonts w:ascii="Times New Roman" w:hAnsi="Times New Roman"/>
        </w:rPr>
        <w:t xml:space="preserve"> too much uncertainty.</w:t>
      </w:r>
      <w:r w:rsidR="007B4595" w:rsidRPr="006D4E15">
        <w:rPr>
          <w:rStyle w:val="FootnoteReference"/>
          <w:rFonts w:ascii="Times New Roman" w:hAnsi="Times New Roman"/>
          <w:sz w:val="24"/>
        </w:rPr>
        <w:footnoteReference w:id="120"/>
      </w:r>
      <w:r w:rsidR="004C557F" w:rsidRPr="006D4E15">
        <w:rPr>
          <w:rFonts w:ascii="Times New Roman" w:hAnsi="Times New Roman"/>
        </w:rPr>
        <w:t xml:space="preserve"> </w:t>
      </w:r>
      <w:r w:rsidR="0031796E" w:rsidRPr="006D4E15">
        <w:rPr>
          <w:rFonts w:ascii="Times New Roman" w:hAnsi="Times New Roman"/>
        </w:rPr>
        <w:t xml:space="preserve">History </w:t>
      </w:r>
      <w:r w:rsidR="006576F6" w:rsidRPr="006D4E15">
        <w:rPr>
          <w:rFonts w:ascii="Times New Roman" w:hAnsi="Times New Roman"/>
        </w:rPr>
        <w:t>showed th</w:t>
      </w:r>
      <w:r w:rsidR="00F425BF" w:rsidRPr="006D4E15">
        <w:rPr>
          <w:rFonts w:ascii="Times New Roman" w:hAnsi="Times New Roman"/>
        </w:rPr>
        <w:t>os</w:t>
      </w:r>
      <w:r w:rsidR="006576F6" w:rsidRPr="006D4E15">
        <w:rPr>
          <w:rFonts w:ascii="Times New Roman" w:hAnsi="Times New Roman"/>
        </w:rPr>
        <w:t xml:space="preserve">e </w:t>
      </w:r>
      <w:r w:rsidR="00616A92" w:rsidRPr="006D4E15">
        <w:rPr>
          <w:rFonts w:ascii="Times New Roman" w:hAnsi="Times New Roman"/>
        </w:rPr>
        <w:t xml:space="preserve">concerns </w:t>
      </w:r>
      <w:r w:rsidR="00F425BF" w:rsidRPr="006D4E15">
        <w:rPr>
          <w:rFonts w:ascii="Times New Roman" w:hAnsi="Times New Roman"/>
        </w:rPr>
        <w:t xml:space="preserve">were </w:t>
      </w:r>
      <w:r w:rsidR="00616A92" w:rsidRPr="006D4E15">
        <w:rPr>
          <w:rFonts w:ascii="Times New Roman" w:hAnsi="Times New Roman"/>
        </w:rPr>
        <w:t>not unfounded.</w:t>
      </w:r>
      <w:r w:rsidR="000117F8" w:rsidRPr="006D4E15">
        <w:rPr>
          <w:rFonts w:ascii="Times New Roman" w:hAnsi="Times New Roman"/>
        </w:rPr>
        <w:t xml:space="preserve"> </w:t>
      </w:r>
      <w:r w:rsidR="002459D7" w:rsidRPr="006D4E15">
        <w:rPr>
          <w:rFonts w:ascii="Times New Roman" w:hAnsi="Times New Roman"/>
        </w:rPr>
        <w:t xml:space="preserve">Less than four </w:t>
      </w:r>
      <w:r w:rsidR="00E932DD" w:rsidRPr="006D4E15">
        <w:rPr>
          <w:rFonts w:ascii="Times New Roman" w:hAnsi="Times New Roman"/>
        </w:rPr>
        <w:t xml:space="preserve">years later, the primacy of the five incidents enunciated in </w:t>
      </w:r>
      <w:r w:rsidR="00E932DD" w:rsidRPr="006D4E15">
        <w:rPr>
          <w:rFonts w:ascii="Times New Roman" w:hAnsi="Times New Roman"/>
          <w:i/>
          <w:iCs/>
        </w:rPr>
        <w:t xml:space="preserve">Christian Brothers </w:t>
      </w:r>
      <w:r w:rsidR="00A114B7" w:rsidRPr="006D4E15">
        <w:rPr>
          <w:rFonts w:ascii="Times New Roman" w:hAnsi="Times New Roman"/>
        </w:rPr>
        <w:t>became less clear</w:t>
      </w:r>
      <w:r w:rsidR="00E932DD" w:rsidRPr="006D4E15">
        <w:rPr>
          <w:rFonts w:ascii="Times New Roman" w:hAnsi="Times New Roman"/>
        </w:rPr>
        <w:t>.</w:t>
      </w:r>
      <w:r w:rsidR="00E932DD" w:rsidRPr="006D4E15">
        <w:rPr>
          <w:rStyle w:val="FootnoteReference"/>
          <w:rFonts w:ascii="Times New Roman" w:hAnsi="Times New Roman"/>
          <w:sz w:val="24"/>
        </w:rPr>
        <w:footnoteReference w:id="121"/>
      </w:r>
      <w:r w:rsidR="00E932DD" w:rsidRPr="006D4E15">
        <w:rPr>
          <w:rFonts w:ascii="Times New Roman" w:hAnsi="Times New Roman"/>
        </w:rPr>
        <w:t xml:space="preserve"> </w:t>
      </w:r>
      <w:r w:rsidR="001F1A81" w:rsidRPr="006D4E15">
        <w:rPr>
          <w:rFonts w:ascii="Times New Roman" w:hAnsi="Times New Roman"/>
        </w:rPr>
        <w:t xml:space="preserve">The enduring relevance of the distinction between employee and independent contractor as a relevant touchstone of vicarious liability in England was </w:t>
      </w:r>
      <w:r w:rsidR="00687E2E" w:rsidRPr="006D4E15">
        <w:rPr>
          <w:rFonts w:ascii="Times New Roman" w:hAnsi="Times New Roman"/>
        </w:rPr>
        <w:t xml:space="preserve">then also open </w:t>
      </w:r>
      <w:r w:rsidR="00765C5C" w:rsidRPr="006D4E15">
        <w:rPr>
          <w:rFonts w:ascii="Times New Roman" w:hAnsi="Times New Roman"/>
        </w:rPr>
        <w:t>to doubt</w:t>
      </w:r>
      <w:r w:rsidR="001F1A81" w:rsidRPr="006D4E15">
        <w:rPr>
          <w:rFonts w:ascii="Times New Roman" w:hAnsi="Times New Roman"/>
        </w:rPr>
        <w:t>.</w:t>
      </w:r>
      <w:r w:rsidR="001F1A81" w:rsidRPr="006D4E15">
        <w:rPr>
          <w:rStyle w:val="FootnoteReference"/>
          <w:rFonts w:ascii="Times New Roman" w:hAnsi="Times New Roman"/>
          <w:sz w:val="24"/>
        </w:rPr>
        <w:footnoteReference w:id="122"/>
      </w:r>
      <w:r w:rsidR="003228A4" w:rsidRPr="006D4E15">
        <w:rPr>
          <w:rFonts w:ascii="Times New Roman" w:hAnsi="Times New Roman"/>
        </w:rPr>
        <w:t xml:space="preserve"> </w:t>
      </w:r>
      <w:r w:rsidR="00F92FF2" w:rsidRPr="006D4E15">
        <w:rPr>
          <w:rFonts w:ascii="Times New Roman" w:hAnsi="Times New Roman"/>
        </w:rPr>
        <w:t>In</w:t>
      </w:r>
      <w:r w:rsidR="00EE4709" w:rsidRPr="006D4E15">
        <w:rPr>
          <w:rFonts w:ascii="Times New Roman" w:hAnsi="Times New Roman"/>
        </w:rPr>
        <w:t xml:space="preserve"> later cases</w:t>
      </w:r>
      <w:r w:rsidR="00F92FF2" w:rsidRPr="006D4E15">
        <w:rPr>
          <w:rFonts w:ascii="Times New Roman" w:hAnsi="Times New Roman"/>
        </w:rPr>
        <w:t xml:space="preserve"> in the United Kingdom</w:t>
      </w:r>
      <w:r w:rsidR="005423C3" w:rsidRPr="006D4E15">
        <w:rPr>
          <w:rFonts w:ascii="Times New Roman" w:hAnsi="Times New Roman"/>
        </w:rPr>
        <w:t>,</w:t>
      </w:r>
      <w:r w:rsidR="00F92FF2" w:rsidRPr="006D4E15">
        <w:rPr>
          <w:rFonts w:ascii="Times New Roman" w:hAnsi="Times New Roman"/>
        </w:rPr>
        <w:t xml:space="preserve"> the </w:t>
      </w:r>
      <w:r w:rsidR="00645B5C" w:rsidRPr="006D4E15">
        <w:rPr>
          <w:rFonts w:ascii="Times New Roman" w:hAnsi="Times New Roman"/>
        </w:rPr>
        <w:t>question</w:t>
      </w:r>
      <w:r w:rsidR="005423C3" w:rsidRPr="006D4E15">
        <w:rPr>
          <w:rFonts w:ascii="Times New Roman" w:hAnsi="Times New Roman"/>
        </w:rPr>
        <w:t xml:space="preserve"> </w:t>
      </w:r>
      <w:r w:rsidR="00EE4709" w:rsidRPr="006D4E15">
        <w:rPr>
          <w:rFonts w:ascii="Times New Roman" w:hAnsi="Times New Roman"/>
        </w:rPr>
        <w:t>became whether "the relationship</w:t>
      </w:r>
      <w:r w:rsidR="00AC6A5A" w:rsidRPr="006D4E15">
        <w:rPr>
          <w:rFonts w:ascii="Times New Roman" w:hAnsi="Times New Roman"/>
        </w:rPr>
        <w:t xml:space="preserve"> </w:t>
      </w:r>
      <w:r w:rsidR="00B47844" w:rsidRPr="006D4E15">
        <w:rPr>
          <w:rFonts w:ascii="Times New Roman" w:hAnsi="Times New Roman"/>
        </w:rPr>
        <w:t xml:space="preserve">between the defendant and the tortfeasor has particular characteristics </w:t>
      </w:r>
      <w:r w:rsidR="00D3043E" w:rsidRPr="006D4E15">
        <w:rPr>
          <w:rFonts w:ascii="Times New Roman" w:hAnsi="Times New Roman"/>
        </w:rPr>
        <w:t>justifying the imposition of [vicarious] liability".</w:t>
      </w:r>
      <w:r w:rsidR="00D3043E" w:rsidRPr="006D4E15">
        <w:rPr>
          <w:rStyle w:val="FootnoteReference"/>
          <w:rFonts w:ascii="Times New Roman" w:hAnsi="Times New Roman"/>
          <w:sz w:val="24"/>
        </w:rPr>
        <w:footnoteReference w:id="123"/>
      </w:r>
      <w:r w:rsidR="00F56F5D" w:rsidRPr="006D4E15">
        <w:rPr>
          <w:rFonts w:ascii="Times New Roman" w:hAnsi="Times New Roman"/>
        </w:rPr>
        <w:t xml:space="preserve"> </w:t>
      </w:r>
      <w:r w:rsidR="006830A3" w:rsidRPr="006D4E15">
        <w:rPr>
          <w:rFonts w:ascii="Times New Roman" w:hAnsi="Times New Roman"/>
        </w:rPr>
        <w:t xml:space="preserve">Some of the </w:t>
      </w:r>
      <w:r w:rsidR="005A5DE3" w:rsidRPr="006D4E15">
        <w:rPr>
          <w:rFonts w:ascii="Times New Roman" w:hAnsi="Times New Roman"/>
        </w:rPr>
        <w:t>su</w:t>
      </w:r>
      <w:r w:rsidR="002B525B" w:rsidRPr="006D4E15">
        <w:rPr>
          <w:rFonts w:ascii="Times New Roman" w:hAnsi="Times New Roman"/>
        </w:rPr>
        <w:t xml:space="preserve">bsequent </w:t>
      </w:r>
      <w:r w:rsidR="00645B5C" w:rsidRPr="006D4E15">
        <w:rPr>
          <w:rFonts w:ascii="Times New Roman" w:hAnsi="Times New Roman"/>
        </w:rPr>
        <w:t>c</w:t>
      </w:r>
      <w:r w:rsidR="006830A3" w:rsidRPr="006D4E15">
        <w:rPr>
          <w:rFonts w:ascii="Times New Roman" w:hAnsi="Times New Roman"/>
        </w:rPr>
        <w:t xml:space="preserve">ases </w:t>
      </w:r>
      <w:r w:rsidR="00645B5C" w:rsidRPr="006D4E15">
        <w:rPr>
          <w:rFonts w:ascii="Times New Roman" w:hAnsi="Times New Roman"/>
        </w:rPr>
        <w:t xml:space="preserve">and the resulting imposition of liability </w:t>
      </w:r>
      <w:r w:rsidR="002B525B" w:rsidRPr="006D4E15">
        <w:rPr>
          <w:rFonts w:ascii="Times New Roman" w:hAnsi="Times New Roman"/>
        </w:rPr>
        <w:t xml:space="preserve">for the acts of a tortfeasor </w:t>
      </w:r>
      <w:r w:rsidR="00F01F82" w:rsidRPr="006D4E15">
        <w:rPr>
          <w:rFonts w:ascii="Times New Roman" w:hAnsi="Times New Roman"/>
        </w:rPr>
        <w:t xml:space="preserve">in circumstances deemed "akin to employment" </w:t>
      </w:r>
      <w:r w:rsidR="00C9518B" w:rsidRPr="006D4E15">
        <w:rPr>
          <w:rFonts w:ascii="Times New Roman" w:hAnsi="Times New Roman"/>
        </w:rPr>
        <w:t xml:space="preserve">have been described as </w:t>
      </w:r>
      <w:r w:rsidR="003630FD" w:rsidRPr="006D4E15">
        <w:rPr>
          <w:rFonts w:ascii="Times New Roman" w:hAnsi="Times New Roman"/>
        </w:rPr>
        <w:t>"difficult"</w:t>
      </w:r>
      <w:r w:rsidR="00665276" w:rsidRPr="006D4E15">
        <w:rPr>
          <w:rStyle w:val="FootnoteReference"/>
          <w:rFonts w:ascii="Times New Roman" w:hAnsi="Times New Roman"/>
          <w:sz w:val="24"/>
        </w:rPr>
        <w:footnoteReference w:id="124"/>
      </w:r>
      <w:r w:rsidR="00645B5C" w:rsidRPr="006D4E15">
        <w:rPr>
          <w:rFonts w:ascii="Times New Roman" w:hAnsi="Times New Roman"/>
        </w:rPr>
        <w:t xml:space="preserve"> and </w:t>
      </w:r>
      <w:r w:rsidR="00564615" w:rsidRPr="006D4E15">
        <w:rPr>
          <w:rFonts w:ascii="Times New Roman" w:hAnsi="Times New Roman"/>
        </w:rPr>
        <w:t xml:space="preserve">subject </w:t>
      </w:r>
      <w:r w:rsidR="00AB3B3C" w:rsidRPr="006D4E15">
        <w:rPr>
          <w:rFonts w:ascii="Times New Roman" w:hAnsi="Times New Roman"/>
        </w:rPr>
        <w:t>to</w:t>
      </w:r>
      <w:r w:rsidR="0005478E" w:rsidRPr="006D4E15">
        <w:rPr>
          <w:rFonts w:ascii="Times New Roman" w:hAnsi="Times New Roman"/>
        </w:rPr>
        <w:t xml:space="preserve"> </w:t>
      </w:r>
      <w:r w:rsidR="006830A3" w:rsidRPr="006D4E15">
        <w:rPr>
          <w:rFonts w:ascii="Times New Roman" w:hAnsi="Times New Roman"/>
        </w:rPr>
        <w:t>criticism.</w:t>
      </w:r>
      <w:r w:rsidR="006830A3" w:rsidRPr="006D4E15">
        <w:rPr>
          <w:rStyle w:val="FootnoteReference"/>
          <w:rFonts w:ascii="Times New Roman" w:hAnsi="Times New Roman"/>
          <w:sz w:val="24"/>
        </w:rPr>
        <w:footnoteReference w:id="125"/>
      </w:r>
      <w:r w:rsidR="004A07C7" w:rsidRPr="006D4E15">
        <w:rPr>
          <w:rFonts w:ascii="Times New Roman" w:hAnsi="Times New Roman"/>
        </w:rPr>
        <w:t xml:space="preserve"> </w:t>
      </w:r>
      <w:r w:rsidR="00C70970" w:rsidRPr="006D4E15">
        <w:rPr>
          <w:rFonts w:ascii="Times New Roman" w:hAnsi="Times New Roman"/>
        </w:rPr>
        <w:t>These have included the vicarious liability of a prison service for injuries caused to a prison catering manager by the negligence of a prisoner,</w:t>
      </w:r>
      <w:r w:rsidR="00C70970" w:rsidRPr="006D4E15">
        <w:rPr>
          <w:rStyle w:val="FootnoteReference"/>
          <w:rFonts w:ascii="Times New Roman" w:hAnsi="Times New Roman"/>
          <w:sz w:val="24"/>
        </w:rPr>
        <w:footnoteReference w:id="126"/>
      </w:r>
      <w:r w:rsidR="00C70970" w:rsidRPr="006D4E15">
        <w:rPr>
          <w:rFonts w:ascii="Times New Roman" w:hAnsi="Times New Roman"/>
        </w:rPr>
        <w:t xml:space="preserve"> and the liability of </w:t>
      </w:r>
      <w:r w:rsidR="00C70970" w:rsidRPr="006D4E15">
        <w:rPr>
          <w:rFonts w:ascii="Times New Roman" w:hAnsi="Times New Roman"/>
        </w:rPr>
        <w:lastRenderedPageBreak/>
        <w:t>a council for physical and sexual abuse allegedly carried out by two foster parents.</w:t>
      </w:r>
      <w:r w:rsidR="00C70970" w:rsidRPr="006D4E15">
        <w:rPr>
          <w:rStyle w:val="FootnoteReference"/>
          <w:rFonts w:ascii="Times New Roman" w:hAnsi="Times New Roman"/>
          <w:sz w:val="24"/>
        </w:rPr>
        <w:footnoteReference w:id="127"/>
      </w:r>
    </w:p>
    <w:p w14:paraId="50E89AF0" w14:textId="7003FEF9" w:rsidR="00935AA9" w:rsidRPr="006D4E15" w:rsidRDefault="002A27A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D82F9B" w:rsidRPr="006D4E15">
        <w:rPr>
          <w:rFonts w:ascii="Times New Roman" w:hAnsi="Times New Roman"/>
        </w:rPr>
        <w:t>So, j</w:t>
      </w:r>
      <w:r w:rsidR="00935AA9" w:rsidRPr="006D4E15">
        <w:rPr>
          <w:rFonts w:ascii="Times New Roman" w:hAnsi="Times New Roman"/>
        </w:rPr>
        <w:t xml:space="preserve">ust </w:t>
      </w:r>
      <w:r w:rsidR="00600E98" w:rsidRPr="006D4E15">
        <w:rPr>
          <w:rFonts w:ascii="Times New Roman" w:hAnsi="Times New Roman"/>
        </w:rPr>
        <w:t xml:space="preserve">over </w:t>
      </w:r>
      <w:r w:rsidR="00935AA9" w:rsidRPr="006D4E15">
        <w:rPr>
          <w:rFonts w:ascii="Times New Roman" w:hAnsi="Times New Roman"/>
        </w:rPr>
        <w:t xml:space="preserve">seven years </w:t>
      </w:r>
      <w:r w:rsidR="00694F7B" w:rsidRPr="006D4E15">
        <w:rPr>
          <w:rFonts w:ascii="Times New Roman" w:hAnsi="Times New Roman"/>
        </w:rPr>
        <w:t xml:space="preserve">after </w:t>
      </w:r>
      <w:r w:rsidR="00694F7B" w:rsidRPr="006D4E15">
        <w:rPr>
          <w:rFonts w:ascii="Times New Roman" w:hAnsi="Times New Roman"/>
          <w:i/>
          <w:iCs/>
        </w:rPr>
        <w:t>Christian Brothers</w:t>
      </w:r>
      <w:r w:rsidR="00935AA9" w:rsidRPr="006D4E15">
        <w:rPr>
          <w:rFonts w:ascii="Times New Roman" w:hAnsi="Times New Roman"/>
        </w:rPr>
        <w:t xml:space="preserve">, in </w:t>
      </w:r>
      <w:r w:rsidR="00935AA9" w:rsidRPr="006D4E15">
        <w:rPr>
          <w:rFonts w:ascii="Times New Roman" w:hAnsi="Times New Roman"/>
          <w:i/>
          <w:iCs/>
        </w:rPr>
        <w:t>Various Claimants v Barclays Bank</w:t>
      </w:r>
      <w:r w:rsidR="008C232F" w:rsidRPr="006D4E15">
        <w:rPr>
          <w:rFonts w:ascii="Times New Roman" w:hAnsi="Times New Roman"/>
          <w:i/>
          <w:iCs/>
        </w:rPr>
        <w:t xml:space="preserve"> plc</w:t>
      </w:r>
      <w:r w:rsidR="00935AA9" w:rsidRPr="006D4E15">
        <w:rPr>
          <w:rFonts w:ascii="Times New Roman" w:hAnsi="Times New Roman"/>
        </w:rPr>
        <w:t>, the Supreme Court revisited Lord Phillips</w:t>
      </w:r>
      <w:r w:rsidR="006D7FDE" w:rsidRPr="006D4E15">
        <w:rPr>
          <w:rFonts w:ascii="Times New Roman" w:hAnsi="Times New Roman"/>
        </w:rPr>
        <w:t>'</w:t>
      </w:r>
      <w:r w:rsidR="00935AA9" w:rsidRPr="006D4E15">
        <w:rPr>
          <w:rFonts w:ascii="Times New Roman" w:hAnsi="Times New Roman"/>
        </w:rPr>
        <w:t xml:space="preserve"> statement that "</w:t>
      </w:r>
      <w:r w:rsidR="00694F7B" w:rsidRPr="006D4E15">
        <w:rPr>
          <w:rFonts w:ascii="Times New Roman" w:hAnsi="Times New Roman"/>
        </w:rPr>
        <w:t>[</w:t>
      </w:r>
      <w:r w:rsidR="00935AA9" w:rsidRPr="006D4E15">
        <w:rPr>
          <w:rFonts w:ascii="Times New Roman" w:hAnsi="Times New Roman"/>
        </w:rPr>
        <w:t>t</w:t>
      </w:r>
      <w:r w:rsidR="00694F7B" w:rsidRPr="006D4E15">
        <w:rPr>
          <w:rFonts w:ascii="Times New Roman" w:hAnsi="Times New Roman"/>
        </w:rPr>
        <w:t>]</w:t>
      </w:r>
      <w:r w:rsidR="00935AA9" w:rsidRPr="006D4E15">
        <w:rPr>
          <w:rFonts w:ascii="Times New Roman" w:hAnsi="Times New Roman"/>
        </w:rPr>
        <w:t>he</w:t>
      </w:r>
      <w:r w:rsidR="00E238D1">
        <w:rPr>
          <w:rFonts w:ascii="Times New Roman" w:hAnsi="Times New Roman"/>
        </w:rPr>
        <w:t> </w:t>
      </w:r>
      <w:r w:rsidR="00935AA9" w:rsidRPr="006D4E15">
        <w:rPr>
          <w:rFonts w:ascii="Times New Roman" w:hAnsi="Times New Roman"/>
        </w:rPr>
        <w:t>law of vicarious liability is on the move" and</w:t>
      </w:r>
      <w:r w:rsidR="009B0EE3" w:rsidRPr="006D4E15">
        <w:rPr>
          <w:rFonts w:ascii="Times New Roman" w:hAnsi="Times New Roman"/>
        </w:rPr>
        <w:t> </w:t>
      </w:r>
      <w:r w:rsidR="00935AA9" w:rsidRPr="006D4E15">
        <w:rPr>
          <w:rFonts w:ascii="Times New Roman" w:hAnsi="Times New Roman"/>
        </w:rPr>
        <w:t>asked "how far that move can take it".</w:t>
      </w:r>
      <w:r w:rsidR="003824DA" w:rsidRPr="006D4E15">
        <w:rPr>
          <w:rStyle w:val="FootnoteReference"/>
          <w:rFonts w:ascii="Times New Roman" w:hAnsi="Times New Roman"/>
          <w:sz w:val="24"/>
        </w:rPr>
        <w:footnoteReference w:id="128"/>
      </w:r>
      <w:r w:rsidR="00935AA9" w:rsidRPr="006D4E15">
        <w:rPr>
          <w:rFonts w:ascii="Times New Roman" w:hAnsi="Times New Roman"/>
        </w:rPr>
        <w:t xml:space="preserve"> The Court </w:t>
      </w:r>
      <w:r w:rsidR="0044635E" w:rsidRPr="006D4E15">
        <w:rPr>
          <w:rFonts w:ascii="Times New Roman" w:hAnsi="Times New Roman"/>
        </w:rPr>
        <w:t xml:space="preserve">clarified </w:t>
      </w:r>
      <w:r w:rsidR="00935AA9" w:rsidRPr="006D4E15">
        <w:rPr>
          <w:rFonts w:ascii="Times New Roman" w:hAnsi="Times New Roman"/>
        </w:rPr>
        <w:t xml:space="preserve">that two elements had to be shown before </w:t>
      </w:r>
      <w:r w:rsidR="00D51433" w:rsidRPr="006D4E15">
        <w:rPr>
          <w:rFonts w:ascii="Times New Roman" w:hAnsi="Times New Roman"/>
        </w:rPr>
        <w:t xml:space="preserve">a </w:t>
      </w:r>
      <w:r w:rsidR="00935AA9" w:rsidRPr="006D4E15">
        <w:rPr>
          <w:rFonts w:ascii="Times New Roman" w:hAnsi="Times New Roman"/>
        </w:rPr>
        <w:t>person c</w:t>
      </w:r>
      <w:r w:rsidR="009D5A02" w:rsidRPr="006D4E15">
        <w:rPr>
          <w:rFonts w:ascii="Times New Roman" w:hAnsi="Times New Roman"/>
        </w:rPr>
        <w:t>ould</w:t>
      </w:r>
      <w:r w:rsidR="00935AA9" w:rsidRPr="006D4E15">
        <w:rPr>
          <w:rFonts w:ascii="Times New Roman" w:hAnsi="Times New Roman"/>
        </w:rPr>
        <w:t xml:space="preserve"> be made vicariously liable for the torts committed by another and that both had been expanded </w:t>
      </w:r>
      <w:r w:rsidR="00037CD2" w:rsidRPr="006D4E15">
        <w:rPr>
          <w:rFonts w:ascii="Times New Roman" w:hAnsi="Times New Roman"/>
        </w:rPr>
        <w:t xml:space="preserve">by the courts </w:t>
      </w:r>
      <w:r w:rsidR="00935AA9" w:rsidRPr="006D4E15">
        <w:rPr>
          <w:rFonts w:ascii="Times New Roman" w:hAnsi="Times New Roman"/>
        </w:rPr>
        <w:t>in the United Kingdom</w:t>
      </w:r>
      <w:r w:rsidR="007675C2" w:rsidRPr="006D4E15">
        <w:rPr>
          <w:rFonts w:ascii="Times New Roman" w:hAnsi="Times New Roman"/>
        </w:rPr>
        <w:t xml:space="preserve"> in recent years</w:t>
      </w:r>
      <w:r w:rsidR="00935AA9" w:rsidRPr="006D4E15">
        <w:rPr>
          <w:rFonts w:ascii="Times New Roman" w:hAnsi="Times New Roman"/>
        </w:rPr>
        <w:t>. The two elements were identified as: "a relationship between the two persons which makes it proper for the law to make the one pay for the fault of the other" and</w:t>
      </w:r>
      <w:r w:rsidR="00E238D1">
        <w:rPr>
          <w:rFonts w:ascii="Times New Roman" w:hAnsi="Times New Roman"/>
        </w:rPr>
        <w:t> </w:t>
      </w:r>
      <w:r w:rsidR="00935AA9" w:rsidRPr="006D4E15">
        <w:rPr>
          <w:rFonts w:ascii="Times New Roman" w:hAnsi="Times New Roman"/>
        </w:rPr>
        <w:t>"the connection between that relationship and the tortfeasor's wrongdoing".</w:t>
      </w:r>
      <w:r w:rsidR="00243EDF" w:rsidRPr="006D4E15">
        <w:rPr>
          <w:rStyle w:val="FootnoteReference"/>
          <w:rFonts w:ascii="Times New Roman" w:hAnsi="Times New Roman"/>
          <w:sz w:val="24"/>
        </w:rPr>
        <w:footnoteReference w:id="129"/>
      </w:r>
      <w:r w:rsidR="00935AA9" w:rsidRPr="006D4E15">
        <w:rPr>
          <w:rFonts w:ascii="Times New Roman" w:hAnsi="Times New Roman"/>
        </w:rPr>
        <w:t xml:space="preserve"> In</w:t>
      </w:r>
      <w:r w:rsidR="00E238D1">
        <w:rPr>
          <w:rFonts w:ascii="Times New Roman" w:hAnsi="Times New Roman"/>
        </w:rPr>
        <w:t> </w:t>
      </w:r>
      <w:r w:rsidR="00935AA9" w:rsidRPr="006D4E15">
        <w:rPr>
          <w:rFonts w:ascii="Times New Roman" w:hAnsi="Times New Roman"/>
        </w:rPr>
        <w:t>relation to the first element</w:t>
      </w:r>
      <w:r w:rsidR="00FF0DDD" w:rsidRPr="006D4E15">
        <w:rPr>
          <w:rFonts w:ascii="Times New Roman" w:hAnsi="Times New Roman"/>
        </w:rPr>
        <w:t xml:space="preserve"> –</w:t>
      </w:r>
      <w:r w:rsidR="00935AA9" w:rsidRPr="006D4E15">
        <w:rPr>
          <w:rFonts w:ascii="Times New Roman" w:hAnsi="Times New Roman"/>
        </w:rPr>
        <w:t xml:space="preserve"> the</w:t>
      </w:r>
      <w:r w:rsidR="002A703C" w:rsidRPr="006D4E15">
        <w:rPr>
          <w:rFonts w:ascii="Times New Roman" w:hAnsi="Times New Roman"/>
        </w:rPr>
        <w:t> </w:t>
      </w:r>
      <w:r w:rsidR="00935AA9" w:rsidRPr="006D4E15">
        <w:rPr>
          <w:rFonts w:ascii="Times New Roman" w:hAnsi="Times New Roman"/>
        </w:rPr>
        <w:t xml:space="preserve">issue with which </w:t>
      </w:r>
      <w:r w:rsidR="00935AA9" w:rsidRPr="006D4E15">
        <w:rPr>
          <w:rFonts w:ascii="Times New Roman" w:hAnsi="Times New Roman"/>
          <w:i/>
          <w:iCs/>
        </w:rPr>
        <w:t>Barclays Bank</w:t>
      </w:r>
      <w:r w:rsidR="00935AA9" w:rsidRPr="006D4E15">
        <w:rPr>
          <w:rFonts w:ascii="Times New Roman" w:hAnsi="Times New Roman"/>
        </w:rPr>
        <w:t xml:space="preserve"> was concerned</w:t>
      </w:r>
      <w:r w:rsidR="00E93E09">
        <w:rPr>
          <w:rFonts w:ascii="Times New Roman" w:hAnsi="Times New Roman"/>
        </w:rPr>
        <w:t> </w:t>
      </w:r>
      <w:r w:rsidR="00FF0DDD" w:rsidRPr="006D4E15">
        <w:rPr>
          <w:rFonts w:ascii="Times New Roman" w:hAnsi="Times New Roman"/>
        </w:rPr>
        <w:t>–</w:t>
      </w:r>
      <w:r w:rsidR="00935AA9" w:rsidRPr="006D4E15">
        <w:rPr>
          <w:rFonts w:ascii="Times New Roman" w:hAnsi="Times New Roman"/>
        </w:rPr>
        <w:t xml:space="preserve"> the Court noted that</w:t>
      </w:r>
      <w:r w:rsidR="00684324" w:rsidRPr="006D4E15">
        <w:rPr>
          <w:rFonts w:ascii="Times New Roman" w:hAnsi="Times New Roman"/>
        </w:rPr>
        <w:t>,</w:t>
      </w:r>
      <w:r w:rsidR="00935AA9" w:rsidRPr="006D4E15">
        <w:rPr>
          <w:rFonts w:ascii="Times New Roman" w:hAnsi="Times New Roman"/>
        </w:rPr>
        <w:t xml:space="preserve"> historically</w:t>
      </w:r>
      <w:r w:rsidR="00625AD9" w:rsidRPr="006D4E15">
        <w:rPr>
          <w:rFonts w:ascii="Times New Roman" w:hAnsi="Times New Roman"/>
        </w:rPr>
        <w:t xml:space="preserve">, </w:t>
      </w:r>
      <w:r w:rsidR="00935AA9" w:rsidRPr="006D4E15">
        <w:rPr>
          <w:rFonts w:ascii="Times New Roman" w:hAnsi="Times New Roman"/>
        </w:rPr>
        <w:t>vicarious liability had been limited to the relationship between employee and employer.</w:t>
      </w:r>
      <w:r w:rsidR="00E67F6E" w:rsidRPr="006D4E15">
        <w:rPr>
          <w:rStyle w:val="FootnoteReference"/>
          <w:rFonts w:ascii="Times New Roman" w:hAnsi="Times New Roman"/>
          <w:sz w:val="24"/>
        </w:rPr>
        <w:footnoteReference w:id="130"/>
      </w:r>
      <w:r w:rsidR="00935AA9" w:rsidRPr="006D4E15">
        <w:rPr>
          <w:rFonts w:ascii="Times New Roman" w:hAnsi="Times New Roman"/>
        </w:rPr>
        <w:t xml:space="preserve"> Whether or not </w:t>
      </w:r>
      <w:r w:rsidR="00022BB9" w:rsidRPr="006D4E15">
        <w:rPr>
          <w:rFonts w:ascii="Times New Roman" w:hAnsi="Times New Roman"/>
        </w:rPr>
        <w:t xml:space="preserve">it </w:t>
      </w:r>
      <w:r w:rsidR="00935AA9" w:rsidRPr="006D4E15">
        <w:rPr>
          <w:rFonts w:ascii="Times New Roman" w:hAnsi="Times New Roman"/>
        </w:rPr>
        <w:t>is a correct</w:t>
      </w:r>
      <w:r w:rsidR="00C9595B" w:rsidRPr="006D4E15">
        <w:rPr>
          <w:rFonts w:ascii="Times New Roman" w:hAnsi="Times New Roman"/>
        </w:rPr>
        <w:t xml:space="preserve"> reading</w:t>
      </w:r>
      <w:r w:rsidR="00186607" w:rsidRPr="006D4E15">
        <w:rPr>
          <w:rFonts w:ascii="Times New Roman" w:hAnsi="Times New Roman"/>
        </w:rPr>
        <w:t xml:space="preserve"> of the decision</w:t>
      </w:r>
      <w:r w:rsidR="00A53732" w:rsidRPr="006D4E15">
        <w:rPr>
          <w:rFonts w:ascii="Times New Roman" w:hAnsi="Times New Roman"/>
        </w:rPr>
        <w:t xml:space="preserve"> to suggest that the Supreme Court sought to "'walk</w:t>
      </w:r>
      <w:r w:rsidR="00947C16">
        <w:rPr>
          <w:rFonts w:ascii="Times New Roman" w:hAnsi="Times New Roman"/>
        </w:rPr>
        <w:t> </w:t>
      </w:r>
      <w:r w:rsidR="00A53732" w:rsidRPr="006D4E15">
        <w:rPr>
          <w:rFonts w:ascii="Times New Roman" w:hAnsi="Times New Roman"/>
        </w:rPr>
        <w:t>back' the scope of vicarious liability",</w:t>
      </w:r>
      <w:r w:rsidR="00A53732" w:rsidRPr="006D4E15">
        <w:rPr>
          <w:rStyle w:val="FootnoteReference"/>
          <w:rFonts w:ascii="Times New Roman" w:hAnsi="Times New Roman"/>
          <w:sz w:val="24"/>
        </w:rPr>
        <w:footnoteReference w:id="131"/>
      </w:r>
      <w:r w:rsidR="00935AA9" w:rsidRPr="006D4E15">
        <w:rPr>
          <w:rFonts w:ascii="Times New Roman" w:hAnsi="Times New Roman"/>
        </w:rPr>
        <w:t xml:space="preserve"> the Court </w:t>
      </w:r>
      <w:r w:rsidR="00A53732" w:rsidRPr="006D4E15">
        <w:rPr>
          <w:rFonts w:ascii="Times New Roman" w:hAnsi="Times New Roman"/>
        </w:rPr>
        <w:t xml:space="preserve">nevertheless </w:t>
      </w:r>
      <w:r w:rsidR="00935AA9" w:rsidRPr="006D4E15">
        <w:rPr>
          <w:rFonts w:ascii="Times New Roman" w:hAnsi="Times New Roman"/>
        </w:rPr>
        <w:t>restated the approach to be adopted in these terms:</w:t>
      </w:r>
      <w:r w:rsidR="008B66DC" w:rsidRPr="006D4E15">
        <w:rPr>
          <w:rStyle w:val="FootnoteReference"/>
          <w:rFonts w:ascii="Times New Roman" w:hAnsi="Times New Roman"/>
          <w:sz w:val="24"/>
        </w:rPr>
        <w:footnoteReference w:id="132"/>
      </w:r>
    </w:p>
    <w:p w14:paraId="1D45F8D9" w14:textId="77777777" w:rsidR="006D4E15" w:rsidRDefault="00935AA9" w:rsidP="006D4E15">
      <w:pPr>
        <w:pStyle w:val="leftright"/>
        <w:spacing w:before="0" w:after="260" w:line="280" w:lineRule="exact"/>
        <w:ind w:right="0"/>
        <w:jc w:val="both"/>
        <w:rPr>
          <w:rFonts w:ascii="Times New Roman" w:hAnsi="Times New Roman"/>
        </w:rPr>
      </w:pPr>
      <w:r w:rsidRPr="006D4E15">
        <w:rPr>
          <w:rFonts w:ascii="Times New Roman" w:hAnsi="Times New Roman"/>
        </w:rPr>
        <w:t xml:space="preserve">"The question ... is, as it has always been, whether the tortfeasor is carrying on business on his own account or whether he is in a relationship akin to employment with the defendant. In doubtful cases, the five </w:t>
      </w:r>
      <w:r w:rsidR="00F97332" w:rsidRPr="006D4E15">
        <w:rPr>
          <w:rFonts w:ascii="Times New Roman" w:hAnsi="Times New Roman"/>
        </w:rPr>
        <w:t>'</w:t>
      </w:r>
      <w:r w:rsidRPr="006D4E15">
        <w:rPr>
          <w:rFonts w:ascii="Times New Roman" w:hAnsi="Times New Roman"/>
        </w:rPr>
        <w:t>incidents</w:t>
      </w:r>
      <w:r w:rsidR="00F97332" w:rsidRPr="006D4E15">
        <w:rPr>
          <w:rFonts w:ascii="Times New Roman" w:hAnsi="Times New Roman"/>
        </w:rPr>
        <w:t>'</w:t>
      </w:r>
      <w:r w:rsidRPr="006D4E15">
        <w:rPr>
          <w:rFonts w:ascii="Times New Roman" w:hAnsi="Times New Roman"/>
        </w:rPr>
        <w:t xml:space="preserve"> identified by Lord Phillips may be helpful in identifying a relationship </w:t>
      </w:r>
      <w:r w:rsidRPr="006D4E15">
        <w:rPr>
          <w:rFonts w:ascii="Times New Roman" w:hAnsi="Times New Roman"/>
          <w:i/>
          <w:iCs/>
        </w:rPr>
        <w:t>which is sufficiently analogous to employment to make it fair, just and reasonable to impose vicarious liability</w:t>
      </w:r>
      <w:r w:rsidRPr="006D4E15">
        <w:rPr>
          <w:rFonts w:ascii="Times New Roman" w:hAnsi="Times New Roman"/>
        </w:rPr>
        <w:t xml:space="preserve">. Although they were enunciated in the context of non-commercial enterprises, they may be relevant in deciding whether workers who may be technically self-employed or agency workers are effectively part and parcel of the employer's business. But the key, as it was in </w:t>
      </w:r>
      <w:r w:rsidRPr="006D4E15">
        <w:rPr>
          <w:rFonts w:ascii="Times New Roman" w:hAnsi="Times New Roman"/>
          <w:i/>
          <w:iCs/>
        </w:rPr>
        <w:t>Christian Brothers</w:t>
      </w:r>
      <w:r w:rsidRPr="006D4E15">
        <w:rPr>
          <w:rFonts w:ascii="Times New Roman" w:hAnsi="Times New Roman"/>
        </w:rPr>
        <w:t xml:space="preserve"> [2013] 2 AC 1, </w:t>
      </w:r>
      <w:r w:rsidRPr="006D4E15">
        <w:rPr>
          <w:rFonts w:ascii="Times New Roman" w:hAnsi="Times New Roman"/>
          <w:i/>
          <w:iCs/>
        </w:rPr>
        <w:t>Cox</w:t>
      </w:r>
      <w:r w:rsidRPr="006D4E15">
        <w:rPr>
          <w:rFonts w:ascii="Times New Roman" w:hAnsi="Times New Roman"/>
        </w:rPr>
        <w:t xml:space="preserve"> [2016] AC 660 and </w:t>
      </w:r>
      <w:r w:rsidRPr="006D4E15">
        <w:rPr>
          <w:rFonts w:ascii="Times New Roman" w:hAnsi="Times New Roman"/>
          <w:i/>
          <w:iCs/>
        </w:rPr>
        <w:t>Armes</w:t>
      </w:r>
      <w:r w:rsidRPr="006D4E15">
        <w:rPr>
          <w:rFonts w:ascii="Times New Roman" w:hAnsi="Times New Roman"/>
        </w:rPr>
        <w:t xml:space="preserve"> [2018] AC 355, will</w:t>
      </w:r>
      <w:r w:rsidR="00B858D6" w:rsidRPr="006D4E15">
        <w:rPr>
          <w:rFonts w:ascii="Times New Roman" w:hAnsi="Times New Roman"/>
        </w:rPr>
        <w:t> </w:t>
      </w:r>
      <w:r w:rsidRPr="006D4E15">
        <w:rPr>
          <w:rFonts w:ascii="Times New Roman" w:hAnsi="Times New Roman"/>
        </w:rPr>
        <w:t xml:space="preserve">usually lie in understanding the details of the </w:t>
      </w:r>
      <w:r w:rsidRPr="006D4E15">
        <w:rPr>
          <w:rFonts w:ascii="Times New Roman" w:hAnsi="Times New Roman"/>
        </w:rPr>
        <w:lastRenderedPageBreak/>
        <w:t xml:space="preserve">relationship. Where it is clear that the tortfeasor is carrying on his own independent business it is not necessary to consider the five incidents." </w:t>
      </w:r>
    </w:p>
    <w:p w14:paraId="2E897CD6" w14:textId="4EF80E35" w:rsidR="00D82F9B" w:rsidRPr="006D4E15" w:rsidRDefault="00D82F9B"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In sum, the decision in </w:t>
      </w:r>
      <w:r w:rsidRPr="006D4E15">
        <w:rPr>
          <w:rFonts w:ascii="Times New Roman" w:hAnsi="Times New Roman"/>
          <w:i/>
          <w:iCs/>
        </w:rPr>
        <w:t xml:space="preserve">Christian Brothers </w:t>
      </w:r>
      <w:r w:rsidRPr="006D4E15">
        <w:rPr>
          <w:rFonts w:ascii="Times New Roman" w:hAnsi="Times New Roman"/>
        </w:rPr>
        <w:t xml:space="preserve">not only started from a different set of propositions, but the identified rationale for the expansion of </w:t>
      </w:r>
      <w:r w:rsidR="00CF7596" w:rsidRPr="006D4E15">
        <w:rPr>
          <w:rFonts w:ascii="Times New Roman" w:hAnsi="Times New Roman"/>
        </w:rPr>
        <w:t xml:space="preserve">the doctrine – being an assessment of </w:t>
      </w:r>
      <w:r w:rsidRPr="006D4E15">
        <w:rPr>
          <w:rFonts w:ascii="Times New Roman" w:hAnsi="Times New Roman"/>
        </w:rPr>
        <w:t>what is fair</w:t>
      </w:r>
      <w:r w:rsidR="004B1844" w:rsidRPr="006D4E15">
        <w:rPr>
          <w:rFonts w:ascii="Times New Roman" w:hAnsi="Times New Roman"/>
        </w:rPr>
        <w:t>,</w:t>
      </w:r>
      <w:r w:rsidRPr="006D4E15">
        <w:rPr>
          <w:rFonts w:ascii="Times New Roman" w:hAnsi="Times New Roman"/>
        </w:rPr>
        <w:t xml:space="preserve"> just</w:t>
      </w:r>
      <w:r w:rsidR="00B858D6" w:rsidRPr="006D4E15">
        <w:rPr>
          <w:rFonts w:ascii="Times New Roman" w:hAnsi="Times New Roman"/>
        </w:rPr>
        <w:t> </w:t>
      </w:r>
      <w:r w:rsidR="004B1844" w:rsidRPr="006D4E15">
        <w:rPr>
          <w:rFonts w:ascii="Times New Roman" w:hAnsi="Times New Roman"/>
        </w:rPr>
        <w:t xml:space="preserve">and reasonable </w:t>
      </w:r>
      <w:r w:rsidR="00CF7596" w:rsidRPr="006D4E15">
        <w:rPr>
          <w:rFonts w:ascii="Times New Roman" w:hAnsi="Times New Roman"/>
        </w:rPr>
        <w:t>–</w:t>
      </w:r>
      <w:r w:rsidRPr="006D4E15">
        <w:rPr>
          <w:rFonts w:ascii="Times New Roman" w:hAnsi="Times New Roman"/>
        </w:rPr>
        <w:t xml:space="preserve"> depended on </w:t>
      </w:r>
      <w:r w:rsidR="00836C2E" w:rsidRPr="006D4E15">
        <w:rPr>
          <w:rFonts w:ascii="Times New Roman" w:hAnsi="Times New Roman"/>
        </w:rPr>
        <w:t xml:space="preserve">contestable </w:t>
      </w:r>
      <w:r w:rsidRPr="006D4E15">
        <w:rPr>
          <w:rFonts w:ascii="Times New Roman" w:hAnsi="Times New Roman"/>
        </w:rPr>
        <w:t>policy choices and the allocation of risk</w:t>
      </w:r>
      <w:r w:rsidR="001D50ED" w:rsidRPr="006D4E15">
        <w:rPr>
          <w:rFonts w:ascii="Times New Roman" w:hAnsi="Times New Roman"/>
        </w:rPr>
        <w:t>, which are matters upon</w:t>
      </w:r>
      <w:r w:rsidR="00590652" w:rsidRPr="006D4E15">
        <w:rPr>
          <w:rFonts w:ascii="Times New Roman" w:hAnsi="Times New Roman"/>
        </w:rPr>
        <w:t xml:space="preserve"> which minds might differ</w:t>
      </w:r>
      <w:r w:rsidR="00D62AA7" w:rsidRPr="006D4E15">
        <w:rPr>
          <w:rStyle w:val="FootnoteReference"/>
          <w:rFonts w:ascii="Times New Roman" w:hAnsi="Times New Roman"/>
          <w:sz w:val="24"/>
        </w:rPr>
        <w:footnoteReference w:id="133"/>
      </w:r>
      <w:r w:rsidR="00590652" w:rsidRPr="006D4E15">
        <w:rPr>
          <w:rFonts w:ascii="Times New Roman" w:hAnsi="Times New Roman"/>
        </w:rPr>
        <w:t xml:space="preserve"> and </w:t>
      </w:r>
      <w:r w:rsidRPr="006D4E15">
        <w:rPr>
          <w:rFonts w:ascii="Times New Roman" w:hAnsi="Times New Roman"/>
        </w:rPr>
        <w:t xml:space="preserve">which this Court has repeatedly rejected as a </w:t>
      </w:r>
      <w:r w:rsidR="00E436EC" w:rsidRPr="006D4E15">
        <w:rPr>
          <w:rFonts w:ascii="Times New Roman" w:hAnsi="Times New Roman"/>
        </w:rPr>
        <w:t xml:space="preserve">sound </w:t>
      </w:r>
      <w:r w:rsidRPr="006D4E15">
        <w:rPr>
          <w:rFonts w:ascii="Times New Roman" w:hAnsi="Times New Roman"/>
        </w:rPr>
        <w:t xml:space="preserve">basis for determining and developing </w:t>
      </w:r>
      <w:r w:rsidR="00903CB6" w:rsidRPr="006D4E15">
        <w:rPr>
          <w:rFonts w:ascii="Times New Roman" w:hAnsi="Times New Roman"/>
        </w:rPr>
        <w:t xml:space="preserve">the </w:t>
      </w:r>
      <w:r w:rsidR="006C0EBD" w:rsidRPr="006D4E15">
        <w:rPr>
          <w:rFonts w:ascii="Times New Roman" w:hAnsi="Times New Roman"/>
        </w:rPr>
        <w:t>law of vicarious liability</w:t>
      </w:r>
      <w:r w:rsidR="00A864AB" w:rsidRPr="006D4E15">
        <w:rPr>
          <w:rStyle w:val="FootnoteReference"/>
          <w:rFonts w:ascii="Times New Roman" w:hAnsi="Times New Roman"/>
          <w:sz w:val="24"/>
        </w:rPr>
        <w:footnoteReference w:id="134"/>
      </w:r>
      <w:r w:rsidR="006C0EBD" w:rsidRPr="006D4E15">
        <w:rPr>
          <w:rFonts w:ascii="Times New Roman" w:hAnsi="Times New Roman"/>
        </w:rPr>
        <w:t xml:space="preserve"> and </w:t>
      </w:r>
      <w:r w:rsidRPr="006D4E15">
        <w:rPr>
          <w:rFonts w:ascii="Times New Roman" w:hAnsi="Times New Roman"/>
        </w:rPr>
        <w:t>duties of care.</w:t>
      </w:r>
      <w:r w:rsidRPr="006D4E15">
        <w:rPr>
          <w:rStyle w:val="FootnoteReference"/>
          <w:rFonts w:ascii="Times New Roman" w:hAnsi="Times New Roman"/>
          <w:sz w:val="24"/>
        </w:rPr>
        <w:footnoteReference w:id="135"/>
      </w:r>
      <w:r w:rsidRPr="006D4E15">
        <w:rPr>
          <w:rFonts w:ascii="Times New Roman" w:hAnsi="Times New Roman"/>
        </w:rPr>
        <w:t xml:space="preserve"> </w:t>
      </w:r>
    </w:p>
    <w:p w14:paraId="047C087C" w14:textId="260AA97D" w:rsidR="00D643F5" w:rsidRPr="006D4E15" w:rsidRDefault="002B4BA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1B7E24" w:rsidRPr="006D4E15">
        <w:rPr>
          <w:rFonts w:ascii="Times New Roman" w:hAnsi="Times New Roman"/>
        </w:rPr>
        <w:t>In light of t</w:t>
      </w:r>
      <w:r w:rsidR="0012493A" w:rsidRPr="006D4E15">
        <w:rPr>
          <w:rFonts w:ascii="Times New Roman" w:hAnsi="Times New Roman"/>
        </w:rPr>
        <w:t>his Court having rejected</w:t>
      </w:r>
      <w:r w:rsidR="003402C7" w:rsidRPr="006D4E15">
        <w:rPr>
          <w:rFonts w:ascii="Times New Roman" w:hAnsi="Times New Roman"/>
        </w:rPr>
        <w:t>,</w:t>
      </w:r>
      <w:r w:rsidR="0012493A" w:rsidRPr="006D4E15">
        <w:rPr>
          <w:rFonts w:ascii="Times New Roman" w:hAnsi="Times New Roman"/>
        </w:rPr>
        <w:t xml:space="preserve"> on more than one occasion</w:t>
      </w:r>
      <w:r w:rsidR="00004A3E" w:rsidRPr="006D4E15">
        <w:rPr>
          <w:rFonts w:ascii="Times New Roman" w:hAnsi="Times New Roman"/>
        </w:rPr>
        <w:t xml:space="preserve"> over the last </w:t>
      </w:r>
      <w:r w:rsidR="00AF1135" w:rsidRPr="006D4E15">
        <w:rPr>
          <w:rFonts w:ascii="Times New Roman" w:hAnsi="Times New Roman"/>
        </w:rPr>
        <w:t>2</w:t>
      </w:r>
      <w:r w:rsidR="0029120B" w:rsidRPr="006D4E15">
        <w:rPr>
          <w:rFonts w:ascii="Times New Roman" w:hAnsi="Times New Roman"/>
        </w:rPr>
        <w:t>5</w:t>
      </w:r>
      <w:r w:rsidR="00B87351" w:rsidRPr="006D4E15">
        <w:rPr>
          <w:rFonts w:ascii="Times New Roman" w:hAnsi="Times New Roman"/>
        </w:rPr>
        <w:t xml:space="preserve"> years</w:t>
      </w:r>
      <w:r w:rsidR="0012493A" w:rsidRPr="006D4E15">
        <w:rPr>
          <w:rFonts w:ascii="Times New Roman" w:hAnsi="Times New Roman"/>
        </w:rPr>
        <w:t>, both the starting point</w:t>
      </w:r>
      <w:r w:rsidR="00004A3E" w:rsidRPr="006D4E15">
        <w:rPr>
          <w:rFonts w:ascii="Times New Roman" w:hAnsi="Times New Roman"/>
        </w:rPr>
        <w:t xml:space="preserve"> </w:t>
      </w:r>
      <w:r w:rsidR="0012493A" w:rsidRPr="006D4E15">
        <w:rPr>
          <w:rFonts w:ascii="Times New Roman" w:hAnsi="Times New Roman"/>
        </w:rPr>
        <w:t>and</w:t>
      </w:r>
      <w:r w:rsidR="00A859B5" w:rsidRPr="006D4E15">
        <w:rPr>
          <w:rFonts w:ascii="Times New Roman" w:hAnsi="Times New Roman"/>
        </w:rPr>
        <w:t xml:space="preserve"> </w:t>
      </w:r>
      <w:r w:rsidR="0012493A" w:rsidRPr="006D4E15" w:rsidDel="00765590">
        <w:rPr>
          <w:rFonts w:ascii="Times New Roman" w:hAnsi="Times New Roman"/>
        </w:rPr>
        <w:t xml:space="preserve">the </w:t>
      </w:r>
      <w:r w:rsidR="0012493A" w:rsidRPr="006D4E15">
        <w:rPr>
          <w:rFonts w:ascii="Times New Roman" w:hAnsi="Times New Roman"/>
        </w:rPr>
        <w:t xml:space="preserve">basis </w:t>
      </w:r>
      <w:r w:rsidR="0012493A" w:rsidRPr="006D4E15" w:rsidDel="009D7E07">
        <w:rPr>
          <w:rFonts w:ascii="Times New Roman" w:hAnsi="Times New Roman"/>
        </w:rPr>
        <w:t>on which the Supreme Court of the United Kingdom</w:t>
      </w:r>
      <w:r w:rsidR="009D7E07" w:rsidRPr="006D4E15">
        <w:rPr>
          <w:rFonts w:ascii="Times New Roman" w:hAnsi="Times New Roman"/>
        </w:rPr>
        <w:t xml:space="preserve"> extend</w:t>
      </w:r>
      <w:r w:rsidR="008845CD" w:rsidRPr="006D4E15">
        <w:rPr>
          <w:rFonts w:ascii="Times New Roman" w:hAnsi="Times New Roman"/>
        </w:rPr>
        <w:t>ed</w:t>
      </w:r>
      <w:r w:rsidR="009D7E07" w:rsidRPr="006D4E15">
        <w:rPr>
          <w:rFonts w:ascii="Times New Roman" w:hAnsi="Times New Roman"/>
        </w:rPr>
        <w:t xml:space="preserve"> the law of </w:t>
      </w:r>
      <w:r w:rsidR="0012493A" w:rsidRPr="006D4E15">
        <w:rPr>
          <w:rFonts w:ascii="Times New Roman" w:hAnsi="Times New Roman"/>
        </w:rPr>
        <w:t>vicarious liability</w:t>
      </w:r>
      <w:r w:rsidR="005E1A45" w:rsidRPr="006D4E15">
        <w:rPr>
          <w:rFonts w:ascii="Times New Roman" w:hAnsi="Times New Roman"/>
        </w:rPr>
        <w:t xml:space="preserve">, </w:t>
      </w:r>
      <w:r w:rsidR="0005478E" w:rsidRPr="006D4E15">
        <w:rPr>
          <w:rFonts w:ascii="Times New Roman" w:hAnsi="Times New Roman"/>
        </w:rPr>
        <w:t xml:space="preserve">the issue </w:t>
      </w:r>
      <w:r w:rsidR="005E1A45" w:rsidRPr="006D4E15">
        <w:rPr>
          <w:rFonts w:ascii="Times New Roman" w:hAnsi="Times New Roman"/>
        </w:rPr>
        <w:t>is squarely in the hands of the legislature</w:t>
      </w:r>
      <w:r w:rsidR="0005478E" w:rsidRPr="006D4E15">
        <w:rPr>
          <w:rFonts w:ascii="Times New Roman" w:hAnsi="Times New Roman"/>
        </w:rPr>
        <w:t>s</w:t>
      </w:r>
      <w:r w:rsidR="00693060" w:rsidRPr="006D4E15">
        <w:rPr>
          <w:rFonts w:ascii="Times New Roman" w:hAnsi="Times New Roman"/>
        </w:rPr>
        <w:t xml:space="preserve">. </w:t>
      </w:r>
      <w:r w:rsidR="0062573F" w:rsidRPr="006D4E15">
        <w:rPr>
          <w:rFonts w:ascii="Times New Roman" w:hAnsi="Times New Roman"/>
        </w:rPr>
        <w:t xml:space="preserve">This </w:t>
      </w:r>
      <w:r w:rsidR="00693060" w:rsidRPr="006D4E15">
        <w:rPr>
          <w:rFonts w:ascii="Times New Roman" w:hAnsi="Times New Roman"/>
        </w:rPr>
        <w:t xml:space="preserve">Court should not, by developing the common law, </w:t>
      </w:r>
      <w:r w:rsidR="000501D9" w:rsidRPr="006D4E15">
        <w:rPr>
          <w:rFonts w:ascii="Times New Roman" w:hAnsi="Times New Roman"/>
        </w:rPr>
        <w:t>deny the centrality of the employment relationship</w:t>
      </w:r>
      <w:r w:rsidR="0054087A" w:rsidRPr="006D4E15">
        <w:rPr>
          <w:rFonts w:ascii="Times New Roman" w:hAnsi="Times New Roman"/>
        </w:rPr>
        <w:t xml:space="preserve"> nor abandon that requirement</w:t>
      </w:r>
      <w:r w:rsidR="000501D9" w:rsidRPr="006D4E15">
        <w:rPr>
          <w:rFonts w:ascii="Times New Roman" w:hAnsi="Times New Roman"/>
        </w:rPr>
        <w:t xml:space="preserve">. </w:t>
      </w:r>
      <w:r w:rsidR="001E1AE7" w:rsidRPr="006D4E15">
        <w:rPr>
          <w:rFonts w:ascii="Times New Roman" w:hAnsi="Times New Roman"/>
        </w:rPr>
        <w:t xml:space="preserve">As this Court stated in </w:t>
      </w:r>
      <w:r w:rsidR="001E1AE7" w:rsidRPr="006D4E15">
        <w:rPr>
          <w:rFonts w:ascii="Times New Roman" w:hAnsi="Times New Roman"/>
          <w:i/>
          <w:iCs/>
        </w:rPr>
        <w:t>Sweeney</w:t>
      </w:r>
      <w:r w:rsidR="001E1AE7" w:rsidRPr="006D4E15">
        <w:rPr>
          <w:rFonts w:ascii="Times New Roman" w:hAnsi="Times New Roman"/>
        </w:rPr>
        <w:t>,</w:t>
      </w:r>
      <w:r w:rsidR="001E1AE7" w:rsidRPr="006D4E15">
        <w:rPr>
          <w:rFonts w:ascii="Times New Roman" w:hAnsi="Times New Roman"/>
          <w:i/>
          <w:iCs/>
        </w:rPr>
        <w:t xml:space="preserve"> </w:t>
      </w:r>
      <w:r w:rsidR="001E1AE7" w:rsidRPr="006D4E15">
        <w:rPr>
          <w:rFonts w:ascii="Times New Roman" w:hAnsi="Times New Roman"/>
        </w:rPr>
        <w:t>"</w:t>
      </w:r>
      <w:r w:rsidR="00E6649D" w:rsidRPr="006D4E15">
        <w:rPr>
          <w:rFonts w:ascii="Times New Roman" w:hAnsi="Times New Roman"/>
        </w:rPr>
        <w:t>[w]</w:t>
      </w:r>
      <w:r w:rsidR="001E1AE7" w:rsidRPr="006D4E15">
        <w:rPr>
          <w:rFonts w:ascii="Times New Roman" w:hAnsi="Times New Roman"/>
        </w:rPr>
        <w:t>hatever may be the logical and doctrinal imperfections and difficulties in the origins of the law relating to vicarious liability, the two central conceptions of distinguishing between independent contractors and employees and attaching determinative significance to course of employment are now too deeply rooted to be pulled out</w:t>
      </w:r>
      <w:r w:rsidR="003402C7" w:rsidRPr="006D4E15">
        <w:rPr>
          <w:rFonts w:ascii="Times New Roman" w:hAnsi="Times New Roman"/>
        </w:rPr>
        <w:t>"</w:t>
      </w:r>
      <w:r w:rsidR="001E1AE7" w:rsidRPr="006D4E15">
        <w:rPr>
          <w:rFonts w:ascii="Times New Roman" w:hAnsi="Times New Roman"/>
        </w:rPr>
        <w:t>.</w:t>
      </w:r>
      <w:r w:rsidR="001E1AE7" w:rsidRPr="006D4E15">
        <w:rPr>
          <w:rStyle w:val="FootnoteReference"/>
          <w:rFonts w:ascii="Times New Roman" w:hAnsi="Times New Roman"/>
          <w:sz w:val="24"/>
        </w:rPr>
        <w:footnoteReference w:id="136"/>
      </w:r>
      <w:r w:rsidR="001E1AE7" w:rsidRPr="006D4E15">
        <w:rPr>
          <w:rFonts w:ascii="Times New Roman" w:hAnsi="Times New Roman"/>
        </w:rPr>
        <w:t xml:space="preserve"> </w:t>
      </w:r>
      <w:r w:rsidR="003562A1" w:rsidRPr="006D4E15">
        <w:rPr>
          <w:rFonts w:ascii="Times New Roman" w:hAnsi="Times New Roman"/>
        </w:rPr>
        <w:t>Those</w:t>
      </w:r>
      <w:r w:rsidR="00517050">
        <w:rPr>
          <w:rFonts w:ascii="Times New Roman" w:hAnsi="Times New Roman"/>
        </w:rPr>
        <w:t> </w:t>
      </w:r>
      <w:r w:rsidR="00D50E33" w:rsidRPr="006D4E15">
        <w:rPr>
          <w:rFonts w:ascii="Times New Roman" w:hAnsi="Times New Roman"/>
        </w:rPr>
        <w:t xml:space="preserve">deep roots </w:t>
      </w:r>
      <w:r w:rsidR="00736632" w:rsidRPr="006D4E15">
        <w:rPr>
          <w:rFonts w:ascii="Times New Roman" w:hAnsi="Times New Roman"/>
        </w:rPr>
        <w:t>of</w:t>
      </w:r>
      <w:r w:rsidR="00B34208" w:rsidRPr="006D4E15">
        <w:rPr>
          <w:rFonts w:ascii="Times New Roman" w:hAnsi="Times New Roman"/>
        </w:rPr>
        <w:t xml:space="preserve"> </w:t>
      </w:r>
      <w:r w:rsidR="0074079C" w:rsidRPr="006D4E15">
        <w:rPr>
          <w:rFonts w:ascii="Times New Roman" w:hAnsi="Times New Roman"/>
        </w:rPr>
        <w:t xml:space="preserve">reliance </w:t>
      </w:r>
      <w:r w:rsidR="001733FD" w:rsidRPr="006D4E15">
        <w:rPr>
          <w:rFonts w:ascii="Times New Roman" w:hAnsi="Times New Roman"/>
        </w:rPr>
        <w:t xml:space="preserve">on </w:t>
      </w:r>
      <w:r w:rsidR="00916CE7" w:rsidRPr="006D4E15">
        <w:rPr>
          <w:rFonts w:ascii="Times New Roman" w:hAnsi="Times New Roman"/>
        </w:rPr>
        <w:t>a threshold requirement of an employment relationship</w:t>
      </w:r>
      <w:r w:rsidR="001733FD" w:rsidRPr="006D4E15">
        <w:rPr>
          <w:rFonts w:ascii="Times New Roman" w:hAnsi="Times New Roman"/>
        </w:rPr>
        <w:t xml:space="preserve"> </w:t>
      </w:r>
      <w:r w:rsidR="00736632" w:rsidRPr="006D4E15">
        <w:rPr>
          <w:rFonts w:ascii="Times New Roman" w:hAnsi="Times New Roman"/>
        </w:rPr>
        <w:t>for a finding of vicarious liability extend to</w:t>
      </w:r>
      <w:r w:rsidR="0074079C" w:rsidRPr="006D4E15">
        <w:rPr>
          <w:rFonts w:ascii="Times New Roman" w:hAnsi="Times New Roman"/>
        </w:rPr>
        <w:t xml:space="preserve"> </w:t>
      </w:r>
      <w:r w:rsidR="003C3551" w:rsidRPr="006D4E15">
        <w:rPr>
          <w:rFonts w:ascii="Times New Roman" w:hAnsi="Times New Roman"/>
        </w:rPr>
        <w:t xml:space="preserve">other Australian </w:t>
      </w:r>
      <w:r w:rsidR="00271140" w:rsidRPr="006D4E15">
        <w:rPr>
          <w:rFonts w:ascii="Times New Roman" w:hAnsi="Times New Roman"/>
        </w:rPr>
        <w:t>courts, the legislature</w:t>
      </w:r>
      <w:r w:rsidR="00C974D2" w:rsidRPr="006D4E15">
        <w:rPr>
          <w:rFonts w:ascii="Times New Roman" w:hAnsi="Times New Roman"/>
        </w:rPr>
        <w:t xml:space="preserve">s </w:t>
      </w:r>
      <w:r w:rsidR="003C3551" w:rsidRPr="006D4E15">
        <w:rPr>
          <w:rFonts w:ascii="Times New Roman" w:hAnsi="Times New Roman"/>
        </w:rPr>
        <w:t>(</w:t>
      </w:r>
      <w:r w:rsidR="00C974D2" w:rsidRPr="006D4E15">
        <w:rPr>
          <w:rFonts w:ascii="Times New Roman" w:hAnsi="Times New Roman"/>
        </w:rPr>
        <w:t xml:space="preserve">including in relation to </w:t>
      </w:r>
      <w:r w:rsidR="00916CE7" w:rsidRPr="006D4E15">
        <w:rPr>
          <w:rFonts w:ascii="Times New Roman" w:hAnsi="Times New Roman"/>
        </w:rPr>
        <w:t xml:space="preserve">drafting </w:t>
      </w:r>
      <w:r w:rsidR="00C974D2" w:rsidRPr="006D4E15">
        <w:rPr>
          <w:rFonts w:ascii="Times New Roman" w:hAnsi="Times New Roman"/>
        </w:rPr>
        <w:t>employment legislation</w:t>
      </w:r>
      <w:r w:rsidR="003C3551" w:rsidRPr="006D4E15">
        <w:rPr>
          <w:rFonts w:ascii="Times New Roman" w:hAnsi="Times New Roman"/>
        </w:rPr>
        <w:t>)</w:t>
      </w:r>
      <w:r w:rsidR="00C974D2" w:rsidRPr="006D4E15">
        <w:rPr>
          <w:rFonts w:ascii="Times New Roman" w:hAnsi="Times New Roman"/>
        </w:rPr>
        <w:t xml:space="preserve"> and</w:t>
      </w:r>
      <w:r w:rsidR="00AA13AD">
        <w:rPr>
          <w:rFonts w:ascii="Times New Roman" w:hAnsi="Times New Roman"/>
        </w:rPr>
        <w:t> </w:t>
      </w:r>
      <w:r w:rsidR="003562A1" w:rsidRPr="006D4E15">
        <w:rPr>
          <w:rFonts w:ascii="Times New Roman" w:hAnsi="Times New Roman"/>
        </w:rPr>
        <w:t xml:space="preserve">insurers. That list is not exhaustive. </w:t>
      </w:r>
    </w:p>
    <w:p w14:paraId="6FF4F2EB" w14:textId="49F461F1" w:rsidR="00441737" w:rsidRPr="006D4E15" w:rsidRDefault="00D643F5"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16466" w:rsidRPr="006D4E15">
        <w:rPr>
          <w:rFonts w:ascii="Times New Roman" w:hAnsi="Times New Roman"/>
        </w:rPr>
        <w:t xml:space="preserve">Insisting on a </w:t>
      </w:r>
      <w:r w:rsidR="00101B33" w:rsidRPr="006D4E15">
        <w:rPr>
          <w:rFonts w:ascii="Times New Roman" w:hAnsi="Times New Roman"/>
        </w:rPr>
        <w:t xml:space="preserve">threshold requirement of an employment relationship for a finding of vicarious liability, including in cases such as the present, has been </w:t>
      </w:r>
      <w:r w:rsidR="007D51BE" w:rsidRPr="006D4E15">
        <w:rPr>
          <w:rFonts w:ascii="Times New Roman" w:hAnsi="Times New Roman"/>
        </w:rPr>
        <w:t xml:space="preserve">described as </w:t>
      </w:r>
      <w:r w:rsidR="00101B33" w:rsidRPr="006D4E15">
        <w:rPr>
          <w:rFonts w:ascii="Times New Roman" w:hAnsi="Times New Roman"/>
        </w:rPr>
        <w:t>harsh</w:t>
      </w:r>
      <w:r w:rsidR="00AA6D22" w:rsidRPr="006D4E15">
        <w:rPr>
          <w:rFonts w:ascii="Times New Roman" w:hAnsi="Times New Roman"/>
        </w:rPr>
        <w:t>.</w:t>
      </w:r>
      <w:r w:rsidR="00101B33" w:rsidRPr="006D4E15">
        <w:rPr>
          <w:rStyle w:val="FootnoteReference"/>
          <w:rFonts w:ascii="Times New Roman" w:hAnsi="Times New Roman"/>
          <w:sz w:val="24"/>
        </w:rPr>
        <w:footnoteReference w:id="137"/>
      </w:r>
      <w:r w:rsidR="00101B33" w:rsidRPr="006D4E15">
        <w:rPr>
          <w:rFonts w:ascii="Times New Roman" w:hAnsi="Times New Roman"/>
        </w:rPr>
        <w:t xml:space="preserve"> The acts of perpetrators</w:t>
      </w:r>
      <w:r w:rsidR="00C2597D" w:rsidRPr="006D4E15">
        <w:rPr>
          <w:rFonts w:ascii="Times New Roman" w:hAnsi="Times New Roman"/>
        </w:rPr>
        <w:t>, like th</w:t>
      </w:r>
      <w:r w:rsidR="005C6B07" w:rsidRPr="006D4E15">
        <w:rPr>
          <w:rFonts w:ascii="Times New Roman" w:hAnsi="Times New Roman"/>
        </w:rPr>
        <w:t>ose</w:t>
      </w:r>
      <w:r w:rsidR="00C2597D" w:rsidRPr="006D4E15">
        <w:rPr>
          <w:rFonts w:ascii="Times New Roman" w:hAnsi="Times New Roman"/>
        </w:rPr>
        <w:t xml:space="preserve"> of Coffey,</w:t>
      </w:r>
      <w:r w:rsidR="00101B33" w:rsidRPr="006D4E15">
        <w:rPr>
          <w:rFonts w:ascii="Times New Roman" w:hAnsi="Times New Roman"/>
        </w:rPr>
        <w:t xml:space="preserve"> are predatory </w:t>
      </w:r>
      <w:r w:rsidR="00101B33" w:rsidRPr="006D4E15">
        <w:rPr>
          <w:rFonts w:ascii="Times New Roman" w:hAnsi="Times New Roman"/>
        </w:rPr>
        <w:lastRenderedPageBreak/>
        <w:t>and the effect of them devastating.</w:t>
      </w:r>
      <w:r w:rsidR="00D11909" w:rsidRPr="006D4E15">
        <w:rPr>
          <w:rStyle w:val="FootnoteReference"/>
          <w:rFonts w:ascii="Times New Roman" w:hAnsi="Times New Roman"/>
          <w:sz w:val="24"/>
        </w:rPr>
        <w:footnoteReference w:id="138"/>
      </w:r>
      <w:r w:rsidR="00F23B2B" w:rsidRPr="006D4E15">
        <w:rPr>
          <w:rFonts w:ascii="Times New Roman" w:hAnsi="Times New Roman"/>
        </w:rPr>
        <w:t xml:space="preserve"> </w:t>
      </w:r>
      <w:r w:rsidR="00BF6524" w:rsidRPr="006D4E15">
        <w:rPr>
          <w:rFonts w:ascii="Times New Roman" w:hAnsi="Times New Roman"/>
        </w:rPr>
        <w:t>T</w:t>
      </w:r>
      <w:r w:rsidR="00863AAC" w:rsidRPr="006D4E15">
        <w:rPr>
          <w:rFonts w:ascii="Times New Roman" w:hAnsi="Times New Roman"/>
        </w:rPr>
        <w:t xml:space="preserve">he relationship between </w:t>
      </w:r>
      <w:r w:rsidR="00274C8F" w:rsidRPr="006D4E15">
        <w:rPr>
          <w:rFonts w:ascii="Times New Roman" w:hAnsi="Times New Roman"/>
        </w:rPr>
        <w:t xml:space="preserve">the </w:t>
      </w:r>
      <w:r w:rsidR="00863AAC" w:rsidRPr="006D4E15">
        <w:rPr>
          <w:rFonts w:ascii="Times New Roman" w:hAnsi="Times New Roman"/>
        </w:rPr>
        <w:t xml:space="preserve">Diocese and </w:t>
      </w:r>
      <w:r w:rsidR="00274C8F" w:rsidRPr="006D4E15">
        <w:rPr>
          <w:rFonts w:ascii="Times New Roman" w:hAnsi="Times New Roman"/>
        </w:rPr>
        <w:t>Coffey</w:t>
      </w:r>
      <w:r w:rsidR="00863AAC" w:rsidRPr="006D4E15">
        <w:rPr>
          <w:rFonts w:ascii="Times New Roman" w:hAnsi="Times New Roman"/>
        </w:rPr>
        <w:t xml:space="preserve"> </w:t>
      </w:r>
      <w:r w:rsidR="00274C8F" w:rsidRPr="006D4E15">
        <w:rPr>
          <w:rFonts w:ascii="Times New Roman" w:hAnsi="Times New Roman"/>
        </w:rPr>
        <w:t>–</w:t>
      </w:r>
      <w:r w:rsidR="009F0A8E" w:rsidRPr="006D4E15">
        <w:rPr>
          <w:rFonts w:ascii="Times New Roman" w:hAnsi="Times New Roman"/>
        </w:rPr>
        <w:t xml:space="preserve"> whilst distinct</w:t>
      </w:r>
      <w:r w:rsidR="0070175D" w:rsidRPr="006D4E15">
        <w:rPr>
          <w:rFonts w:ascii="Times New Roman" w:hAnsi="Times New Roman"/>
        </w:rPr>
        <w:t xml:space="preserve"> </w:t>
      </w:r>
      <w:r w:rsidR="00274C8F" w:rsidRPr="006D4E15">
        <w:rPr>
          <w:rFonts w:ascii="Times New Roman" w:hAnsi="Times New Roman"/>
        </w:rPr>
        <w:t>–</w:t>
      </w:r>
      <w:r w:rsidR="0070175D" w:rsidRPr="006D4E15">
        <w:rPr>
          <w:rFonts w:ascii="Times New Roman" w:hAnsi="Times New Roman"/>
        </w:rPr>
        <w:t xml:space="preserve"> exhibit</w:t>
      </w:r>
      <w:r w:rsidR="00274C8F" w:rsidRPr="006D4E15">
        <w:rPr>
          <w:rFonts w:ascii="Times New Roman" w:hAnsi="Times New Roman"/>
        </w:rPr>
        <w:t>ed</w:t>
      </w:r>
      <w:r w:rsidR="0070175D" w:rsidRPr="006D4E15">
        <w:rPr>
          <w:rFonts w:ascii="Times New Roman" w:hAnsi="Times New Roman"/>
        </w:rPr>
        <w:t xml:space="preserve"> certain features that </w:t>
      </w:r>
      <w:r w:rsidR="00C86813" w:rsidRPr="006D4E15">
        <w:rPr>
          <w:rFonts w:ascii="Times New Roman" w:hAnsi="Times New Roman"/>
        </w:rPr>
        <w:t>resemble</w:t>
      </w:r>
      <w:r w:rsidR="00274C8F" w:rsidRPr="006D4E15">
        <w:rPr>
          <w:rFonts w:ascii="Times New Roman" w:hAnsi="Times New Roman"/>
        </w:rPr>
        <w:t>d</w:t>
      </w:r>
      <w:r w:rsidR="00C86813" w:rsidRPr="006D4E15">
        <w:rPr>
          <w:rFonts w:ascii="Times New Roman" w:hAnsi="Times New Roman"/>
        </w:rPr>
        <w:t xml:space="preserve"> </w:t>
      </w:r>
      <w:r w:rsidR="00863AAC" w:rsidRPr="006D4E15">
        <w:rPr>
          <w:rFonts w:ascii="Times New Roman" w:hAnsi="Times New Roman"/>
        </w:rPr>
        <w:t>that of</w:t>
      </w:r>
      <w:r w:rsidR="00C86813" w:rsidRPr="006D4E15">
        <w:rPr>
          <w:rFonts w:ascii="Times New Roman" w:hAnsi="Times New Roman"/>
        </w:rPr>
        <w:t xml:space="preserve"> a relationship of</w:t>
      </w:r>
      <w:r w:rsidR="00863AAC" w:rsidRPr="006D4E15">
        <w:rPr>
          <w:rFonts w:ascii="Times New Roman" w:hAnsi="Times New Roman"/>
        </w:rPr>
        <w:t xml:space="preserve"> employer</w:t>
      </w:r>
      <w:r w:rsidR="00C86813" w:rsidRPr="006D4E15">
        <w:rPr>
          <w:rFonts w:ascii="Times New Roman" w:hAnsi="Times New Roman"/>
        </w:rPr>
        <w:t xml:space="preserve"> and </w:t>
      </w:r>
      <w:r w:rsidR="00863AAC" w:rsidRPr="006D4E15">
        <w:rPr>
          <w:rFonts w:ascii="Times New Roman" w:hAnsi="Times New Roman"/>
        </w:rPr>
        <w:t>employee.</w:t>
      </w:r>
    </w:p>
    <w:p w14:paraId="21DEA99C" w14:textId="7F1F6A6D" w:rsidR="00141483" w:rsidRPr="006D4E15" w:rsidRDefault="00141483"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846E0A" w:rsidRPr="006D4E15">
        <w:rPr>
          <w:rFonts w:ascii="Times New Roman" w:hAnsi="Times New Roman"/>
        </w:rPr>
        <w:t xml:space="preserve">But </w:t>
      </w:r>
      <w:r w:rsidR="0022316B" w:rsidRPr="006D4E15">
        <w:rPr>
          <w:rFonts w:ascii="Times New Roman" w:hAnsi="Times New Roman"/>
        </w:rPr>
        <w:t xml:space="preserve">without a </w:t>
      </w:r>
      <w:r w:rsidR="00240DDC" w:rsidRPr="006D4E15">
        <w:rPr>
          <w:rFonts w:ascii="Times New Roman" w:hAnsi="Times New Roman"/>
        </w:rPr>
        <w:t>"</w:t>
      </w:r>
      <w:r w:rsidR="0022316B" w:rsidRPr="006D4E15">
        <w:rPr>
          <w:rFonts w:ascii="Times New Roman" w:hAnsi="Times New Roman"/>
        </w:rPr>
        <w:t xml:space="preserve">clear or </w:t>
      </w:r>
      <w:r w:rsidR="00195D18" w:rsidRPr="006D4E15">
        <w:rPr>
          <w:rFonts w:ascii="Times New Roman" w:hAnsi="Times New Roman"/>
        </w:rPr>
        <w:t>stable</w:t>
      </w:r>
      <w:r w:rsidR="00240DDC" w:rsidRPr="006D4E15">
        <w:rPr>
          <w:rFonts w:ascii="Times New Roman" w:hAnsi="Times New Roman"/>
        </w:rPr>
        <w:t>"</w:t>
      </w:r>
      <w:r w:rsidR="00195D18" w:rsidRPr="006D4E15">
        <w:rPr>
          <w:rFonts w:ascii="Times New Roman" w:hAnsi="Times New Roman"/>
        </w:rPr>
        <w:t xml:space="preserve"> principle</w:t>
      </w:r>
      <w:r w:rsidR="00377F3D" w:rsidRPr="006D4E15">
        <w:rPr>
          <w:rFonts w:ascii="Times New Roman" w:hAnsi="Times New Roman"/>
        </w:rPr>
        <w:t xml:space="preserve"> for the imposition of vicarious liability</w:t>
      </w:r>
      <w:r w:rsidR="0022316B" w:rsidRPr="006D4E15">
        <w:rPr>
          <w:rFonts w:ascii="Times New Roman" w:hAnsi="Times New Roman"/>
        </w:rPr>
        <w:t>,</w:t>
      </w:r>
      <w:r w:rsidR="00F36A93" w:rsidRPr="006D4E15">
        <w:rPr>
          <w:rStyle w:val="FootnoteReference"/>
          <w:rFonts w:ascii="Times New Roman" w:hAnsi="Times New Roman"/>
          <w:sz w:val="24"/>
        </w:rPr>
        <w:footnoteReference w:id="139"/>
      </w:r>
      <w:r w:rsidR="0022316B" w:rsidRPr="006D4E15">
        <w:rPr>
          <w:rFonts w:ascii="Times New Roman" w:hAnsi="Times New Roman"/>
        </w:rPr>
        <w:t xml:space="preserve"> e</w:t>
      </w:r>
      <w:r w:rsidR="00262A68" w:rsidRPr="006D4E15">
        <w:rPr>
          <w:rFonts w:ascii="Times New Roman" w:hAnsi="Times New Roman"/>
        </w:rPr>
        <w:t>xpand</w:t>
      </w:r>
      <w:r w:rsidR="00AD67AE" w:rsidRPr="006D4E15">
        <w:rPr>
          <w:rFonts w:ascii="Times New Roman" w:hAnsi="Times New Roman"/>
        </w:rPr>
        <w:t>ing</w:t>
      </w:r>
      <w:r w:rsidR="00262A68" w:rsidRPr="006D4E15">
        <w:rPr>
          <w:rFonts w:ascii="Times New Roman" w:hAnsi="Times New Roman"/>
        </w:rPr>
        <w:t xml:space="preserve"> the threshold </w:t>
      </w:r>
      <w:r w:rsidR="006600D5" w:rsidRPr="006D4E15">
        <w:rPr>
          <w:rFonts w:ascii="Times New Roman" w:hAnsi="Times New Roman"/>
        </w:rPr>
        <w:t>requirement</w:t>
      </w:r>
      <w:r w:rsidR="0089736E" w:rsidRPr="006D4E15">
        <w:rPr>
          <w:rFonts w:ascii="Times New Roman" w:hAnsi="Times New Roman"/>
        </w:rPr>
        <w:t xml:space="preserve"> </w:t>
      </w:r>
      <w:r w:rsidR="00262A68" w:rsidRPr="006D4E15">
        <w:rPr>
          <w:rFonts w:ascii="Times New Roman" w:hAnsi="Times New Roman"/>
        </w:rPr>
        <w:t xml:space="preserve">to </w:t>
      </w:r>
      <w:r w:rsidR="00377F3D" w:rsidRPr="006D4E15">
        <w:rPr>
          <w:rFonts w:ascii="Times New Roman" w:hAnsi="Times New Roman"/>
        </w:rPr>
        <w:t>accommodate</w:t>
      </w:r>
      <w:r w:rsidR="00130FC1" w:rsidRPr="006D4E15">
        <w:rPr>
          <w:rFonts w:ascii="Times New Roman" w:hAnsi="Times New Roman"/>
        </w:rPr>
        <w:t xml:space="preserve"> relationships </w:t>
      </w:r>
      <w:r w:rsidR="00FD6715" w:rsidRPr="006D4E15">
        <w:rPr>
          <w:rFonts w:ascii="Times New Roman" w:hAnsi="Times New Roman"/>
        </w:rPr>
        <w:t xml:space="preserve">that are </w:t>
      </w:r>
      <w:r w:rsidR="00262A68" w:rsidRPr="006D4E15">
        <w:rPr>
          <w:rFonts w:ascii="Times New Roman" w:hAnsi="Times New Roman"/>
        </w:rPr>
        <w:t>"akin to employment" would</w:t>
      </w:r>
      <w:r w:rsidR="00B858D6" w:rsidRPr="006D4E15">
        <w:rPr>
          <w:rFonts w:ascii="Times New Roman" w:hAnsi="Times New Roman"/>
        </w:rPr>
        <w:t> </w:t>
      </w:r>
      <w:r w:rsidR="00262A68" w:rsidRPr="006D4E15">
        <w:rPr>
          <w:rFonts w:ascii="Times New Roman" w:hAnsi="Times New Roman"/>
        </w:rPr>
        <w:t>produce uncertainty</w:t>
      </w:r>
      <w:r w:rsidR="00AD67AE" w:rsidRPr="006D4E15">
        <w:rPr>
          <w:rFonts w:ascii="Times New Roman" w:hAnsi="Times New Roman"/>
        </w:rPr>
        <w:t xml:space="preserve"> and indeterminacy</w:t>
      </w:r>
      <w:r w:rsidR="000E597C" w:rsidRPr="006D4E15">
        <w:rPr>
          <w:rFonts w:ascii="Times New Roman" w:hAnsi="Times New Roman"/>
        </w:rPr>
        <w:t xml:space="preserve"> in at</w:t>
      </w:r>
      <w:r w:rsidR="00790AD8" w:rsidRPr="006D4E15">
        <w:rPr>
          <w:rFonts w:ascii="Times New Roman" w:hAnsi="Times New Roman"/>
        </w:rPr>
        <w:t xml:space="preserve"> </w:t>
      </w:r>
      <w:r w:rsidR="000E597C" w:rsidRPr="006D4E15">
        <w:rPr>
          <w:rFonts w:ascii="Times New Roman" w:hAnsi="Times New Roman"/>
        </w:rPr>
        <w:t xml:space="preserve">least </w:t>
      </w:r>
      <w:r w:rsidR="00EC4D0D" w:rsidRPr="006D4E15">
        <w:rPr>
          <w:rFonts w:ascii="Times New Roman" w:hAnsi="Times New Roman"/>
        </w:rPr>
        <w:t xml:space="preserve">two </w:t>
      </w:r>
      <w:r w:rsidR="000E597C" w:rsidRPr="006D4E15">
        <w:rPr>
          <w:rFonts w:ascii="Times New Roman" w:hAnsi="Times New Roman"/>
        </w:rPr>
        <w:t>ways</w:t>
      </w:r>
      <w:r w:rsidR="00262A68" w:rsidRPr="006D4E15">
        <w:rPr>
          <w:rFonts w:ascii="Times New Roman" w:hAnsi="Times New Roman"/>
        </w:rPr>
        <w:t>.</w:t>
      </w:r>
      <w:r w:rsidRPr="006D4E15">
        <w:rPr>
          <w:rFonts w:ascii="Times New Roman" w:hAnsi="Times New Roman"/>
        </w:rPr>
        <w:t xml:space="preserve"> The</w:t>
      </w:r>
      <w:r w:rsidR="002113CA" w:rsidRPr="006D4E15">
        <w:rPr>
          <w:rFonts w:ascii="Times New Roman" w:hAnsi="Times New Roman"/>
        </w:rPr>
        <w:t> </w:t>
      </w:r>
      <w:r w:rsidRPr="006D4E15">
        <w:rPr>
          <w:rFonts w:ascii="Times New Roman" w:hAnsi="Times New Roman"/>
        </w:rPr>
        <w:t xml:space="preserve">first has been addressed – the "akin to employment" test has led to results in the United Kingdom which have expanded liability to relationships which hitherto would not have been understood to </w:t>
      </w:r>
      <w:r w:rsidR="00C66F25" w:rsidRPr="006D4E15">
        <w:rPr>
          <w:rFonts w:ascii="Times New Roman" w:hAnsi="Times New Roman"/>
        </w:rPr>
        <w:t xml:space="preserve">involve </w:t>
      </w:r>
      <w:r w:rsidR="00834A33" w:rsidRPr="006D4E15">
        <w:rPr>
          <w:rFonts w:ascii="Times New Roman" w:hAnsi="Times New Roman"/>
        </w:rPr>
        <w:t>one party</w:t>
      </w:r>
      <w:r w:rsidR="00A85BE1" w:rsidRPr="006D4E15">
        <w:rPr>
          <w:rFonts w:ascii="Times New Roman" w:hAnsi="Times New Roman"/>
        </w:rPr>
        <w:t xml:space="preserve"> being</w:t>
      </w:r>
      <w:r w:rsidR="00834A33" w:rsidRPr="006D4E15">
        <w:rPr>
          <w:rFonts w:ascii="Times New Roman" w:hAnsi="Times New Roman"/>
        </w:rPr>
        <w:t xml:space="preserve"> </w:t>
      </w:r>
      <w:r w:rsidRPr="006D4E15">
        <w:rPr>
          <w:rFonts w:ascii="Times New Roman" w:hAnsi="Times New Roman"/>
        </w:rPr>
        <w:t xml:space="preserve">liable for another's wrongs. </w:t>
      </w:r>
    </w:p>
    <w:p w14:paraId="63F51549" w14:textId="25D2124D" w:rsidR="00B665C9" w:rsidRPr="006D4E15" w:rsidRDefault="00141483"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The second area of uncertainty </w:t>
      </w:r>
      <w:r w:rsidR="007F1116" w:rsidRPr="006D4E15">
        <w:rPr>
          <w:rFonts w:ascii="Times New Roman" w:hAnsi="Times New Roman"/>
        </w:rPr>
        <w:t>and indeterminacy</w:t>
      </w:r>
      <w:r w:rsidRPr="006D4E15">
        <w:rPr>
          <w:rFonts w:ascii="Times New Roman" w:hAnsi="Times New Roman"/>
        </w:rPr>
        <w:t xml:space="preserve"> that comes from divorcing the threshold test for vicarious liability from an employment relationship is that it risks further complicating the already fraught distinction between employees and independent contractors. It is true that the case law in the United Kingdom still insists on the separateness of the category of independent contractor (or, more generally, relationships not akin to employment), in which vicarious liability will not arise.</w:t>
      </w:r>
      <w:r w:rsidRPr="006D4E15">
        <w:rPr>
          <w:rStyle w:val="FootnoteReference"/>
          <w:rFonts w:ascii="Times New Roman" w:hAnsi="Times New Roman"/>
          <w:sz w:val="24"/>
        </w:rPr>
        <w:footnoteReference w:id="140"/>
      </w:r>
      <w:r w:rsidRPr="006D4E15">
        <w:rPr>
          <w:rFonts w:ascii="Times New Roman" w:hAnsi="Times New Roman"/>
        </w:rPr>
        <w:t xml:space="preserve"> The</w:t>
      </w:r>
      <w:r w:rsidR="007D299F" w:rsidRPr="006D4E15">
        <w:rPr>
          <w:rFonts w:ascii="Times New Roman" w:hAnsi="Times New Roman"/>
        </w:rPr>
        <w:t> </w:t>
      </w:r>
      <w:r w:rsidRPr="006D4E15">
        <w:rPr>
          <w:rFonts w:ascii="Times New Roman" w:hAnsi="Times New Roman"/>
        </w:rPr>
        <w:t xml:space="preserve">relevant question "is, as it has always been, whether the tortfeasor is carrying on business on his own account or whether </w:t>
      </w:r>
      <w:r w:rsidR="00E53B2B" w:rsidRPr="006D4E15">
        <w:rPr>
          <w:rFonts w:ascii="Times New Roman" w:hAnsi="Times New Roman"/>
        </w:rPr>
        <w:t>[the tortfeasor]</w:t>
      </w:r>
      <w:r w:rsidRPr="006D4E15">
        <w:rPr>
          <w:rFonts w:ascii="Times New Roman" w:hAnsi="Times New Roman"/>
        </w:rPr>
        <w:t xml:space="preserve"> </w:t>
      </w:r>
      <w:r w:rsidR="003B571E" w:rsidRPr="006D4E15">
        <w:rPr>
          <w:rFonts w:ascii="Times New Roman" w:hAnsi="Times New Roman"/>
        </w:rPr>
        <w:t>is</w:t>
      </w:r>
      <w:r w:rsidR="00E53B2B" w:rsidRPr="006D4E15">
        <w:rPr>
          <w:rFonts w:ascii="Times New Roman" w:hAnsi="Times New Roman"/>
        </w:rPr>
        <w:t xml:space="preserve"> </w:t>
      </w:r>
      <w:r w:rsidRPr="006D4E15">
        <w:rPr>
          <w:rFonts w:ascii="Times New Roman" w:hAnsi="Times New Roman"/>
        </w:rPr>
        <w:t>in a relationship akin to employment with the defendant</w:t>
      </w:r>
      <w:r w:rsidR="00100AB9" w:rsidRPr="006D4E15">
        <w:rPr>
          <w:rFonts w:ascii="Times New Roman" w:hAnsi="Times New Roman"/>
        </w:rPr>
        <w:t>"</w:t>
      </w:r>
      <w:r w:rsidRPr="006D4E15">
        <w:rPr>
          <w:rFonts w:ascii="Times New Roman" w:hAnsi="Times New Roman"/>
        </w:rPr>
        <w:t>.</w:t>
      </w:r>
      <w:r w:rsidRPr="006D4E15">
        <w:rPr>
          <w:rStyle w:val="FootnoteReference"/>
          <w:rFonts w:ascii="Times New Roman" w:hAnsi="Times New Roman"/>
          <w:sz w:val="24"/>
        </w:rPr>
        <w:footnoteReference w:id="141"/>
      </w:r>
      <w:r w:rsidRPr="006D4E15">
        <w:rPr>
          <w:rFonts w:ascii="Times New Roman" w:hAnsi="Times New Roman"/>
        </w:rPr>
        <w:t xml:space="preserve"> Nevertheless, it is difficult to see how reliance on only a subset of the indicia in cases "akin to employment" will not generate difficulty distinguishing employees from </w:t>
      </w:r>
      <w:r w:rsidR="00C12055" w:rsidRPr="006D4E15">
        <w:rPr>
          <w:rFonts w:ascii="Times New Roman" w:hAnsi="Times New Roman"/>
        </w:rPr>
        <w:t xml:space="preserve">independent </w:t>
      </w:r>
      <w:r w:rsidRPr="006D4E15">
        <w:rPr>
          <w:rFonts w:ascii="Times New Roman" w:hAnsi="Times New Roman"/>
        </w:rPr>
        <w:t>contractors more broadly. It is no answer to that challenge that central instances of contracting will still be simply resolved; the</w:t>
      </w:r>
      <w:r w:rsidR="00B858D6" w:rsidRPr="006D4E15">
        <w:rPr>
          <w:rFonts w:ascii="Times New Roman" w:hAnsi="Times New Roman"/>
        </w:rPr>
        <w:t> </w:t>
      </w:r>
      <w:r w:rsidRPr="006D4E15">
        <w:rPr>
          <w:rFonts w:ascii="Times New Roman" w:hAnsi="Times New Roman"/>
        </w:rPr>
        <w:t>difficulties are inevitabl</w:t>
      </w:r>
      <w:r w:rsidR="000979F4" w:rsidRPr="006D4E15">
        <w:rPr>
          <w:rFonts w:ascii="Times New Roman" w:hAnsi="Times New Roman"/>
        </w:rPr>
        <w:t>e</w:t>
      </w:r>
      <w:r w:rsidRPr="006D4E15">
        <w:rPr>
          <w:rFonts w:ascii="Times New Roman" w:hAnsi="Times New Roman"/>
        </w:rPr>
        <w:t xml:space="preserve"> with </w:t>
      </w:r>
      <w:r w:rsidR="00A07FF9" w:rsidRPr="006D4E15">
        <w:rPr>
          <w:rFonts w:ascii="Times New Roman" w:hAnsi="Times New Roman"/>
        </w:rPr>
        <w:t>"</w:t>
      </w:r>
      <w:r w:rsidRPr="006D4E15">
        <w:rPr>
          <w:rFonts w:ascii="Times New Roman" w:hAnsi="Times New Roman"/>
        </w:rPr>
        <w:t>borderline cases</w:t>
      </w:r>
      <w:r w:rsidR="00074FE1" w:rsidRPr="006D4E15">
        <w:rPr>
          <w:rFonts w:ascii="Times New Roman" w:hAnsi="Times New Roman"/>
        </w:rPr>
        <w:t>"</w:t>
      </w:r>
      <w:r w:rsidRPr="006D4E15">
        <w:rPr>
          <w:rFonts w:ascii="Times New Roman" w:hAnsi="Times New Roman"/>
        </w:rPr>
        <w:t>.</w:t>
      </w:r>
      <w:r w:rsidRPr="006D4E15">
        <w:rPr>
          <w:rStyle w:val="FootnoteReference"/>
          <w:rFonts w:ascii="Times New Roman" w:hAnsi="Times New Roman"/>
          <w:sz w:val="24"/>
        </w:rPr>
        <w:footnoteReference w:id="142"/>
      </w:r>
      <w:r w:rsidRPr="006D4E15">
        <w:rPr>
          <w:rFonts w:ascii="Times New Roman" w:hAnsi="Times New Roman"/>
        </w:rPr>
        <w:t xml:space="preserve"> </w:t>
      </w:r>
    </w:p>
    <w:p w14:paraId="7AD5007C" w14:textId="5F8664FD" w:rsidR="009F0567" w:rsidRPr="006D4E15" w:rsidRDefault="009F0567" w:rsidP="006D4E15">
      <w:pPr>
        <w:pStyle w:val="FixListStyle"/>
        <w:spacing w:after="260" w:line="280" w:lineRule="exact"/>
        <w:ind w:right="0"/>
        <w:jc w:val="both"/>
        <w:rPr>
          <w:rFonts w:ascii="Times New Roman" w:hAnsi="Times New Roman"/>
        </w:rPr>
      </w:pPr>
      <w:r w:rsidRPr="006D4E15">
        <w:rPr>
          <w:rFonts w:ascii="Times New Roman" w:hAnsi="Times New Roman"/>
        </w:rPr>
        <w:lastRenderedPageBreak/>
        <w:tab/>
        <w:t xml:space="preserve">In </w:t>
      </w:r>
      <w:r w:rsidRPr="006D4E15">
        <w:rPr>
          <w:rFonts w:ascii="Times New Roman" w:hAnsi="Times New Roman"/>
          <w:i/>
          <w:iCs/>
        </w:rPr>
        <w:t>Breen v Williams</w:t>
      </w:r>
      <w:r w:rsidRPr="006D4E15">
        <w:rPr>
          <w:rFonts w:ascii="Times New Roman" w:hAnsi="Times New Roman"/>
        </w:rPr>
        <w:t>,</w:t>
      </w:r>
      <w:r w:rsidRPr="006D4E15">
        <w:rPr>
          <w:rStyle w:val="FootnoteReference"/>
          <w:rFonts w:ascii="Times New Roman" w:hAnsi="Times New Roman"/>
          <w:sz w:val="24"/>
        </w:rPr>
        <w:footnoteReference w:id="143"/>
      </w:r>
      <w:r w:rsidRPr="006D4E15">
        <w:rPr>
          <w:rFonts w:ascii="Times New Roman" w:hAnsi="Times New Roman"/>
        </w:rPr>
        <w:t xml:space="preserve"> Gaudron and McHugh JJ said:</w:t>
      </w:r>
    </w:p>
    <w:p w14:paraId="48B3748D" w14:textId="0BDEDD8C" w:rsidR="006D4E15" w:rsidRDefault="009F0567" w:rsidP="006D4E15">
      <w:pPr>
        <w:pStyle w:val="leftright"/>
        <w:spacing w:before="0" w:after="260" w:line="280" w:lineRule="exact"/>
        <w:ind w:right="0"/>
        <w:jc w:val="both"/>
        <w:rPr>
          <w:rFonts w:ascii="Times New Roman" w:hAnsi="Times New Roman"/>
        </w:rPr>
      </w:pPr>
      <w:r w:rsidRPr="006D4E15">
        <w:rPr>
          <w:rFonts w:ascii="Times New Roman" w:hAnsi="Times New Roman"/>
        </w:rPr>
        <w:t>"Advances in the common law must begin from a baseline of accepted principle and proceed by conventional methods of legal reasoning. Judges</w:t>
      </w:r>
      <w:r w:rsidR="00A846FD">
        <w:rPr>
          <w:rFonts w:ascii="Times New Roman" w:hAnsi="Times New Roman"/>
        </w:rPr>
        <w:t> </w:t>
      </w:r>
      <w:r w:rsidRPr="006D4E15">
        <w:rPr>
          <w:rFonts w:ascii="Times New Roman" w:hAnsi="Times New Roman"/>
        </w:rPr>
        <w:t>have no authority to invent legal doctrine that distorts or does not extend or modify accepted legal rules and principles. Any</w:t>
      </w:r>
      <w:r w:rsidR="00B858D6" w:rsidRPr="006D4E15">
        <w:rPr>
          <w:rFonts w:ascii="Times New Roman" w:hAnsi="Times New Roman"/>
        </w:rPr>
        <w:t> </w:t>
      </w:r>
      <w:r w:rsidRPr="006D4E15">
        <w:rPr>
          <w:rFonts w:ascii="Times New Roman" w:hAnsi="Times New Roman"/>
        </w:rPr>
        <w:t>changes in legal doctrine, brought about by judicial creativity, must 'fit' within the body of accepted rules and principles."</w:t>
      </w:r>
    </w:p>
    <w:p w14:paraId="6F603609" w14:textId="054BD192" w:rsidR="009F0567" w:rsidRPr="006D4E15" w:rsidRDefault="00790BDB" w:rsidP="006D4E15">
      <w:pPr>
        <w:pStyle w:val="NormalBody"/>
        <w:spacing w:after="260" w:line="280" w:lineRule="exact"/>
        <w:ind w:right="0"/>
        <w:jc w:val="both"/>
        <w:rPr>
          <w:rFonts w:ascii="Times New Roman" w:hAnsi="Times New Roman"/>
        </w:rPr>
      </w:pPr>
      <w:r w:rsidRPr="006D4E15">
        <w:rPr>
          <w:rFonts w:ascii="Times New Roman" w:hAnsi="Times New Roman"/>
        </w:rPr>
        <w:t>Abandoning</w:t>
      </w:r>
      <w:r w:rsidR="009F0567" w:rsidRPr="006D4E15">
        <w:rPr>
          <w:rFonts w:ascii="Times New Roman" w:hAnsi="Times New Roman"/>
        </w:rPr>
        <w:t xml:space="preserve"> the threshold requirement of a relationship of employment for the purposes of vicarious liability does not fit within</w:t>
      </w:r>
      <w:r w:rsidR="009F0567" w:rsidRPr="006D4E15" w:rsidDel="0047601B">
        <w:rPr>
          <w:rFonts w:ascii="Times New Roman" w:hAnsi="Times New Roman"/>
        </w:rPr>
        <w:t xml:space="preserve"> </w:t>
      </w:r>
      <w:r w:rsidR="009F0567" w:rsidRPr="006D4E15">
        <w:rPr>
          <w:rFonts w:ascii="Times New Roman" w:hAnsi="Times New Roman"/>
        </w:rPr>
        <w:t xml:space="preserve">the body of accepted rules and principles. The difficulties that have existed and </w:t>
      </w:r>
      <w:r w:rsidR="00F51615" w:rsidRPr="006D4E15">
        <w:rPr>
          <w:rFonts w:ascii="Times New Roman" w:hAnsi="Times New Roman"/>
        </w:rPr>
        <w:t>presently</w:t>
      </w:r>
      <w:r w:rsidR="009F0567" w:rsidRPr="006D4E15">
        <w:rPr>
          <w:rFonts w:ascii="Times New Roman" w:hAnsi="Times New Roman"/>
        </w:rPr>
        <w:t xml:space="preserve"> exist with vicarious liability in Australia, and</w:t>
      </w:r>
      <w:r w:rsidR="00B858D6" w:rsidRPr="006D4E15">
        <w:rPr>
          <w:rFonts w:ascii="Times New Roman" w:hAnsi="Times New Roman"/>
        </w:rPr>
        <w:t> </w:t>
      </w:r>
      <w:r w:rsidR="009F0567" w:rsidRPr="006D4E15">
        <w:rPr>
          <w:rFonts w:ascii="Times New Roman" w:hAnsi="Times New Roman"/>
        </w:rPr>
        <w:t xml:space="preserve">overseas, </w:t>
      </w:r>
      <w:r w:rsidR="008A7F93" w:rsidRPr="006D4E15">
        <w:rPr>
          <w:rFonts w:ascii="Times New Roman" w:hAnsi="Times New Roman"/>
        </w:rPr>
        <w:t xml:space="preserve">as well as the other matters that have been identified, </w:t>
      </w:r>
      <w:r w:rsidR="009F0567" w:rsidRPr="006D4E15">
        <w:rPr>
          <w:rFonts w:ascii="Times New Roman" w:hAnsi="Times New Roman"/>
        </w:rPr>
        <w:t>do not provide a proper basis for the development of the common law by extension of the threshold more broadly, or to address the specific issue of whether a diocese or a bishop may be held vicariously liable for the unlawful actions of a priest who sexually abuses a child</w:t>
      </w:r>
      <w:r w:rsidR="00A97208" w:rsidRPr="006D4E15">
        <w:rPr>
          <w:rFonts w:ascii="Times New Roman" w:hAnsi="Times New Roman"/>
        </w:rPr>
        <w:t>, on an incremental basis</w:t>
      </w:r>
      <w:r w:rsidR="009F0567" w:rsidRPr="006D4E15">
        <w:rPr>
          <w:rFonts w:ascii="Times New Roman" w:hAnsi="Times New Roman"/>
        </w:rPr>
        <w:t>.</w:t>
      </w:r>
      <w:r w:rsidR="009F0567" w:rsidRPr="006D4E15">
        <w:rPr>
          <w:rStyle w:val="FootnoteReference"/>
          <w:rFonts w:ascii="Times New Roman" w:hAnsi="Times New Roman"/>
          <w:sz w:val="24"/>
        </w:rPr>
        <w:footnoteReference w:id="144"/>
      </w:r>
      <w:r w:rsidR="009F0567" w:rsidRPr="006D4E15">
        <w:rPr>
          <w:rFonts w:ascii="Times New Roman" w:hAnsi="Times New Roman"/>
        </w:rPr>
        <w:t xml:space="preserve"> Reformulation of the law of vicarious liability is properly the province of the legislature.</w:t>
      </w:r>
      <w:r w:rsidR="009F0567" w:rsidRPr="006D4E15">
        <w:rPr>
          <w:rStyle w:val="FootnoteReference"/>
          <w:rFonts w:ascii="Times New Roman" w:hAnsi="Times New Roman"/>
          <w:sz w:val="24"/>
        </w:rPr>
        <w:footnoteReference w:id="145"/>
      </w:r>
      <w:r w:rsidR="009F0567" w:rsidRPr="006D4E15">
        <w:rPr>
          <w:rFonts w:ascii="Times New Roman" w:hAnsi="Times New Roman"/>
        </w:rPr>
        <w:t xml:space="preserve"> </w:t>
      </w:r>
    </w:p>
    <w:p w14:paraId="03355637" w14:textId="36D252F2" w:rsidR="00FD391B" w:rsidRPr="006D4E15" w:rsidRDefault="00D4599E"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F65683" w:rsidRPr="006D4E15">
        <w:rPr>
          <w:rFonts w:ascii="Times New Roman" w:hAnsi="Times New Roman"/>
        </w:rPr>
        <w:t xml:space="preserve">In </w:t>
      </w:r>
      <w:r w:rsidR="00F23B2B" w:rsidRPr="006D4E15">
        <w:rPr>
          <w:rFonts w:ascii="Times New Roman" w:hAnsi="Times New Roman"/>
        </w:rPr>
        <w:t>Australia</w:t>
      </w:r>
      <w:r w:rsidR="00F65683" w:rsidRPr="006D4E15">
        <w:rPr>
          <w:rFonts w:ascii="Times New Roman" w:hAnsi="Times New Roman"/>
        </w:rPr>
        <w:t>,</w:t>
      </w:r>
      <w:r w:rsidR="00F23B2B" w:rsidRPr="006D4E15">
        <w:rPr>
          <w:rFonts w:ascii="Times New Roman" w:hAnsi="Times New Roman"/>
        </w:rPr>
        <w:t xml:space="preserve"> </w:t>
      </w:r>
      <w:r w:rsidR="00152996" w:rsidRPr="006D4E15">
        <w:rPr>
          <w:rFonts w:ascii="Times New Roman" w:hAnsi="Times New Roman"/>
        </w:rPr>
        <w:t xml:space="preserve">the legislature has sought to address </w:t>
      </w:r>
      <w:r w:rsidR="003C2201" w:rsidRPr="006D4E15">
        <w:rPr>
          <w:rFonts w:ascii="Times New Roman" w:hAnsi="Times New Roman"/>
        </w:rPr>
        <w:t xml:space="preserve">these issues </w:t>
      </w:r>
      <w:r w:rsidR="0003791B" w:rsidRPr="006D4E15">
        <w:rPr>
          <w:rFonts w:ascii="Times New Roman" w:hAnsi="Times New Roman"/>
        </w:rPr>
        <w:t xml:space="preserve">of institutional liability </w:t>
      </w:r>
      <w:r w:rsidR="00F65683" w:rsidRPr="006D4E15">
        <w:rPr>
          <w:rFonts w:ascii="Times New Roman" w:hAnsi="Times New Roman"/>
        </w:rPr>
        <w:t>following on from</w:t>
      </w:r>
      <w:r w:rsidR="003F6A14" w:rsidRPr="006D4E15">
        <w:rPr>
          <w:rFonts w:ascii="Times New Roman" w:hAnsi="Times New Roman"/>
        </w:rPr>
        <w:t xml:space="preserve"> </w:t>
      </w:r>
      <w:r w:rsidR="00747E65" w:rsidRPr="006D4E15">
        <w:rPr>
          <w:rFonts w:ascii="Times New Roman" w:hAnsi="Times New Roman"/>
        </w:rPr>
        <w:t>various reports</w:t>
      </w:r>
      <w:r w:rsidR="009759C2" w:rsidRPr="006D4E15">
        <w:rPr>
          <w:rFonts w:ascii="Times New Roman" w:hAnsi="Times New Roman"/>
        </w:rPr>
        <w:t>,</w:t>
      </w:r>
      <w:r w:rsidR="009759C2" w:rsidRPr="006D4E15">
        <w:rPr>
          <w:rStyle w:val="FootnoteReference"/>
          <w:rFonts w:ascii="Times New Roman" w:hAnsi="Times New Roman"/>
          <w:sz w:val="24"/>
        </w:rPr>
        <w:footnoteReference w:id="146"/>
      </w:r>
      <w:r w:rsidR="009759C2" w:rsidRPr="006D4E15">
        <w:rPr>
          <w:rFonts w:ascii="Times New Roman" w:hAnsi="Times New Roman"/>
        </w:rPr>
        <w:t xml:space="preserve"> which have </w:t>
      </w:r>
      <w:r w:rsidR="00AE22D3" w:rsidRPr="006D4E15">
        <w:rPr>
          <w:rFonts w:ascii="Times New Roman" w:hAnsi="Times New Roman"/>
        </w:rPr>
        <w:t xml:space="preserve">explicitly </w:t>
      </w:r>
      <w:r w:rsidR="009759C2" w:rsidRPr="006D4E15">
        <w:rPr>
          <w:rFonts w:ascii="Times New Roman" w:hAnsi="Times New Roman"/>
        </w:rPr>
        <w:t>called for</w:t>
      </w:r>
      <w:r w:rsidR="00976165" w:rsidRPr="006D4E15">
        <w:rPr>
          <w:rFonts w:ascii="Times New Roman" w:hAnsi="Times New Roman"/>
        </w:rPr>
        <w:t xml:space="preserve"> </w:t>
      </w:r>
      <w:r w:rsidR="00FA5C63" w:rsidRPr="006D4E15">
        <w:rPr>
          <w:rFonts w:ascii="Times New Roman" w:hAnsi="Times New Roman"/>
        </w:rPr>
        <w:t xml:space="preserve">reform by </w:t>
      </w:r>
      <w:r w:rsidR="00976165" w:rsidRPr="006D4E15">
        <w:rPr>
          <w:rFonts w:ascii="Times New Roman" w:hAnsi="Times New Roman"/>
        </w:rPr>
        <w:t>parliamentary intervention</w:t>
      </w:r>
      <w:r w:rsidR="00FA5C63" w:rsidRPr="006D4E15">
        <w:rPr>
          <w:rFonts w:ascii="Times New Roman" w:hAnsi="Times New Roman"/>
        </w:rPr>
        <w:t xml:space="preserve"> </w:t>
      </w:r>
      <w:r w:rsidR="003F6A14" w:rsidRPr="006D4E15">
        <w:rPr>
          <w:rFonts w:ascii="Times New Roman" w:hAnsi="Times New Roman"/>
        </w:rPr>
        <w:t>given the confined, and uncertain</w:t>
      </w:r>
      <w:r w:rsidR="00135414" w:rsidRPr="006D4E15">
        <w:rPr>
          <w:rFonts w:ascii="Times New Roman" w:hAnsi="Times New Roman"/>
        </w:rPr>
        <w:t>, scope of liability for intentional torts</w:t>
      </w:r>
      <w:r w:rsidR="00344ACD" w:rsidRPr="006D4E15">
        <w:rPr>
          <w:rFonts w:ascii="Times New Roman" w:hAnsi="Times New Roman"/>
        </w:rPr>
        <w:t xml:space="preserve"> under the doctrine of vicarious liability at </w:t>
      </w:r>
      <w:r w:rsidR="00344ACD" w:rsidRPr="006D4E15">
        <w:rPr>
          <w:rFonts w:ascii="Times New Roman" w:hAnsi="Times New Roman"/>
        </w:rPr>
        <w:lastRenderedPageBreak/>
        <w:t>common law in Australia</w:t>
      </w:r>
      <w:r w:rsidR="00992375" w:rsidRPr="006D4E15">
        <w:rPr>
          <w:rFonts w:ascii="Times New Roman" w:hAnsi="Times New Roman"/>
        </w:rPr>
        <w:t>.</w:t>
      </w:r>
      <w:r w:rsidR="00A806AE" w:rsidRPr="006D4E15">
        <w:rPr>
          <w:rStyle w:val="FootnoteReference"/>
          <w:rFonts w:ascii="Times New Roman" w:hAnsi="Times New Roman"/>
          <w:sz w:val="24"/>
        </w:rPr>
        <w:footnoteReference w:id="147"/>
      </w:r>
      <w:r w:rsidR="00992375" w:rsidRPr="006D4E15">
        <w:rPr>
          <w:rFonts w:ascii="Times New Roman" w:hAnsi="Times New Roman"/>
        </w:rPr>
        <w:t xml:space="preserve"> </w:t>
      </w:r>
      <w:r w:rsidR="00A12518" w:rsidRPr="006D4E15">
        <w:rPr>
          <w:rFonts w:ascii="Times New Roman" w:hAnsi="Times New Roman"/>
        </w:rPr>
        <w:t>T</w:t>
      </w:r>
      <w:r w:rsidR="00E472B1" w:rsidRPr="006D4E15">
        <w:rPr>
          <w:rFonts w:ascii="Times New Roman" w:hAnsi="Times New Roman"/>
        </w:rPr>
        <w:t xml:space="preserve">he </w:t>
      </w:r>
      <w:r w:rsidR="006D44CA" w:rsidRPr="006D4E15">
        <w:rPr>
          <w:rFonts w:ascii="Times New Roman" w:hAnsi="Times New Roman"/>
          <w:iCs/>
        </w:rPr>
        <w:t>2015</w:t>
      </w:r>
      <w:r w:rsidR="006D44CA" w:rsidRPr="006D4E15">
        <w:rPr>
          <w:rFonts w:ascii="Times New Roman" w:hAnsi="Times New Roman"/>
          <w:i/>
        </w:rPr>
        <w:t xml:space="preserve"> Redress and Civil Litigation Report</w:t>
      </w:r>
      <w:r w:rsidR="006D44CA" w:rsidRPr="006D4E15">
        <w:rPr>
          <w:rFonts w:ascii="Times New Roman" w:hAnsi="Times New Roman"/>
        </w:rPr>
        <w:t xml:space="preserve"> of the Commonwealth Royal Commission into Institutional Responses to Child Sexual Abuse ("the Redress Report") </w:t>
      </w:r>
      <w:r w:rsidR="00A12518" w:rsidRPr="006D4E15">
        <w:rPr>
          <w:rFonts w:ascii="Times New Roman" w:hAnsi="Times New Roman"/>
        </w:rPr>
        <w:t>considered</w:t>
      </w:r>
      <w:r w:rsidR="009E093F" w:rsidRPr="006D4E15">
        <w:rPr>
          <w:rFonts w:ascii="Times New Roman" w:hAnsi="Times New Roman"/>
        </w:rPr>
        <w:t> </w:t>
      </w:r>
      <w:r w:rsidR="007009DF" w:rsidRPr="006D4E15">
        <w:rPr>
          <w:rFonts w:ascii="Times New Roman" w:hAnsi="Times New Roman"/>
        </w:rPr>
        <w:t xml:space="preserve">parliamentary reform </w:t>
      </w:r>
      <w:r w:rsidR="00A12518" w:rsidRPr="006D4E15">
        <w:rPr>
          <w:rFonts w:ascii="Times New Roman" w:hAnsi="Times New Roman"/>
        </w:rPr>
        <w:t xml:space="preserve">to be </w:t>
      </w:r>
      <w:r w:rsidR="006E0E95" w:rsidRPr="006D4E15">
        <w:rPr>
          <w:rFonts w:ascii="Times New Roman" w:hAnsi="Times New Roman"/>
        </w:rPr>
        <w:t xml:space="preserve">the proper and </w:t>
      </w:r>
      <w:r w:rsidR="00637287" w:rsidRPr="006D4E15">
        <w:rPr>
          <w:rFonts w:ascii="Times New Roman" w:hAnsi="Times New Roman"/>
        </w:rPr>
        <w:t xml:space="preserve">appropriate </w:t>
      </w:r>
      <w:r w:rsidR="006E0E95" w:rsidRPr="006D4E15">
        <w:rPr>
          <w:rFonts w:ascii="Times New Roman" w:hAnsi="Times New Roman"/>
        </w:rPr>
        <w:t xml:space="preserve">vehicle for ensuring </w:t>
      </w:r>
      <w:r w:rsidR="00194E73" w:rsidRPr="006D4E15">
        <w:rPr>
          <w:rFonts w:ascii="Times New Roman" w:hAnsi="Times New Roman"/>
        </w:rPr>
        <w:t>institutional accountability and redress for the harms committed by</w:t>
      </w:r>
      <w:r w:rsidR="00B76482" w:rsidRPr="006D4E15">
        <w:rPr>
          <w:rFonts w:ascii="Times New Roman" w:hAnsi="Times New Roman"/>
        </w:rPr>
        <w:t xml:space="preserve"> </w:t>
      </w:r>
      <w:r w:rsidR="00194E73" w:rsidRPr="006D4E15">
        <w:rPr>
          <w:rFonts w:ascii="Times New Roman" w:hAnsi="Times New Roman"/>
        </w:rPr>
        <w:t>members and employees</w:t>
      </w:r>
      <w:r w:rsidR="00945B56" w:rsidRPr="006D4E15">
        <w:rPr>
          <w:rFonts w:ascii="Times New Roman" w:hAnsi="Times New Roman"/>
        </w:rPr>
        <w:t>.</w:t>
      </w:r>
      <w:r w:rsidR="008658D2" w:rsidRPr="006D4E15">
        <w:rPr>
          <w:rStyle w:val="FootnoteReference"/>
          <w:rFonts w:ascii="Times New Roman" w:hAnsi="Times New Roman"/>
          <w:sz w:val="24"/>
        </w:rPr>
        <w:footnoteReference w:id="148"/>
      </w:r>
      <w:r w:rsidR="004F5E54" w:rsidRPr="006D4E15">
        <w:rPr>
          <w:rFonts w:ascii="Times New Roman" w:hAnsi="Times New Roman"/>
        </w:rPr>
        <w:t xml:space="preserve"> </w:t>
      </w:r>
      <w:r w:rsidR="00B00231" w:rsidRPr="006D4E15">
        <w:rPr>
          <w:rFonts w:ascii="Times New Roman" w:hAnsi="Times New Roman"/>
        </w:rPr>
        <w:t xml:space="preserve">And steps have been taken by legislatures. </w:t>
      </w:r>
      <w:r w:rsidR="00992375" w:rsidRPr="006D4E15">
        <w:rPr>
          <w:rFonts w:ascii="Times New Roman" w:hAnsi="Times New Roman"/>
        </w:rPr>
        <w:t>The</w:t>
      </w:r>
      <w:r w:rsidR="00257C82" w:rsidRPr="006D4E15">
        <w:rPr>
          <w:rFonts w:ascii="Times New Roman" w:hAnsi="Times New Roman"/>
        </w:rPr>
        <w:t> </w:t>
      </w:r>
      <w:r w:rsidR="00992375" w:rsidRPr="006D4E15">
        <w:rPr>
          <w:rFonts w:ascii="Times New Roman" w:hAnsi="Times New Roman"/>
        </w:rPr>
        <w:t>difficulty is that</w:t>
      </w:r>
      <w:r w:rsidR="00216466" w:rsidRPr="006D4E15">
        <w:rPr>
          <w:rFonts w:ascii="Times New Roman" w:hAnsi="Times New Roman"/>
        </w:rPr>
        <w:t xml:space="preserve"> </w:t>
      </w:r>
      <w:r w:rsidR="00827EA4" w:rsidRPr="006D4E15">
        <w:rPr>
          <w:rFonts w:ascii="Times New Roman" w:hAnsi="Times New Roman"/>
        </w:rPr>
        <w:t xml:space="preserve">the </w:t>
      </w:r>
      <w:r w:rsidR="00216466" w:rsidRPr="006D4E15">
        <w:rPr>
          <w:rFonts w:ascii="Times New Roman" w:hAnsi="Times New Roman"/>
        </w:rPr>
        <w:t xml:space="preserve">steps taken </w:t>
      </w:r>
      <w:r w:rsidR="00992375" w:rsidRPr="006D4E15">
        <w:rPr>
          <w:rFonts w:ascii="Times New Roman" w:hAnsi="Times New Roman"/>
        </w:rPr>
        <w:t xml:space="preserve">by the various legislatures </w:t>
      </w:r>
      <w:r w:rsidR="00216466" w:rsidRPr="006D4E15">
        <w:rPr>
          <w:rFonts w:ascii="Times New Roman" w:hAnsi="Times New Roman"/>
        </w:rPr>
        <w:t>have not been consistent</w:t>
      </w:r>
      <w:r w:rsidR="002B4BAB" w:rsidRPr="006D4E15">
        <w:rPr>
          <w:rStyle w:val="FootnoteReference"/>
          <w:rFonts w:ascii="Times New Roman" w:hAnsi="Times New Roman"/>
          <w:sz w:val="24"/>
        </w:rPr>
        <w:footnoteReference w:id="149"/>
      </w:r>
      <w:r w:rsidR="00216466" w:rsidRPr="006D4E15">
        <w:rPr>
          <w:rFonts w:ascii="Times New Roman" w:hAnsi="Times New Roman"/>
        </w:rPr>
        <w:t xml:space="preserve"> </w:t>
      </w:r>
      <w:r w:rsidR="00505781" w:rsidRPr="006D4E15">
        <w:rPr>
          <w:rFonts w:ascii="Times New Roman" w:hAnsi="Times New Roman"/>
        </w:rPr>
        <w:t>and, in some important respects</w:t>
      </w:r>
      <w:r w:rsidR="00D0454F" w:rsidRPr="006D4E15">
        <w:rPr>
          <w:rFonts w:ascii="Times New Roman" w:hAnsi="Times New Roman"/>
        </w:rPr>
        <w:t xml:space="preserve">, </w:t>
      </w:r>
      <w:r w:rsidR="001476E4" w:rsidRPr="006D4E15">
        <w:rPr>
          <w:rFonts w:ascii="Times New Roman" w:hAnsi="Times New Roman"/>
        </w:rPr>
        <w:t xml:space="preserve">amendments to civil liability, </w:t>
      </w:r>
      <w:r w:rsidR="00F15BEF" w:rsidRPr="006D4E15">
        <w:rPr>
          <w:rFonts w:ascii="Times New Roman" w:hAnsi="Times New Roman"/>
        </w:rPr>
        <w:t xml:space="preserve">following </w:t>
      </w:r>
      <w:r w:rsidR="00D0454F" w:rsidRPr="006D4E15">
        <w:rPr>
          <w:rFonts w:ascii="Times New Roman" w:hAnsi="Times New Roman"/>
        </w:rPr>
        <w:t>the recommendations of Royal Commissions,</w:t>
      </w:r>
      <w:r w:rsidR="00D0454F" w:rsidRPr="006D4E15">
        <w:rPr>
          <w:rStyle w:val="FootnoteReference"/>
          <w:rFonts w:ascii="Times New Roman" w:hAnsi="Times New Roman"/>
          <w:sz w:val="24"/>
        </w:rPr>
        <w:footnoteReference w:id="150"/>
      </w:r>
      <w:r w:rsidR="00505781" w:rsidRPr="006D4E15">
        <w:rPr>
          <w:rFonts w:ascii="Times New Roman" w:hAnsi="Times New Roman"/>
        </w:rPr>
        <w:t xml:space="preserve"> are</w:t>
      </w:r>
      <w:r w:rsidR="00A846FD">
        <w:rPr>
          <w:rFonts w:ascii="Times New Roman" w:hAnsi="Times New Roman"/>
        </w:rPr>
        <w:t> </w:t>
      </w:r>
      <w:r w:rsidR="00505781" w:rsidRPr="006D4E15">
        <w:rPr>
          <w:rFonts w:ascii="Times New Roman" w:hAnsi="Times New Roman"/>
        </w:rPr>
        <w:t>prospective.</w:t>
      </w:r>
      <w:r w:rsidR="00505781" w:rsidRPr="006D4E15">
        <w:rPr>
          <w:rStyle w:val="FootnoteReference"/>
          <w:rFonts w:ascii="Times New Roman" w:hAnsi="Times New Roman"/>
          <w:sz w:val="24"/>
        </w:rPr>
        <w:footnoteReference w:id="151"/>
      </w:r>
    </w:p>
    <w:p w14:paraId="0D998A6E" w14:textId="35794933" w:rsidR="00783054" w:rsidRPr="006D4E15" w:rsidRDefault="00FD391B"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5C26EF" w:rsidRPr="006D4E15">
        <w:rPr>
          <w:rFonts w:ascii="Times New Roman" w:hAnsi="Times New Roman"/>
        </w:rPr>
        <w:t>It is sufficient to address the position in Victoria. T</w:t>
      </w:r>
      <w:r w:rsidR="004249CB" w:rsidRPr="006D4E15">
        <w:rPr>
          <w:rFonts w:ascii="Times New Roman" w:hAnsi="Times New Roman"/>
        </w:rPr>
        <w:t>he</w:t>
      </w:r>
      <w:r w:rsidR="00BE03A6" w:rsidRPr="006D4E15">
        <w:rPr>
          <w:rFonts w:ascii="Times New Roman" w:hAnsi="Times New Roman"/>
        </w:rPr>
        <w:t> </w:t>
      </w:r>
      <w:r w:rsidR="004249CB" w:rsidRPr="006D4E15">
        <w:rPr>
          <w:rFonts w:ascii="Times New Roman" w:hAnsi="Times New Roman"/>
        </w:rPr>
        <w:t xml:space="preserve">introduction in Victoria of the </w:t>
      </w:r>
      <w:r w:rsidR="00971852" w:rsidRPr="006D4E15">
        <w:rPr>
          <w:rFonts w:ascii="Times New Roman" w:hAnsi="Times New Roman"/>
        </w:rPr>
        <w:t xml:space="preserve">Legal Identity Act </w:t>
      </w:r>
      <w:r w:rsidR="00DC34F3" w:rsidRPr="006D4E15">
        <w:rPr>
          <w:rFonts w:ascii="Times New Roman" w:hAnsi="Times New Roman"/>
        </w:rPr>
        <w:t xml:space="preserve">does not </w:t>
      </w:r>
      <w:r w:rsidR="00DC555C" w:rsidRPr="006D4E15">
        <w:rPr>
          <w:rFonts w:ascii="Times New Roman" w:hAnsi="Times New Roman"/>
        </w:rPr>
        <w:t xml:space="preserve">provide a basis for </w:t>
      </w:r>
      <w:r w:rsidR="00A82A49" w:rsidRPr="006D4E15">
        <w:rPr>
          <w:rFonts w:ascii="Times New Roman" w:hAnsi="Times New Roman"/>
        </w:rPr>
        <w:t xml:space="preserve">imposing </w:t>
      </w:r>
      <w:r w:rsidR="00DC555C" w:rsidRPr="006D4E15">
        <w:rPr>
          <w:rFonts w:ascii="Times New Roman" w:hAnsi="Times New Roman"/>
        </w:rPr>
        <w:t>vicarious liability</w:t>
      </w:r>
      <w:r w:rsidRPr="006D4E15">
        <w:rPr>
          <w:rFonts w:ascii="Times New Roman" w:hAnsi="Times New Roman"/>
        </w:rPr>
        <w:t>.</w:t>
      </w:r>
      <w:r w:rsidR="00505781" w:rsidRPr="006D4E15">
        <w:rPr>
          <w:rFonts w:ascii="Times New Roman" w:hAnsi="Times New Roman"/>
        </w:rPr>
        <w:t xml:space="preserve"> </w:t>
      </w:r>
      <w:r w:rsidR="00031627" w:rsidRPr="006D4E15">
        <w:rPr>
          <w:rFonts w:ascii="Times New Roman" w:hAnsi="Times New Roman"/>
        </w:rPr>
        <w:t xml:space="preserve">The lack of a legal person capable of being sued had </w:t>
      </w:r>
      <w:r w:rsidR="00226DD6" w:rsidRPr="006D4E15">
        <w:rPr>
          <w:rFonts w:ascii="Times New Roman" w:hAnsi="Times New Roman"/>
        </w:rPr>
        <w:t>historically</w:t>
      </w:r>
      <w:r w:rsidR="00031627" w:rsidRPr="006D4E15">
        <w:rPr>
          <w:rFonts w:ascii="Times New Roman" w:hAnsi="Times New Roman"/>
        </w:rPr>
        <w:t xml:space="preserve"> been a notorious impediment to the redress of abuse occurring in the context of unincorporated organisations</w:t>
      </w:r>
      <w:r w:rsidR="009D699F" w:rsidRPr="006D4E15">
        <w:rPr>
          <w:rFonts w:ascii="Times New Roman" w:hAnsi="Times New Roman"/>
        </w:rPr>
        <w:t>,</w:t>
      </w:r>
      <w:r w:rsidR="00031627" w:rsidRPr="006D4E15">
        <w:rPr>
          <w:rFonts w:ascii="Times New Roman" w:hAnsi="Times New Roman"/>
        </w:rPr>
        <w:t xml:space="preserve"> even when those organisations controlled valuable property held by corporate trustees.</w:t>
      </w:r>
      <w:r w:rsidR="00971852" w:rsidRPr="006D4E15">
        <w:rPr>
          <w:rStyle w:val="FootnoteReference"/>
          <w:rFonts w:ascii="Times New Roman" w:hAnsi="Times New Roman"/>
          <w:sz w:val="24"/>
        </w:rPr>
        <w:footnoteReference w:id="152"/>
      </w:r>
      <w:r w:rsidR="00971852" w:rsidRPr="006D4E15">
        <w:rPr>
          <w:rFonts w:ascii="Times New Roman" w:hAnsi="Times New Roman"/>
        </w:rPr>
        <w:t xml:space="preserve"> Th</w:t>
      </w:r>
      <w:r w:rsidR="00B82778" w:rsidRPr="006D4E15">
        <w:rPr>
          <w:rFonts w:ascii="Times New Roman" w:hAnsi="Times New Roman"/>
        </w:rPr>
        <w:t>at was remedied by the Legal</w:t>
      </w:r>
      <w:r w:rsidR="008B28AC">
        <w:rPr>
          <w:rFonts w:ascii="Times New Roman" w:hAnsi="Times New Roman"/>
        </w:rPr>
        <w:t> </w:t>
      </w:r>
      <w:r w:rsidR="00B82778" w:rsidRPr="006D4E15">
        <w:rPr>
          <w:rFonts w:ascii="Times New Roman" w:hAnsi="Times New Roman"/>
        </w:rPr>
        <w:t>Identity</w:t>
      </w:r>
      <w:r w:rsidR="008B28AC">
        <w:rPr>
          <w:rFonts w:ascii="Times New Roman" w:hAnsi="Times New Roman"/>
        </w:rPr>
        <w:t> </w:t>
      </w:r>
      <w:r w:rsidR="00B82778" w:rsidRPr="006D4E15">
        <w:rPr>
          <w:rFonts w:ascii="Times New Roman" w:hAnsi="Times New Roman"/>
        </w:rPr>
        <w:t xml:space="preserve">Act, </w:t>
      </w:r>
      <w:r w:rsidR="00F46FA9" w:rsidRPr="006D4E15">
        <w:rPr>
          <w:rFonts w:ascii="Times New Roman" w:hAnsi="Times New Roman"/>
        </w:rPr>
        <w:t xml:space="preserve">the </w:t>
      </w:r>
      <w:r w:rsidR="00D03365" w:rsidRPr="006D4E15">
        <w:rPr>
          <w:rFonts w:ascii="Times New Roman" w:hAnsi="Times New Roman"/>
        </w:rPr>
        <w:t xml:space="preserve">stated </w:t>
      </w:r>
      <w:r w:rsidR="00B82778" w:rsidRPr="006D4E15">
        <w:rPr>
          <w:rFonts w:ascii="Times New Roman" w:hAnsi="Times New Roman"/>
        </w:rPr>
        <w:t>purpose</w:t>
      </w:r>
      <w:r w:rsidR="00F46FA9" w:rsidRPr="006D4E15">
        <w:rPr>
          <w:rFonts w:ascii="Times New Roman" w:hAnsi="Times New Roman"/>
        </w:rPr>
        <w:t xml:space="preserve"> of which</w:t>
      </w:r>
      <w:r w:rsidR="00B82778" w:rsidRPr="006D4E15">
        <w:rPr>
          <w:rFonts w:ascii="Times New Roman" w:hAnsi="Times New Roman"/>
        </w:rPr>
        <w:t xml:space="preserve"> is "to provide for child abuse plaintiffs to sue an organisational defendant in respect of unincorporated non-</w:t>
      </w:r>
      <w:r w:rsidR="00B82778" w:rsidRPr="006D4E15">
        <w:rPr>
          <w:rFonts w:ascii="Times New Roman" w:hAnsi="Times New Roman"/>
        </w:rPr>
        <w:lastRenderedPageBreak/>
        <w:t>government organisations which use trusts to conduct their activities</w:t>
      </w:r>
      <w:r w:rsidR="00BC3514" w:rsidRPr="006D4E15">
        <w:rPr>
          <w:rFonts w:ascii="Times New Roman" w:hAnsi="Times New Roman"/>
        </w:rPr>
        <w:t>".</w:t>
      </w:r>
      <w:r w:rsidR="00BC3514" w:rsidRPr="006D4E15">
        <w:rPr>
          <w:rStyle w:val="FootnoteReference"/>
          <w:rFonts w:ascii="Times New Roman" w:hAnsi="Times New Roman"/>
          <w:sz w:val="24"/>
        </w:rPr>
        <w:footnoteReference w:id="153"/>
      </w:r>
      <w:r w:rsidR="00D03365" w:rsidRPr="006D4E15">
        <w:rPr>
          <w:rFonts w:ascii="Times New Roman" w:hAnsi="Times New Roman"/>
        </w:rPr>
        <w:t xml:space="preserve"> It makes it possible for a</w:t>
      </w:r>
      <w:r w:rsidR="00A94781" w:rsidRPr="006D4E15">
        <w:rPr>
          <w:rFonts w:ascii="Times New Roman" w:hAnsi="Times New Roman"/>
        </w:rPr>
        <w:t>n</w:t>
      </w:r>
      <w:r w:rsidR="00DB5E64" w:rsidRPr="006D4E15">
        <w:rPr>
          <w:rFonts w:ascii="Times New Roman" w:hAnsi="Times New Roman"/>
        </w:rPr>
        <w:t xml:space="preserve"> </w:t>
      </w:r>
      <w:r w:rsidR="00DB4E3D" w:rsidRPr="006D4E15">
        <w:rPr>
          <w:rFonts w:ascii="Times New Roman" w:hAnsi="Times New Roman"/>
        </w:rPr>
        <w:t>"NGO", defined</w:t>
      </w:r>
      <w:r w:rsidR="00B858D6" w:rsidRPr="006D4E15">
        <w:rPr>
          <w:rFonts w:ascii="Times New Roman" w:hAnsi="Times New Roman"/>
        </w:rPr>
        <w:t> </w:t>
      </w:r>
      <w:r w:rsidR="00DB4E3D" w:rsidRPr="006D4E15">
        <w:rPr>
          <w:rFonts w:ascii="Times New Roman" w:hAnsi="Times New Roman"/>
        </w:rPr>
        <w:t>to mean a non-government organisation</w:t>
      </w:r>
      <w:r w:rsidR="009F5FF4" w:rsidRPr="006D4E15">
        <w:rPr>
          <w:rFonts w:ascii="Times New Roman" w:hAnsi="Times New Roman"/>
        </w:rPr>
        <w:t xml:space="preserve"> that is an unincorporated association or body,</w:t>
      </w:r>
      <w:r w:rsidR="009F5FF4" w:rsidRPr="006D4E15">
        <w:rPr>
          <w:rStyle w:val="FootnoteReference"/>
          <w:rFonts w:ascii="Times New Roman" w:hAnsi="Times New Roman"/>
          <w:sz w:val="24"/>
        </w:rPr>
        <w:footnoteReference w:id="154"/>
      </w:r>
      <w:r w:rsidR="00E16312" w:rsidRPr="006D4E15">
        <w:rPr>
          <w:rFonts w:ascii="Times New Roman" w:hAnsi="Times New Roman"/>
        </w:rPr>
        <w:t xml:space="preserve"> to be vicariously liable for the wrongs of its employees</w:t>
      </w:r>
      <w:r w:rsidR="00363593" w:rsidRPr="006D4E15">
        <w:rPr>
          <w:rFonts w:ascii="Times New Roman" w:hAnsi="Times New Roman"/>
        </w:rPr>
        <w:t>. But, as the Diocese submitted, the Act</w:t>
      </w:r>
      <w:r w:rsidR="00E42AAD" w:rsidRPr="006D4E15">
        <w:rPr>
          <w:rFonts w:ascii="Times New Roman" w:hAnsi="Times New Roman"/>
        </w:rPr>
        <w:t xml:space="preserve"> deals with the issue of legal personality. It does not alter the substantive law of vicarious liability.</w:t>
      </w:r>
      <w:r w:rsidR="00B81BBB" w:rsidRPr="006D4E15">
        <w:rPr>
          <w:rFonts w:ascii="Times New Roman" w:hAnsi="Times New Roman"/>
        </w:rPr>
        <w:t xml:space="preserve"> A</w:t>
      </w:r>
      <w:r w:rsidR="00A846FD">
        <w:rPr>
          <w:rFonts w:ascii="Times New Roman" w:hAnsi="Times New Roman"/>
        </w:rPr>
        <w:t> </w:t>
      </w:r>
      <w:r w:rsidR="00B81BBB" w:rsidRPr="006D4E15">
        <w:rPr>
          <w:rFonts w:ascii="Times New Roman" w:hAnsi="Times New Roman"/>
        </w:rPr>
        <w:t xml:space="preserve">relationship of employment is still required. </w:t>
      </w:r>
    </w:p>
    <w:p w14:paraId="1F754C5C" w14:textId="0B5F37D8" w:rsidR="008B1968" w:rsidRPr="006D4E15" w:rsidRDefault="00AF3BF2"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B81BBB" w:rsidRPr="006D4E15">
        <w:rPr>
          <w:rFonts w:ascii="Times New Roman" w:hAnsi="Times New Roman"/>
        </w:rPr>
        <w:t xml:space="preserve">That construction of the </w:t>
      </w:r>
      <w:r w:rsidR="00C5555C" w:rsidRPr="006D4E15">
        <w:rPr>
          <w:rFonts w:ascii="Times New Roman" w:hAnsi="Times New Roman"/>
        </w:rPr>
        <w:t xml:space="preserve">Legal Identity </w:t>
      </w:r>
      <w:r w:rsidR="00B81BBB" w:rsidRPr="006D4E15">
        <w:rPr>
          <w:rFonts w:ascii="Times New Roman" w:hAnsi="Times New Roman"/>
        </w:rPr>
        <w:t>Act is</w:t>
      </w:r>
      <w:r w:rsidR="00DD6C0B" w:rsidRPr="006D4E15">
        <w:rPr>
          <w:rFonts w:ascii="Times New Roman" w:hAnsi="Times New Roman"/>
        </w:rPr>
        <w:t xml:space="preserve"> reinforced by the extrinsic materials </w:t>
      </w:r>
      <w:r w:rsidR="002E65AA" w:rsidRPr="006D4E15">
        <w:rPr>
          <w:rFonts w:ascii="Times New Roman" w:hAnsi="Times New Roman"/>
        </w:rPr>
        <w:t xml:space="preserve">to </w:t>
      </w:r>
      <w:r w:rsidR="00DD6C0B" w:rsidRPr="006D4E15">
        <w:rPr>
          <w:rFonts w:ascii="Times New Roman" w:hAnsi="Times New Roman"/>
        </w:rPr>
        <w:t xml:space="preserve">the Act. The Explanatory Memorandum </w:t>
      </w:r>
      <w:r w:rsidR="00DD55A2" w:rsidRPr="006D4E15">
        <w:rPr>
          <w:rFonts w:ascii="Times New Roman" w:hAnsi="Times New Roman"/>
        </w:rPr>
        <w:t>recorded that the "Bill</w:t>
      </w:r>
      <w:r w:rsidR="00F81054">
        <w:rPr>
          <w:rFonts w:ascii="Times New Roman" w:hAnsi="Times New Roman"/>
        </w:rPr>
        <w:t> </w:t>
      </w:r>
      <w:r w:rsidR="00DD55A2" w:rsidRPr="006D4E15">
        <w:rPr>
          <w:rFonts w:ascii="Times New Roman" w:hAnsi="Times New Roman"/>
        </w:rPr>
        <w:t xml:space="preserve">responds to </w:t>
      </w:r>
      <w:r w:rsidR="000C652B" w:rsidRPr="006D4E15" w:rsidDel="00414591">
        <w:rPr>
          <w:rFonts w:ascii="Times New Roman" w:hAnsi="Times New Roman"/>
        </w:rPr>
        <w:t xml:space="preserve">the problem identified </w:t>
      </w:r>
      <w:r w:rsidR="000C652B" w:rsidRPr="006D4E15">
        <w:rPr>
          <w:rFonts w:ascii="Times New Roman" w:hAnsi="Times New Roman"/>
        </w:rPr>
        <w:t>in finding</w:t>
      </w:r>
      <w:r w:rsidR="00C452FF" w:rsidRPr="006D4E15">
        <w:rPr>
          <w:rFonts w:ascii="Times New Roman" w:hAnsi="Times New Roman"/>
        </w:rPr>
        <w:t> </w:t>
      </w:r>
      <w:r w:rsidR="000C652B" w:rsidRPr="006D4E15">
        <w:rPr>
          <w:rFonts w:ascii="Times New Roman" w:hAnsi="Times New Roman"/>
        </w:rPr>
        <w:t>26.3 and recommendation</w:t>
      </w:r>
      <w:r w:rsidR="00C452FF" w:rsidRPr="006D4E15">
        <w:rPr>
          <w:rFonts w:ascii="Times New Roman" w:hAnsi="Times New Roman"/>
        </w:rPr>
        <w:t> </w:t>
      </w:r>
      <w:r w:rsidR="000C652B" w:rsidRPr="006D4E15">
        <w:rPr>
          <w:rFonts w:ascii="Times New Roman" w:hAnsi="Times New Roman"/>
        </w:rPr>
        <w:t xml:space="preserve">26.1 [of the </w:t>
      </w:r>
      <w:r w:rsidR="00A800D8" w:rsidRPr="006D4E15">
        <w:rPr>
          <w:rFonts w:ascii="Times New Roman" w:hAnsi="Times New Roman"/>
        </w:rPr>
        <w:t xml:space="preserve">2013 </w:t>
      </w:r>
      <w:r w:rsidR="000C652B" w:rsidRPr="006D4E15">
        <w:rPr>
          <w:rFonts w:ascii="Times New Roman" w:hAnsi="Times New Roman"/>
        </w:rPr>
        <w:t>Parliamentary Committee Report]</w:t>
      </w:r>
      <w:r w:rsidR="00157E31" w:rsidRPr="006D4E15">
        <w:rPr>
          <w:rFonts w:ascii="Times New Roman" w:hAnsi="Times New Roman"/>
        </w:rPr>
        <w:t>,</w:t>
      </w:r>
      <w:r w:rsidR="000C652B" w:rsidRPr="006D4E15">
        <w:rPr>
          <w:rFonts w:ascii="Times New Roman" w:hAnsi="Times New Roman"/>
        </w:rPr>
        <w:t xml:space="preserve"> and adopts an approach to the same problem recommended by recommendation 94</w:t>
      </w:r>
      <w:r w:rsidR="008B071D" w:rsidRPr="006D4E15">
        <w:rPr>
          <w:rFonts w:ascii="Times New Roman" w:hAnsi="Times New Roman"/>
        </w:rPr>
        <w:t xml:space="preserve"> </w:t>
      </w:r>
      <w:r w:rsidR="000C652B" w:rsidRPr="006D4E15">
        <w:rPr>
          <w:rFonts w:ascii="Times New Roman" w:hAnsi="Times New Roman"/>
        </w:rPr>
        <w:t xml:space="preserve">of the </w:t>
      </w:r>
      <w:r w:rsidR="00375E98" w:rsidRPr="006D4E15">
        <w:rPr>
          <w:rFonts w:ascii="Times New Roman" w:hAnsi="Times New Roman"/>
        </w:rPr>
        <w:t>[</w:t>
      </w:r>
      <w:r w:rsidR="00414591" w:rsidRPr="006D4E15">
        <w:rPr>
          <w:rFonts w:ascii="Times New Roman" w:hAnsi="Times New Roman"/>
        </w:rPr>
        <w:t>Redress</w:t>
      </w:r>
      <w:r w:rsidR="000C652B" w:rsidRPr="006D4E15" w:rsidDel="006D44CA">
        <w:rPr>
          <w:rFonts w:ascii="Times New Roman" w:hAnsi="Times New Roman"/>
        </w:rPr>
        <w:t xml:space="preserve"> Report</w:t>
      </w:r>
      <w:r w:rsidR="00375E98" w:rsidRPr="006D4E15">
        <w:rPr>
          <w:rFonts w:ascii="Times New Roman" w:hAnsi="Times New Roman"/>
        </w:rPr>
        <w:t>]"</w:t>
      </w:r>
      <w:r w:rsidR="00414591" w:rsidRPr="006D4E15">
        <w:rPr>
          <w:rFonts w:ascii="Times New Roman" w:hAnsi="Times New Roman"/>
        </w:rPr>
        <w:t>.</w:t>
      </w:r>
      <w:r w:rsidR="008B071D" w:rsidRPr="006D4E15">
        <w:rPr>
          <w:rStyle w:val="FootnoteReference"/>
          <w:rFonts w:ascii="Times New Roman" w:hAnsi="Times New Roman"/>
          <w:sz w:val="24"/>
        </w:rPr>
        <w:footnoteReference w:id="155"/>
      </w:r>
      <w:r w:rsidR="008B071D" w:rsidRPr="006D4E15">
        <w:rPr>
          <w:rFonts w:ascii="Times New Roman" w:hAnsi="Times New Roman"/>
        </w:rPr>
        <w:t xml:space="preserve"> </w:t>
      </w:r>
      <w:r w:rsidR="000C652B" w:rsidRPr="006D4E15">
        <w:rPr>
          <w:rFonts w:ascii="Times New Roman" w:hAnsi="Times New Roman"/>
        </w:rPr>
        <w:t>Chapter 26 of the Parliamentary Committee Report is divided into five sections. Finding 26.3</w:t>
      </w:r>
      <w:r w:rsidR="008B071D" w:rsidRPr="006D4E15">
        <w:rPr>
          <w:rFonts w:ascii="Times New Roman" w:hAnsi="Times New Roman"/>
        </w:rPr>
        <w:t xml:space="preserve"> </w:t>
      </w:r>
      <w:r w:rsidR="000C652B" w:rsidRPr="006D4E15">
        <w:rPr>
          <w:rFonts w:ascii="Times New Roman" w:hAnsi="Times New Roman"/>
        </w:rPr>
        <w:t xml:space="preserve">and </w:t>
      </w:r>
      <w:r w:rsidR="00A340DF" w:rsidRPr="006D4E15">
        <w:rPr>
          <w:rFonts w:ascii="Times New Roman" w:hAnsi="Times New Roman"/>
        </w:rPr>
        <w:t>r</w:t>
      </w:r>
      <w:r w:rsidR="000C652B" w:rsidRPr="006D4E15">
        <w:rPr>
          <w:rFonts w:ascii="Times New Roman" w:hAnsi="Times New Roman"/>
        </w:rPr>
        <w:t>ecommendation 26.1 deal with the use of trusts as an aspect of legal identity of non</w:t>
      </w:r>
      <w:r w:rsidR="00BA0F72" w:rsidRPr="006D4E15">
        <w:rPr>
          <w:rFonts w:ascii="Times New Roman" w:hAnsi="Times New Roman"/>
        </w:rPr>
        <w:noBreakHyphen/>
      </w:r>
      <w:r w:rsidR="000C652B" w:rsidRPr="006D4E15">
        <w:rPr>
          <w:rFonts w:ascii="Times New Roman" w:hAnsi="Times New Roman"/>
        </w:rPr>
        <w:t>governmental</w:t>
      </w:r>
      <w:r w:rsidR="008B071D" w:rsidRPr="006D4E15">
        <w:rPr>
          <w:rFonts w:ascii="Times New Roman" w:hAnsi="Times New Roman"/>
        </w:rPr>
        <w:t xml:space="preserve"> </w:t>
      </w:r>
      <w:r w:rsidR="000C652B" w:rsidRPr="006D4E15">
        <w:rPr>
          <w:rFonts w:ascii="Times New Roman" w:hAnsi="Times New Roman"/>
        </w:rPr>
        <w:t>organisations.</w:t>
      </w:r>
      <w:r w:rsidR="00E22682" w:rsidRPr="006D4E15">
        <w:rPr>
          <w:rStyle w:val="FootnoteReference"/>
          <w:rFonts w:ascii="Times New Roman" w:hAnsi="Times New Roman"/>
          <w:sz w:val="24"/>
        </w:rPr>
        <w:footnoteReference w:id="156"/>
      </w:r>
      <w:r w:rsidR="00E22682" w:rsidRPr="006D4E15">
        <w:rPr>
          <w:rFonts w:ascii="Times New Roman" w:hAnsi="Times New Roman"/>
        </w:rPr>
        <w:t xml:space="preserve"> </w:t>
      </w:r>
      <w:r w:rsidR="000C652B" w:rsidRPr="006D4E15">
        <w:rPr>
          <w:rFonts w:ascii="Times New Roman" w:hAnsi="Times New Roman"/>
        </w:rPr>
        <w:t>Section 26.5 deals separately with issues of vicarious liability</w:t>
      </w:r>
      <w:r w:rsidR="00FD3EE5" w:rsidRPr="006D4E15">
        <w:rPr>
          <w:rFonts w:ascii="Times New Roman" w:hAnsi="Times New Roman"/>
        </w:rPr>
        <w:t xml:space="preserve"> </w:t>
      </w:r>
      <w:r w:rsidR="000C652B" w:rsidRPr="006D4E15">
        <w:rPr>
          <w:rFonts w:ascii="Times New Roman" w:hAnsi="Times New Roman"/>
        </w:rPr>
        <w:t>and non-delegable duty.</w:t>
      </w:r>
      <w:r w:rsidR="00FD3EE5" w:rsidRPr="006D4E15">
        <w:rPr>
          <w:rStyle w:val="FootnoteReference"/>
          <w:rFonts w:ascii="Times New Roman" w:hAnsi="Times New Roman"/>
          <w:sz w:val="24"/>
        </w:rPr>
        <w:footnoteReference w:id="157"/>
      </w:r>
      <w:r w:rsidR="00FD3EE5" w:rsidRPr="006D4E15" w:rsidDel="000D7348">
        <w:rPr>
          <w:rFonts w:ascii="Times New Roman" w:hAnsi="Times New Roman"/>
        </w:rPr>
        <w:t xml:space="preserve"> </w:t>
      </w:r>
      <w:r w:rsidR="000D7348" w:rsidRPr="006D4E15">
        <w:rPr>
          <w:rFonts w:ascii="Times New Roman" w:hAnsi="Times New Roman"/>
        </w:rPr>
        <w:t xml:space="preserve">Recommendation </w:t>
      </w:r>
      <w:r w:rsidR="000C652B" w:rsidRPr="006D4E15">
        <w:rPr>
          <w:rFonts w:ascii="Times New Roman" w:hAnsi="Times New Roman"/>
        </w:rPr>
        <w:t>94 of the Redress Report, to which the</w:t>
      </w:r>
      <w:r w:rsidR="00516968" w:rsidRPr="006D4E15">
        <w:rPr>
          <w:rFonts w:ascii="Times New Roman" w:hAnsi="Times New Roman"/>
        </w:rPr>
        <w:t xml:space="preserve"> </w:t>
      </w:r>
      <w:r w:rsidR="000C652B" w:rsidRPr="006D4E15">
        <w:rPr>
          <w:rFonts w:ascii="Times New Roman" w:hAnsi="Times New Roman"/>
        </w:rPr>
        <w:t xml:space="preserve">Explanatory Memorandum refers, forms an aspect of </w:t>
      </w:r>
      <w:r w:rsidR="00516968" w:rsidRPr="006D4E15">
        <w:rPr>
          <w:rFonts w:ascii="Times New Roman" w:hAnsi="Times New Roman"/>
        </w:rPr>
        <w:t>Ch </w:t>
      </w:r>
      <w:r w:rsidR="000C652B" w:rsidRPr="006D4E15">
        <w:rPr>
          <w:rFonts w:ascii="Times New Roman" w:hAnsi="Times New Roman"/>
        </w:rPr>
        <w:t>16.</w:t>
      </w:r>
      <w:r w:rsidR="00516968" w:rsidRPr="006D4E15">
        <w:rPr>
          <w:rStyle w:val="FootnoteReference"/>
          <w:rFonts w:ascii="Times New Roman" w:hAnsi="Times New Roman"/>
          <w:sz w:val="24"/>
        </w:rPr>
        <w:footnoteReference w:id="158"/>
      </w:r>
      <w:r w:rsidR="008B1968" w:rsidRPr="006D4E15">
        <w:rPr>
          <w:rFonts w:ascii="Times New Roman" w:hAnsi="Times New Roman"/>
        </w:rPr>
        <w:t xml:space="preserve"> Issues of </w:t>
      </w:r>
      <w:r w:rsidR="000C652B" w:rsidRPr="006D4E15">
        <w:rPr>
          <w:rFonts w:ascii="Times New Roman" w:hAnsi="Times New Roman"/>
        </w:rPr>
        <w:t xml:space="preserve">vicarious liability </w:t>
      </w:r>
      <w:r w:rsidR="00571C69" w:rsidRPr="006D4E15">
        <w:rPr>
          <w:rFonts w:ascii="Times New Roman" w:hAnsi="Times New Roman"/>
        </w:rPr>
        <w:t>and non</w:t>
      </w:r>
      <w:r w:rsidR="00B858D6" w:rsidRPr="006D4E15">
        <w:rPr>
          <w:rFonts w:ascii="Times New Roman" w:hAnsi="Times New Roman"/>
        </w:rPr>
        <w:noBreakHyphen/>
      </w:r>
      <w:r w:rsidR="00571C69" w:rsidRPr="006D4E15">
        <w:rPr>
          <w:rFonts w:ascii="Times New Roman" w:hAnsi="Times New Roman"/>
        </w:rPr>
        <w:t xml:space="preserve">delegable duty </w:t>
      </w:r>
      <w:r w:rsidR="000C652B" w:rsidRPr="006D4E15">
        <w:rPr>
          <w:rFonts w:ascii="Times New Roman" w:hAnsi="Times New Roman"/>
        </w:rPr>
        <w:t>are, however, addressed in recommendations 89</w:t>
      </w:r>
      <w:r w:rsidR="008A540B" w:rsidRPr="006D4E15">
        <w:rPr>
          <w:rFonts w:ascii="Times New Roman" w:hAnsi="Times New Roman"/>
        </w:rPr>
        <w:t xml:space="preserve"> to </w:t>
      </w:r>
      <w:r w:rsidR="000C652B" w:rsidRPr="006D4E15">
        <w:rPr>
          <w:rFonts w:ascii="Times New Roman" w:hAnsi="Times New Roman"/>
        </w:rPr>
        <w:t>93, found within</w:t>
      </w:r>
      <w:r w:rsidR="008B1968" w:rsidRPr="006D4E15">
        <w:rPr>
          <w:rFonts w:ascii="Times New Roman" w:hAnsi="Times New Roman"/>
        </w:rPr>
        <w:t xml:space="preserve"> Ch </w:t>
      </w:r>
      <w:r w:rsidR="000C652B" w:rsidRPr="006D4E15">
        <w:rPr>
          <w:rFonts w:ascii="Times New Roman" w:hAnsi="Times New Roman"/>
        </w:rPr>
        <w:t>15.</w:t>
      </w:r>
      <w:r w:rsidR="009E6BF5" w:rsidRPr="006D4E15">
        <w:rPr>
          <w:rStyle w:val="FootnoteReference"/>
          <w:rFonts w:ascii="Times New Roman" w:hAnsi="Times New Roman"/>
          <w:sz w:val="24"/>
        </w:rPr>
        <w:footnoteReference w:id="159"/>
      </w:r>
      <w:r w:rsidR="000C652B" w:rsidRPr="006D4E15">
        <w:rPr>
          <w:rFonts w:ascii="Times New Roman" w:hAnsi="Times New Roman"/>
        </w:rPr>
        <w:t xml:space="preserve"> Those</w:t>
      </w:r>
      <w:r w:rsidR="00F81054">
        <w:rPr>
          <w:rFonts w:ascii="Times New Roman" w:hAnsi="Times New Roman"/>
        </w:rPr>
        <w:t> </w:t>
      </w:r>
      <w:r w:rsidR="000C652B" w:rsidRPr="006D4E15">
        <w:rPr>
          <w:rFonts w:ascii="Times New Roman" w:hAnsi="Times New Roman"/>
        </w:rPr>
        <w:t xml:space="preserve">recommendations were directed to the establishment of </w:t>
      </w:r>
      <w:r w:rsidR="00441938" w:rsidRPr="006D4E15">
        <w:rPr>
          <w:rFonts w:ascii="Times New Roman" w:hAnsi="Times New Roman"/>
        </w:rPr>
        <w:t>statutory liability</w:t>
      </w:r>
      <w:r w:rsidR="00F05A72" w:rsidRPr="006D4E15">
        <w:rPr>
          <w:rFonts w:ascii="Times New Roman" w:hAnsi="Times New Roman"/>
        </w:rPr>
        <w:t xml:space="preserve"> for child sexual abuse </w:t>
      </w:r>
      <w:r w:rsidR="000C652B" w:rsidRPr="006D4E15">
        <w:rPr>
          <w:rFonts w:ascii="Times New Roman" w:hAnsi="Times New Roman"/>
        </w:rPr>
        <w:t>with a reverse onus</w:t>
      </w:r>
      <w:r w:rsidR="00BF7CC9" w:rsidRPr="006D4E15">
        <w:rPr>
          <w:rFonts w:ascii="Times New Roman" w:hAnsi="Times New Roman"/>
        </w:rPr>
        <w:t>,</w:t>
      </w:r>
      <w:r w:rsidR="000C652B" w:rsidRPr="006D4E15">
        <w:rPr>
          <w:rFonts w:ascii="Times New Roman" w:hAnsi="Times New Roman"/>
        </w:rPr>
        <w:t xml:space="preserve"> and a statutory non-delegable duty. In</w:t>
      </w:r>
      <w:r w:rsidR="00922340" w:rsidRPr="006D4E15">
        <w:rPr>
          <w:rFonts w:ascii="Times New Roman" w:hAnsi="Times New Roman"/>
        </w:rPr>
        <w:t> </w:t>
      </w:r>
      <w:r w:rsidR="000C652B" w:rsidRPr="006D4E15">
        <w:rPr>
          <w:rFonts w:ascii="Times New Roman" w:hAnsi="Times New Roman"/>
        </w:rPr>
        <w:t>particular, recommendation 93 was</w:t>
      </w:r>
      <w:r w:rsidR="008B1968" w:rsidRPr="006D4E15">
        <w:rPr>
          <w:rFonts w:ascii="Times New Roman" w:hAnsi="Times New Roman"/>
        </w:rPr>
        <w:t xml:space="preserve"> </w:t>
      </w:r>
      <w:r w:rsidR="006D4550" w:rsidRPr="006D4E15">
        <w:rPr>
          <w:rFonts w:ascii="Times New Roman" w:hAnsi="Times New Roman"/>
        </w:rPr>
        <w:t>that "</w:t>
      </w:r>
      <w:r w:rsidR="007109A1" w:rsidRPr="006D4E15">
        <w:rPr>
          <w:rFonts w:ascii="Times New Roman" w:hAnsi="Times New Roman"/>
        </w:rPr>
        <w:t>[s]</w:t>
      </w:r>
      <w:r w:rsidR="006D4550" w:rsidRPr="006D4E15">
        <w:rPr>
          <w:rFonts w:ascii="Times New Roman" w:hAnsi="Times New Roman"/>
        </w:rPr>
        <w:t>tate and territory governments should ensure that the non</w:t>
      </w:r>
      <w:r w:rsidR="001D3A30" w:rsidRPr="006D4E15">
        <w:rPr>
          <w:rFonts w:ascii="Times New Roman" w:hAnsi="Times New Roman"/>
        </w:rPr>
        <w:noBreakHyphen/>
      </w:r>
      <w:r w:rsidR="006D4550" w:rsidRPr="006D4E15">
        <w:rPr>
          <w:rFonts w:ascii="Times New Roman" w:hAnsi="Times New Roman"/>
        </w:rPr>
        <w:t>delegable duty and the imposition of liability with a reverse onus of proof apply prospectively and not retrospectively".</w:t>
      </w:r>
      <w:r w:rsidR="006D4550" w:rsidRPr="006D4E15">
        <w:rPr>
          <w:rStyle w:val="FootnoteReference"/>
          <w:rFonts w:ascii="Times New Roman" w:hAnsi="Times New Roman"/>
          <w:sz w:val="24"/>
        </w:rPr>
        <w:footnoteReference w:id="160"/>
      </w:r>
      <w:r w:rsidR="006D4550" w:rsidRPr="006D4E15">
        <w:rPr>
          <w:rFonts w:ascii="Times New Roman" w:hAnsi="Times New Roman"/>
        </w:rPr>
        <w:t xml:space="preserve"> The</w:t>
      </w:r>
      <w:r w:rsidR="004900C5" w:rsidRPr="006D4E15">
        <w:rPr>
          <w:rFonts w:ascii="Times New Roman" w:hAnsi="Times New Roman"/>
        </w:rPr>
        <w:t> </w:t>
      </w:r>
      <w:r w:rsidR="006D4550" w:rsidRPr="006D4E15">
        <w:rPr>
          <w:rFonts w:ascii="Times New Roman" w:hAnsi="Times New Roman"/>
        </w:rPr>
        <w:t xml:space="preserve">Victorian Parliament gave effect to that recommendation in March 2017, </w:t>
      </w:r>
      <w:r w:rsidR="006D4550" w:rsidRPr="006D4E15">
        <w:rPr>
          <w:rFonts w:ascii="Times New Roman" w:hAnsi="Times New Roman"/>
        </w:rPr>
        <w:lastRenderedPageBreak/>
        <w:t>with</w:t>
      </w:r>
      <w:r w:rsidR="00B858D6" w:rsidRPr="006D4E15">
        <w:rPr>
          <w:rFonts w:ascii="Times New Roman" w:hAnsi="Times New Roman"/>
        </w:rPr>
        <w:t> </w:t>
      </w:r>
      <w:r w:rsidR="006D4550" w:rsidRPr="006D4E15">
        <w:rPr>
          <w:rFonts w:ascii="Times New Roman" w:hAnsi="Times New Roman"/>
        </w:rPr>
        <w:t xml:space="preserve">the suggested prospective effect, under the </w:t>
      </w:r>
      <w:r w:rsidR="006D4550" w:rsidRPr="006D4E15">
        <w:rPr>
          <w:rFonts w:ascii="Times New Roman" w:hAnsi="Times New Roman"/>
          <w:i/>
          <w:iCs/>
        </w:rPr>
        <w:t>Wrongs Amendment</w:t>
      </w:r>
      <w:r w:rsidR="00C7423A" w:rsidRPr="006D4E15">
        <w:rPr>
          <w:rFonts w:ascii="Times New Roman" w:hAnsi="Times New Roman"/>
          <w:i/>
          <w:iCs/>
        </w:rPr>
        <w:t xml:space="preserve"> </w:t>
      </w:r>
      <w:r w:rsidR="006D4550" w:rsidRPr="006D4E15">
        <w:rPr>
          <w:rFonts w:ascii="Times New Roman" w:hAnsi="Times New Roman"/>
          <w:i/>
          <w:iCs/>
        </w:rPr>
        <w:t>(Organisational Child Abuse) Act 2017</w:t>
      </w:r>
      <w:r w:rsidR="006D4550" w:rsidRPr="006D4E15">
        <w:rPr>
          <w:rFonts w:ascii="Times New Roman" w:hAnsi="Times New Roman"/>
        </w:rPr>
        <w:t xml:space="preserve"> (Vic), inserting</w:t>
      </w:r>
      <w:r w:rsidR="00B858D6" w:rsidRPr="006D4E15">
        <w:rPr>
          <w:rFonts w:ascii="Times New Roman" w:hAnsi="Times New Roman"/>
        </w:rPr>
        <w:t> </w:t>
      </w:r>
      <w:r w:rsidR="00A94856" w:rsidRPr="006D4E15">
        <w:rPr>
          <w:rFonts w:ascii="Times New Roman" w:hAnsi="Times New Roman"/>
        </w:rPr>
        <w:t xml:space="preserve">Pt </w:t>
      </w:r>
      <w:r w:rsidR="006D4550" w:rsidRPr="006D4E15">
        <w:rPr>
          <w:rFonts w:ascii="Times New Roman" w:hAnsi="Times New Roman"/>
        </w:rPr>
        <w:t xml:space="preserve">XIII of the </w:t>
      </w:r>
      <w:r w:rsidR="006D4550" w:rsidRPr="006D4E15">
        <w:rPr>
          <w:rFonts w:ascii="Times New Roman" w:hAnsi="Times New Roman"/>
          <w:i/>
          <w:iCs/>
        </w:rPr>
        <w:t>Wrongs Act</w:t>
      </w:r>
      <w:r w:rsidR="006D4550" w:rsidRPr="006D4E15">
        <w:rPr>
          <w:rFonts w:ascii="Times New Roman" w:hAnsi="Times New Roman"/>
        </w:rPr>
        <w:t xml:space="preserve"> </w:t>
      </w:r>
      <w:r w:rsidR="00D85C8D" w:rsidRPr="006D4E15">
        <w:rPr>
          <w:rFonts w:ascii="Times New Roman" w:hAnsi="Times New Roman"/>
          <w:i/>
        </w:rPr>
        <w:t xml:space="preserve">1958 </w:t>
      </w:r>
      <w:r w:rsidR="00D85C8D" w:rsidRPr="006D4E15">
        <w:rPr>
          <w:rFonts w:ascii="Times New Roman" w:hAnsi="Times New Roman"/>
          <w:iCs/>
        </w:rPr>
        <w:t>(Vic)</w:t>
      </w:r>
      <w:r w:rsidR="006D4550" w:rsidRPr="006D4E15">
        <w:rPr>
          <w:rFonts w:ascii="Times New Roman" w:hAnsi="Times New Roman"/>
        </w:rPr>
        <w:t>.</w:t>
      </w:r>
    </w:p>
    <w:p w14:paraId="310038A7" w14:textId="6F297A4A" w:rsidR="000F0A27" w:rsidRPr="006D4E15" w:rsidRDefault="008B1968" w:rsidP="006D4E15">
      <w:pPr>
        <w:pStyle w:val="FixListStyle"/>
        <w:spacing w:after="260" w:line="280" w:lineRule="exact"/>
        <w:ind w:right="0"/>
        <w:jc w:val="both"/>
        <w:rPr>
          <w:rFonts w:ascii="Times New Roman" w:hAnsi="Times New Roman"/>
        </w:rPr>
      </w:pPr>
      <w:r w:rsidRPr="006D4E15">
        <w:rPr>
          <w:rFonts w:ascii="Times New Roman" w:hAnsi="Times New Roman"/>
        </w:rPr>
        <w:tab/>
      </w:r>
      <w:r w:rsidR="00216466" w:rsidRPr="006D4E15">
        <w:rPr>
          <w:rFonts w:ascii="Times New Roman" w:hAnsi="Times New Roman"/>
        </w:rPr>
        <w:t xml:space="preserve">This is not one of those </w:t>
      </w:r>
      <w:r w:rsidR="007759A2" w:rsidRPr="006D4E15">
        <w:rPr>
          <w:rFonts w:ascii="Times New Roman" w:hAnsi="Times New Roman"/>
        </w:rPr>
        <w:t>areas of the law where</w:t>
      </w:r>
      <w:r w:rsidR="00DC67C5" w:rsidRPr="006D4E15">
        <w:rPr>
          <w:rFonts w:ascii="Times New Roman" w:hAnsi="Times New Roman"/>
        </w:rPr>
        <w:t xml:space="preserve"> </w:t>
      </w:r>
      <w:r w:rsidR="004A1639" w:rsidRPr="006D4E15">
        <w:rPr>
          <w:rFonts w:ascii="Times New Roman" w:hAnsi="Times New Roman"/>
        </w:rPr>
        <w:t>t</w:t>
      </w:r>
      <w:r w:rsidR="00727A77" w:rsidRPr="006D4E15">
        <w:rPr>
          <w:rFonts w:ascii="Times New Roman" w:hAnsi="Times New Roman"/>
        </w:rPr>
        <w:t xml:space="preserve">he intersection between the common law and statute </w:t>
      </w:r>
      <w:r w:rsidR="00EA27D5" w:rsidRPr="006D4E15">
        <w:rPr>
          <w:rFonts w:ascii="Times New Roman" w:hAnsi="Times New Roman"/>
        </w:rPr>
        <w:t xml:space="preserve">permits the Court to </w:t>
      </w:r>
      <w:r w:rsidR="00B27CAF" w:rsidRPr="006D4E15">
        <w:rPr>
          <w:rFonts w:ascii="Times New Roman" w:hAnsi="Times New Roman"/>
        </w:rPr>
        <w:t xml:space="preserve">analogise from statute to adapt </w:t>
      </w:r>
      <w:r w:rsidR="009B76C5" w:rsidRPr="006D4E15">
        <w:rPr>
          <w:rFonts w:ascii="Times New Roman" w:hAnsi="Times New Roman"/>
        </w:rPr>
        <w:t xml:space="preserve">or expand </w:t>
      </w:r>
      <w:r w:rsidR="00B27CAF" w:rsidRPr="006D4E15">
        <w:rPr>
          <w:rFonts w:ascii="Times New Roman" w:hAnsi="Times New Roman"/>
        </w:rPr>
        <w:t>the principle of vicarious liability</w:t>
      </w:r>
      <w:r w:rsidR="00516A1E" w:rsidRPr="006D4E15">
        <w:rPr>
          <w:rFonts w:ascii="Times New Roman" w:hAnsi="Times New Roman"/>
        </w:rPr>
        <w:t xml:space="preserve"> beyond relationships of employment</w:t>
      </w:r>
      <w:r w:rsidR="00B27CAF" w:rsidRPr="006D4E15">
        <w:rPr>
          <w:rFonts w:ascii="Times New Roman" w:hAnsi="Times New Roman"/>
        </w:rPr>
        <w:t>.</w:t>
      </w:r>
      <w:r w:rsidR="00B27CAF" w:rsidRPr="006D4E15">
        <w:rPr>
          <w:rStyle w:val="FootnoteReference"/>
          <w:rFonts w:ascii="Times New Roman" w:hAnsi="Times New Roman"/>
          <w:sz w:val="24"/>
        </w:rPr>
        <w:footnoteReference w:id="161"/>
      </w:r>
      <w:r w:rsidR="00D14EAE" w:rsidRPr="006D4E15">
        <w:rPr>
          <w:rFonts w:ascii="Times New Roman" w:hAnsi="Times New Roman"/>
        </w:rPr>
        <w:t xml:space="preserve"> </w:t>
      </w:r>
    </w:p>
    <w:p w14:paraId="2AFE7757" w14:textId="3D25BE8F" w:rsidR="00F005CB" w:rsidRPr="006D4E15" w:rsidRDefault="00F005CB" w:rsidP="006D4E15">
      <w:pPr>
        <w:pStyle w:val="HeadingL1"/>
        <w:spacing w:after="260" w:line="280" w:lineRule="exact"/>
        <w:ind w:right="0"/>
        <w:jc w:val="both"/>
        <w:rPr>
          <w:rFonts w:ascii="Times New Roman" w:hAnsi="Times New Roman"/>
        </w:rPr>
      </w:pPr>
      <w:r w:rsidRPr="006D4E15">
        <w:rPr>
          <w:rFonts w:ascii="Times New Roman" w:hAnsi="Times New Roman"/>
        </w:rPr>
        <w:t>Conclusion and orders</w:t>
      </w:r>
    </w:p>
    <w:p w14:paraId="3AB87848" w14:textId="799DBD92" w:rsidR="00BC1F4B" w:rsidRPr="006D4E15" w:rsidRDefault="00B9701D" w:rsidP="006D4E15">
      <w:pPr>
        <w:pStyle w:val="FixListStyle"/>
        <w:spacing w:after="260" w:line="280" w:lineRule="exact"/>
        <w:ind w:right="0"/>
        <w:jc w:val="both"/>
        <w:rPr>
          <w:rFonts w:ascii="Times New Roman" w:hAnsi="Times New Roman"/>
        </w:rPr>
      </w:pPr>
      <w:r w:rsidRPr="006D4E15">
        <w:rPr>
          <w:rFonts w:ascii="Times New Roman" w:hAnsi="Times New Roman"/>
        </w:rPr>
        <w:tab/>
        <w:t xml:space="preserve">For those reasons, the appeal </w:t>
      </w:r>
      <w:r w:rsidR="00E55A48" w:rsidRPr="006D4E15">
        <w:rPr>
          <w:rFonts w:ascii="Times New Roman" w:hAnsi="Times New Roman"/>
        </w:rPr>
        <w:t>should be</w:t>
      </w:r>
      <w:r w:rsidRPr="006D4E15">
        <w:rPr>
          <w:rFonts w:ascii="Times New Roman" w:hAnsi="Times New Roman"/>
        </w:rPr>
        <w:t xml:space="preserve"> allowed</w:t>
      </w:r>
      <w:r w:rsidR="00640998" w:rsidRPr="006D4E15">
        <w:rPr>
          <w:rFonts w:ascii="Times New Roman" w:hAnsi="Times New Roman"/>
        </w:rPr>
        <w:t>. The</w:t>
      </w:r>
      <w:r w:rsidR="00887825" w:rsidRPr="006D4E15">
        <w:rPr>
          <w:rFonts w:ascii="Times New Roman" w:hAnsi="Times New Roman"/>
        </w:rPr>
        <w:t xml:space="preserve"> appellant agreed to pay DP's costs of </w:t>
      </w:r>
      <w:r w:rsidR="0068370D" w:rsidRPr="006D4E15">
        <w:rPr>
          <w:rFonts w:ascii="Times New Roman" w:hAnsi="Times New Roman"/>
        </w:rPr>
        <w:t>and incidental t</w:t>
      </w:r>
      <w:r w:rsidR="00DB162E" w:rsidRPr="006D4E15">
        <w:rPr>
          <w:rFonts w:ascii="Times New Roman" w:hAnsi="Times New Roman"/>
        </w:rPr>
        <w:t xml:space="preserve">o the special leave application and </w:t>
      </w:r>
      <w:r w:rsidR="00887825" w:rsidRPr="006D4E15">
        <w:rPr>
          <w:rFonts w:ascii="Times New Roman" w:hAnsi="Times New Roman"/>
        </w:rPr>
        <w:t>the appeal</w:t>
      </w:r>
      <w:r w:rsidRPr="006D4E15">
        <w:rPr>
          <w:rFonts w:ascii="Times New Roman" w:hAnsi="Times New Roman"/>
        </w:rPr>
        <w:t>.</w:t>
      </w:r>
      <w:r w:rsidR="00736390" w:rsidRPr="006D4E15">
        <w:rPr>
          <w:rFonts w:ascii="Times New Roman" w:hAnsi="Times New Roman"/>
        </w:rPr>
        <w:t xml:space="preserve"> Orders</w:t>
      </w:r>
      <w:r w:rsidR="001E3EA5" w:rsidRPr="006D4E15">
        <w:rPr>
          <w:rFonts w:ascii="Times New Roman" w:hAnsi="Times New Roman"/>
        </w:rPr>
        <w:t> </w:t>
      </w:r>
      <w:r w:rsidR="00736390" w:rsidRPr="006D4E15">
        <w:rPr>
          <w:rFonts w:ascii="Times New Roman" w:hAnsi="Times New Roman"/>
        </w:rPr>
        <w:t>2</w:t>
      </w:r>
      <w:r w:rsidR="001E3EA5" w:rsidRPr="006D4E15">
        <w:rPr>
          <w:rFonts w:ascii="Times New Roman" w:hAnsi="Times New Roman"/>
        </w:rPr>
        <w:t> </w:t>
      </w:r>
      <w:r w:rsidR="00736390" w:rsidRPr="006D4E15">
        <w:rPr>
          <w:rFonts w:ascii="Times New Roman" w:hAnsi="Times New Roman"/>
        </w:rPr>
        <w:t>and 5 of the Court of Appeal of the Supreme Court of Victoria made on 3 April 2023 should be set aside</w:t>
      </w:r>
      <w:r w:rsidR="00C538F7" w:rsidRPr="006D4E15">
        <w:rPr>
          <w:rFonts w:ascii="Times New Roman" w:hAnsi="Times New Roman"/>
        </w:rPr>
        <w:t xml:space="preserve"> and, in their place, order that:</w:t>
      </w:r>
    </w:p>
    <w:p w14:paraId="312E678A" w14:textId="4E973BDD" w:rsidR="00C538F7" w:rsidRPr="006D4E15" w:rsidRDefault="00C538F7" w:rsidP="006D4E15">
      <w:pPr>
        <w:pStyle w:val="leftright"/>
        <w:spacing w:before="0" w:after="260" w:line="280" w:lineRule="exact"/>
        <w:ind w:right="0"/>
        <w:jc w:val="both"/>
        <w:rPr>
          <w:rFonts w:ascii="Times New Roman" w:hAnsi="Times New Roman"/>
        </w:rPr>
      </w:pPr>
      <w:r w:rsidRPr="006D4E15">
        <w:rPr>
          <w:rFonts w:ascii="Times New Roman" w:hAnsi="Times New Roman"/>
        </w:rPr>
        <w:t>1.</w:t>
      </w:r>
      <w:r w:rsidRPr="006D4E15">
        <w:rPr>
          <w:rFonts w:ascii="Times New Roman" w:hAnsi="Times New Roman"/>
        </w:rPr>
        <w:tab/>
        <w:t>The appeal is allowed with costs.</w:t>
      </w:r>
    </w:p>
    <w:p w14:paraId="32BE22A7" w14:textId="77777777" w:rsidR="003C3645" w:rsidRDefault="00C538F7" w:rsidP="006D4E15">
      <w:pPr>
        <w:pStyle w:val="leftright"/>
        <w:spacing w:before="0" w:after="260" w:line="280" w:lineRule="exact"/>
        <w:ind w:left="1440" w:right="0" w:hanging="720"/>
        <w:jc w:val="both"/>
        <w:rPr>
          <w:rFonts w:ascii="Times New Roman" w:hAnsi="Times New Roman"/>
        </w:rPr>
      </w:pPr>
      <w:r w:rsidRPr="006D4E15">
        <w:rPr>
          <w:rFonts w:ascii="Times New Roman" w:hAnsi="Times New Roman"/>
        </w:rPr>
        <w:t>2.</w:t>
      </w:r>
      <w:r w:rsidRPr="006D4E15">
        <w:rPr>
          <w:rFonts w:ascii="Times New Roman" w:hAnsi="Times New Roman"/>
        </w:rPr>
        <w:tab/>
        <w:t xml:space="preserve">The orders made by the Supreme Court of Victoria on </w:t>
      </w:r>
      <w:r w:rsidR="004A09A2" w:rsidRPr="006D4E15">
        <w:rPr>
          <w:rFonts w:ascii="Times New Roman" w:hAnsi="Times New Roman"/>
        </w:rPr>
        <w:t>25 January 2022 and 28 February 2022 be set aside and</w:t>
      </w:r>
      <w:r w:rsidR="0035505B" w:rsidRPr="006D4E15">
        <w:rPr>
          <w:rFonts w:ascii="Times New Roman" w:hAnsi="Times New Roman"/>
        </w:rPr>
        <w:t>,</w:t>
      </w:r>
      <w:r w:rsidR="004A09A2" w:rsidRPr="006D4E15">
        <w:rPr>
          <w:rFonts w:ascii="Times New Roman" w:hAnsi="Times New Roman"/>
        </w:rPr>
        <w:t xml:space="preserve"> in their place, order that </w:t>
      </w:r>
      <w:r w:rsidR="00377C30" w:rsidRPr="006D4E15">
        <w:rPr>
          <w:rFonts w:ascii="Times New Roman" w:hAnsi="Times New Roman"/>
        </w:rPr>
        <w:t>the proceeding be dismissed with costs.</w:t>
      </w:r>
    </w:p>
    <w:p w14:paraId="2832852E" w14:textId="77777777" w:rsidR="003C3645" w:rsidRDefault="003C3645" w:rsidP="006D4E15">
      <w:pPr>
        <w:pStyle w:val="leftright"/>
        <w:spacing w:before="0" w:after="260" w:line="280" w:lineRule="exact"/>
        <w:ind w:left="1440" w:right="0" w:hanging="720"/>
        <w:jc w:val="both"/>
        <w:rPr>
          <w:rFonts w:ascii="Times New Roman" w:hAnsi="Times New Roman"/>
        </w:rPr>
        <w:sectPr w:rsidR="003C3645" w:rsidSect="00805D35">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D9A7FA5" w14:textId="77777777" w:rsidR="003C3645" w:rsidRPr="00E25845" w:rsidRDefault="003C3645" w:rsidP="00E25845">
      <w:pPr>
        <w:pStyle w:val="NormalBody"/>
        <w:tabs>
          <w:tab w:val="clear" w:pos="720"/>
          <w:tab w:val="left" w:pos="0"/>
        </w:tabs>
        <w:spacing w:after="260" w:line="280" w:lineRule="exact"/>
        <w:ind w:right="0"/>
        <w:jc w:val="both"/>
        <w:rPr>
          <w:rFonts w:ascii="Times New Roman" w:hAnsi="Times New Roman"/>
        </w:rPr>
      </w:pPr>
      <w:r w:rsidRPr="00E25845">
        <w:rPr>
          <w:rFonts w:ascii="Times New Roman" w:hAnsi="Times New Roman"/>
        </w:rPr>
        <w:lastRenderedPageBreak/>
        <w:t xml:space="preserve">GLEESON J.   </w:t>
      </w:r>
    </w:p>
    <w:p w14:paraId="4B1FA6E5"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Introduction</w:t>
      </w:r>
    </w:p>
    <w:p w14:paraId="185283B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Canada,</w:t>
      </w:r>
      <w:r w:rsidRPr="00E25845">
        <w:rPr>
          <w:rStyle w:val="FootnoteReference"/>
          <w:rFonts w:ascii="Times New Roman" w:hAnsi="Times New Roman"/>
          <w:sz w:val="24"/>
        </w:rPr>
        <w:footnoteReference w:id="162"/>
      </w:r>
      <w:r w:rsidRPr="00E25845">
        <w:rPr>
          <w:rFonts w:ascii="Times New Roman" w:hAnsi="Times New Roman"/>
        </w:rPr>
        <w:t xml:space="preserve"> England and Wales,</w:t>
      </w:r>
      <w:r w:rsidRPr="00E25845">
        <w:rPr>
          <w:rStyle w:val="FootnoteReference"/>
          <w:rFonts w:ascii="Times New Roman" w:hAnsi="Times New Roman"/>
          <w:sz w:val="24"/>
        </w:rPr>
        <w:footnoteReference w:id="163"/>
      </w:r>
      <w:r w:rsidRPr="00E25845">
        <w:rPr>
          <w:rFonts w:ascii="Times New Roman" w:hAnsi="Times New Roman"/>
        </w:rPr>
        <w:t xml:space="preserve"> and Ireland,</w:t>
      </w:r>
      <w:r w:rsidRPr="00E25845">
        <w:rPr>
          <w:rStyle w:val="FootnoteReference"/>
          <w:rFonts w:ascii="Times New Roman" w:hAnsi="Times New Roman"/>
          <w:sz w:val="24"/>
        </w:rPr>
        <w:footnoteReference w:id="164"/>
      </w:r>
      <w:r w:rsidRPr="00E25845">
        <w:rPr>
          <w:rFonts w:ascii="Times New Roman" w:hAnsi="Times New Roman"/>
        </w:rPr>
        <w:t xml:space="preserve"> the courts have imposed vicarious liability on religious bodies for sexual abuse by priests and members of religious orders in certain circumstances. In doing so, those courts have recognised that an organisation can be vicariously liable not only for the torts of its employees, but also for the torts of persons whose relationship with the organisation is "akin to employment". In Singapore, vicarious liability has also been held to be capable of arising in relationships that are akin to employment.</w:t>
      </w:r>
      <w:r w:rsidRPr="00E25845">
        <w:rPr>
          <w:rStyle w:val="FootnoteReference"/>
          <w:rFonts w:ascii="Times New Roman" w:hAnsi="Times New Roman"/>
          <w:sz w:val="24"/>
        </w:rPr>
        <w:footnoteReference w:id="165"/>
      </w:r>
      <w:r w:rsidRPr="00E25845">
        <w:rPr>
          <w:rFonts w:ascii="Times New Roman" w:hAnsi="Times New Roman"/>
        </w:rPr>
        <w:t xml:space="preserve"> Similarly, in the civilian tradition, a defendant can be vicariously liable for the wrongs committed by someone who is not strictly an employee.</w:t>
      </w:r>
      <w:r w:rsidRPr="00E25845">
        <w:rPr>
          <w:rStyle w:val="FootnoteReference"/>
          <w:rFonts w:ascii="Times New Roman" w:hAnsi="Times New Roman"/>
          <w:sz w:val="24"/>
        </w:rPr>
        <w:footnoteReference w:id="166"/>
      </w:r>
    </w:p>
    <w:p w14:paraId="3095071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2015, the Royal Commission into Institutional Responses to Child Sexual Abuse anticipated that Australian courts, too, would recognise and impose liability on institutions for criminal acts of their members or employees that cause harm to children, in the absence of legislative action.</w:t>
      </w:r>
      <w:r w:rsidRPr="00E25845">
        <w:rPr>
          <w:rStyle w:val="FootnoteReference"/>
          <w:rFonts w:ascii="Times New Roman" w:hAnsi="Times New Roman"/>
          <w:sz w:val="24"/>
        </w:rPr>
        <w:footnoteReference w:id="167"/>
      </w:r>
      <w:r w:rsidRPr="00E25845">
        <w:rPr>
          <w:rFonts w:ascii="Times New Roman" w:hAnsi="Times New Roman"/>
        </w:rPr>
        <w:t xml:space="preserve"> </w:t>
      </w:r>
    </w:p>
    <w:p w14:paraId="603DA28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Victoria, the State in which DP suffered sexual abuse as a child at the hands of a Catholic assistant parish priest in 1971, the </w:t>
      </w:r>
      <w:r w:rsidRPr="00E25845">
        <w:rPr>
          <w:rFonts w:ascii="Times New Roman" w:hAnsi="Times New Roman"/>
          <w:i/>
          <w:iCs/>
          <w:lang w:val="en-US"/>
        </w:rPr>
        <w:t xml:space="preserve">Limitation of Actions Amendment (Child Abuse) Act 2015 </w:t>
      </w:r>
      <w:r w:rsidRPr="00E25845">
        <w:rPr>
          <w:rFonts w:ascii="Times New Roman" w:hAnsi="Times New Roman"/>
          <w:lang w:val="en-US"/>
        </w:rPr>
        <w:t xml:space="preserve">(Vic) lifted the previous </w:t>
      </w:r>
      <w:r w:rsidRPr="00E25845">
        <w:rPr>
          <w:rFonts w:ascii="Times New Roman" w:hAnsi="Times New Roman"/>
        </w:rPr>
        <w:t xml:space="preserve">limitation period for actions for personal injury suffered as a result of child abuse. That legislative change was made in response to the publication in 2013 of a report entitled </w:t>
      </w:r>
      <w:r w:rsidRPr="00E25845">
        <w:rPr>
          <w:rFonts w:ascii="Times New Roman" w:hAnsi="Times New Roman"/>
          <w:i/>
          <w:iCs/>
        </w:rPr>
        <w:t>Betrayal of Trust</w:t>
      </w:r>
      <w:r w:rsidRPr="00E25845">
        <w:rPr>
          <w:rFonts w:ascii="Times New Roman" w:hAnsi="Times New Roman"/>
        </w:rPr>
        <w:t>, following the Inquiry into the Handling of Child Abuse by Religious and Other Non-Government Organisations.</w:t>
      </w:r>
      <w:r w:rsidRPr="00E25845">
        <w:rPr>
          <w:rStyle w:val="FootnoteReference"/>
          <w:rFonts w:ascii="Times New Roman" w:hAnsi="Times New Roman"/>
          <w:sz w:val="24"/>
        </w:rPr>
        <w:footnoteReference w:id="168"/>
      </w:r>
      <w:r w:rsidRPr="00E25845">
        <w:rPr>
          <w:rFonts w:ascii="Times New Roman" w:hAnsi="Times New Roman"/>
        </w:rPr>
        <w:t xml:space="preserve"> A key finding of the report </w:t>
      </w:r>
      <w:r w:rsidRPr="00E25845">
        <w:rPr>
          <w:rFonts w:ascii="Times New Roman" w:hAnsi="Times New Roman"/>
        </w:rPr>
        <w:lastRenderedPageBreak/>
        <w:t>was that victims of child abuse found it difficult to initiate actions within the relevant limitation period and this was a barrier to claims against non-government organisations arising out of such abuse.</w:t>
      </w:r>
      <w:r w:rsidRPr="00E25845">
        <w:rPr>
          <w:rStyle w:val="FootnoteReference"/>
          <w:rFonts w:ascii="Times New Roman" w:hAnsi="Times New Roman"/>
          <w:sz w:val="24"/>
        </w:rPr>
        <w:footnoteReference w:id="169"/>
      </w:r>
      <w:r w:rsidRPr="00E25845">
        <w:rPr>
          <w:rFonts w:ascii="Times New Roman" w:hAnsi="Times New Roman"/>
        </w:rPr>
        <w:t xml:space="preserve"> </w:t>
      </w:r>
    </w:p>
    <w:p w14:paraId="3790A5C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Following the Victorian initiative, Parliaments across Australia removed limitation periods for civil actions for damages arising from sexual abuse of children.</w:t>
      </w:r>
      <w:r w:rsidRPr="00E25845">
        <w:rPr>
          <w:rStyle w:val="FootnoteReference"/>
          <w:rFonts w:ascii="Times New Roman" w:hAnsi="Times New Roman"/>
          <w:sz w:val="24"/>
        </w:rPr>
        <w:footnoteReference w:id="170"/>
      </w:r>
      <w:r w:rsidRPr="00E25845">
        <w:rPr>
          <w:rFonts w:ascii="Times New Roman" w:hAnsi="Times New Roman"/>
        </w:rPr>
        <w:t xml:space="preserve"> These reforms have been described as "a landmark socio-legal development in the common law world".</w:t>
      </w:r>
      <w:r w:rsidRPr="00E25845">
        <w:rPr>
          <w:rStyle w:val="FootnoteReference"/>
          <w:rFonts w:ascii="Times New Roman" w:hAnsi="Times New Roman"/>
          <w:sz w:val="24"/>
        </w:rPr>
        <w:footnoteReference w:id="171"/>
      </w:r>
      <w:r w:rsidRPr="00E25845">
        <w:rPr>
          <w:rFonts w:ascii="Times New Roman" w:hAnsi="Times New Roman"/>
        </w:rPr>
        <w:t xml:space="preserve"> There is no reason to doubt that the main reason for lifting these limitation periods was to enable survivors of historical child sexual abuse to bring claims against institutions with which perpetrators of that abuse were associated. Without vicarious liability being an available cause of action for such historical abuse, the point of removing those limitation periods is significantly diminished, particularly in the context of this Court's rejection of the principle of non-delegable duty as a basis for a school authority's liability for the sexual abuse of a pupil by an employed teacher in </w:t>
      </w:r>
      <w:r w:rsidRPr="00E25845">
        <w:rPr>
          <w:rFonts w:ascii="Times New Roman" w:hAnsi="Times New Roman"/>
          <w:i/>
          <w:iCs/>
        </w:rPr>
        <w:t>New South Wales v Lepore</w:t>
      </w:r>
      <w:r w:rsidRPr="00E25845">
        <w:rPr>
          <w:rFonts w:ascii="Times New Roman" w:hAnsi="Times New Roman"/>
        </w:rPr>
        <w:t>.</w:t>
      </w:r>
      <w:r w:rsidRPr="00E25845">
        <w:rPr>
          <w:rStyle w:val="FootnoteReference"/>
          <w:rFonts w:ascii="Times New Roman" w:hAnsi="Times New Roman"/>
          <w:sz w:val="24"/>
        </w:rPr>
        <w:footnoteReference w:id="172"/>
      </w:r>
    </w:p>
    <w:p w14:paraId="4333A3F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Since the Royal Commission's </w:t>
      </w:r>
      <w:r w:rsidRPr="00E25845">
        <w:rPr>
          <w:rFonts w:ascii="Times New Roman" w:hAnsi="Times New Roman"/>
          <w:i/>
          <w:iCs/>
        </w:rPr>
        <w:t>Redress and Civil Litigation Report</w:t>
      </w:r>
      <w:r w:rsidRPr="00E25845">
        <w:rPr>
          <w:rFonts w:ascii="Times New Roman" w:hAnsi="Times New Roman"/>
        </w:rPr>
        <w:t xml:space="preserve"> (2015), Parliaments across Australia have also taken legislative action to impose organisational liability for child abuse.</w:t>
      </w:r>
      <w:r w:rsidRPr="00E25845">
        <w:rPr>
          <w:rStyle w:val="FootnoteReference"/>
          <w:rFonts w:ascii="Times New Roman" w:hAnsi="Times New Roman"/>
          <w:sz w:val="24"/>
        </w:rPr>
        <w:footnoteReference w:id="173"/>
      </w:r>
      <w:r w:rsidRPr="00E25845">
        <w:rPr>
          <w:rFonts w:ascii="Times New Roman" w:hAnsi="Times New Roman"/>
        </w:rPr>
        <w:t xml:space="preserve"> For example, in Victoria, a duty has been imposed on "relevant organisations" to take "the care that in all the circumstances of the case is reasonable to prevent the abuse of a child by an individual associated with the relevant organisation while the child is under the care, supervision or </w:t>
      </w:r>
      <w:r w:rsidRPr="00E25845">
        <w:rPr>
          <w:rFonts w:ascii="Times New Roman" w:hAnsi="Times New Roman"/>
        </w:rPr>
        <w:lastRenderedPageBreak/>
        <w:t>authority of the relevant organisation".</w:t>
      </w:r>
      <w:r w:rsidRPr="00E25845">
        <w:rPr>
          <w:rStyle w:val="FootnoteReference"/>
          <w:rFonts w:ascii="Times New Roman" w:hAnsi="Times New Roman"/>
          <w:sz w:val="24"/>
        </w:rPr>
        <w:footnoteReference w:id="174"/>
      </w:r>
      <w:r w:rsidRPr="00E25845">
        <w:rPr>
          <w:rFonts w:ascii="Times New Roman" w:hAnsi="Times New Roman"/>
        </w:rPr>
        <w:t xml:space="preserve"> "An individual associated with a relevant organisation" is defined broadly and, includes, if the relevant organisation is a religious organisation, "a minister of religion, a religious leader, an officer or a member of the personnel of the religious organisation".</w:t>
      </w:r>
      <w:r w:rsidRPr="00E25845">
        <w:rPr>
          <w:rStyle w:val="FootnoteReference"/>
          <w:rFonts w:ascii="Times New Roman" w:hAnsi="Times New Roman"/>
          <w:sz w:val="24"/>
        </w:rPr>
        <w:footnoteReference w:id="175"/>
      </w:r>
      <w:r w:rsidRPr="00E25845">
        <w:rPr>
          <w:rFonts w:ascii="Times New Roman" w:hAnsi="Times New Roman"/>
        </w:rPr>
        <w:t xml:space="preserve"> </w:t>
      </w:r>
    </w:p>
    <w:p w14:paraId="2F27410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 Government attention to historical child abuse by members of religious and other non-government organisations, and subsequent legislative reform to extend liability for personal injury suffered because of child abuse, reflect an evolution of attitudes to the treatment of children in our society. That evolution has produced a general intolerance of physical, sexual and psychological abuse of children, and increased recognition of societal responsibility for setting and maintaining appropriate standards of care for children, especially in institutional settings. The evolution has also been accompanied by reduced deference towards religious and charitable organisations and a commensurate preparedness to impose legal liability upon religious and other non-government organisations, including for harms inflicted by persons associated with such organisations. These changes in social conditions are not unique to Australia and can be observed across the common law world and beyond.</w:t>
      </w:r>
    </w:p>
    <w:p w14:paraId="0FF6B01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This case is a missed opportunity for the Australian common law to develop in accordance with changed social conditions and in tandem with developments in other common law jurisdictions. For the reasons given below, I do not agree with the plurality that relationships that are akin to employment do not attract vicarious liability in Australia. </w:t>
      </w:r>
    </w:p>
    <w:p w14:paraId="05CF2B1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my view, the relationship between the Diocese of Ballarat ("the Diocese"), sued by its nominated defendant (the appellant), and Father Bryan Coffey ("Coffey"), an assistant parish priest appointed to that role in the parish of Port Fairy, is capable of attracting vicarious liability. Nevertheless, the Diocese is not vicariously liable for the sexual assaults that Coffey inflicted upon DP because those torts occurred in circumstances where Coffey opportunistically took advantage of his role to commit them. The torts were therefore not committed in the course of Coffey's performance of his role as assistant parish priest. Accordingly, I agree with the orders proposed by the plurality. </w:t>
      </w:r>
    </w:p>
    <w:p w14:paraId="77B3FF8B"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 xml:space="preserve">An overview of vicarious liability </w:t>
      </w:r>
    </w:p>
    <w:p w14:paraId="4F5F6591" w14:textId="144CCA01"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Vicarious liability remains "a longstanding and vitally important part of the common law of tort".</w:t>
      </w:r>
      <w:r w:rsidRPr="00E25845">
        <w:rPr>
          <w:rStyle w:val="FootnoteReference"/>
          <w:rFonts w:ascii="Times New Roman" w:hAnsi="Times New Roman"/>
          <w:sz w:val="24"/>
        </w:rPr>
        <w:footnoteReference w:id="176"/>
      </w:r>
      <w:r w:rsidRPr="00E25845">
        <w:rPr>
          <w:rFonts w:ascii="Times New Roman" w:hAnsi="Times New Roman"/>
        </w:rPr>
        <w:t xml:space="preserve"> Such liability is imposed where two elements are satisfied: (1) there is a recognised relationship between the tortfeasor and the defendant; and (2) the tortfeasor committed a tort in the course of that relationship.</w:t>
      </w:r>
      <w:r w:rsidRPr="00E25845">
        <w:rPr>
          <w:rStyle w:val="FootnoteReference"/>
          <w:rFonts w:ascii="Times New Roman" w:hAnsi="Times New Roman"/>
          <w:sz w:val="24"/>
        </w:rPr>
        <w:footnoteReference w:id="177"/>
      </w:r>
      <w:r w:rsidRPr="00E25845">
        <w:rPr>
          <w:rFonts w:ascii="Times New Roman" w:hAnsi="Times New Roman"/>
        </w:rPr>
        <w:t xml:space="preserve"> The plurality in this case state</w:t>
      </w:r>
      <w:r w:rsidR="007046EB">
        <w:rPr>
          <w:rFonts w:ascii="Times New Roman" w:hAnsi="Times New Roman"/>
        </w:rPr>
        <w:t>s</w:t>
      </w:r>
      <w:r w:rsidRPr="00E25845">
        <w:rPr>
          <w:rFonts w:ascii="Times New Roman" w:hAnsi="Times New Roman"/>
        </w:rPr>
        <w:t xml:space="preserve"> that the only relevant relationship is an employment relationship. It is true that, in the overwhelming majority of cases, the relevant relationship is an employment relationship. However, as explained below, that position has arisen in a context of an apparent dichotomy</w:t>
      </w:r>
      <w:r w:rsidRPr="00E25845">
        <w:rPr>
          <w:rStyle w:val="FootnoteReference"/>
          <w:rFonts w:ascii="Times New Roman" w:hAnsi="Times New Roman"/>
          <w:sz w:val="24"/>
        </w:rPr>
        <w:footnoteReference w:id="178"/>
      </w:r>
      <w:r w:rsidRPr="00E25845">
        <w:rPr>
          <w:rFonts w:ascii="Times New Roman" w:hAnsi="Times New Roman"/>
        </w:rPr>
        <w:t xml:space="preserve"> in which workers have been classified as either employee or independent contractor in relation to the enterprises for which they work. </w:t>
      </w:r>
    </w:p>
    <w:p w14:paraId="19C83F1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As a general rule, the relationship between an enterprise owner (often referred to as the "principal") and independent contractor does not attract vicarious liability.</w:t>
      </w:r>
      <w:r w:rsidRPr="00E25845">
        <w:rPr>
          <w:rStyle w:val="FootnoteReference"/>
          <w:rFonts w:ascii="Times New Roman" w:hAnsi="Times New Roman"/>
          <w:sz w:val="24"/>
        </w:rPr>
        <w:footnoteReference w:id="179"/>
      </w:r>
      <w:r w:rsidRPr="00E25845">
        <w:rPr>
          <w:rFonts w:ascii="Times New Roman" w:hAnsi="Times New Roman"/>
        </w:rPr>
        <w:t xml:space="preserve"> This general rule is based upon the principle that the independent contractor carries out their work, not as the representative of another, but as a principal in their own enterprise (or the enterprise of a third party).</w:t>
      </w:r>
      <w:r w:rsidRPr="00E25845">
        <w:rPr>
          <w:rStyle w:val="FootnoteReference"/>
          <w:rFonts w:ascii="Times New Roman" w:hAnsi="Times New Roman"/>
          <w:sz w:val="24"/>
        </w:rPr>
        <w:footnoteReference w:id="180"/>
      </w:r>
      <w:r w:rsidRPr="00E25845">
        <w:rPr>
          <w:rFonts w:ascii="Times New Roman" w:hAnsi="Times New Roman"/>
        </w:rPr>
        <w:t xml:space="preserve">  </w:t>
      </w:r>
    </w:p>
    <w:p w14:paraId="322875C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Where vicarious liability arises, it is a species of strict liability, in the sense of liability imposed on a defendant for the wrongdoing of another, regardless of any fault on the part of the defendant.</w:t>
      </w:r>
      <w:r w:rsidRPr="00E25845">
        <w:rPr>
          <w:rStyle w:val="FootnoteReference"/>
          <w:rFonts w:ascii="Times New Roman" w:hAnsi="Times New Roman"/>
          <w:sz w:val="24"/>
        </w:rPr>
        <w:footnoteReference w:id="181"/>
      </w:r>
      <w:r w:rsidRPr="00E25845">
        <w:rPr>
          <w:rFonts w:ascii="Times New Roman" w:hAnsi="Times New Roman"/>
        </w:rPr>
        <w:t xml:space="preserve"> Despite difficulties in explaining the bases for liability regardless of fault which have led strict liability to be viewed with </w:t>
      </w:r>
      <w:r w:rsidRPr="00E25845">
        <w:rPr>
          <w:rFonts w:ascii="Times New Roman" w:hAnsi="Times New Roman"/>
        </w:rPr>
        <w:lastRenderedPageBreak/>
        <w:t>disfavour,</w:t>
      </w:r>
      <w:r w:rsidRPr="00E25845">
        <w:rPr>
          <w:rStyle w:val="FootnoteReference"/>
          <w:rFonts w:ascii="Times New Roman" w:hAnsi="Times New Roman"/>
          <w:sz w:val="24"/>
        </w:rPr>
        <w:footnoteReference w:id="182"/>
      </w:r>
      <w:r w:rsidRPr="00E25845">
        <w:rPr>
          <w:rFonts w:ascii="Times New Roman" w:hAnsi="Times New Roman"/>
        </w:rPr>
        <w:t xml:space="preserve"> strict liability persists for many common law actions and "[t]here is certainly no presumption in the common law against strict liability".</w:t>
      </w:r>
      <w:r w:rsidRPr="00E25845">
        <w:rPr>
          <w:rStyle w:val="FootnoteReference"/>
          <w:rFonts w:ascii="Times New Roman" w:hAnsi="Times New Roman"/>
          <w:sz w:val="24"/>
        </w:rPr>
        <w:footnoteReference w:id="183"/>
      </w:r>
      <w:r w:rsidRPr="00E25845">
        <w:rPr>
          <w:rFonts w:ascii="Times New Roman" w:hAnsi="Times New Roman"/>
        </w:rPr>
        <w:t xml:space="preserve"> </w:t>
      </w:r>
    </w:p>
    <w:p w14:paraId="553A02E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As explained by the plurality, the label "vicarious liability" has been used to describe cases in which either the conduct or the liability of a third party is "attributed" to a defendant.</w:t>
      </w:r>
      <w:r w:rsidRPr="00E25845">
        <w:rPr>
          <w:rStyle w:val="FootnoteReference"/>
          <w:rFonts w:ascii="Times New Roman" w:hAnsi="Times New Roman"/>
          <w:sz w:val="24"/>
        </w:rPr>
        <w:footnoteReference w:id="184"/>
      </w:r>
      <w:r w:rsidRPr="00E25845">
        <w:rPr>
          <w:rFonts w:ascii="Times New Roman" w:hAnsi="Times New Roman"/>
        </w:rPr>
        <w:t xml:space="preserve"> At least as a matter of language, "vicarious liability" seems to involve the attribution of liability to the defendant. The significance of the distinction between attribution of conduct and attribution of liability is that, where common law principles support the attribution of the conduct of person A to person B, there is arguably a more secure rationale for the imposition of liability. For example, the common law imposes liability upon a principal for the conduct of the principal's agent where that conduct was authorised or ratified by the principal.</w:t>
      </w:r>
      <w:r w:rsidRPr="00E25845">
        <w:rPr>
          <w:rStyle w:val="FootnoteReference"/>
          <w:rFonts w:ascii="Times New Roman" w:hAnsi="Times New Roman"/>
          <w:sz w:val="24"/>
        </w:rPr>
        <w:footnoteReference w:id="185"/>
      </w:r>
      <w:r w:rsidRPr="00E25845">
        <w:rPr>
          <w:rFonts w:ascii="Times New Roman" w:hAnsi="Times New Roman"/>
        </w:rPr>
        <w:t xml:space="preserve"> The principal's authorisation or ratification of tortious conduct provides a satisfying explanation for the imposition of liability upon the principal,</w:t>
      </w:r>
      <w:r w:rsidRPr="00E25845">
        <w:rPr>
          <w:rStyle w:val="FootnoteReference"/>
          <w:rFonts w:ascii="Times New Roman" w:hAnsi="Times New Roman"/>
          <w:sz w:val="24"/>
        </w:rPr>
        <w:footnoteReference w:id="186"/>
      </w:r>
      <w:r w:rsidRPr="00E25845">
        <w:rPr>
          <w:rFonts w:ascii="Times New Roman" w:hAnsi="Times New Roman"/>
        </w:rPr>
        <w:t xml:space="preserve"> although the explanation arguably becomes problematic when the principal's authorisation is "apparent" or "ostensible", or where the principal expressly prohibited the conduct attributed to them.</w:t>
      </w:r>
      <w:r w:rsidRPr="00E25845">
        <w:rPr>
          <w:rStyle w:val="FootnoteReference"/>
          <w:rFonts w:ascii="Times New Roman" w:hAnsi="Times New Roman"/>
          <w:sz w:val="24"/>
        </w:rPr>
        <w:footnoteReference w:id="187"/>
      </w:r>
      <w:r w:rsidRPr="00E25845">
        <w:rPr>
          <w:rFonts w:ascii="Times New Roman" w:hAnsi="Times New Roman"/>
        </w:rPr>
        <w:t xml:space="preserve"> </w:t>
      </w:r>
    </w:p>
    <w:p w14:paraId="2D8EC5BE"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The justification for expanding vicarious liability to relationships that are akin to employment</w:t>
      </w:r>
    </w:p>
    <w:p w14:paraId="5944D1B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plurality considers that “[t]here is no solid foundation for expansion of the doctrine [of vicarious liability] or for its bounds to be redrawn”.</w:t>
      </w:r>
      <w:r w:rsidRPr="00E25845">
        <w:rPr>
          <w:rFonts w:ascii="Times New Roman" w:hAnsi="Times New Roman"/>
          <w:b/>
          <w:sz w:val="24"/>
          <w:vertAlign w:val="superscript"/>
        </w:rPr>
        <w:footnoteReference w:id="188"/>
      </w:r>
      <w:r w:rsidRPr="00E25845">
        <w:rPr>
          <w:rFonts w:ascii="Times New Roman" w:hAnsi="Times New Roman"/>
        </w:rPr>
        <w:t xml:space="preserve"> I do not </w:t>
      </w:r>
      <w:r w:rsidRPr="00E25845">
        <w:rPr>
          <w:rFonts w:ascii="Times New Roman" w:hAnsi="Times New Roman"/>
        </w:rPr>
        <w:lastRenderedPageBreak/>
        <w:t xml:space="preserve">agree that there is no adequate foundation for the development of the law of vicarious liability recognised by the courts below. </w:t>
      </w:r>
    </w:p>
    <w:p w14:paraId="402EC6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expansion of vicarious liability to encompass relationships that are akin to employment of the kind in this case is modest in its operation. Such an expansion recognises that certain relationships "when whittled down to their essence, possess the same fundamental qualities as those which inhere in employer-employee relationships", so that it is anomalous not to impose vicarious liability for torts committed in the course of the relationship.</w:t>
      </w:r>
      <w:r w:rsidRPr="00E25845">
        <w:rPr>
          <w:rStyle w:val="FootnoteReference"/>
          <w:rFonts w:ascii="Times New Roman" w:hAnsi="Times New Roman"/>
          <w:sz w:val="24"/>
        </w:rPr>
        <w:footnoteReference w:id="189"/>
      </w:r>
      <w:r w:rsidRPr="00E25845">
        <w:rPr>
          <w:rFonts w:ascii="Times New Roman" w:hAnsi="Times New Roman"/>
        </w:rPr>
        <w:t xml:space="preserve"> In particular, the imposition of vicarious liability for torts committed in the course of the relationship between a diocese and parish priest (or assistant parish priest) conforms with the important statement made by Gleeson CJ, Gaudron, Gummow, Kirby and Hayne JJ in </w:t>
      </w:r>
      <w:r w:rsidRPr="00E25845">
        <w:rPr>
          <w:rFonts w:ascii="Times New Roman" w:hAnsi="Times New Roman"/>
          <w:i/>
          <w:iCs/>
        </w:rPr>
        <w:t>Hollis v Vabu Pty Ltd</w:t>
      </w:r>
      <w:r w:rsidRPr="00E25845">
        <w:rPr>
          <w:rFonts w:ascii="Times New Roman" w:hAnsi="Times New Roman"/>
        </w:rPr>
        <w:t xml:space="preserve"> that:</w:t>
      </w:r>
      <w:r w:rsidRPr="00E25845">
        <w:rPr>
          <w:rFonts w:ascii="Times New Roman" w:hAnsi="Times New Roman"/>
          <w:b/>
          <w:sz w:val="24"/>
          <w:vertAlign w:val="superscript"/>
        </w:rPr>
        <w:footnoteReference w:id="190"/>
      </w:r>
    </w:p>
    <w:p w14:paraId="5D7884DA"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"In general, under contemporary Australian conditions, the conduct by the defendant of an enterprise in which persons are identified as representing that enterprise should carry an obligation to third persons to bear the cost of injury or damage to them which may fairly be said to be characteristic of the conduct of that enterprise."</w:t>
      </w:r>
    </w:p>
    <w:p w14:paraId="738D85D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That statement was affirmed by Gummow and Hayne JJ and Kirby J in </w:t>
      </w:r>
      <w:r w:rsidRPr="00E25845">
        <w:rPr>
          <w:rFonts w:ascii="Times New Roman" w:hAnsi="Times New Roman"/>
          <w:i/>
          <w:iCs/>
        </w:rPr>
        <w:t>New South Wales v Lepore</w:t>
      </w:r>
      <w:r w:rsidRPr="00E25845">
        <w:rPr>
          <w:rFonts w:ascii="Times New Roman" w:hAnsi="Times New Roman"/>
        </w:rPr>
        <w:t>,</w:t>
      </w:r>
      <w:r w:rsidRPr="00E25845">
        <w:rPr>
          <w:rStyle w:val="FootnoteReference"/>
          <w:rFonts w:ascii="Times New Roman" w:hAnsi="Times New Roman"/>
          <w:sz w:val="24"/>
        </w:rPr>
        <w:footnoteReference w:id="191"/>
      </w:r>
      <w:r w:rsidRPr="00E25845">
        <w:rPr>
          <w:rFonts w:ascii="Times New Roman" w:hAnsi="Times New Roman"/>
        </w:rPr>
        <w:t xml:space="preserve"> and by</w:t>
      </w:r>
      <w:r w:rsidRPr="00E25845">
        <w:rPr>
          <w:rFonts w:ascii="Times New Roman" w:hAnsi="Times New Roman"/>
          <w:i/>
          <w:iCs/>
        </w:rPr>
        <w:t xml:space="preserve"> </w:t>
      </w:r>
      <w:r w:rsidRPr="00E25845">
        <w:rPr>
          <w:rFonts w:ascii="Times New Roman" w:hAnsi="Times New Roman"/>
        </w:rPr>
        <w:t xml:space="preserve">Gleeson CJ, Gummow, Hayne, Heydon and Crennan JJ in </w:t>
      </w:r>
      <w:r w:rsidRPr="00E25845">
        <w:rPr>
          <w:rFonts w:ascii="Times New Roman" w:hAnsi="Times New Roman"/>
          <w:i/>
          <w:iCs/>
        </w:rPr>
        <w:t>Sweeney v Boylan Nominees Pty Limited.</w:t>
      </w:r>
      <w:r w:rsidRPr="00E25845">
        <w:rPr>
          <w:rStyle w:val="FootnoteReference"/>
          <w:rFonts w:ascii="Times New Roman" w:hAnsi="Times New Roman"/>
          <w:sz w:val="24"/>
        </w:rPr>
        <w:footnoteReference w:id="192"/>
      </w:r>
      <w:r w:rsidRPr="00E25845">
        <w:rPr>
          <w:rFonts w:ascii="Times New Roman" w:hAnsi="Times New Roman"/>
          <w:i/>
          <w:iCs/>
        </w:rPr>
        <w:t xml:space="preserve"> </w:t>
      </w:r>
    </w:p>
    <w:p w14:paraId="1754A9D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statement explains vicarious liability by reference to the responsibility of an enterprise for harms caused in the conduct of the enterprise, and particularly, responsibility for harms caused by persons who are "identified as representing that enterprise". That is not a new idea. The suggestion that vicarious liability reflects the function of an enterprise "as a mechanism for absorbing, controlling and </w:t>
      </w:r>
      <w:r w:rsidRPr="00E25845">
        <w:rPr>
          <w:rFonts w:ascii="Times New Roman" w:hAnsi="Times New Roman"/>
        </w:rPr>
        <w:lastRenderedPageBreak/>
        <w:t>spreading social and economic risks"</w:t>
      </w:r>
      <w:r w:rsidRPr="00E25845">
        <w:rPr>
          <w:rStyle w:val="FootnoteReference"/>
          <w:rFonts w:ascii="Times New Roman" w:hAnsi="Times New Roman"/>
          <w:sz w:val="24"/>
        </w:rPr>
        <w:footnoteReference w:id="193"/>
      </w:r>
      <w:r w:rsidRPr="00E25845">
        <w:rPr>
          <w:rFonts w:ascii="Times New Roman" w:hAnsi="Times New Roman"/>
        </w:rPr>
        <w:t xml:space="preserve"> appears in both early case law</w:t>
      </w:r>
      <w:r w:rsidRPr="00E25845">
        <w:rPr>
          <w:rStyle w:val="FootnoteReference"/>
          <w:rFonts w:ascii="Times New Roman" w:hAnsi="Times New Roman"/>
          <w:sz w:val="24"/>
        </w:rPr>
        <w:footnoteReference w:id="194"/>
      </w:r>
      <w:r w:rsidRPr="00E25845">
        <w:rPr>
          <w:rFonts w:ascii="Times New Roman" w:hAnsi="Times New Roman"/>
        </w:rPr>
        <w:t xml:space="preserve"> and academic writings.</w:t>
      </w:r>
      <w:r w:rsidRPr="00E25845">
        <w:rPr>
          <w:rStyle w:val="FootnoteReference"/>
          <w:rFonts w:ascii="Times New Roman" w:hAnsi="Times New Roman"/>
          <w:sz w:val="24"/>
        </w:rPr>
        <w:footnoteReference w:id="195"/>
      </w:r>
      <w:r w:rsidRPr="00E25845">
        <w:rPr>
          <w:rFonts w:ascii="Times New Roman" w:hAnsi="Times New Roman"/>
        </w:rPr>
        <w:t xml:space="preserve"> </w:t>
      </w:r>
    </w:p>
    <w:p w14:paraId="2603F55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plurality's statement in </w:t>
      </w:r>
      <w:r w:rsidRPr="00E25845">
        <w:rPr>
          <w:rFonts w:ascii="Times New Roman" w:hAnsi="Times New Roman"/>
          <w:i/>
          <w:iCs/>
        </w:rPr>
        <w:t>Hollis</w:t>
      </w:r>
      <w:r w:rsidRPr="00E25845">
        <w:rPr>
          <w:rFonts w:ascii="Times New Roman" w:hAnsi="Times New Roman"/>
        </w:rPr>
        <w:t xml:space="preserve"> is consistent with the enterprise liability theory of vicarious liability, which underpins the current doctrine of vicarious liability in Canada</w:t>
      </w:r>
      <w:r w:rsidRPr="00E25845">
        <w:rPr>
          <w:rStyle w:val="FootnoteReference"/>
          <w:rFonts w:ascii="Times New Roman" w:hAnsi="Times New Roman"/>
          <w:sz w:val="24"/>
        </w:rPr>
        <w:footnoteReference w:id="196"/>
      </w:r>
      <w:r w:rsidRPr="00E25845">
        <w:rPr>
          <w:rFonts w:ascii="Times New Roman" w:hAnsi="Times New Roman"/>
        </w:rPr>
        <w:t xml:space="preserve"> and England and Wales.</w:t>
      </w:r>
      <w:r w:rsidRPr="00E25845">
        <w:rPr>
          <w:rStyle w:val="FootnoteReference"/>
          <w:rFonts w:ascii="Times New Roman" w:hAnsi="Times New Roman"/>
          <w:sz w:val="24"/>
        </w:rPr>
        <w:footnoteReference w:id="197"/>
      </w:r>
      <w:r w:rsidRPr="00E25845">
        <w:rPr>
          <w:rFonts w:ascii="Times New Roman" w:hAnsi="Times New Roman"/>
        </w:rPr>
        <w:t xml:space="preserve"> In particular, the statement accords with the observation of Lord Reed (with whom Baroness Hale, Lord Kerr and Lord Clarke agreed) in </w:t>
      </w:r>
      <w:r w:rsidRPr="00E25845">
        <w:rPr>
          <w:rFonts w:ascii="Times New Roman" w:hAnsi="Times New Roman"/>
          <w:i/>
          <w:iCs/>
        </w:rPr>
        <w:t xml:space="preserve">Armes </w:t>
      </w:r>
      <w:r w:rsidRPr="00E25845">
        <w:rPr>
          <w:rFonts w:ascii="Times New Roman" w:hAnsi="Times New Roman"/>
          <w:i/>
          <w:iCs/>
          <w:lang w:val="en-US"/>
        </w:rPr>
        <w:t>v Nottinghamshire County Council</w:t>
      </w:r>
      <w:r w:rsidRPr="00E25845">
        <w:rPr>
          <w:rFonts w:ascii="Times New Roman" w:hAnsi="Times New Roman"/>
          <w:i/>
          <w:iCs/>
        </w:rPr>
        <w:t xml:space="preserve"> </w:t>
      </w:r>
      <w:r w:rsidRPr="00E25845">
        <w:rPr>
          <w:rFonts w:ascii="Times New Roman" w:hAnsi="Times New Roman"/>
        </w:rPr>
        <w:t>that, of the various justifications for the imposition of vicarious liability in the English and Welsh case law:</w:t>
      </w:r>
      <w:r w:rsidRPr="00E25845">
        <w:rPr>
          <w:rStyle w:val="FootnoteReference"/>
          <w:rFonts w:ascii="Times New Roman" w:hAnsi="Times New Roman"/>
          <w:sz w:val="24"/>
        </w:rPr>
        <w:footnoteReference w:id="198"/>
      </w:r>
    </w:p>
    <w:p w14:paraId="00E71353"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"The most influential idea in modern times has been that it is just that an enterprise which takes the benefit of activities carried on by a person integrated into its organisation should also bear the cost of harm wrongfully caused by that person in the course of those activities."</w:t>
      </w:r>
    </w:p>
    <w:p w14:paraId="3BDD040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Gleeson CJ, Gaudron, Gummow, Kirby and Hayne JJ quoted Dean Prosser and Professor Keeton's identification of further justifications for imposing vicarious liability in the context of an employment relationship that had been accepted as persuasive "to some degree", including: (1) control, or the right to control, the conduct of the employee; (2) the role of the employer in "set[ting] ... in motion" the events in which the tortious conduct occurred; (3) the role of the employer in selecting the employee who committed the tort and in whom the employer reposed trust; and (4) the likely greater capacity of the employer to compensate a plaintiff for harm suffered as a result of a tort in comparison with </w:t>
      </w:r>
      <w:r w:rsidRPr="00E25845">
        <w:rPr>
          <w:rFonts w:ascii="Times New Roman" w:hAnsi="Times New Roman"/>
        </w:rPr>
        <w:lastRenderedPageBreak/>
        <w:t>the employee.</w:t>
      </w:r>
      <w:r w:rsidRPr="00E25845">
        <w:rPr>
          <w:rStyle w:val="FootnoteReference"/>
          <w:rFonts w:ascii="Times New Roman" w:hAnsi="Times New Roman"/>
          <w:sz w:val="24"/>
        </w:rPr>
        <w:footnoteReference w:id="199"/>
      </w:r>
      <w:r w:rsidRPr="00E25845">
        <w:rPr>
          <w:rFonts w:ascii="Times New Roman" w:hAnsi="Times New Roman"/>
        </w:rPr>
        <w:t xml:space="preserve"> Each of these reasons reflect the central idea that an enterprise should be held liable for creating or increasing a risk of harm that has materialised in the employee's pursuit of the enterprise. </w:t>
      </w:r>
    </w:p>
    <w:p w14:paraId="28F09F8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w:t>
      </w:r>
      <w:r w:rsidRPr="00E25845">
        <w:rPr>
          <w:rFonts w:ascii="Times New Roman" w:hAnsi="Times New Roman"/>
          <w:i/>
          <w:iCs/>
        </w:rPr>
        <w:t>Hollis</w:t>
      </w:r>
      <w:r w:rsidRPr="00E25845">
        <w:rPr>
          <w:rFonts w:ascii="Times New Roman" w:hAnsi="Times New Roman"/>
        </w:rPr>
        <w:t xml:space="preserve"> also found support for the imposition of vicarious liability in the Canadian notion of "enterprise risk" (namely, that "the employer's enterprise [has] created the risk that produced the tortious act"</w:t>
      </w:r>
      <w:r w:rsidRPr="00E25845">
        <w:rPr>
          <w:rStyle w:val="FootnoteReference"/>
          <w:rFonts w:ascii="Times New Roman" w:hAnsi="Times New Roman"/>
          <w:sz w:val="24"/>
        </w:rPr>
        <w:footnoteReference w:id="200"/>
      </w:r>
      <w:r w:rsidRPr="00E25845">
        <w:rPr>
          <w:rFonts w:ascii="Times New Roman" w:hAnsi="Times New Roman"/>
        </w:rPr>
        <w:t xml:space="preserve">) and in the application of the doctrine of </w:t>
      </w:r>
      <w:r w:rsidRPr="00E25845">
        <w:rPr>
          <w:rFonts w:ascii="Times New Roman" w:hAnsi="Times New Roman"/>
          <w:i/>
          <w:iCs/>
        </w:rPr>
        <w:t>respondeat superior</w:t>
      </w:r>
      <w:r w:rsidRPr="00E25845">
        <w:rPr>
          <w:rFonts w:ascii="Times New Roman" w:hAnsi="Times New Roman"/>
        </w:rPr>
        <w:t xml:space="preserve"> in United States jurisprudence,</w:t>
      </w:r>
      <w:r w:rsidRPr="00E25845">
        <w:rPr>
          <w:rFonts w:ascii="Times New Roman" w:hAnsi="Times New Roman"/>
          <w:i/>
          <w:iCs/>
        </w:rPr>
        <w:t xml:space="preserve"> </w:t>
      </w:r>
      <w:r w:rsidRPr="00E25845">
        <w:rPr>
          <w:rFonts w:ascii="Times New Roman" w:hAnsi="Times New Roman"/>
        </w:rPr>
        <w:t>which was said to be explained by a "deeply rooted sentiment that a business enterprise cannot justly disclaim responsibility for accidents which may fairly be said to be characteristic of its activities".</w:t>
      </w:r>
      <w:r w:rsidRPr="00E25845">
        <w:rPr>
          <w:rStyle w:val="FootnoteReference"/>
          <w:rFonts w:ascii="Times New Roman" w:hAnsi="Times New Roman"/>
          <w:sz w:val="24"/>
        </w:rPr>
        <w:footnoteReference w:id="201"/>
      </w:r>
      <w:r w:rsidRPr="00E25845">
        <w:rPr>
          <w:rFonts w:ascii="Times New Roman" w:hAnsi="Times New Roman"/>
        </w:rPr>
        <w:t xml:space="preserve"> </w:t>
      </w:r>
    </w:p>
    <w:p w14:paraId="3225675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Subsequently, in </w:t>
      </w:r>
      <w:r w:rsidRPr="00E25845">
        <w:rPr>
          <w:rFonts w:ascii="Times New Roman" w:hAnsi="Times New Roman"/>
          <w:i/>
          <w:iCs/>
        </w:rPr>
        <w:t>Lepore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Gleeson CJ noted that enterprise risk is an "explanation of the willingness of the law to impose vicarious liability", notwithstanding that it has not been adopted in Australia as the exact test for determining whether conduct is in the course of employment.</w:t>
      </w:r>
      <w:r w:rsidRPr="00E25845">
        <w:rPr>
          <w:rStyle w:val="FootnoteReference"/>
          <w:rFonts w:ascii="Times New Roman" w:hAnsi="Times New Roman"/>
          <w:sz w:val="24"/>
        </w:rPr>
        <w:footnoteReference w:id="202"/>
      </w:r>
      <w:r w:rsidRPr="00E25845">
        <w:rPr>
          <w:rFonts w:ascii="Times New Roman" w:hAnsi="Times New Roman"/>
        </w:rPr>
        <w:t xml:space="preserve"> Kirby J also considered that enterprise risk was a "persuasive" justification for the imposition of vicarious liability upon an enterprise.</w:t>
      </w:r>
      <w:r w:rsidRPr="00E25845">
        <w:rPr>
          <w:rStyle w:val="FootnoteReference"/>
          <w:rFonts w:ascii="Times New Roman" w:hAnsi="Times New Roman"/>
          <w:sz w:val="24"/>
        </w:rPr>
        <w:footnoteReference w:id="203"/>
      </w:r>
      <w:r w:rsidRPr="00E25845">
        <w:rPr>
          <w:rFonts w:ascii="Times New Roman" w:hAnsi="Times New Roman"/>
        </w:rPr>
        <w:t xml:space="preserve"> Gummow and Hayne JJ referred to the common element in cases of vicarious liability, identified by Pollock, "that a man has for his own convenience brought about or maintained some state of things which in the ordinary course of nature may work mischief to his neighbours"</w:t>
      </w:r>
      <w:r w:rsidRPr="00E25845">
        <w:rPr>
          <w:rStyle w:val="FootnoteReference"/>
          <w:rFonts w:ascii="Times New Roman" w:hAnsi="Times New Roman"/>
          <w:sz w:val="24"/>
        </w:rPr>
        <w:footnoteReference w:id="204"/>
      </w:r>
      <w:r w:rsidRPr="00E25845">
        <w:rPr>
          <w:rFonts w:ascii="Times New Roman" w:hAnsi="Times New Roman"/>
        </w:rPr>
        <w:t xml:space="preserve"> but rejected the imposition of liability solely by reference to the increased risk of wrongdoing because that would overlook the need to characterise the wrongdoing as having been done in the course of employment.</w:t>
      </w:r>
      <w:r w:rsidRPr="00E25845">
        <w:rPr>
          <w:rStyle w:val="FootnoteReference"/>
          <w:rFonts w:ascii="Times New Roman" w:hAnsi="Times New Roman"/>
          <w:sz w:val="24"/>
        </w:rPr>
        <w:footnoteReference w:id="205"/>
      </w:r>
    </w:p>
    <w:p w14:paraId="5FFB731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enterprise liability theory, as articulated by this Court in </w:t>
      </w:r>
      <w:r w:rsidRPr="00E25845">
        <w:rPr>
          <w:rFonts w:ascii="Times New Roman" w:hAnsi="Times New Roman"/>
          <w:i/>
          <w:iCs/>
        </w:rPr>
        <w:t>Hollis</w:t>
      </w:r>
      <w:r w:rsidRPr="00E25845">
        <w:rPr>
          <w:rFonts w:ascii="Times New Roman" w:hAnsi="Times New Roman"/>
        </w:rPr>
        <w:t xml:space="preserve">, and as followed in </w:t>
      </w:r>
      <w:r w:rsidRPr="00E25845">
        <w:rPr>
          <w:rFonts w:ascii="Times New Roman" w:hAnsi="Times New Roman"/>
          <w:i/>
          <w:iCs/>
        </w:rPr>
        <w:t>Lepore</w:t>
      </w:r>
      <w:r w:rsidRPr="00E25845">
        <w:rPr>
          <w:rFonts w:ascii="Times New Roman" w:hAnsi="Times New Roman"/>
        </w:rPr>
        <w:t xml:space="preserve"> and in </w:t>
      </w:r>
      <w:r w:rsidRPr="00E25845">
        <w:rPr>
          <w:rFonts w:ascii="Times New Roman" w:hAnsi="Times New Roman"/>
          <w:i/>
          <w:iCs/>
        </w:rPr>
        <w:t>Sweeney</w:t>
      </w:r>
      <w:r w:rsidRPr="00E25845">
        <w:rPr>
          <w:rFonts w:ascii="Times New Roman" w:hAnsi="Times New Roman"/>
        </w:rPr>
        <w:t xml:space="preserve">, is the central justification for vicarious liability </w:t>
      </w:r>
      <w:r w:rsidRPr="00E25845">
        <w:rPr>
          <w:rFonts w:ascii="Times New Roman" w:hAnsi="Times New Roman"/>
        </w:rPr>
        <w:lastRenderedPageBreak/>
        <w:t xml:space="preserve">in Australia. A modest expansion of vicarious liability to relationships that are akin to employment accords with that central justification. </w:t>
      </w:r>
    </w:p>
    <w:p w14:paraId="4C7C03F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This conclusion provides a principled basis to test whether a religious organisation that forms part of the Catholic Church, which can be held vicariously liable for the tort of an employee, should also be held vicariously liable for the same tort if committed by a person engaged in pursuit of the purposes of the organisation whose legal relationship with the organisation is based upon canon law instead of a contract of employment. This question should be answered in the affirmative.</w:t>
      </w:r>
    </w:p>
    <w:p w14:paraId="4CAFF75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different legal bases of the two relationships do not affect the fact of harm wrongfully caused by a person in the course of activities pursued for the purposes of the organisation, and otherwise do not provide a satisfactory explanation for imposing liability on an organisation in one case, and for not imposing liability on that organisation in the other. For example, on the facts of this case there was no suggestion that canon law placed Coffey, in relation to the Diocese, in a role analogous to that of an independent contractor.</w:t>
      </w:r>
    </w:p>
    <w:p w14:paraId="15AF8BD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Furthermore, there is no reason to distinguish between the case of a diocese and any other enterprise. It is well established that non-profit organisations may be vicariously liable for the torts of their employees.</w:t>
      </w:r>
      <w:r w:rsidRPr="00E25845">
        <w:rPr>
          <w:rStyle w:val="FootnoteReference"/>
          <w:rFonts w:ascii="Times New Roman" w:hAnsi="Times New Roman"/>
          <w:sz w:val="24"/>
        </w:rPr>
        <w:footnoteReference w:id="206"/>
      </w:r>
      <w:r w:rsidRPr="00E25845">
        <w:rPr>
          <w:rFonts w:ascii="Times New Roman" w:hAnsi="Times New Roman"/>
        </w:rPr>
        <w:t xml:space="preserve"> The functions of an enterprise in absorbing, controlling and spreading risks have particular importance in an organisation whose workers are personally unable to take legal responsibility for risks because those workers are engaged exclusively on terms that do not involve remuneration (or only a contribution for living expenses) and that do not allow them to earn remuneration by working in another enterprise. The same applies to Catholic religious orders whose members take a vow of poverty. The work of such organisations is done by persons who have joined the organisation on terms that deny their individual capability to compensate victims of any personal injuries for harm that they might inflict in the course of the organisation's work.</w:t>
      </w:r>
    </w:p>
    <w:p w14:paraId="0A94471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There is also no suggestion that the Diocese in this case is not vicariously liable for the torts of its employees committed in the course of their employment. As explained below, each of the reasons identified in </w:t>
      </w:r>
      <w:r w:rsidRPr="00E25845">
        <w:rPr>
          <w:rFonts w:ascii="Times New Roman" w:hAnsi="Times New Roman"/>
          <w:i/>
          <w:iCs/>
        </w:rPr>
        <w:t xml:space="preserve">Hollis </w:t>
      </w:r>
      <w:r w:rsidRPr="00E25845">
        <w:rPr>
          <w:rFonts w:ascii="Times New Roman" w:hAnsi="Times New Roman"/>
        </w:rPr>
        <w:t>for the existence of an employment relationship can be used to describe the relationship between the Diocese and Coffey. The imposition of vicarious liability on the Diocese for torts committed by an assistant priest in the course of the performance of that role is consistent with the imposition of vicarious liability on an enterprise for the torts of an employee, and does not offend the general rule that an enterprise is not vicariously liable for the torts of an independent contractor.</w:t>
      </w:r>
    </w:p>
    <w:p w14:paraId="7577251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 xml:space="preserve">Finally, the proposition that vicarious liability might extend to a relationship that is relevantly the same as an employment relationship in the respects that justify the imposition of vicarious liability in the employment context is not problematic. The difficulty is said to be the lack of consensus around the aspects of the employment relationship that warrant the imposition of vicarious liability. In </w:t>
      </w:r>
      <w:r w:rsidRPr="00E25845">
        <w:rPr>
          <w:rFonts w:ascii="Times New Roman" w:hAnsi="Times New Roman"/>
          <w:i/>
          <w:iCs/>
        </w:rPr>
        <w:t>Construction, Forestry, Maritime, Mining and Energy Union v Personnel Contracting Pty Ltd</w:t>
      </w:r>
      <w:r w:rsidRPr="00E25845">
        <w:rPr>
          <w:rFonts w:ascii="Times New Roman" w:hAnsi="Times New Roman"/>
        </w:rPr>
        <w:t xml:space="preserve"> ("</w:t>
      </w:r>
      <w:r w:rsidRPr="00E25845">
        <w:rPr>
          <w:rFonts w:ascii="Times New Roman" w:hAnsi="Times New Roman"/>
          <w:i/>
          <w:iCs/>
        </w:rPr>
        <w:t>Personnel Contracting</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employment was explained as a voluntary relationship in which the employee performs some service for the employer in return for remuneration.</w:t>
      </w:r>
      <w:r w:rsidRPr="00E25845">
        <w:rPr>
          <w:rStyle w:val="FootnoteReference"/>
          <w:rFonts w:ascii="Times New Roman" w:hAnsi="Times New Roman"/>
          <w:sz w:val="24"/>
        </w:rPr>
        <w:footnoteReference w:id="207"/>
      </w:r>
      <w:r w:rsidRPr="00E25845">
        <w:rPr>
          <w:rFonts w:ascii="Times New Roman" w:hAnsi="Times New Roman"/>
        </w:rPr>
        <w:t xml:space="preserve"> Kiefel CJ, Keane and Edelman JJ noted that "the existence of a right of control by a putative employer over the activities of the putative employee serves to sensitise one to the subservient and dependent nature of the work of the employee".</w:t>
      </w:r>
      <w:r w:rsidRPr="00E25845">
        <w:rPr>
          <w:rStyle w:val="FootnoteReference"/>
          <w:rFonts w:ascii="Times New Roman" w:hAnsi="Times New Roman"/>
          <w:sz w:val="24"/>
        </w:rPr>
        <w:footnoteReference w:id="208"/>
      </w:r>
      <w:r w:rsidRPr="00E25845">
        <w:rPr>
          <w:rFonts w:ascii="Times New Roman" w:hAnsi="Times New Roman"/>
        </w:rPr>
        <w:t xml:space="preserve"> Their Honours also explained that the "own business/employer's business" dichotomy usefully focuses attention on whether the work done was "so subordinate to the employer's business that it can be seen to have been performed as an employee of that business rather than as part of an independent enterprise".</w:t>
      </w:r>
      <w:r w:rsidRPr="00E25845">
        <w:rPr>
          <w:rStyle w:val="FootnoteReference"/>
          <w:rFonts w:ascii="Times New Roman" w:hAnsi="Times New Roman"/>
          <w:sz w:val="24"/>
        </w:rPr>
        <w:footnoteReference w:id="209"/>
      </w:r>
    </w:p>
    <w:p w14:paraId="76D72CA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key aspects of the employment relationship focus attention upon the integration of the worker's role into the enterprise and the centrality of the worker's role to the enterprise. Where a person's role in an enterprise has the characteristics of subservience and dependence, subordination, and integration, the reasons for imposing vicarious liability on the enterprise for an employee's torts apply with the same force to torts committed in the performance of that role even though the person is not bound by a contract of employment.   </w:t>
      </w:r>
    </w:p>
    <w:p w14:paraId="37DA387A"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Vicarious liability apart from an employment relationship in Australia?</w:t>
      </w:r>
    </w:p>
    <w:p w14:paraId="49B5606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plurality consider that an employment relationship is a necessary precursor to a finding of vicarious liability, in the most accurate sense of attributing liability for the wrongdoing of another regardless of fault on the part of the defendant.</w:t>
      </w:r>
      <w:r w:rsidRPr="00E25845">
        <w:rPr>
          <w:rStyle w:val="FootnoteReference"/>
          <w:rFonts w:ascii="Times New Roman" w:hAnsi="Times New Roman"/>
          <w:sz w:val="24"/>
        </w:rPr>
        <w:footnoteReference w:id="210"/>
      </w:r>
      <w:r w:rsidRPr="00E25845">
        <w:rPr>
          <w:rFonts w:ascii="Times New Roman" w:hAnsi="Times New Roman"/>
        </w:rPr>
        <w:t xml:space="preserve"> I do not accept that this is an accurate statement of the position under the common law of Australia. As discussed below, a significant exception to that conception of vicarious liability is the liability that is imposed on the owner or bailee of a motor vehicle for torts committed by a driver of that vehicle.</w:t>
      </w:r>
    </w:p>
    <w:p w14:paraId="4E3F750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I also do not agree with the plurality's contention</w:t>
      </w:r>
      <w:r w:rsidRPr="00E25845">
        <w:rPr>
          <w:rStyle w:val="FootnoteReference"/>
          <w:rFonts w:ascii="Times New Roman" w:hAnsi="Times New Roman"/>
          <w:sz w:val="24"/>
        </w:rPr>
        <w:footnoteReference w:id="211"/>
      </w:r>
      <w:r w:rsidRPr="00E25845">
        <w:rPr>
          <w:rFonts w:ascii="Times New Roman" w:hAnsi="Times New Roman"/>
        </w:rPr>
        <w:t xml:space="preserve"> that a decision imposing vicarious liability on the Diocese in this case would require this Court to overturn </w:t>
      </w:r>
      <w:r w:rsidRPr="00E25845">
        <w:rPr>
          <w:rFonts w:ascii="Times New Roman" w:hAnsi="Times New Roman"/>
          <w:i/>
          <w:iCs/>
        </w:rPr>
        <w:t>Hollis</w:t>
      </w:r>
      <w:r w:rsidRPr="00E25845">
        <w:rPr>
          <w:rFonts w:ascii="Times New Roman" w:hAnsi="Times New Roman"/>
        </w:rPr>
        <w:t xml:space="preserve">, </w:t>
      </w:r>
      <w:r w:rsidRPr="00E25845">
        <w:rPr>
          <w:rFonts w:ascii="Times New Roman" w:hAnsi="Times New Roman"/>
          <w:i/>
          <w:iCs/>
        </w:rPr>
        <w:t>Sweeney</w:t>
      </w:r>
      <w:r w:rsidRPr="00E25845">
        <w:rPr>
          <w:rFonts w:ascii="Times New Roman" w:hAnsi="Times New Roman"/>
        </w:rPr>
        <w:t xml:space="preserve">, </w:t>
      </w:r>
      <w:r w:rsidRPr="00E25845">
        <w:rPr>
          <w:rFonts w:ascii="Times New Roman" w:hAnsi="Times New Roman"/>
          <w:i/>
          <w:iCs/>
        </w:rPr>
        <w:t>Scott v Davis</w:t>
      </w:r>
      <w:r w:rsidRPr="00E25845">
        <w:rPr>
          <w:rStyle w:val="FootnoteReference"/>
          <w:rFonts w:ascii="Times New Roman" w:hAnsi="Times New Roman"/>
          <w:sz w:val="24"/>
        </w:rPr>
        <w:footnoteReference w:id="212"/>
      </w:r>
      <w:r w:rsidRPr="00E25845">
        <w:rPr>
          <w:rFonts w:ascii="Times New Roman" w:hAnsi="Times New Roman"/>
        </w:rPr>
        <w:t xml:space="preserve"> and </w:t>
      </w:r>
      <w:r w:rsidRPr="00E25845">
        <w:rPr>
          <w:rFonts w:ascii="Times New Roman" w:hAnsi="Times New Roman"/>
          <w:i/>
          <w:iCs/>
        </w:rPr>
        <w:t>Lepore</w:t>
      </w:r>
      <w:r w:rsidRPr="00E25845">
        <w:rPr>
          <w:rFonts w:ascii="Times New Roman" w:hAnsi="Times New Roman"/>
        </w:rPr>
        <w:t>. The question whether vicarious liability arises in the context of the relationship between a diocese and a parish priest has not previously arisen in this Court. While it is true that vicarious liability is almost always imposed on an employer for the torts of an employee, the cases that state that employment relationships give rise to vicarious liability have concerned either: (1) the scope of employment (with the prospect of imposing vicarious liability on a relationship other than an employment relationship not being in issue); or (2) an assumed dichotomy between the relationships of employer and employee, and principal and independent contractor. Accordingly, those cases do not bear directly on the question in this appeal of whether relationships that are akin to employment attract vicarious liability. A case is not authority for a proposition that is not argued.</w:t>
      </w:r>
      <w:r w:rsidRPr="00E25845">
        <w:rPr>
          <w:rStyle w:val="FootnoteReference"/>
          <w:rFonts w:ascii="Times New Roman" w:hAnsi="Times New Roman"/>
          <w:sz w:val="24"/>
        </w:rPr>
        <w:footnoteReference w:id="213"/>
      </w:r>
    </w:p>
    <w:p w14:paraId="737A71A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t>Lepore</w:t>
      </w:r>
      <w:r w:rsidRPr="00E25845">
        <w:rPr>
          <w:rFonts w:ascii="Times New Roman" w:hAnsi="Times New Roman"/>
        </w:rPr>
        <w:t>,</w:t>
      </w:r>
      <w:r w:rsidRPr="00E25845">
        <w:rPr>
          <w:rFonts w:ascii="Times New Roman" w:hAnsi="Times New Roman"/>
          <w:i/>
          <w:iCs/>
        </w:rPr>
        <w:t xml:space="preserve"> Prince Alfred College Inc v ADC</w:t>
      </w:r>
      <w:r w:rsidRPr="00E25845">
        <w:rPr>
          <w:rFonts w:ascii="Times New Roman" w:hAnsi="Times New Roman"/>
        </w:rPr>
        <w:t>,</w:t>
      </w:r>
      <w:r w:rsidRPr="00E25845">
        <w:rPr>
          <w:rStyle w:val="FootnoteReference"/>
          <w:rFonts w:ascii="Times New Roman" w:hAnsi="Times New Roman"/>
          <w:sz w:val="24"/>
        </w:rPr>
        <w:footnoteReference w:id="214"/>
      </w:r>
      <w:r w:rsidRPr="00E25845">
        <w:rPr>
          <w:rFonts w:ascii="Times New Roman" w:hAnsi="Times New Roman"/>
          <w:i/>
          <w:iCs/>
        </w:rPr>
        <w:t xml:space="preserve"> </w:t>
      </w:r>
      <w:r w:rsidRPr="00E25845">
        <w:rPr>
          <w:rFonts w:ascii="Times New Roman" w:hAnsi="Times New Roman"/>
        </w:rPr>
        <w:t xml:space="preserve">and </w:t>
      </w:r>
      <w:r w:rsidRPr="00E25845">
        <w:rPr>
          <w:rFonts w:ascii="Times New Roman" w:hAnsi="Times New Roman"/>
          <w:i/>
          <w:iCs/>
        </w:rPr>
        <w:t>CCIG Investments Pty Ltd v</w:t>
      </w:r>
      <w:r w:rsidRPr="00E25845">
        <w:rPr>
          <w:rFonts w:ascii="Times New Roman" w:hAnsi="Times New Roman"/>
        </w:rPr>
        <w:t xml:space="preserve"> </w:t>
      </w:r>
      <w:r w:rsidRPr="00E25845">
        <w:rPr>
          <w:rFonts w:ascii="Times New Roman" w:hAnsi="Times New Roman"/>
          <w:i/>
          <w:iCs/>
        </w:rPr>
        <w:t>Schokman</w:t>
      </w:r>
      <w:r w:rsidRPr="00E25845">
        <w:rPr>
          <w:rStyle w:val="FootnoteReference"/>
          <w:rFonts w:ascii="Times New Roman" w:hAnsi="Times New Roman"/>
          <w:sz w:val="24"/>
        </w:rPr>
        <w:footnoteReference w:id="215"/>
      </w:r>
      <w:r w:rsidRPr="00E25845">
        <w:rPr>
          <w:rFonts w:ascii="Times New Roman" w:hAnsi="Times New Roman"/>
          <w:i/>
          <w:iCs/>
        </w:rPr>
        <w:t xml:space="preserve"> </w:t>
      </w:r>
      <w:r w:rsidRPr="00E25845">
        <w:rPr>
          <w:rFonts w:ascii="Times New Roman" w:hAnsi="Times New Roman"/>
        </w:rPr>
        <w:t xml:space="preserve">are all cases that were concerned with whether a tortfeasor had committed a tort within the scope of their employment. In </w:t>
      </w:r>
      <w:r w:rsidRPr="00E25845">
        <w:rPr>
          <w:rFonts w:ascii="Times New Roman" w:hAnsi="Times New Roman"/>
          <w:i/>
          <w:iCs/>
        </w:rPr>
        <w:t>Lepore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in which the Court delivered six separate judgments, Gaudron J explicitly rejected the proposition that vicarious liability for another's deliberate criminal acts is necessarily limited to the acts of an employee, stating:</w:t>
      </w:r>
      <w:r w:rsidRPr="00E25845">
        <w:rPr>
          <w:rStyle w:val="FootnoteReference"/>
          <w:rFonts w:ascii="Times New Roman" w:hAnsi="Times New Roman"/>
          <w:sz w:val="24"/>
        </w:rPr>
        <w:footnoteReference w:id="216"/>
      </w:r>
    </w:p>
    <w:p w14:paraId="3B67E0A6"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"The only principled basis upon which vicarious liability can be imposed for the deliberate criminal acts of another, in my view, is that the person against whom liability is asserted is estopped from asserting that the person whose acts are in question was not acting as his or her servant, agent or representative when the acts occurred. And on that basis, vicarious liability is not necessarily limited to the acts of an employee, but might properly extend to those of an independent contractor or other person who, although as a strict matter of law, is acting as principal, might reasonably </w:t>
      </w:r>
      <w:r w:rsidRPr="00E25845">
        <w:rPr>
          <w:rFonts w:ascii="Times New Roman" w:hAnsi="Times New Roman"/>
        </w:rPr>
        <w:lastRenderedPageBreak/>
        <w:t>be thought to be acting as the servant, agent or representative of the person against whom liability is asserted."</w:t>
      </w:r>
    </w:p>
    <w:p w14:paraId="1B22223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the principal question was whether the wrongdoer was the defendant's employee or its independent contractor. </w:t>
      </w:r>
      <w:r w:rsidRPr="00E25845">
        <w:rPr>
          <w:rFonts w:ascii="Times New Roman" w:hAnsi="Times New Roman"/>
          <w:i/>
          <w:iCs/>
        </w:rPr>
        <w:t xml:space="preserve">Scott </w:t>
      </w:r>
      <w:r w:rsidRPr="00E25845">
        <w:rPr>
          <w:rFonts w:ascii="Times New Roman" w:hAnsi="Times New Roman"/>
        </w:rPr>
        <w:t xml:space="preserve">is the only relatively recent decision of this Court about vicarious liability to arise in the context of a relationship where it was accepted that the tortfeasor was not an employee. The decision in </w:t>
      </w:r>
      <w:r w:rsidRPr="00E25845">
        <w:rPr>
          <w:rFonts w:ascii="Times New Roman" w:hAnsi="Times New Roman"/>
          <w:i/>
          <w:iCs/>
        </w:rPr>
        <w:t>Scott</w:t>
      </w:r>
      <w:r w:rsidRPr="00E25845">
        <w:rPr>
          <w:rFonts w:ascii="Times New Roman" w:hAnsi="Times New Roman"/>
        </w:rPr>
        <w:t xml:space="preserve"> turned on the decision of this Court in </w:t>
      </w:r>
      <w:r w:rsidRPr="00E25845">
        <w:rPr>
          <w:rFonts w:ascii="Times New Roman" w:hAnsi="Times New Roman"/>
          <w:i/>
          <w:iCs/>
        </w:rPr>
        <w:t>Soblusky v Egan</w:t>
      </w:r>
      <w:r w:rsidRPr="00E25845">
        <w:rPr>
          <w:rFonts w:ascii="Times New Roman" w:hAnsi="Times New Roman"/>
        </w:rPr>
        <w:t>.</w:t>
      </w:r>
      <w:r w:rsidRPr="00E25845">
        <w:rPr>
          <w:rStyle w:val="FootnoteReference"/>
          <w:rFonts w:ascii="Times New Roman" w:hAnsi="Times New Roman"/>
          <w:sz w:val="24"/>
        </w:rPr>
        <w:footnoteReference w:id="217"/>
      </w:r>
    </w:p>
    <w:p w14:paraId="07884126"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Soblusky and Scott</w:t>
      </w:r>
    </w:p>
    <w:p w14:paraId="1138111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Having regard to the diverse reasoning in </w:t>
      </w:r>
      <w:r w:rsidRPr="00E25845">
        <w:rPr>
          <w:rFonts w:ascii="Times New Roman" w:hAnsi="Times New Roman"/>
          <w:i/>
          <w:iCs/>
        </w:rPr>
        <w:t xml:space="preserve">Scott </w:t>
      </w:r>
      <w:r w:rsidRPr="00E25845">
        <w:rPr>
          <w:rFonts w:ascii="Times New Roman" w:hAnsi="Times New Roman"/>
        </w:rPr>
        <w:t>that is set out below</w:t>
      </w:r>
      <w:r w:rsidRPr="00E25845">
        <w:rPr>
          <w:rFonts w:ascii="Times New Roman" w:hAnsi="Times New Roman"/>
          <w:i/>
          <w:iCs/>
        </w:rPr>
        <w:t xml:space="preserve">, </w:t>
      </w:r>
      <w:r w:rsidRPr="00E25845">
        <w:rPr>
          <w:rFonts w:ascii="Times New Roman" w:hAnsi="Times New Roman"/>
        </w:rPr>
        <w:t xml:space="preserve">there is no identifiable aspect of the decision that would need to be re-opened to reach a conclusion that the relationship between the Diocese and Coffey was capable of giving rise to vicarious liability even though it was not an employment relationship. Instead, </w:t>
      </w:r>
      <w:r w:rsidRPr="00E25845">
        <w:rPr>
          <w:rFonts w:ascii="Times New Roman" w:hAnsi="Times New Roman"/>
          <w:i/>
          <w:iCs/>
        </w:rPr>
        <w:t xml:space="preserve">Scott </w:t>
      </w:r>
      <w:r w:rsidRPr="00E25845">
        <w:rPr>
          <w:rFonts w:ascii="Times New Roman" w:hAnsi="Times New Roman"/>
        </w:rPr>
        <w:t xml:space="preserve">should be treated as a case, decided prior to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in which the Court confirmed that vicarious liability was capable of arising in the relationship of a bailee and a driver of a motor vehicle</w:t>
      </w:r>
      <w:r w:rsidRPr="00E25845">
        <w:rPr>
          <w:rFonts w:ascii="Times New Roman" w:hAnsi="Times New Roman"/>
          <w:i/>
          <w:iCs/>
        </w:rPr>
        <w:t xml:space="preserve"> </w:t>
      </w:r>
      <w:r w:rsidRPr="00E25845">
        <w:rPr>
          <w:rFonts w:ascii="Times New Roman" w:hAnsi="Times New Roman"/>
        </w:rPr>
        <w:t xml:space="preserve">and, accordingly, did not insist upon an employment relationship as a precursor to vicarious liability. Rather, the Court maintained the "branch" that </w:t>
      </w:r>
      <w:r w:rsidRPr="00E25845">
        <w:rPr>
          <w:rFonts w:ascii="Times New Roman" w:hAnsi="Times New Roman"/>
          <w:i/>
          <w:iCs/>
        </w:rPr>
        <w:t xml:space="preserve">Soblusky </w:t>
      </w:r>
      <w:r w:rsidRPr="00E25845">
        <w:rPr>
          <w:rFonts w:ascii="Times New Roman" w:hAnsi="Times New Roman"/>
        </w:rPr>
        <w:t>recognised to have grown from the "main trunk of traditional doctrine governing vicarious responsibility".</w:t>
      </w:r>
      <w:r w:rsidRPr="00E25845">
        <w:rPr>
          <w:rStyle w:val="FootnoteReference"/>
          <w:rFonts w:ascii="Times New Roman" w:hAnsi="Times New Roman"/>
          <w:sz w:val="24"/>
        </w:rPr>
        <w:footnoteReference w:id="218"/>
      </w:r>
    </w:p>
    <w:p w14:paraId="2EF57C3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t xml:space="preserve">Soblusky </w:t>
      </w:r>
      <w:r w:rsidRPr="00E25845">
        <w:rPr>
          <w:rFonts w:ascii="Times New Roman" w:hAnsi="Times New Roman"/>
        </w:rPr>
        <w:t>holds that the owner or bailee of a motor vehicle is vicariously liable for the negligence of the driver whose management of the vehicle is "in fact and law subject to direction and control" by the owner or bailee.</w:t>
      </w:r>
      <w:r w:rsidRPr="00E25845">
        <w:rPr>
          <w:rStyle w:val="FootnoteReference"/>
          <w:rFonts w:ascii="Times New Roman" w:hAnsi="Times New Roman"/>
          <w:sz w:val="24"/>
        </w:rPr>
        <w:footnoteReference w:id="219"/>
      </w:r>
      <w:r w:rsidRPr="00E25845">
        <w:rPr>
          <w:rFonts w:ascii="Times New Roman" w:hAnsi="Times New Roman"/>
        </w:rPr>
        <w:t xml:space="preserve"> This principle is not in any way concerned with a relationship of employment. </w:t>
      </w:r>
    </w:p>
    <w:p w14:paraId="1AAB65C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facts of the case were that the bailee of a motor vehicle was a passenger in the vehicle. While he was asleep, the vehicle was involved in an accident caused by the negligence of the driver and the passengers in the vehicle sustained bodily injuries. This Court held that the bailee was vicariously liable for the driver's negligence. </w:t>
      </w:r>
    </w:p>
    <w:p w14:paraId="3C6B8F2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Court (Dixon CJ, Kitto and Windeyer JJ) reasoned that the relevant principle applied even though the bailee was asleep because "in point of law ... he is driving by his agent" and the fact that he was asleep "meant no more than a </w:t>
      </w:r>
      <w:r w:rsidRPr="00E25845">
        <w:rPr>
          <w:rFonts w:ascii="Times New Roman" w:hAnsi="Times New Roman"/>
        </w:rPr>
        <w:lastRenderedPageBreak/>
        <w:t>complete delegation to his agent during his unconsciousness."</w:t>
      </w:r>
      <w:r w:rsidRPr="00E25845">
        <w:rPr>
          <w:rStyle w:val="FootnoteReference"/>
          <w:rFonts w:ascii="Times New Roman" w:hAnsi="Times New Roman"/>
          <w:sz w:val="24"/>
        </w:rPr>
        <w:footnoteReference w:id="220"/>
      </w:r>
      <w:r w:rsidRPr="00E25845">
        <w:rPr>
          <w:rFonts w:ascii="Times New Roman" w:hAnsi="Times New Roman"/>
        </w:rPr>
        <w:t xml:space="preserve"> The agency relationship was said to arise from the bailee's "full legal authority to direct what is done with [the vehicle]" and his appointment of "another to do the manual work of managing it and to do this on his behalf in circumstances where he can always assert his power of control".</w:t>
      </w:r>
      <w:r w:rsidRPr="00E25845">
        <w:rPr>
          <w:rStyle w:val="FootnoteReference"/>
          <w:rFonts w:ascii="Times New Roman" w:hAnsi="Times New Roman"/>
          <w:sz w:val="24"/>
        </w:rPr>
        <w:footnoteReference w:id="221"/>
      </w:r>
      <w:r w:rsidRPr="00E25845">
        <w:rPr>
          <w:rFonts w:ascii="Times New Roman" w:hAnsi="Times New Roman"/>
        </w:rPr>
        <w:t xml:space="preserve"> This reasoning suggests that the case may have been decided on the basis that the driver's acts, rather than his liability, were attributed to the bailee. However, that conclusion is a tenuous one. This Court's decision in </w:t>
      </w:r>
      <w:r w:rsidRPr="00E25845">
        <w:rPr>
          <w:rFonts w:ascii="Times New Roman" w:hAnsi="Times New Roman"/>
          <w:i/>
          <w:iCs/>
        </w:rPr>
        <w:t>Colonial Mutual</w:t>
      </w:r>
      <w:r w:rsidRPr="00E25845">
        <w:rPr>
          <w:rFonts w:ascii="Times New Roman" w:hAnsi="Times New Roman"/>
        </w:rPr>
        <w:t xml:space="preserve"> </w:t>
      </w:r>
      <w:r w:rsidRPr="00E25845">
        <w:rPr>
          <w:rFonts w:ascii="Times New Roman" w:hAnsi="Times New Roman"/>
          <w:i/>
          <w:iCs/>
        </w:rPr>
        <w:t>Life Assurance Society Ltd v Producers and Citizens Co-operative Assurance Co of Australia Ltd</w:t>
      </w:r>
      <w:r w:rsidRPr="00E25845">
        <w:rPr>
          <w:rFonts w:ascii="Times New Roman" w:hAnsi="Times New Roman"/>
        </w:rPr>
        <w:t>,</w:t>
      </w:r>
      <w:r w:rsidRPr="00E25845">
        <w:rPr>
          <w:rStyle w:val="FootnoteReference"/>
          <w:rFonts w:ascii="Times New Roman" w:hAnsi="Times New Roman"/>
          <w:sz w:val="24"/>
        </w:rPr>
        <w:footnoteReference w:id="222"/>
      </w:r>
      <w:r w:rsidRPr="00E25845">
        <w:rPr>
          <w:rFonts w:ascii="Times New Roman" w:hAnsi="Times New Roman"/>
        </w:rPr>
        <w:t xml:space="preserve"> the leading authority in respect of when an agent's acts can be attributed to their principal,</w:t>
      </w:r>
      <w:r w:rsidRPr="00E25845">
        <w:rPr>
          <w:rFonts w:ascii="Times New Roman" w:hAnsi="Times New Roman"/>
          <w:i/>
          <w:iCs/>
        </w:rPr>
        <w:t xml:space="preserve"> </w:t>
      </w:r>
      <w:r w:rsidRPr="00E25845">
        <w:rPr>
          <w:rFonts w:ascii="Times New Roman" w:hAnsi="Times New Roman"/>
        </w:rPr>
        <w:t xml:space="preserve">was not referred to in the Court's judgment. Moreover, the Court's language of "complete delegation" in the reasons set out above acknowledges the absence of any true capacity of the bailee to assert the power of control, and points to the artificiality of attributing the driver's negligence to the bailee. Indeed, this aspect of the Court's reasoning was later doubted by Gummow J and Hayne J in </w:t>
      </w:r>
      <w:r w:rsidRPr="00E25845">
        <w:rPr>
          <w:rFonts w:ascii="Times New Roman" w:hAnsi="Times New Roman"/>
          <w:i/>
          <w:iCs/>
        </w:rPr>
        <w:t>Scott</w:t>
      </w:r>
      <w:r w:rsidRPr="00E25845">
        <w:rPr>
          <w:rFonts w:ascii="Times New Roman" w:hAnsi="Times New Roman"/>
        </w:rPr>
        <w:t xml:space="preserve">. </w:t>
      </w:r>
    </w:p>
    <w:p w14:paraId="055FB68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Scott</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the issue that arose for consideration was whether the owner of a light aeroplane was vicariously liable for the pilot's negligence that caused the aeroplane to crash. The pilot was not the owner's employee. Gleeson CJ, considering cases including </w:t>
      </w:r>
      <w:r w:rsidRPr="00E25845">
        <w:rPr>
          <w:rFonts w:ascii="Times New Roman" w:hAnsi="Times New Roman"/>
          <w:i/>
          <w:iCs/>
        </w:rPr>
        <w:t>Soblusky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found that the owner was not liable because he was not in a position to assert a power of control over the manner in which the pilot was flying the aeroplane and because the pilot was neither in fact, nor in law, subject to the owner's direction and control at the critical time.</w:t>
      </w:r>
      <w:r w:rsidRPr="00E25845">
        <w:rPr>
          <w:rStyle w:val="FootnoteReference"/>
          <w:rFonts w:ascii="Times New Roman" w:hAnsi="Times New Roman"/>
          <w:sz w:val="24"/>
        </w:rPr>
        <w:footnoteReference w:id="223"/>
      </w:r>
      <w:r w:rsidRPr="00E25845">
        <w:rPr>
          <w:rFonts w:ascii="Times New Roman" w:hAnsi="Times New Roman"/>
        </w:rPr>
        <w:t xml:space="preserve"> Nor was the pilot the representative or delegate of the owner so as to render the owner liable in accordance with </w:t>
      </w:r>
      <w:r w:rsidRPr="00E25845">
        <w:rPr>
          <w:rFonts w:ascii="Times New Roman" w:hAnsi="Times New Roman"/>
          <w:i/>
          <w:iCs/>
        </w:rPr>
        <w:t>Colonial Mutual Life.</w:t>
      </w:r>
      <w:r w:rsidRPr="00E25845">
        <w:rPr>
          <w:rStyle w:val="FootnoteReference"/>
          <w:rFonts w:ascii="Times New Roman" w:hAnsi="Times New Roman"/>
          <w:sz w:val="24"/>
        </w:rPr>
        <w:footnoteReference w:id="224"/>
      </w:r>
      <w:r w:rsidRPr="00E25845">
        <w:rPr>
          <w:rFonts w:ascii="Times New Roman" w:hAnsi="Times New Roman"/>
        </w:rPr>
        <w:t xml:space="preserve"> Gleeson CJ did not reason that the owner of the aeroplane was not vicariously liable merely because the pilot was not his employee.</w:t>
      </w:r>
      <w:r w:rsidRPr="00E25845">
        <w:rPr>
          <w:rFonts w:ascii="Times New Roman" w:hAnsi="Times New Roman"/>
          <w:i/>
          <w:iCs/>
        </w:rPr>
        <w:t xml:space="preserve"> </w:t>
      </w:r>
    </w:p>
    <w:p w14:paraId="43EAB12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Gummow J provided a detailed analysis of the case law prior to </w:t>
      </w:r>
      <w:r w:rsidRPr="00E25845">
        <w:rPr>
          <w:rFonts w:ascii="Times New Roman" w:hAnsi="Times New Roman"/>
          <w:i/>
          <w:iCs/>
        </w:rPr>
        <w:t>Soblusky</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including the history by which "agency" had become the preferred basis for the principle of "vicarious" liability in cases involving the liability of a vehicle owner for the driver's negligence.</w:t>
      </w:r>
      <w:r w:rsidRPr="00E25845">
        <w:rPr>
          <w:rStyle w:val="FootnoteReference"/>
          <w:rFonts w:ascii="Times New Roman" w:hAnsi="Times New Roman"/>
          <w:sz w:val="24"/>
        </w:rPr>
        <w:footnoteReference w:id="225"/>
      </w:r>
      <w:r w:rsidRPr="00E25845">
        <w:rPr>
          <w:rFonts w:ascii="Times New Roman" w:hAnsi="Times New Roman"/>
        </w:rPr>
        <w:t xml:space="preserve"> Gummow J concluded that "any general principle </w:t>
      </w:r>
      <w:r w:rsidRPr="00E25845">
        <w:rPr>
          <w:rFonts w:ascii="Times New Roman" w:hAnsi="Times New Roman"/>
        </w:rPr>
        <w:lastRenderedPageBreak/>
        <w:t>respecting 'agency' and 'vicarious liability' derived from [</w:t>
      </w:r>
      <w:r w:rsidRPr="00E25845">
        <w:rPr>
          <w:rFonts w:ascii="Times New Roman" w:hAnsi="Times New Roman"/>
          <w:i/>
          <w:iCs/>
        </w:rPr>
        <w:t>Soblusky</w:t>
      </w:r>
      <w:r w:rsidRPr="00E25845">
        <w:rPr>
          <w:rFonts w:ascii="Times New Roman" w:hAnsi="Times New Roman"/>
        </w:rPr>
        <w:t>] cannot have a sound foundation".</w:t>
      </w:r>
      <w:r w:rsidRPr="00E25845">
        <w:rPr>
          <w:rStyle w:val="FootnoteReference"/>
          <w:rFonts w:ascii="Times New Roman" w:hAnsi="Times New Roman"/>
          <w:sz w:val="24"/>
        </w:rPr>
        <w:footnoteReference w:id="226"/>
      </w:r>
      <w:r w:rsidRPr="00E25845">
        <w:rPr>
          <w:rFonts w:ascii="Times New Roman" w:hAnsi="Times New Roman"/>
        </w:rPr>
        <w:t xml:space="preserve"> </w:t>
      </w:r>
    </w:p>
    <w:p w14:paraId="1D9A5FD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Concerning the evolution of the tortious liability of a master for the acts of his servant, Gummow J noted that vicarious liability in the common law was derived from medieval notions of "headship of a household, including wives and servants, whereby their legal standing was absorbed into that of the master",</w:t>
      </w:r>
      <w:r w:rsidRPr="00E25845">
        <w:rPr>
          <w:rStyle w:val="FootnoteReference"/>
          <w:rFonts w:ascii="Times New Roman" w:hAnsi="Times New Roman"/>
          <w:sz w:val="24"/>
        </w:rPr>
        <w:footnoteReference w:id="227"/>
      </w:r>
      <w:r w:rsidRPr="00E25845">
        <w:rPr>
          <w:rFonts w:ascii="Times New Roman" w:hAnsi="Times New Roman"/>
        </w:rPr>
        <w:t xml:space="preserve"> and accepted that "there can be a relationship between tort and agency, but ... the extent thereof remains a matter of debate".</w:t>
      </w:r>
      <w:r w:rsidRPr="00E25845">
        <w:rPr>
          <w:rStyle w:val="FootnoteReference"/>
          <w:rFonts w:ascii="Times New Roman" w:hAnsi="Times New Roman"/>
          <w:sz w:val="24"/>
        </w:rPr>
        <w:footnoteReference w:id="228"/>
      </w:r>
      <w:r w:rsidRPr="00E25845">
        <w:rPr>
          <w:rFonts w:ascii="Times New Roman" w:hAnsi="Times New Roman"/>
        </w:rPr>
        <w:t xml:space="preserve"> Gummow J considered that the House of Lords decision in </w:t>
      </w:r>
      <w:r w:rsidRPr="00E25845">
        <w:rPr>
          <w:rFonts w:ascii="Times New Roman" w:hAnsi="Times New Roman"/>
          <w:i/>
          <w:iCs/>
        </w:rPr>
        <w:t>Morgans v Launchbury</w:t>
      </w:r>
      <w:r w:rsidRPr="00E25845">
        <w:rPr>
          <w:rFonts w:ascii="Times New Roman" w:hAnsi="Times New Roman"/>
        </w:rPr>
        <w:t>,</w:t>
      </w:r>
      <w:r w:rsidRPr="00E25845">
        <w:rPr>
          <w:rStyle w:val="FootnoteReference"/>
          <w:rFonts w:ascii="Times New Roman" w:hAnsi="Times New Roman"/>
          <w:sz w:val="24"/>
        </w:rPr>
        <w:footnoteReference w:id="229"/>
      </w:r>
      <w:r w:rsidRPr="00E25845">
        <w:rPr>
          <w:rFonts w:ascii="Times New Roman" w:hAnsi="Times New Roman"/>
          <w:i/>
          <w:iCs/>
        </w:rPr>
        <w:t xml:space="preserve"> </w:t>
      </w:r>
      <w:r w:rsidRPr="00E25845">
        <w:rPr>
          <w:rFonts w:ascii="Times New Roman" w:hAnsi="Times New Roman"/>
        </w:rPr>
        <w:t>and the cases upon which it rested, "appear to introduce a new type of agent, who is not an employee, nor an independent contractor; rather, it is 'one whose job is not to make contracts but to do such favours as driving cars for his temporary principal'".</w:t>
      </w:r>
      <w:r w:rsidRPr="00E25845">
        <w:rPr>
          <w:rStyle w:val="FootnoteReference"/>
          <w:rFonts w:ascii="Times New Roman" w:hAnsi="Times New Roman"/>
          <w:sz w:val="24"/>
        </w:rPr>
        <w:footnoteReference w:id="230"/>
      </w:r>
      <w:r w:rsidRPr="00E25845">
        <w:rPr>
          <w:rFonts w:ascii="Times New Roman" w:hAnsi="Times New Roman"/>
        </w:rPr>
        <w:t xml:space="preserve"> Gummow J ultimately concluded that "[t]he principle of 'vicarious' liability [in these cases] does not rest upon 'agency', in its proper sense, nor simply upon the employment relationship".</w:t>
      </w:r>
      <w:r w:rsidRPr="00E25845">
        <w:rPr>
          <w:rStyle w:val="FootnoteReference"/>
          <w:rFonts w:ascii="Times New Roman" w:hAnsi="Times New Roman"/>
          <w:sz w:val="24"/>
        </w:rPr>
        <w:footnoteReference w:id="231"/>
      </w:r>
      <w:r w:rsidRPr="00E25845">
        <w:rPr>
          <w:rFonts w:ascii="Times New Roman" w:hAnsi="Times New Roman"/>
        </w:rPr>
        <w:t xml:space="preserve"> </w:t>
      </w:r>
    </w:p>
    <w:p w14:paraId="465C541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Hayne J considered that, contrary to how </w:t>
      </w:r>
      <w:r w:rsidRPr="00E25845">
        <w:rPr>
          <w:rFonts w:ascii="Times New Roman" w:hAnsi="Times New Roman"/>
          <w:i/>
          <w:iCs/>
        </w:rPr>
        <w:t>Soblusky</w:t>
      </w:r>
      <w:r w:rsidRPr="00E25845">
        <w:rPr>
          <w:rFonts w:ascii="Times New Roman" w:hAnsi="Times New Roman"/>
        </w:rPr>
        <w:t xml:space="preserve"> had purportedly been reasoned, the cases involving liability for another's negligent use of a chattel had been concerned with inferences of vicarious liability, and "not inferences of direct liability".</w:t>
      </w:r>
      <w:r w:rsidRPr="00E25845">
        <w:rPr>
          <w:rStyle w:val="FootnoteReference"/>
          <w:rFonts w:ascii="Times New Roman" w:hAnsi="Times New Roman"/>
          <w:sz w:val="24"/>
        </w:rPr>
        <w:footnoteReference w:id="232"/>
      </w:r>
      <w:r w:rsidRPr="00E25845">
        <w:rPr>
          <w:rFonts w:ascii="Times New Roman" w:hAnsi="Times New Roman"/>
        </w:rPr>
        <w:t xml:space="preserve"> In particular, Hayne J acknowledged that, since the bailee of the vehicle in </w:t>
      </w:r>
      <w:r w:rsidRPr="00E25845">
        <w:rPr>
          <w:rFonts w:ascii="Times New Roman" w:hAnsi="Times New Roman"/>
          <w:i/>
          <w:iCs/>
        </w:rPr>
        <w:t>Soblusky</w:t>
      </w:r>
      <w:r w:rsidRPr="00E25845">
        <w:rPr>
          <w:rFonts w:ascii="Times New Roman" w:hAnsi="Times New Roman"/>
        </w:rPr>
        <w:t xml:space="preserve"> was asleep in the vehicle at the time of the accident, the decision in that case "did not depend on any finding that the [bailee] had in fact directed the commission of the tort".</w:t>
      </w:r>
      <w:r w:rsidRPr="00E25845">
        <w:rPr>
          <w:rStyle w:val="FootnoteReference"/>
          <w:rFonts w:ascii="Times New Roman" w:hAnsi="Times New Roman"/>
          <w:sz w:val="24"/>
        </w:rPr>
        <w:footnoteReference w:id="233"/>
      </w:r>
      <w:r w:rsidRPr="00E25845">
        <w:rPr>
          <w:rFonts w:ascii="Times New Roman" w:hAnsi="Times New Roman"/>
        </w:rPr>
        <w:t xml:space="preserve"> </w:t>
      </w:r>
    </w:p>
    <w:p w14:paraId="5F12AFAD"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When analysing the principle of vicarious liability more generally, Hayne J observed that, "in a commercial setting, much will depend upon the distinction between the relationship of employer and employee and that of employer and </w:t>
      </w:r>
      <w:r w:rsidRPr="00E25845">
        <w:rPr>
          <w:rFonts w:ascii="Times New Roman" w:hAnsi="Times New Roman"/>
        </w:rPr>
        <w:lastRenderedPageBreak/>
        <w:t>independent contractor".</w:t>
      </w:r>
      <w:r w:rsidRPr="00E25845">
        <w:rPr>
          <w:rStyle w:val="FootnoteReference"/>
          <w:rFonts w:ascii="Times New Roman" w:hAnsi="Times New Roman"/>
          <w:sz w:val="24"/>
        </w:rPr>
        <w:footnoteReference w:id="234"/>
      </w:r>
      <w:r w:rsidRPr="00E25845">
        <w:rPr>
          <w:rFonts w:ascii="Times New Roman" w:hAnsi="Times New Roman"/>
        </w:rPr>
        <w:t xml:space="preserve"> His Honour also observed that, in drawing that distinction, questions of control, and power to control, are often significant and that the relevant control or power is "much affected by the nature of the contract" between the defendant and the wrongdoer. Hayne J concluded that, in the social setting under discussion, vicarious liability should not be imposed as the owner of the aeroplane could not stipulate what control, if any, he would have over the pilot such that the management of the aircraft was not subject to the owner's direction and control.</w:t>
      </w:r>
      <w:r w:rsidRPr="00E25845">
        <w:rPr>
          <w:rStyle w:val="FootnoteReference"/>
          <w:rFonts w:ascii="Times New Roman" w:hAnsi="Times New Roman"/>
          <w:sz w:val="24"/>
        </w:rPr>
        <w:footnoteReference w:id="235"/>
      </w:r>
      <w:r w:rsidRPr="00E25845">
        <w:rPr>
          <w:rFonts w:ascii="Times New Roman" w:hAnsi="Times New Roman"/>
        </w:rPr>
        <w:t xml:space="preserve">  </w:t>
      </w:r>
    </w:p>
    <w:p w14:paraId="6AEA57F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Callinan J considered that the conditions necessary to establish liability under the principle stated in </w:t>
      </w:r>
      <w:r w:rsidRPr="00E25845">
        <w:rPr>
          <w:rFonts w:ascii="Times New Roman" w:hAnsi="Times New Roman"/>
          <w:i/>
          <w:iCs/>
        </w:rPr>
        <w:t xml:space="preserve">Soblusky </w:t>
      </w:r>
      <w:r w:rsidRPr="00E25845">
        <w:rPr>
          <w:rFonts w:ascii="Times New Roman" w:hAnsi="Times New Roman"/>
        </w:rPr>
        <w:t>were not satisfied on the facts of the case. His Honour took into account that: (1) the context was "entirely non-commercial"; (2) the owner derived no relevant benefit from providing the aeroplane and making the request of the pilot; (3) nothing suggested itself to the owner as being untoward or calling for his intervention in the pilot's earlier conduct in flying the aeroplane; and (4) there was no occasion calling for, nor the opportunity for, the owner to take any steps that could have been effective to prevent the pilot from operating the aeroplane in the way that he did.</w:t>
      </w:r>
      <w:r w:rsidRPr="00E25845">
        <w:rPr>
          <w:rStyle w:val="FootnoteReference"/>
          <w:rFonts w:ascii="Times New Roman" w:hAnsi="Times New Roman"/>
          <w:sz w:val="24"/>
        </w:rPr>
        <w:footnoteReference w:id="236"/>
      </w:r>
      <w:r w:rsidRPr="00E25845">
        <w:rPr>
          <w:rFonts w:ascii="Times New Roman" w:hAnsi="Times New Roman"/>
        </w:rPr>
        <w:t xml:space="preserve"> </w:t>
      </w:r>
    </w:p>
    <w:p w14:paraId="3B3D6996"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Hollis and Sweeney</w:t>
      </w:r>
    </w:p>
    <w:p w14:paraId="3E0864A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each of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 xml:space="preserve">, the principal question was whether the wrongdoer was the defendant's employee or independent contractor. The outcomes in these cases are therefore not directly relevant to the question raised in this appeal. Further, and contrary to what is suggested by the plurality in this case, the reasoning 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 xml:space="preserve"> tends to support the development of the doctrine of vicarious liability contended for by the respondent.</w:t>
      </w:r>
    </w:p>
    <w:p w14:paraId="630A273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Gleeson CJ, Gaudron, Gummow, Kirby and Hayne JJ noted the general rule, not challenged in that case, that an employer is vicariously liable for the torts of an employee but a principal is not vicariously liable for the torts of an independent contractor.</w:t>
      </w:r>
      <w:r w:rsidRPr="00E25845">
        <w:rPr>
          <w:rStyle w:val="FootnoteReference"/>
          <w:rFonts w:ascii="Times New Roman" w:hAnsi="Times New Roman"/>
          <w:sz w:val="24"/>
        </w:rPr>
        <w:footnoteReference w:id="237"/>
      </w:r>
      <w:r w:rsidRPr="00E25845">
        <w:rPr>
          <w:rFonts w:ascii="Times New Roman" w:hAnsi="Times New Roman"/>
        </w:rPr>
        <w:t xml:space="preserve"> Their Honours also noted that vicarious liability "more usually flows" from a relationship of employment than from a relationship of </w:t>
      </w:r>
      <w:r w:rsidRPr="00E25845">
        <w:rPr>
          <w:rFonts w:ascii="Times New Roman" w:hAnsi="Times New Roman"/>
        </w:rPr>
        <w:lastRenderedPageBreak/>
        <w:t>principal and independent contractor.</w:t>
      </w:r>
      <w:r w:rsidRPr="00E25845">
        <w:rPr>
          <w:rStyle w:val="FootnoteReference"/>
          <w:rFonts w:ascii="Times New Roman" w:hAnsi="Times New Roman"/>
          <w:sz w:val="24"/>
        </w:rPr>
        <w:footnoteReference w:id="238"/>
      </w:r>
      <w:r w:rsidRPr="00E25845">
        <w:rPr>
          <w:rFonts w:ascii="Times New Roman" w:hAnsi="Times New Roman"/>
        </w:rPr>
        <w:t xml:space="preserve"> A similar statement was made recently by Kiefel CJ, Keane and Edelman JJ in </w:t>
      </w:r>
      <w:r w:rsidRPr="00E25845">
        <w:rPr>
          <w:rFonts w:ascii="Times New Roman" w:hAnsi="Times New Roman"/>
          <w:i/>
          <w:iCs/>
        </w:rPr>
        <w:t>Personnel Contracting</w:t>
      </w:r>
      <w:r w:rsidRPr="00E25845">
        <w:rPr>
          <w:rFonts w:ascii="Times New Roman" w:hAnsi="Times New Roman"/>
        </w:rPr>
        <w:t>.</w:t>
      </w:r>
      <w:r w:rsidRPr="00E25845">
        <w:rPr>
          <w:rStyle w:val="FootnoteReference"/>
          <w:rFonts w:ascii="Times New Roman" w:hAnsi="Times New Roman"/>
          <w:sz w:val="24"/>
        </w:rPr>
        <w:footnoteReference w:id="239"/>
      </w:r>
    </w:p>
    <w:p w14:paraId="179067C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w:t>
      </w:r>
      <w:r w:rsidRPr="00E25845">
        <w:rPr>
          <w:rFonts w:ascii="Times New Roman" w:hAnsi="Times New Roman"/>
          <w:i/>
          <w:iCs/>
        </w:rPr>
        <w:t>Hollis</w:t>
      </w:r>
      <w:r w:rsidRPr="00E25845">
        <w:rPr>
          <w:rFonts w:ascii="Times New Roman" w:hAnsi="Times New Roman"/>
        </w:rPr>
        <w:t xml:space="preserve"> found vicarious liability on the ground that the negligent bicycle courier was an employee of the defendant,</w:t>
      </w:r>
      <w:r w:rsidRPr="00E25845">
        <w:rPr>
          <w:rStyle w:val="FootnoteReference"/>
          <w:rFonts w:ascii="Times New Roman" w:hAnsi="Times New Roman"/>
          <w:sz w:val="24"/>
        </w:rPr>
        <w:footnoteReference w:id="240"/>
      </w:r>
      <w:r w:rsidRPr="00E25845">
        <w:rPr>
          <w:rFonts w:ascii="Times New Roman" w:hAnsi="Times New Roman"/>
        </w:rPr>
        <w:t xml:space="preserve"> while McHugh J found that the courier was neither an employee nor an independent contractor but was the defendant's agent, acting within his authority, as its representative in carrying out its contractual obligations for its benefit.</w:t>
      </w:r>
      <w:r w:rsidRPr="00E25845">
        <w:rPr>
          <w:rStyle w:val="FootnoteReference"/>
          <w:rFonts w:ascii="Times New Roman" w:hAnsi="Times New Roman"/>
          <w:sz w:val="24"/>
        </w:rPr>
        <w:footnoteReference w:id="241"/>
      </w:r>
      <w:r w:rsidRPr="00E25845">
        <w:rPr>
          <w:rFonts w:ascii="Times New Roman" w:hAnsi="Times New Roman"/>
        </w:rPr>
        <w:t xml:space="preserve"> The plurality concluded:</w:t>
      </w:r>
      <w:r w:rsidRPr="00E25845">
        <w:rPr>
          <w:rStyle w:val="FootnoteReference"/>
          <w:rFonts w:ascii="Times New Roman" w:hAnsi="Times New Roman"/>
          <w:sz w:val="24"/>
        </w:rPr>
        <w:footnoteReference w:id="242"/>
      </w:r>
      <w:r w:rsidRPr="00E25845">
        <w:rPr>
          <w:rFonts w:ascii="Times New Roman" w:hAnsi="Times New Roman"/>
        </w:rPr>
        <w:t xml:space="preserve"> </w:t>
      </w:r>
    </w:p>
    <w:p w14:paraId="19EA8A4D" w14:textId="77777777" w:rsidR="003C3645" w:rsidRDefault="003C3645" w:rsidP="00E25845">
      <w:pPr>
        <w:pStyle w:val="leftright"/>
        <w:spacing w:before="0" w:after="260" w:line="280" w:lineRule="exact"/>
        <w:ind w:right="0"/>
        <w:jc w:val="both"/>
        <w:rPr>
          <w:rFonts w:ascii="Times New Roman" w:hAnsi="Times New Roman"/>
        </w:rPr>
      </w:pPr>
      <w:r w:rsidRPr="00E25845">
        <w:rPr>
          <w:rFonts w:ascii="Times New Roman" w:hAnsi="Times New Roman"/>
        </w:rPr>
        <w:t xml:space="preserve">"This decision applies existing principle in a way that is informed by a recognition of the fundamental purposes of vicarious liability </w:t>
      </w:r>
      <w:r w:rsidRPr="00E25845">
        <w:rPr>
          <w:rFonts w:ascii="Times New Roman" w:hAnsi="Times New Roman"/>
          <w:i/>
          <w:iCs/>
        </w:rPr>
        <w:t>and the operation of that principle in the context of one of the many particular relationships</w:t>
      </w:r>
      <w:r w:rsidRPr="00E25845">
        <w:rPr>
          <w:rFonts w:ascii="Times New Roman" w:hAnsi="Times New Roman"/>
        </w:rPr>
        <w:t xml:space="preserve"> that has developed in contemporary Australian society."  </w:t>
      </w:r>
    </w:p>
    <w:p w14:paraId="55C85E4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remarks, alongside the fact that the plurality expressly contemplated that vicarious liability could "flow" from relationships other than those of employment, indicate that the decision in </w:t>
      </w:r>
      <w:r w:rsidRPr="00E25845">
        <w:rPr>
          <w:rFonts w:ascii="Times New Roman" w:hAnsi="Times New Roman"/>
          <w:i/>
          <w:iCs/>
        </w:rPr>
        <w:t>Hollis</w:t>
      </w:r>
      <w:r w:rsidRPr="00E25845">
        <w:rPr>
          <w:rFonts w:ascii="Times New Roman" w:hAnsi="Times New Roman"/>
        </w:rPr>
        <w:t xml:space="preserve"> does not need to be re-opened to support an extension of the doctrine of vicarious liability to relationships that are akin to employment. </w:t>
      </w:r>
    </w:p>
    <w:p w14:paraId="02D4928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It is also important to recognise that the plurality's conclusion in </w:t>
      </w:r>
      <w:r w:rsidRPr="00E25845">
        <w:rPr>
          <w:rFonts w:ascii="Times New Roman" w:hAnsi="Times New Roman"/>
          <w:i/>
          <w:iCs/>
        </w:rPr>
        <w:t>Hollis</w:t>
      </w:r>
      <w:r w:rsidRPr="00E25845">
        <w:rPr>
          <w:rFonts w:ascii="Times New Roman" w:hAnsi="Times New Roman"/>
        </w:rPr>
        <w:t xml:space="preserve"> followed their consideration of Dixon J's explanation,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of the dichotomy between the relationships of employer and employee, and principal and independent contractor.</w:t>
      </w:r>
      <w:r w:rsidRPr="00E25845">
        <w:rPr>
          <w:rStyle w:val="FootnoteReference"/>
          <w:rFonts w:ascii="Times New Roman" w:hAnsi="Times New Roman"/>
          <w:sz w:val="24"/>
        </w:rPr>
        <w:footnoteReference w:id="243"/>
      </w:r>
      <w:r w:rsidRPr="00E25845">
        <w:rPr>
          <w:rFonts w:ascii="Times New Roman" w:hAnsi="Times New Roman"/>
        </w:rPr>
        <w:t xml:space="preserve"> </w:t>
      </w:r>
      <w:r w:rsidRPr="00E25845">
        <w:rPr>
          <w:rFonts w:ascii="Times New Roman" w:hAnsi="Times New Roman"/>
          <w:i/>
          <w:iCs/>
        </w:rPr>
        <w:t xml:space="preserve">Colonial Mutual Life </w:t>
      </w:r>
      <w:r w:rsidRPr="00E25845">
        <w:rPr>
          <w:rFonts w:ascii="Times New Roman" w:hAnsi="Times New Roman"/>
        </w:rPr>
        <w:t xml:space="preserve">was a case in which the appellant insurer was found liable for the defamatory statements of its agent, who was not the insurer's employee. The plurality in </w:t>
      </w:r>
      <w:r w:rsidRPr="00E25845">
        <w:rPr>
          <w:rFonts w:ascii="Times New Roman" w:hAnsi="Times New Roman"/>
          <w:i/>
          <w:iCs/>
        </w:rPr>
        <w:t>Hollis</w:t>
      </w:r>
      <w:r w:rsidRPr="00E25845">
        <w:rPr>
          <w:rFonts w:ascii="Times New Roman" w:hAnsi="Times New Roman"/>
        </w:rPr>
        <w:t xml:space="preserve"> noted that Dixon J "fixed upon the absence of representation and of identification with the alleged employer as indicative of a relationship of principal and independent contractor".</w:t>
      </w:r>
      <w:r w:rsidRPr="00E25845">
        <w:rPr>
          <w:rStyle w:val="FootnoteReference"/>
          <w:rFonts w:ascii="Times New Roman" w:hAnsi="Times New Roman"/>
          <w:sz w:val="24"/>
        </w:rPr>
        <w:footnoteReference w:id="244"/>
      </w:r>
      <w:r w:rsidRPr="00E25845">
        <w:rPr>
          <w:rFonts w:ascii="Times New Roman" w:hAnsi="Times New Roman"/>
          <w:i/>
          <w:iCs/>
        </w:rPr>
        <w:t xml:space="preserve"> </w:t>
      </w:r>
    </w:p>
    <w:p w14:paraId="3005C6E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What the plurality in </w:t>
      </w:r>
      <w:r w:rsidRPr="00E25845">
        <w:rPr>
          <w:rFonts w:ascii="Times New Roman" w:hAnsi="Times New Roman"/>
          <w:i/>
          <w:iCs/>
        </w:rPr>
        <w:t>Hollis</w:t>
      </w:r>
      <w:r w:rsidRPr="00E25845">
        <w:rPr>
          <w:rFonts w:ascii="Times New Roman" w:hAnsi="Times New Roman"/>
        </w:rPr>
        <w:t xml:space="preserve"> meant by this was that,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Dixon J reasoned that liability was imposed by considering the function of the agent which, his Honour concluded, was "that of representing the person who </w:t>
      </w:r>
      <w:r w:rsidRPr="00E25845">
        <w:rPr>
          <w:rFonts w:ascii="Times New Roman" w:hAnsi="Times New Roman"/>
        </w:rPr>
        <w:lastRenderedPageBreak/>
        <w:t>requests its performance in a transaction with others, so that the very service to be performed consists in standing in his place and assuming to act in his right and not in an independent capacity".</w:t>
      </w:r>
      <w:r w:rsidRPr="00E25845">
        <w:rPr>
          <w:rStyle w:val="FootnoteReference"/>
          <w:rFonts w:ascii="Times New Roman" w:hAnsi="Times New Roman"/>
          <w:sz w:val="24"/>
        </w:rPr>
        <w:footnoteReference w:id="245"/>
      </w:r>
      <w:r w:rsidRPr="00E25845">
        <w:rPr>
          <w:rFonts w:ascii="Times New Roman" w:hAnsi="Times New Roman"/>
        </w:rPr>
        <w:t xml:space="preserve"> Dixon J noted that, at that time, the rule which imposed liability upon a master for the wrongs of their servant was "commonly regarded as part of the law of agency".</w:t>
      </w:r>
      <w:r w:rsidRPr="00E25845">
        <w:rPr>
          <w:rStyle w:val="FootnoteReference"/>
          <w:rFonts w:ascii="Times New Roman" w:hAnsi="Times New Roman"/>
          <w:sz w:val="24"/>
        </w:rPr>
        <w:footnoteReference w:id="246"/>
      </w:r>
      <w:r w:rsidRPr="00E25845">
        <w:rPr>
          <w:rFonts w:ascii="Times New Roman" w:hAnsi="Times New Roman"/>
        </w:rPr>
        <w:t xml:space="preserve"> That said, his Honour also observed that he had identified "no case which distinctly decides that a principal is liable generally for wrongful acts which he did not directly authorize, committed in the course of carrying out his agency by an agent who is not the principal's servant or partner, except, perhaps, in some special relations, such as solicitor and client, and then within limitations".</w:t>
      </w:r>
      <w:r w:rsidRPr="00E25845">
        <w:rPr>
          <w:rStyle w:val="FootnoteReference"/>
          <w:rFonts w:ascii="Times New Roman" w:hAnsi="Times New Roman"/>
          <w:sz w:val="24"/>
        </w:rPr>
        <w:footnoteReference w:id="247"/>
      </w:r>
    </w:p>
    <w:p w14:paraId="68ACED9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that context, Gleeson CJ, Gaudron, Gummow, Kirby and Hayne JJ in </w:t>
      </w:r>
      <w:r w:rsidRPr="00E25845">
        <w:rPr>
          <w:rFonts w:ascii="Times New Roman" w:hAnsi="Times New Roman"/>
          <w:i/>
          <w:iCs/>
        </w:rPr>
        <w:t>Hollis</w:t>
      </w:r>
      <w:r w:rsidRPr="00E25845">
        <w:rPr>
          <w:rFonts w:ascii="Times New Roman" w:hAnsi="Times New Roman"/>
        </w:rPr>
        <w:t xml:space="preserve"> did not state a rule that confines vicarious liability in tort to the employment relationship</w:t>
      </w:r>
      <w:r w:rsidRPr="00E25845">
        <w:rPr>
          <w:rFonts w:ascii="Times New Roman" w:hAnsi="Times New Roman"/>
          <w:i/>
          <w:iCs/>
        </w:rPr>
        <w:t>.</w:t>
      </w:r>
      <w:r w:rsidRPr="00E25845">
        <w:rPr>
          <w:rFonts w:ascii="Times New Roman" w:hAnsi="Times New Roman"/>
        </w:rPr>
        <w:t xml:space="preserve"> Rather, their Honours gave support to the notion of the tortfeasor's representation of, and identification with, the defendant as critical to the imposition of vicarious liability. Further, their Honours accepted that an agency relationship of the kind identified in </w:t>
      </w:r>
      <w:r w:rsidRPr="00E25845">
        <w:rPr>
          <w:rFonts w:ascii="Times New Roman" w:hAnsi="Times New Roman"/>
          <w:i/>
          <w:iCs/>
        </w:rPr>
        <w:t xml:space="preserve">Colonial Mutual Life </w:t>
      </w:r>
      <w:r w:rsidRPr="00E25845">
        <w:rPr>
          <w:rFonts w:ascii="Times New Roman" w:hAnsi="Times New Roman"/>
        </w:rPr>
        <w:t>was capable of supporting the principal's vicarious liability.</w:t>
      </w:r>
    </w:p>
    <w:p w14:paraId="4D2421A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Similarly, in </w:t>
      </w:r>
      <w:r w:rsidRPr="00E25845">
        <w:rPr>
          <w:rFonts w:ascii="Times New Roman" w:hAnsi="Times New Roman"/>
          <w:i/>
          <w:iCs/>
        </w:rPr>
        <w:t>Sweeney</w:t>
      </w:r>
      <w:r w:rsidRPr="00E25845">
        <w:rPr>
          <w:rFonts w:ascii="Times New Roman" w:hAnsi="Times New Roman"/>
        </w:rPr>
        <w:t>, Gleeson CJ, Gummow, Hayne, Heydon and Crennan JJ noted that the concept of representation that is relevant to vicarious liability meant more than that the tortfeasor acted for the benefit or advantage of the defendant.</w:t>
      </w:r>
      <w:r w:rsidRPr="00E25845">
        <w:rPr>
          <w:rStyle w:val="FootnoteReference"/>
          <w:rFonts w:ascii="Times New Roman" w:hAnsi="Times New Roman"/>
          <w:sz w:val="24"/>
        </w:rPr>
        <w:footnoteReference w:id="248"/>
      </w:r>
      <w:r w:rsidRPr="00E25845">
        <w:rPr>
          <w:rFonts w:ascii="Times New Roman" w:hAnsi="Times New Roman"/>
        </w:rPr>
        <w:t xml:space="preserve"> Their Honours</w:t>
      </w:r>
      <w:r w:rsidRPr="00E25845">
        <w:rPr>
          <w:rFonts w:ascii="Times New Roman" w:hAnsi="Times New Roman"/>
          <w:i/>
          <w:iCs/>
        </w:rPr>
        <w:t xml:space="preserve"> </w:t>
      </w:r>
      <w:r w:rsidRPr="00E25845">
        <w:rPr>
          <w:rFonts w:ascii="Times New Roman" w:hAnsi="Times New Roman"/>
        </w:rPr>
        <w:t>cautioned that terms like "representative", "delegate" or "agent" should not be permitted to obscure "the need to examine what exactly are the relationships between the various actors".</w:t>
      </w:r>
      <w:r w:rsidRPr="00E25845">
        <w:rPr>
          <w:rStyle w:val="FootnoteReference"/>
          <w:rFonts w:ascii="Times New Roman" w:hAnsi="Times New Roman"/>
          <w:sz w:val="24"/>
        </w:rPr>
        <w:footnoteReference w:id="249"/>
      </w:r>
      <w:r w:rsidRPr="00E25845">
        <w:rPr>
          <w:rFonts w:ascii="Times New Roman" w:hAnsi="Times New Roman"/>
        </w:rPr>
        <w:t xml:space="preserve"> Consistently with this observation, their Honours found that the defendant company was not vicariously liable for the torts of a mechanic (who was the tortfeasor on the facts of the case)</w:t>
      </w:r>
      <w:r w:rsidRPr="00E25845">
        <w:rPr>
          <w:rFonts w:ascii="Times New Roman" w:hAnsi="Times New Roman"/>
          <w:i/>
          <w:iCs/>
        </w:rPr>
        <w:t xml:space="preserve"> </w:t>
      </w:r>
      <w:r w:rsidRPr="00E25845">
        <w:rPr>
          <w:rFonts w:ascii="Times New Roman" w:hAnsi="Times New Roman"/>
        </w:rPr>
        <w:t>because particular features of the relationship indicated that the mechanic was the defendant's independent contractor.</w:t>
      </w:r>
      <w:r w:rsidRPr="00E25845">
        <w:rPr>
          <w:rStyle w:val="FootnoteReference"/>
          <w:rFonts w:ascii="Times New Roman" w:hAnsi="Times New Roman"/>
          <w:sz w:val="24"/>
        </w:rPr>
        <w:footnoteReference w:id="250"/>
      </w:r>
      <w:r w:rsidRPr="00E25845">
        <w:rPr>
          <w:rFonts w:ascii="Times New Roman" w:hAnsi="Times New Roman"/>
        </w:rPr>
        <w:t xml:space="preserve"> </w:t>
      </w:r>
    </w:p>
    <w:p w14:paraId="7E2D104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lastRenderedPageBreak/>
        <w:tab/>
      </w:r>
      <w:r w:rsidRPr="00E25845">
        <w:rPr>
          <w:rFonts w:ascii="Times New Roman" w:hAnsi="Times New Roman"/>
        </w:rPr>
        <w:t xml:space="preserve">As in </w:t>
      </w:r>
      <w:r w:rsidRPr="00E25845">
        <w:rPr>
          <w:rFonts w:ascii="Times New Roman" w:hAnsi="Times New Roman"/>
          <w:i/>
          <w:iCs/>
        </w:rPr>
        <w:t>Hollis</w:t>
      </w:r>
      <w:r w:rsidRPr="00E25845">
        <w:rPr>
          <w:rFonts w:ascii="Times New Roman" w:hAnsi="Times New Roman"/>
        </w:rPr>
        <w:t xml:space="preserve">, the different majority in </w:t>
      </w:r>
      <w:r w:rsidRPr="00E25845">
        <w:rPr>
          <w:rFonts w:ascii="Times New Roman" w:hAnsi="Times New Roman"/>
          <w:i/>
          <w:iCs/>
        </w:rPr>
        <w:t>Sweeney</w:t>
      </w:r>
      <w:r w:rsidRPr="00E25845">
        <w:rPr>
          <w:rFonts w:ascii="Times New Roman" w:hAnsi="Times New Roman"/>
        </w:rPr>
        <w:t xml:space="preserve"> considered the judgment of Dixon J in </w:t>
      </w:r>
      <w:r w:rsidRPr="00E25845">
        <w:rPr>
          <w:rFonts w:ascii="Times New Roman" w:hAnsi="Times New Roman"/>
          <w:i/>
          <w:iCs/>
        </w:rPr>
        <w:t>Colonial Mutual Life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explaining that the insurer's liability for the tort of its agent (who was not an employee):</w:t>
      </w:r>
      <w:r w:rsidRPr="00E25845">
        <w:rPr>
          <w:rStyle w:val="FootnoteReference"/>
          <w:rFonts w:ascii="Times New Roman" w:hAnsi="Times New Roman"/>
          <w:sz w:val="24"/>
        </w:rPr>
        <w:footnoteReference w:id="251"/>
      </w:r>
    </w:p>
    <w:p w14:paraId="21D5C471"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"stands wholly within the bounds of the explanations proffered by Pollock for the liability of a master for the tortious acts of a servant. It stands within those bounds because of the closeness of the connection between the principal's business and the conduct of the independent contractor for which it is sought to make the principal liable."</w:t>
      </w:r>
    </w:p>
    <w:p w14:paraId="20DDDE5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majority's later statement – that the "two central conceptions" of the law relating to vicarious liability, being the distinction between independent contractors and employees and the determinative significance of the course of employment, are "now too deeply rooted to be pulled out"</w:t>
      </w:r>
      <w:r w:rsidRPr="00E25845">
        <w:rPr>
          <w:rStyle w:val="FootnoteReference"/>
          <w:rFonts w:ascii="Times New Roman" w:hAnsi="Times New Roman"/>
          <w:sz w:val="24"/>
        </w:rPr>
        <w:footnoteReference w:id="252"/>
      </w:r>
      <w:r w:rsidRPr="00E25845">
        <w:rPr>
          <w:rFonts w:ascii="Times New Roman" w:hAnsi="Times New Roman"/>
        </w:rPr>
        <w:t xml:space="preserve"> – does not detract from their Honours' earlier explanation of </w:t>
      </w:r>
      <w:r w:rsidRPr="00E25845">
        <w:rPr>
          <w:rFonts w:ascii="Times New Roman" w:hAnsi="Times New Roman"/>
          <w:i/>
          <w:iCs/>
        </w:rPr>
        <w:t xml:space="preserve">Colonial Mutual Life </w:t>
      </w:r>
      <w:r w:rsidRPr="00E25845">
        <w:rPr>
          <w:rFonts w:ascii="Times New Roman" w:hAnsi="Times New Roman"/>
        </w:rPr>
        <w:t xml:space="preserve">as a case in which vicarious liability was imposed for the torts committed outside of an employment relationship. The majority did not preclude, and specifically affirmed, the possibility of vicarious liability in the context of a relationship other than a relationship of employment. </w:t>
      </w:r>
    </w:p>
    <w:p w14:paraId="7AA6BD43"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 xml:space="preserve">Did this Court take an important turn in </w:t>
      </w:r>
      <w:r w:rsidRPr="00E25845">
        <w:rPr>
          <w:rFonts w:ascii="Times New Roman" w:hAnsi="Times New Roman"/>
          <w:i/>
          <w:iCs/>
        </w:rPr>
        <w:t>Lepore</w:t>
      </w:r>
      <w:r w:rsidRPr="00E25845">
        <w:rPr>
          <w:rFonts w:ascii="Times New Roman" w:hAnsi="Times New Roman"/>
        </w:rPr>
        <w:t>?</w:t>
      </w:r>
    </w:p>
    <w:p w14:paraId="69B7AC7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plurality in this case has referred to the statement of French CJ, Kiefel, Bell, Keane and Nettle JJ in </w:t>
      </w:r>
      <w:r w:rsidRPr="00E25845">
        <w:rPr>
          <w:rFonts w:ascii="Times New Roman" w:hAnsi="Times New Roman"/>
          <w:i/>
          <w:iCs/>
        </w:rPr>
        <w:t>Prince Alfred College</w:t>
      </w:r>
      <w:r w:rsidRPr="00E25845">
        <w:rPr>
          <w:rFonts w:ascii="Times New Roman" w:hAnsi="Times New Roman"/>
        </w:rPr>
        <w:t xml:space="preserve"> that principles of the kind that make liability "depend upon a primary judge's assessment of what is fair and just ... do not reflect the current state of the law in Australia".</w:t>
      </w:r>
      <w:r w:rsidRPr="00E25845">
        <w:rPr>
          <w:rStyle w:val="FootnoteReference"/>
          <w:rFonts w:ascii="Times New Roman" w:hAnsi="Times New Roman"/>
          <w:sz w:val="24"/>
        </w:rPr>
        <w:footnoteReference w:id="253"/>
      </w:r>
      <w:r w:rsidRPr="00E25845">
        <w:rPr>
          <w:rFonts w:ascii="Times New Roman" w:hAnsi="Times New Roman"/>
        </w:rPr>
        <w:t xml:space="preserve"> The plurality in this case has interpreted this statement as a rejection of "[the] principles of vicarious liability such as those stated in </w:t>
      </w:r>
      <w:r w:rsidRPr="00E25845">
        <w:rPr>
          <w:rFonts w:ascii="Times New Roman" w:hAnsi="Times New Roman"/>
          <w:i/>
          <w:iCs/>
        </w:rPr>
        <w:t xml:space="preserve">Bazley </w:t>
      </w:r>
      <w:r w:rsidRPr="00E25845">
        <w:rPr>
          <w:rFonts w:ascii="Times New Roman" w:hAnsi="Times New Roman"/>
        </w:rPr>
        <w:t xml:space="preserve">in Canada and </w:t>
      </w:r>
      <w:r w:rsidRPr="00E25845">
        <w:rPr>
          <w:rFonts w:ascii="Times New Roman" w:hAnsi="Times New Roman"/>
          <w:i/>
          <w:iCs/>
        </w:rPr>
        <w:t>Lister</w:t>
      </w:r>
      <w:r w:rsidRPr="00E25845">
        <w:rPr>
          <w:rFonts w:ascii="Times New Roman" w:hAnsi="Times New Roman"/>
        </w:rPr>
        <w:t xml:space="preserve"> in the United Kingdom".</w:t>
      </w:r>
      <w:r w:rsidRPr="00E25845">
        <w:rPr>
          <w:rStyle w:val="FootnoteReference"/>
          <w:rFonts w:ascii="Times New Roman" w:hAnsi="Times New Roman"/>
          <w:sz w:val="24"/>
        </w:rPr>
        <w:footnoteReference w:id="254"/>
      </w:r>
      <w:r w:rsidRPr="00E25845">
        <w:rPr>
          <w:rFonts w:ascii="Times New Roman" w:hAnsi="Times New Roman"/>
        </w:rPr>
        <w:t xml:space="preserve"> The plurality contends that this rejection was not new because in </w:t>
      </w:r>
      <w:r w:rsidRPr="00E25845">
        <w:rPr>
          <w:rFonts w:ascii="Times New Roman" w:hAnsi="Times New Roman"/>
          <w:i/>
          <w:iCs/>
        </w:rPr>
        <w:t>Lepore</w:t>
      </w:r>
      <w:r w:rsidRPr="00E25845">
        <w:rPr>
          <w:rFonts w:ascii="Times New Roman" w:hAnsi="Times New Roman"/>
        </w:rPr>
        <w:t xml:space="preserve"> this Court took an "important turn ... when it rejected the vicarious liability reasoning in </w:t>
      </w:r>
      <w:r w:rsidRPr="00E25845">
        <w:rPr>
          <w:rFonts w:ascii="Times New Roman" w:hAnsi="Times New Roman"/>
          <w:i/>
          <w:iCs/>
        </w:rPr>
        <w:t xml:space="preserve">Bazley </w:t>
      </w:r>
      <w:r w:rsidRPr="00E25845">
        <w:rPr>
          <w:rFonts w:ascii="Times New Roman" w:hAnsi="Times New Roman"/>
        </w:rPr>
        <w:t xml:space="preserve">and in </w:t>
      </w:r>
      <w:r w:rsidRPr="00E25845">
        <w:rPr>
          <w:rFonts w:ascii="Times New Roman" w:hAnsi="Times New Roman"/>
          <w:i/>
          <w:iCs/>
        </w:rPr>
        <w:t>Lister</w:t>
      </w:r>
      <w:r w:rsidRPr="00E25845">
        <w:rPr>
          <w:rFonts w:ascii="Times New Roman" w:hAnsi="Times New Roman"/>
        </w:rPr>
        <w:t>".</w:t>
      </w:r>
      <w:r w:rsidRPr="00E25845">
        <w:rPr>
          <w:rStyle w:val="FootnoteReference"/>
          <w:rFonts w:ascii="Times New Roman" w:hAnsi="Times New Roman"/>
          <w:sz w:val="24"/>
        </w:rPr>
        <w:footnoteReference w:id="255"/>
      </w:r>
      <w:r w:rsidRPr="00E25845">
        <w:rPr>
          <w:rFonts w:ascii="Times New Roman" w:hAnsi="Times New Roman"/>
        </w:rPr>
        <w:t xml:space="preserve"> I do not agree with this analysis. </w:t>
      </w:r>
    </w:p>
    <w:p w14:paraId="4661796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analysis in each of </w:t>
      </w:r>
      <w:r w:rsidRPr="00E25845">
        <w:rPr>
          <w:rFonts w:ascii="Times New Roman" w:hAnsi="Times New Roman"/>
          <w:i/>
          <w:iCs/>
        </w:rPr>
        <w:t xml:space="preserve">Lepore </w:t>
      </w:r>
      <w:r w:rsidRPr="00E25845">
        <w:rPr>
          <w:rFonts w:ascii="Times New Roman" w:hAnsi="Times New Roman"/>
        </w:rPr>
        <w:t xml:space="preserve">and </w:t>
      </w:r>
      <w:r w:rsidRPr="00E25845">
        <w:rPr>
          <w:rFonts w:ascii="Times New Roman" w:hAnsi="Times New Roman"/>
          <w:i/>
          <w:iCs/>
        </w:rPr>
        <w:t xml:space="preserve">Prince Alfred College </w:t>
      </w:r>
      <w:r w:rsidRPr="00E25845">
        <w:rPr>
          <w:rFonts w:ascii="Times New Roman" w:hAnsi="Times New Roman"/>
        </w:rPr>
        <w:t xml:space="preserve">concerned an established employment relationship. Any rejection of the principles stated in </w:t>
      </w:r>
      <w:r w:rsidRPr="00E25845">
        <w:rPr>
          <w:rFonts w:ascii="Times New Roman" w:hAnsi="Times New Roman"/>
          <w:i/>
          <w:iCs/>
        </w:rPr>
        <w:lastRenderedPageBreak/>
        <w:t>Bazley v Curry</w:t>
      </w:r>
      <w:r w:rsidRPr="00E25845">
        <w:rPr>
          <w:rStyle w:val="FootnoteReference"/>
          <w:rFonts w:ascii="Times New Roman" w:hAnsi="Times New Roman"/>
          <w:sz w:val="24"/>
        </w:rPr>
        <w:footnoteReference w:id="256"/>
      </w:r>
      <w:r w:rsidRPr="00E25845">
        <w:rPr>
          <w:rFonts w:ascii="Times New Roman" w:hAnsi="Times New Roman"/>
        </w:rPr>
        <w:t xml:space="preserve"> and </w:t>
      </w:r>
      <w:r w:rsidRPr="00E25845">
        <w:rPr>
          <w:rFonts w:ascii="Times New Roman" w:hAnsi="Times New Roman"/>
          <w:i/>
          <w:iCs/>
        </w:rPr>
        <w:t>Lister v Hesley Hall Ltd</w:t>
      </w:r>
      <w:r w:rsidRPr="00E25845">
        <w:rPr>
          <w:rStyle w:val="FootnoteReference"/>
          <w:rFonts w:ascii="Times New Roman" w:hAnsi="Times New Roman"/>
          <w:sz w:val="24"/>
        </w:rPr>
        <w:footnoteReference w:id="257"/>
      </w:r>
      <w:r w:rsidRPr="00E25845">
        <w:rPr>
          <w:rFonts w:ascii="Times New Roman" w:hAnsi="Times New Roman"/>
        </w:rPr>
        <w:t xml:space="preserve"> concerned the separate question of whether the employer was vicariously liable because the employee's conduct occurred in the course of their employment.</w:t>
      </w:r>
    </w:p>
    <w:p w14:paraId="247B222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Although vicarious liability had been extended to relationships akin to employment in both Canada and England and Wales before </w:t>
      </w:r>
      <w:r w:rsidRPr="00E25845">
        <w:rPr>
          <w:rFonts w:ascii="Times New Roman" w:hAnsi="Times New Roman"/>
          <w:i/>
          <w:iCs/>
        </w:rPr>
        <w:t>Prince Alfred College</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that development was not considered in any of the reasons for judgment in that case, being irrelevant to the issue that was raised. The English and Welsh decision that extended vicarious liability to relationships akin to employment, </w:t>
      </w:r>
      <w:r w:rsidRPr="00E25845">
        <w:rPr>
          <w:rFonts w:ascii="Times New Roman" w:hAnsi="Times New Roman"/>
          <w:i/>
          <w:iCs/>
        </w:rPr>
        <w:t xml:space="preserve">Various Claimants v Catholic Child Welfare Society </w:t>
      </w:r>
      <w:r w:rsidRPr="00E25845">
        <w:rPr>
          <w:rFonts w:ascii="Times New Roman" w:hAnsi="Times New Roman"/>
        </w:rPr>
        <w:t>("</w:t>
      </w:r>
      <w:r w:rsidRPr="00E25845">
        <w:rPr>
          <w:rFonts w:ascii="Times New Roman" w:hAnsi="Times New Roman"/>
          <w:i/>
          <w:iCs/>
        </w:rPr>
        <w:t>Christian Brothers</w:t>
      </w:r>
      <w:r w:rsidRPr="00E25845">
        <w:rPr>
          <w:rFonts w:ascii="Times New Roman" w:hAnsi="Times New Roman"/>
        </w:rPr>
        <w:t>"),</w:t>
      </w:r>
      <w:r w:rsidRPr="00E25845">
        <w:rPr>
          <w:rStyle w:val="FootnoteReference"/>
          <w:rFonts w:ascii="Times New Roman" w:hAnsi="Times New Roman"/>
          <w:sz w:val="24"/>
        </w:rPr>
        <w:footnoteReference w:id="258"/>
      </w:r>
      <w:r w:rsidRPr="00E25845">
        <w:rPr>
          <w:rFonts w:ascii="Times New Roman" w:hAnsi="Times New Roman"/>
        </w:rPr>
        <w:t xml:space="preserve"> was referred to in argument, but was cited only by Gageler and Gordon JJ, and only for the proposition that the imposition of vicarious liability for intentional wrongdoing is fact-specific.</w:t>
      </w:r>
      <w:r w:rsidRPr="00E25845">
        <w:rPr>
          <w:rStyle w:val="FootnoteReference"/>
          <w:rFonts w:ascii="Times New Roman" w:hAnsi="Times New Roman"/>
          <w:sz w:val="24"/>
        </w:rPr>
        <w:footnoteReference w:id="259"/>
      </w:r>
      <w:r w:rsidRPr="00E25845">
        <w:rPr>
          <w:rFonts w:ascii="Times New Roman" w:hAnsi="Times New Roman"/>
        </w:rPr>
        <w:t xml:space="preserve"> </w:t>
      </w:r>
    </w:p>
    <w:p w14:paraId="22DA4C2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Otherwise, as was noted by French CJ, Kiefel, Bell, Keane and Nettle JJ in </w:t>
      </w:r>
      <w:r w:rsidRPr="00E25845">
        <w:rPr>
          <w:rFonts w:ascii="Times New Roman" w:hAnsi="Times New Roman"/>
          <w:i/>
          <w:iCs/>
        </w:rPr>
        <w:t>Prince Alfred College</w:t>
      </w:r>
      <w:r w:rsidRPr="00E25845">
        <w:rPr>
          <w:rFonts w:ascii="Times New Roman" w:hAnsi="Times New Roman"/>
        </w:rPr>
        <w:t xml:space="preserve">, </w:t>
      </w:r>
      <w:r w:rsidRPr="00E25845">
        <w:rPr>
          <w:rFonts w:ascii="Times New Roman" w:hAnsi="Times New Roman"/>
          <w:i/>
          <w:iCs/>
        </w:rPr>
        <w:t xml:space="preserve">Lepore </w:t>
      </w:r>
      <w:r w:rsidRPr="00E25845">
        <w:rPr>
          <w:rFonts w:ascii="Times New Roman" w:hAnsi="Times New Roman"/>
        </w:rPr>
        <w:t>produced no majority view on the question of the school's liability for sexual abuse of a pupil and left intermediate appellate courts in an uncertain position about the approach to be taken to the question of vicarious liability.</w:t>
      </w:r>
      <w:r w:rsidRPr="00E25845">
        <w:rPr>
          <w:rStyle w:val="FootnoteReference"/>
          <w:rFonts w:ascii="Times New Roman" w:hAnsi="Times New Roman"/>
          <w:sz w:val="24"/>
        </w:rPr>
        <w:footnoteReference w:id="260"/>
      </w:r>
      <w:r w:rsidRPr="00E25845">
        <w:rPr>
          <w:rFonts w:ascii="Times New Roman" w:hAnsi="Times New Roman"/>
        </w:rPr>
        <w:t xml:space="preserve"> It was for this reason that French CJ, Kiefel, Bell, Keane and Nettle JJ stated that the Court needed to address "existing uncertainties" that had arisen from the differing views expressed in the judgments in </w:t>
      </w:r>
      <w:r w:rsidRPr="00E25845">
        <w:rPr>
          <w:rFonts w:ascii="Times New Roman" w:hAnsi="Times New Roman"/>
          <w:i/>
          <w:iCs/>
        </w:rPr>
        <w:t xml:space="preserve">Lepore. </w:t>
      </w:r>
      <w:r w:rsidRPr="00E25845">
        <w:rPr>
          <w:rFonts w:ascii="Times New Roman" w:hAnsi="Times New Roman"/>
        </w:rPr>
        <w:t>Plainly, their Honours</w:t>
      </w:r>
      <w:r w:rsidRPr="00E25845">
        <w:rPr>
          <w:rFonts w:ascii="Times New Roman" w:hAnsi="Times New Roman"/>
          <w:i/>
          <w:iCs/>
        </w:rPr>
        <w:t xml:space="preserve"> </w:t>
      </w:r>
      <w:r w:rsidRPr="00E25845">
        <w:rPr>
          <w:rFonts w:ascii="Times New Roman" w:hAnsi="Times New Roman"/>
        </w:rPr>
        <w:t xml:space="preserve">did not identify any important turn taken by the Court in </w:t>
      </w:r>
      <w:r w:rsidRPr="00E25845">
        <w:rPr>
          <w:rFonts w:ascii="Times New Roman" w:hAnsi="Times New Roman"/>
          <w:i/>
          <w:iCs/>
        </w:rPr>
        <w:t>Lepore.</w:t>
      </w:r>
    </w:p>
    <w:p w14:paraId="2BA80BB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Nor did the principal joint judgment in </w:t>
      </w:r>
      <w:r w:rsidRPr="00E25845">
        <w:rPr>
          <w:rFonts w:ascii="Times New Roman" w:hAnsi="Times New Roman"/>
          <w:i/>
          <w:iCs/>
        </w:rPr>
        <w:t xml:space="preserve">Prince Alfred College </w:t>
      </w:r>
      <w:r w:rsidRPr="00E25845">
        <w:rPr>
          <w:rFonts w:ascii="Times New Roman" w:hAnsi="Times New Roman"/>
        </w:rPr>
        <w:t xml:space="preserve">consider that </w:t>
      </w:r>
      <w:r w:rsidRPr="00E25845">
        <w:rPr>
          <w:rFonts w:ascii="Times New Roman" w:hAnsi="Times New Roman"/>
          <w:i/>
          <w:iCs/>
        </w:rPr>
        <w:t xml:space="preserve">Lepore </w:t>
      </w:r>
      <w:r w:rsidRPr="00E25845">
        <w:rPr>
          <w:rFonts w:ascii="Times New Roman" w:hAnsi="Times New Roman"/>
        </w:rPr>
        <w:t xml:space="preserve">had rejected the principles of vicarious liability stated by the Supreme Court of Canada in </w:t>
      </w:r>
      <w:r w:rsidRPr="00E25845">
        <w:rPr>
          <w:rFonts w:ascii="Times New Roman" w:hAnsi="Times New Roman"/>
          <w:i/>
          <w:iCs/>
        </w:rPr>
        <w:t xml:space="preserve">Bazley </w:t>
      </w:r>
      <w:r w:rsidRPr="00E25845">
        <w:rPr>
          <w:rFonts w:ascii="Times New Roman" w:hAnsi="Times New Roman"/>
        </w:rPr>
        <w:t xml:space="preserve">and the House of Lords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 xml:space="preserve">To the contrary, while their Honours in the principal joint judgment in </w:t>
      </w:r>
      <w:r w:rsidRPr="00E25845">
        <w:rPr>
          <w:rFonts w:ascii="Times New Roman" w:hAnsi="Times New Roman"/>
          <w:i/>
          <w:iCs/>
        </w:rPr>
        <w:t xml:space="preserve">Prince Alfred College </w:t>
      </w:r>
      <w:r w:rsidRPr="00E25845">
        <w:rPr>
          <w:rFonts w:ascii="Times New Roman" w:hAnsi="Times New Roman"/>
        </w:rPr>
        <w:t>concluded that the correct approach to deciding whether vicarious liability is imposed for a wrongful act that is a criminal offence did not involve applying the "tests" used in Canada and in England and Wales, the correct approach drew heavily on various factors identified in cases involving child sexual abuse in those jurisdictions.</w:t>
      </w:r>
      <w:r w:rsidRPr="00E25845">
        <w:rPr>
          <w:rStyle w:val="FootnoteReference"/>
          <w:rFonts w:ascii="Times New Roman" w:hAnsi="Times New Roman"/>
          <w:sz w:val="24"/>
        </w:rPr>
        <w:footnoteReference w:id="261"/>
      </w:r>
      <w:r w:rsidRPr="00E25845">
        <w:rPr>
          <w:rFonts w:ascii="Times New Roman" w:hAnsi="Times New Roman"/>
        </w:rPr>
        <w:t xml:space="preserve">  </w:t>
      </w:r>
    </w:p>
    <w:p w14:paraId="68D586D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As for </w:t>
      </w:r>
      <w:r w:rsidRPr="00E25845">
        <w:rPr>
          <w:rFonts w:ascii="Times New Roman" w:hAnsi="Times New Roman"/>
          <w:i/>
          <w:iCs/>
        </w:rPr>
        <w:t>Lepore</w:t>
      </w:r>
      <w:r w:rsidRPr="00E25845">
        <w:rPr>
          <w:rFonts w:ascii="Times New Roman" w:hAnsi="Times New Roman"/>
        </w:rPr>
        <w:t>, it clearly cannot be said that the six reasons for judgment in</w:t>
      </w:r>
      <w:r w:rsidRPr="00E25845">
        <w:rPr>
          <w:rFonts w:ascii="Times New Roman" w:hAnsi="Times New Roman"/>
          <w:i/>
          <w:iCs/>
        </w:rPr>
        <w:t xml:space="preserve"> </w:t>
      </w:r>
      <w:r w:rsidRPr="00E25845">
        <w:rPr>
          <w:rFonts w:ascii="Times New Roman" w:hAnsi="Times New Roman"/>
        </w:rPr>
        <w:t xml:space="preserve">that case, either unanimously or by a majority, rejected the vicarious liability </w:t>
      </w:r>
      <w:r w:rsidRPr="00E25845">
        <w:rPr>
          <w:rFonts w:ascii="Times New Roman" w:hAnsi="Times New Roman"/>
        </w:rPr>
        <w:lastRenderedPageBreak/>
        <w:t xml:space="preserve">reasoning in </w:t>
      </w:r>
      <w:r w:rsidRPr="00E25845">
        <w:rPr>
          <w:rFonts w:ascii="Times New Roman" w:hAnsi="Times New Roman"/>
          <w:i/>
          <w:iCs/>
        </w:rPr>
        <w:t>Bazley</w:t>
      </w:r>
      <w:r w:rsidRPr="00E25845">
        <w:rPr>
          <w:rFonts w:ascii="Times New Roman" w:hAnsi="Times New Roman"/>
        </w:rPr>
        <w:t xml:space="preserve"> and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Gleeson CJ considered that the "orthodox method of analysing the problem" of liability for criminal wrongdoing of another was "that adopted by the House of Lords and the Supreme Court of Canada".</w:t>
      </w:r>
      <w:r w:rsidRPr="00E25845">
        <w:rPr>
          <w:rStyle w:val="FootnoteReference"/>
          <w:rFonts w:ascii="Times New Roman" w:hAnsi="Times New Roman"/>
          <w:sz w:val="24"/>
        </w:rPr>
        <w:footnoteReference w:id="262"/>
      </w:r>
      <w:r w:rsidRPr="00E25845">
        <w:rPr>
          <w:rFonts w:ascii="Times New Roman" w:hAnsi="Times New Roman"/>
        </w:rPr>
        <w:t xml:space="preserve"> His Honour also considered that the decisions in </w:t>
      </w:r>
      <w:r w:rsidRPr="00E25845">
        <w:rPr>
          <w:rFonts w:ascii="Times New Roman" w:hAnsi="Times New Roman"/>
          <w:i/>
          <w:iCs/>
        </w:rPr>
        <w:t>Bazley</w:t>
      </w:r>
      <w:r w:rsidRPr="00E25845">
        <w:rPr>
          <w:rFonts w:ascii="Times New Roman" w:hAnsi="Times New Roman"/>
        </w:rPr>
        <w:t xml:space="preserve"> and </w:t>
      </w:r>
      <w:r w:rsidRPr="00E25845">
        <w:rPr>
          <w:rFonts w:ascii="Times New Roman" w:hAnsi="Times New Roman"/>
          <w:i/>
          <w:iCs/>
        </w:rPr>
        <w:t>Lister</w:t>
      </w:r>
      <w:r w:rsidRPr="00E25845">
        <w:rPr>
          <w:rFonts w:ascii="Times New Roman" w:hAnsi="Times New Roman"/>
        </w:rPr>
        <w:t xml:space="preserve"> demonstrated that, "in those jurisdictions, as in Australia, one cannot dismiss the possibility of a school authority's vicarious liability for sexual abuse merely by pointing out that it constitutes serious misconduct on the part of a teacher".</w:t>
      </w:r>
      <w:r w:rsidRPr="00E25845">
        <w:rPr>
          <w:rStyle w:val="FootnoteReference"/>
          <w:rFonts w:ascii="Times New Roman" w:hAnsi="Times New Roman"/>
          <w:sz w:val="24"/>
        </w:rPr>
        <w:footnoteReference w:id="263"/>
      </w:r>
    </w:p>
    <w:p w14:paraId="62A3353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 xml:space="preserve">Gaudron J rejected the test identified in </w:t>
      </w:r>
      <w:r w:rsidRPr="00E25845">
        <w:rPr>
          <w:rFonts w:ascii="Times New Roman" w:hAnsi="Times New Roman"/>
          <w:i/>
          <w:iCs/>
        </w:rPr>
        <w:t xml:space="preserve">Bazley </w:t>
      </w:r>
      <w:r w:rsidRPr="00E25845">
        <w:rPr>
          <w:rFonts w:ascii="Times New Roman" w:hAnsi="Times New Roman"/>
        </w:rPr>
        <w:t>for vicarious liability for an employee's sexual abuse of a child, namely, whether the employer's enterprise and empowerment of an employee "materially increased the risk" of harm caused by the employee's act.</w:t>
      </w:r>
      <w:r w:rsidRPr="00E25845">
        <w:rPr>
          <w:rStyle w:val="FootnoteReference"/>
          <w:rFonts w:ascii="Times New Roman" w:hAnsi="Times New Roman"/>
          <w:sz w:val="24"/>
        </w:rPr>
        <w:footnoteReference w:id="264"/>
      </w:r>
      <w:r w:rsidRPr="00E25845">
        <w:rPr>
          <w:rFonts w:ascii="Times New Roman" w:hAnsi="Times New Roman"/>
        </w:rPr>
        <w:t xml:space="preserve"> Her Honour also considered that the "close connection" between what was done and what the person was engaged to do, the focus of attention in </w:t>
      </w:r>
      <w:r w:rsidRPr="00E25845">
        <w:rPr>
          <w:rFonts w:ascii="Times New Roman" w:hAnsi="Times New Roman"/>
          <w:i/>
          <w:iCs/>
        </w:rPr>
        <w:t>Lister</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was not the test for the estoppel that she identified as the justification for imposing vicarious liability for the criminal conduct of an employee.</w:t>
      </w:r>
      <w:r w:rsidRPr="00E25845">
        <w:rPr>
          <w:rStyle w:val="FootnoteReference"/>
          <w:rFonts w:ascii="Times New Roman" w:hAnsi="Times New Roman"/>
          <w:sz w:val="24"/>
        </w:rPr>
        <w:footnoteReference w:id="265"/>
      </w:r>
      <w:r w:rsidRPr="00E25845">
        <w:rPr>
          <w:rFonts w:ascii="Times New Roman" w:hAnsi="Times New Roman"/>
        </w:rPr>
        <w:t xml:space="preserve"> For vicarious liability, her Honour identified as the relevant state of affairs "simply that the person whose acts or omissions are in question was acting as the servant[,] agent or representative of the person against whom liability is asserted".</w:t>
      </w:r>
      <w:r w:rsidRPr="00E25845">
        <w:rPr>
          <w:rStyle w:val="FootnoteReference"/>
          <w:rFonts w:ascii="Times New Roman" w:hAnsi="Times New Roman"/>
          <w:sz w:val="24"/>
        </w:rPr>
        <w:footnoteReference w:id="266"/>
      </w:r>
    </w:p>
    <w:p w14:paraId="2A3D0E3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McHugh J decided the three cases in </w:t>
      </w:r>
      <w:r w:rsidRPr="00E25845">
        <w:rPr>
          <w:rFonts w:ascii="Times New Roman" w:hAnsi="Times New Roman"/>
          <w:i/>
          <w:iCs/>
        </w:rPr>
        <w:t>Lepore</w:t>
      </w:r>
      <w:r w:rsidRPr="00E25845">
        <w:rPr>
          <w:rFonts w:ascii="Times New Roman" w:hAnsi="Times New Roman"/>
        </w:rPr>
        <w:t xml:space="preserve"> on principles of non-delegable duty and made only a brief and uncritical reference to </w:t>
      </w:r>
      <w:r w:rsidRPr="00E25845">
        <w:rPr>
          <w:rFonts w:ascii="Times New Roman" w:hAnsi="Times New Roman"/>
          <w:i/>
          <w:iCs/>
        </w:rPr>
        <w:t xml:space="preserve">Bazley </w:t>
      </w:r>
      <w:r w:rsidRPr="00E25845">
        <w:rPr>
          <w:rFonts w:ascii="Times New Roman" w:hAnsi="Times New Roman"/>
        </w:rPr>
        <w:t xml:space="preserve">and </w:t>
      </w:r>
      <w:r w:rsidRPr="00E25845">
        <w:rPr>
          <w:rFonts w:ascii="Times New Roman" w:hAnsi="Times New Roman"/>
          <w:i/>
          <w:iCs/>
        </w:rPr>
        <w:t>Lister.</w:t>
      </w:r>
      <w:r w:rsidRPr="00E25845">
        <w:rPr>
          <w:rStyle w:val="FootnoteReference"/>
          <w:rFonts w:ascii="Times New Roman" w:hAnsi="Times New Roman"/>
          <w:sz w:val="24"/>
        </w:rPr>
        <w:footnoteReference w:id="267"/>
      </w:r>
    </w:p>
    <w:p w14:paraId="035642C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Gummow and Hayne JJ disapproved of the decision in </w:t>
      </w:r>
      <w:r w:rsidRPr="00E25845">
        <w:rPr>
          <w:rFonts w:ascii="Times New Roman" w:hAnsi="Times New Roman"/>
          <w:i/>
          <w:iCs/>
        </w:rPr>
        <w:t>Bazley</w:t>
      </w:r>
      <w:r w:rsidRPr="00E25845">
        <w:rPr>
          <w:rFonts w:ascii="Times New Roman" w:hAnsi="Times New Roman"/>
        </w:rPr>
        <w:t>.</w:t>
      </w:r>
      <w:r w:rsidRPr="00E25845">
        <w:rPr>
          <w:rStyle w:val="FootnoteReference"/>
          <w:rFonts w:ascii="Times New Roman" w:hAnsi="Times New Roman"/>
          <w:sz w:val="24"/>
        </w:rPr>
        <w:footnoteReference w:id="268"/>
      </w:r>
      <w:r w:rsidRPr="00E25845">
        <w:rPr>
          <w:rFonts w:ascii="Times New Roman" w:hAnsi="Times New Roman"/>
        </w:rPr>
        <w:t xml:space="preserve"> However, their Honours quoted with approval the House of Lords in </w:t>
      </w:r>
      <w:r w:rsidRPr="00E25845">
        <w:rPr>
          <w:rFonts w:ascii="Times New Roman" w:hAnsi="Times New Roman"/>
          <w:i/>
          <w:iCs/>
        </w:rPr>
        <w:t>Dubai Aluminium Co Ltd v Salaam</w:t>
      </w:r>
      <w:r w:rsidRPr="00E25845">
        <w:rPr>
          <w:rFonts w:ascii="Times New Roman" w:hAnsi="Times New Roman"/>
        </w:rPr>
        <w:t>,</w:t>
      </w:r>
      <w:r w:rsidRPr="00E25845">
        <w:rPr>
          <w:rStyle w:val="FootnoteReference"/>
          <w:rFonts w:ascii="Times New Roman" w:hAnsi="Times New Roman"/>
          <w:sz w:val="24"/>
        </w:rPr>
        <w:footnoteReference w:id="269"/>
      </w:r>
      <w:r w:rsidRPr="00E25845">
        <w:rPr>
          <w:rFonts w:ascii="Times New Roman" w:hAnsi="Times New Roman"/>
        </w:rPr>
        <w:t xml:space="preserve"> a case which refined the House of Lords' analysis in </w:t>
      </w:r>
      <w:r w:rsidRPr="00E25845">
        <w:rPr>
          <w:rFonts w:ascii="Times New Roman" w:hAnsi="Times New Roman"/>
          <w:i/>
          <w:iCs/>
        </w:rPr>
        <w:t>Lister</w:t>
      </w:r>
      <w:r w:rsidRPr="00E25845">
        <w:rPr>
          <w:rFonts w:ascii="Times New Roman" w:hAnsi="Times New Roman"/>
        </w:rPr>
        <w:t xml:space="preserve">. Gummow and Hayne JJ quoted the decision in support of their conclusion that "an </w:t>
      </w:r>
      <w:r w:rsidRPr="00E25845">
        <w:rPr>
          <w:rFonts w:ascii="Times New Roman" w:hAnsi="Times New Roman"/>
        </w:rPr>
        <w:lastRenderedPageBreak/>
        <w:t>important element" of the analysis in vicarious liability cases is the "'closeness of the connection' between the employment relationship and the wrongful act".</w:t>
      </w:r>
      <w:r w:rsidRPr="00E25845">
        <w:rPr>
          <w:rStyle w:val="FootnoteReference"/>
          <w:rFonts w:ascii="Times New Roman" w:hAnsi="Times New Roman"/>
          <w:sz w:val="24"/>
        </w:rPr>
        <w:footnoteReference w:id="270"/>
      </w:r>
    </w:p>
    <w:p w14:paraId="1F4C58A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i/>
          <w:iCs/>
        </w:rPr>
        <w:tab/>
      </w:r>
      <w:r w:rsidRPr="00E25845">
        <w:rPr>
          <w:rFonts w:ascii="Times New Roman" w:hAnsi="Times New Roman"/>
        </w:rPr>
        <w:t>Kirby J considered that the common law of Australia on the subject of children who are harmed by an employee of an organisation in whose care they are placed "marches in step with that pronounced by the final courts of the United Kingdom and Canada".</w:t>
      </w:r>
      <w:r w:rsidRPr="00E25845">
        <w:rPr>
          <w:rStyle w:val="FootnoteReference"/>
          <w:rFonts w:ascii="Times New Roman" w:hAnsi="Times New Roman"/>
          <w:sz w:val="24"/>
        </w:rPr>
        <w:footnoteReference w:id="271"/>
      </w:r>
      <w:r w:rsidRPr="00E25845">
        <w:rPr>
          <w:rFonts w:ascii="Times New Roman" w:hAnsi="Times New Roman"/>
        </w:rPr>
        <w:t xml:space="preserve"> His Honour therefore referred to both </w:t>
      </w:r>
      <w:r w:rsidRPr="00E25845">
        <w:rPr>
          <w:rFonts w:ascii="Times New Roman" w:hAnsi="Times New Roman"/>
          <w:i/>
          <w:iCs/>
        </w:rPr>
        <w:t>Bazley</w:t>
      </w:r>
      <w:r w:rsidRPr="00E25845">
        <w:rPr>
          <w:rFonts w:ascii="Times New Roman" w:hAnsi="Times New Roman"/>
        </w:rPr>
        <w:t xml:space="preserve"> and </w:t>
      </w:r>
      <w:r w:rsidRPr="00E25845">
        <w:rPr>
          <w:rFonts w:ascii="Times New Roman" w:hAnsi="Times New Roman"/>
          <w:i/>
          <w:iCs/>
        </w:rPr>
        <w:t>Lister</w:t>
      </w:r>
      <w:r w:rsidRPr="00E25845">
        <w:rPr>
          <w:rFonts w:ascii="Times New Roman" w:hAnsi="Times New Roman"/>
        </w:rPr>
        <w:t xml:space="preserve"> with evident approval. </w:t>
      </w:r>
    </w:p>
    <w:p w14:paraId="4EF1FDB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Callinan J rejected the test for liability adopted in </w:t>
      </w:r>
      <w:r w:rsidRPr="00E25845">
        <w:rPr>
          <w:rFonts w:ascii="Times New Roman" w:hAnsi="Times New Roman"/>
          <w:i/>
          <w:iCs/>
        </w:rPr>
        <w:t>Lister.</w:t>
      </w:r>
      <w:r w:rsidRPr="00E25845">
        <w:rPr>
          <w:rStyle w:val="FootnoteReference"/>
          <w:rFonts w:ascii="Times New Roman" w:hAnsi="Times New Roman"/>
          <w:sz w:val="24"/>
        </w:rPr>
        <w:footnoteReference w:id="272"/>
      </w:r>
      <w:r w:rsidRPr="00E25845">
        <w:rPr>
          <w:rFonts w:ascii="Times New Roman" w:hAnsi="Times New Roman"/>
          <w:i/>
          <w:iCs/>
        </w:rPr>
        <w:t xml:space="preserve"> </w:t>
      </w:r>
      <w:r w:rsidRPr="00E25845">
        <w:rPr>
          <w:rFonts w:ascii="Times New Roman" w:hAnsi="Times New Roman"/>
        </w:rPr>
        <w:t xml:space="preserve">His Honour said nothing about principles stated in </w:t>
      </w:r>
      <w:r w:rsidRPr="00E25845">
        <w:rPr>
          <w:rFonts w:ascii="Times New Roman" w:hAnsi="Times New Roman"/>
          <w:i/>
          <w:iCs/>
        </w:rPr>
        <w:t xml:space="preserve">Bazley. </w:t>
      </w:r>
    </w:p>
    <w:p w14:paraId="34A064A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summary, </w:t>
      </w:r>
      <w:r w:rsidRPr="00E25845">
        <w:rPr>
          <w:rFonts w:ascii="Times New Roman" w:hAnsi="Times New Roman"/>
          <w:i/>
          <w:iCs/>
        </w:rPr>
        <w:t xml:space="preserve">Lepore </w:t>
      </w:r>
      <w:r w:rsidRPr="00E25845">
        <w:rPr>
          <w:rFonts w:ascii="Times New Roman" w:hAnsi="Times New Roman"/>
        </w:rPr>
        <w:t>has no real significance for whether vicarious liability can be imposed in the context of a relationship akin to employment.</w:t>
      </w:r>
      <w:r w:rsidRPr="00E25845">
        <w:rPr>
          <w:rFonts w:ascii="Times New Roman" w:hAnsi="Times New Roman"/>
          <w:i/>
          <w:iCs/>
        </w:rPr>
        <w:t xml:space="preserve"> </w:t>
      </w:r>
    </w:p>
    <w:p w14:paraId="0841189C"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 xml:space="preserve">Imposing liability on church bodies in relation to the clergy and members of religious communities </w:t>
      </w:r>
    </w:p>
    <w:p w14:paraId="4459BAE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addition to the fact that the existing case law governing the doctrine of vicarious liability does not foreclose the extension of the doctrine to relationships that are akin to employment, the international case law and recent statutory reforms in Australia provide justification for that extension to cover relationships between church bodies and the members who represent them. </w:t>
      </w:r>
    </w:p>
    <w:p w14:paraId="41647D39"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The international case law</w:t>
      </w:r>
    </w:p>
    <w:p w14:paraId="4724C1DB"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In as early as the 14th century, a religious authority was found to be liable for the tort of waste committed by a "co-canon ... 'for that is adjudged the deed of the abbot'".</w:t>
      </w:r>
      <w:r w:rsidRPr="00E25845">
        <w:rPr>
          <w:rStyle w:val="FootnoteReference"/>
          <w:rFonts w:ascii="Times New Roman" w:hAnsi="Times New Roman"/>
          <w:sz w:val="24"/>
        </w:rPr>
        <w:footnoteReference w:id="273"/>
      </w:r>
      <w:r w:rsidRPr="00E25845">
        <w:rPr>
          <w:rFonts w:ascii="Times New Roman" w:hAnsi="Times New Roman"/>
        </w:rPr>
        <w:t xml:space="preserve"> It should therefore come as no surprise that, in many international jurisdictions, religious authorities have been held liable for torts committed by the members who represent them.  </w:t>
      </w:r>
    </w:p>
    <w:p w14:paraId="682DD9B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 In </w:t>
      </w:r>
      <w:r w:rsidRPr="00E25845">
        <w:rPr>
          <w:rFonts w:ascii="Times New Roman" w:hAnsi="Times New Roman"/>
          <w:i/>
          <w:iCs/>
        </w:rPr>
        <w:t>John Doe v Bennett</w:t>
      </w:r>
      <w:r w:rsidRPr="00E25845">
        <w:rPr>
          <w:rFonts w:ascii="Times New Roman" w:hAnsi="Times New Roman"/>
        </w:rPr>
        <w:t xml:space="preserve">, the Supreme Court of Canada found that the relationship between a Catholic parish priest and a "diocesan enterprise" was "sufficiently close" to support a finding of vicarious liability for sexual abuse of </w:t>
      </w:r>
      <w:r w:rsidRPr="00E25845">
        <w:rPr>
          <w:rFonts w:ascii="Times New Roman" w:hAnsi="Times New Roman"/>
        </w:rPr>
        <w:lastRenderedPageBreak/>
        <w:t>boys in the priest's parishes.</w:t>
      </w:r>
      <w:r w:rsidRPr="00E25845">
        <w:rPr>
          <w:rStyle w:val="FootnoteReference"/>
          <w:rFonts w:ascii="Times New Roman" w:hAnsi="Times New Roman"/>
          <w:sz w:val="24"/>
        </w:rPr>
        <w:footnoteReference w:id="274"/>
      </w:r>
      <w:r w:rsidRPr="00E25845">
        <w:rPr>
          <w:rFonts w:ascii="Times New Roman" w:hAnsi="Times New Roman"/>
        </w:rPr>
        <w:t xml:space="preserve"> One of the defendants was an ecclesiastical corporation sole, incorporated by statute, and created "to serve as a point of legal interface between the Roman Catholic Church and the community at the diocesan level".</w:t>
      </w:r>
      <w:r w:rsidRPr="00E25845">
        <w:rPr>
          <w:rStyle w:val="FootnoteReference"/>
          <w:rFonts w:ascii="Times New Roman" w:hAnsi="Times New Roman"/>
          <w:sz w:val="24"/>
        </w:rPr>
        <w:footnoteReference w:id="275"/>
      </w:r>
      <w:r w:rsidRPr="00E25845">
        <w:rPr>
          <w:rFonts w:ascii="Times New Roman" w:hAnsi="Times New Roman"/>
        </w:rPr>
        <w:t xml:space="preserve"> McLachlin CJ, delivering the Court's judgment, concluded that:</w:t>
      </w:r>
      <w:r w:rsidRPr="00E25845">
        <w:rPr>
          <w:rStyle w:val="FootnoteReference"/>
          <w:rFonts w:ascii="Times New Roman" w:hAnsi="Times New Roman"/>
          <w:sz w:val="24"/>
        </w:rPr>
        <w:footnoteReference w:id="276"/>
      </w:r>
    </w:p>
    <w:p w14:paraId="4205C4DA"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 xml:space="preserve">"The relationship between the bishop [who constituted the corporation sole] and a priest in a diocese is not only spiritual, but temporal. The priest takes a vow of obedience to the bishop. The bishop exercises extensive control over the priest, including the power of assignment, the power to remove the priest from his post and the power to discipline him. It is akin to an employment relationship." </w:t>
      </w:r>
    </w:p>
    <w:p w14:paraId="725DBFB3"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England and Wales, the Court of Appeal in the 2010 case of </w:t>
      </w:r>
      <w:r w:rsidRPr="00E25845">
        <w:rPr>
          <w:rFonts w:ascii="Times New Roman" w:hAnsi="Times New Roman"/>
          <w:i/>
          <w:iCs/>
        </w:rPr>
        <w:t>Maga v Archbishop of Birmingham</w:t>
      </w:r>
      <w:r w:rsidRPr="00E25845">
        <w:rPr>
          <w:rStyle w:val="FootnoteReference"/>
          <w:rFonts w:ascii="Times New Roman" w:hAnsi="Times New Roman"/>
          <w:sz w:val="24"/>
        </w:rPr>
        <w:footnoteReference w:id="277"/>
      </w:r>
      <w:r w:rsidRPr="00E25845">
        <w:rPr>
          <w:rFonts w:ascii="Times New Roman" w:hAnsi="Times New Roman"/>
        </w:rPr>
        <w:t xml:space="preserve"> extended vicarious liability to cases in which the tortfeasor held a position with the defendant that was functionally analogous to employment. There, the Archbishop of Birmingham admitted that a Roman Catholic priest, who the claimant alleged had sexually abused him, was an employee of the Archdiocese for the purpose of the proceeding. Lord Neuberger identified, as reasons for determining that the defendant was vicariously liable, the following:</w:t>
      </w:r>
      <w:r w:rsidRPr="00E25845">
        <w:rPr>
          <w:rStyle w:val="FootnoteReference"/>
          <w:rFonts w:ascii="Times New Roman" w:hAnsi="Times New Roman"/>
          <w:sz w:val="24"/>
        </w:rPr>
        <w:footnoteReference w:id="278"/>
      </w:r>
    </w:p>
    <w:p w14:paraId="1190346F"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 xml:space="preserve">"A priest has a special role, which involves trust and responsibility in a more general way even than a teacher, a doctor, or a nurse. He is, in a sense, never off duty; thus, he will normally be dressed in 'uniform' in public and not just when at his place of work. So, too, he has a degree of general moral authority which no other role enjoys; hence the title of 'Father Chris', by which Father Clonan was habitually known. It was his employment as a priest by the archdiocese which enabled him, indeed was intended to enable him, to hold himself out as having such a role and such authority." </w:t>
      </w:r>
    </w:p>
    <w:p w14:paraId="64384A4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the later decision of </w:t>
      </w:r>
      <w:r w:rsidRPr="00E25845">
        <w:rPr>
          <w:rFonts w:ascii="Times New Roman" w:hAnsi="Times New Roman"/>
          <w:i/>
          <w:iCs/>
        </w:rPr>
        <w:t>E v English Province of Our Lady Charity</w:t>
      </w:r>
      <w:r w:rsidRPr="00E25845">
        <w:rPr>
          <w:rFonts w:ascii="Times New Roman" w:hAnsi="Times New Roman"/>
        </w:rPr>
        <w:t>,</w:t>
      </w:r>
      <w:r w:rsidRPr="00E25845">
        <w:rPr>
          <w:rStyle w:val="FootnoteReference"/>
          <w:rFonts w:ascii="Times New Roman" w:hAnsi="Times New Roman"/>
          <w:sz w:val="24"/>
        </w:rPr>
        <w:footnoteReference w:id="279"/>
      </w:r>
      <w:r w:rsidRPr="00E25845">
        <w:rPr>
          <w:rFonts w:ascii="Times New Roman" w:hAnsi="Times New Roman"/>
          <w:i/>
          <w:iCs/>
        </w:rPr>
        <w:t xml:space="preserve"> </w:t>
      </w:r>
      <w:r w:rsidRPr="00E25845">
        <w:rPr>
          <w:rFonts w:ascii="Times New Roman" w:hAnsi="Times New Roman"/>
        </w:rPr>
        <w:t xml:space="preserve">the Court of Appeal found that the relationship between the Roman Catholic Diocese </w:t>
      </w:r>
      <w:r w:rsidRPr="00E25845">
        <w:rPr>
          <w:rFonts w:ascii="Times New Roman" w:hAnsi="Times New Roman"/>
        </w:rPr>
        <w:lastRenderedPageBreak/>
        <w:t xml:space="preserve">of Portsmouth and a priest was so close in character to one of employer and employee that it was just and fair to hold the defendant vicariously liable. </w:t>
      </w:r>
    </w:p>
    <w:p w14:paraId="5E86A2B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claimant, E, alleged that she was sexually abused by a priest (known as Father Baldwin) when Father Baldwin, in the course of his duties within the Roman Catholic Diocese of Portsmouth, had visited a children's home (operated by a religious order) of which E was a resident. E commenced proceedings against the order and the trustees of a trust which had stood in the place of the diocesan bishop at the material time. </w:t>
      </w:r>
    </w:p>
    <w:p w14:paraId="6E1C47C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Ward LJ (with whom Davis LJ concurred in a separate judgment) identified the central question as whether the Roman Catholic Bishop of Portsmouth employed Father Baldwin and, if not, was the relationship akin to employment. Ward LJ posed the question whether the relationship between the bishop and the priest was "so close in character to one of employer/employee that it is just and fair to hold the employer vicariously liable".</w:t>
      </w:r>
      <w:r w:rsidRPr="00E25845">
        <w:rPr>
          <w:rStyle w:val="FootnoteReference"/>
          <w:rFonts w:ascii="Times New Roman" w:hAnsi="Times New Roman"/>
          <w:sz w:val="24"/>
        </w:rPr>
        <w:footnoteReference w:id="280"/>
      </w:r>
      <w:r w:rsidRPr="00E25845">
        <w:rPr>
          <w:rFonts w:ascii="Times New Roman" w:hAnsi="Times New Roman"/>
        </w:rPr>
        <w:t xml:space="preserve"> His Lordship identified as hallmarks of the employment relationship similar characteristics to those identified by this Court in </w:t>
      </w:r>
      <w:r w:rsidRPr="00E25845">
        <w:rPr>
          <w:rFonts w:ascii="Times New Roman" w:hAnsi="Times New Roman"/>
          <w:i/>
          <w:iCs/>
        </w:rPr>
        <w:t>Personnel Contracting</w:t>
      </w:r>
      <w:r w:rsidRPr="00E25845">
        <w:rPr>
          <w:rFonts w:ascii="Times New Roman" w:hAnsi="Times New Roman"/>
        </w:rPr>
        <w:t>: control, whether the worker's role is an integral part of the employer's business, and whether the worker's work is done as part of the employer's business or as part of some other business.</w:t>
      </w:r>
      <w:r w:rsidRPr="00E25845">
        <w:rPr>
          <w:rStyle w:val="FootnoteReference"/>
          <w:rFonts w:ascii="Times New Roman" w:hAnsi="Times New Roman"/>
          <w:sz w:val="24"/>
        </w:rPr>
        <w:footnoteReference w:id="281"/>
      </w:r>
      <w:r w:rsidRPr="00E25845">
        <w:rPr>
          <w:rFonts w:ascii="Times New Roman" w:hAnsi="Times New Roman"/>
        </w:rPr>
        <w:t xml:space="preserve"> </w:t>
      </w:r>
    </w:p>
    <w:p w14:paraId="4DFA713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Concerning control, Ward LJ noted that the priest had significant discretion to decide how to run his parish within a pre-existing framework of rights and obligations set out in canon law, but he was ultimately subject to the sanctions and control of his bishop. His Lordship compared the bishop's control over the priest with a health trust's control over a surgeon: "neither is told how to do the job but both can be told how not to do it".</w:t>
      </w:r>
      <w:r w:rsidRPr="00E25845">
        <w:rPr>
          <w:rStyle w:val="FootnoteReference"/>
          <w:rFonts w:ascii="Times New Roman" w:hAnsi="Times New Roman"/>
          <w:sz w:val="24"/>
        </w:rPr>
        <w:footnoteReference w:id="282"/>
      </w:r>
      <w:r w:rsidRPr="00E25845">
        <w:rPr>
          <w:rFonts w:ascii="Times New Roman" w:hAnsi="Times New Roman"/>
        </w:rPr>
        <w:t xml:space="preserve"> Ward LJ concluded:</w:t>
      </w:r>
      <w:r w:rsidRPr="00E25845">
        <w:rPr>
          <w:rStyle w:val="FootnoteReference"/>
          <w:rFonts w:ascii="Times New Roman" w:hAnsi="Times New Roman"/>
          <w:sz w:val="24"/>
        </w:rPr>
        <w:footnoteReference w:id="283"/>
      </w:r>
    </w:p>
    <w:p w14:paraId="1BD60F3E"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"In my judgment the question of control should be viewed in a wider sense than merely inquiring whether the employer has the legal power to control how the employee carries out his work. It should be viewed more in terms of whether the employee is accountable to his superior for the way he does the work so as to enable the employer to supervise and effect improvements in performance and eliminate risks of harm to others ... In this sense the priest is accountable to his bishop."</w:t>
      </w:r>
    </w:p>
    <w:p w14:paraId="7E13833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Concerning integration, his Lordship had no doubt that the role of the parish priest is "wholly integrated into the organisational structure of the church's </w:t>
      </w:r>
      <w:r w:rsidRPr="00E25845">
        <w:rPr>
          <w:rFonts w:ascii="Times New Roman" w:hAnsi="Times New Roman"/>
        </w:rPr>
        <w:lastRenderedPageBreak/>
        <w:t>enterprise".</w:t>
      </w:r>
      <w:r w:rsidRPr="00E25845">
        <w:rPr>
          <w:rStyle w:val="FootnoteReference"/>
          <w:rFonts w:ascii="Times New Roman" w:hAnsi="Times New Roman"/>
          <w:sz w:val="24"/>
        </w:rPr>
        <w:footnoteReference w:id="284"/>
      </w:r>
      <w:r w:rsidRPr="00E25845">
        <w:rPr>
          <w:rFonts w:ascii="Times New Roman" w:hAnsi="Times New Roman"/>
        </w:rPr>
        <w:t xml:space="preserve"> For his Lordship, the requirement that the priest must reside in the parochial house close to the church and the priest's receipt of "decent support" from parish collections were somewhat like being paid a wage, but "certainly [did] not resonate with being an entrepreneur".</w:t>
      </w:r>
      <w:r w:rsidRPr="00E25845">
        <w:rPr>
          <w:rStyle w:val="FootnoteReference"/>
          <w:rFonts w:ascii="Times New Roman" w:hAnsi="Times New Roman"/>
          <w:sz w:val="24"/>
        </w:rPr>
        <w:footnoteReference w:id="285"/>
      </w:r>
      <w:r w:rsidRPr="00E25845">
        <w:rPr>
          <w:rFonts w:ascii="Times New Roman" w:hAnsi="Times New Roman"/>
        </w:rPr>
        <w:t xml:space="preserve"> Ward LJ posited the scenario of a parish priest responding to an urgent call to administer the last rites to a parishioner in accordance with his duties under canon law:</w:t>
      </w:r>
      <w:r w:rsidRPr="00E25845">
        <w:rPr>
          <w:rStyle w:val="FootnoteReference"/>
          <w:rFonts w:ascii="Times New Roman" w:hAnsi="Times New Roman"/>
          <w:sz w:val="24"/>
        </w:rPr>
        <w:footnoteReference w:id="286"/>
      </w:r>
    </w:p>
    <w:p w14:paraId="4D9D5F3F"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"To perform this sacred duty he jumps on his battered old bicycle and pedals furiously down the hill to attend his ailing parishioner. Alas he does so negligently, fails to observe another of his flock on a controlled pedestrian crossing. She is knocked down and suffers injury. The priest was clearly in the course of doing what he was appointed to do ... But he has taken a vow of poverty. He is not himself insured. But the parish is. Are we really having to conclude that his bishop and/or the diocesan trust are not vicariously liable because he is not employed or in a relationship akin to employment? Are we to say he is simply an office holder personally responsible for the manner in which he conducts his office. I think not."</w:t>
      </w:r>
    </w:p>
    <w:p w14:paraId="295BC96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Christian Brothers</w:t>
      </w:r>
      <w:r w:rsidRPr="00E25845">
        <w:rPr>
          <w:rFonts w:ascii="Times New Roman" w:hAnsi="Times New Roman"/>
        </w:rPr>
        <w:t>,</w:t>
      </w:r>
      <w:r w:rsidRPr="00E25845">
        <w:rPr>
          <w:rStyle w:val="FootnoteReference"/>
          <w:rFonts w:ascii="Times New Roman" w:hAnsi="Times New Roman"/>
          <w:sz w:val="24"/>
        </w:rPr>
        <w:footnoteReference w:id="287"/>
      </w:r>
      <w:r w:rsidRPr="00E25845">
        <w:rPr>
          <w:rFonts w:ascii="Times New Roman" w:hAnsi="Times New Roman"/>
          <w:i/>
          <w:iCs/>
        </w:rPr>
        <w:t xml:space="preserve"> </w:t>
      </w:r>
      <w:r w:rsidRPr="00E25845">
        <w:rPr>
          <w:rFonts w:ascii="Times New Roman" w:hAnsi="Times New Roman"/>
        </w:rPr>
        <w:t>the Supreme Court of the United Kingdom found that the relationship between a Christian Brother and a lay Catholic teaching order (namely, an unincorporated association known as the Institute of the Brothers of the Christian Schools ("the Institute")) was akin to employment because it had "all the essential elements" of an employment relationship.</w:t>
      </w:r>
      <w:r w:rsidRPr="00E25845">
        <w:rPr>
          <w:rStyle w:val="FootnoteReference"/>
          <w:rFonts w:ascii="Times New Roman" w:hAnsi="Times New Roman"/>
          <w:sz w:val="24"/>
        </w:rPr>
        <w:footnoteReference w:id="288"/>
      </w:r>
      <w:r w:rsidRPr="00E25845">
        <w:rPr>
          <w:rFonts w:ascii="Times New Roman" w:hAnsi="Times New Roman"/>
        </w:rPr>
        <w:t xml:space="preserve"> </w:t>
      </w:r>
    </w:p>
    <w:p w14:paraId="414971BE"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Lord Phillips (with whom Baroness Hale, Lord Kerr, Lord Wilson and Lord Carnwath agreed) affirmed the approach of the Court of Appeal in </w:t>
      </w:r>
      <w:r w:rsidRPr="00E25845">
        <w:rPr>
          <w:rFonts w:ascii="Times New Roman" w:hAnsi="Times New Roman"/>
          <w:i/>
          <w:iCs/>
        </w:rPr>
        <w:t xml:space="preserve">E </w:t>
      </w:r>
      <w:r w:rsidRPr="00E25845">
        <w:rPr>
          <w:rFonts w:ascii="Times New Roman" w:hAnsi="Times New Roman"/>
        </w:rPr>
        <w:t>that "[w]here the defendant and the tortfeasor are not bound by a contract of employment, but their relationship has the same incidents, that relationship can properly give rise to vicarious liability on the ground that it is 'akin to that between an employer and an employee'".</w:t>
      </w:r>
      <w:r w:rsidRPr="00E25845">
        <w:rPr>
          <w:rStyle w:val="FootnoteReference"/>
          <w:rFonts w:ascii="Times New Roman" w:hAnsi="Times New Roman"/>
          <w:sz w:val="24"/>
        </w:rPr>
        <w:footnoteReference w:id="289"/>
      </w:r>
      <w:r w:rsidRPr="00E25845">
        <w:rPr>
          <w:rFonts w:ascii="Times New Roman" w:hAnsi="Times New Roman"/>
        </w:rPr>
        <w:t xml:space="preserve"> His Lordship considered that the case for finding vicarious liability was much stronger in the case of the Institute than in the case of the bishop in </w:t>
      </w:r>
      <w:r w:rsidRPr="00E25845">
        <w:rPr>
          <w:rFonts w:ascii="Times New Roman" w:hAnsi="Times New Roman"/>
          <w:i/>
          <w:iCs/>
        </w:rPr>
        <w:t>E.</w:t>
      </w:r>
      <w:r w:rsidRPr="00E25845">
        <w:rPr>
          <w:rStyle w:val="FootnoteReference"/>
          <w:rFonts w:ascii="Times New Roman" w:hAnsi="Times New Roman"/>
          <w:sz w:val="24"/>
        </w:rPr>
        <w:footnoteReference w:id="290"/>
      </w:r>
      <w:r w:rsidRPr="00E25845">
        <w:rPr>
          <w:rFonts w:ascii="Times New Roman" w:hAnsi="Times New Roman"/>
          <w:i/>
          <w:iCs/>
        </w:rPr>
        <w:t xml:space="preserve"> </w:t>
      </w:r>
      <w:r w:rsidRPr="00E25845">
        <w:rPr>
          <w:rFonts w:ascii="Times New Roman" w:hAnsi="Times New Roman"/>
        </w:rPr>
        <w:t xml:space="preserve">Lord Phillips concluded that the relationship between </w:t>
      </w:r>
      <w:r w:rsidRPr="00E25845">
        <w:rPr>
          <w:rFonts w:ascii="Times New Roman" w:hAnsi="Times New Roman"/>
        </w:rPr>
        <w:lastRenderedPageBreak/>
        <w:t>the teacher brothers and the Institute was different from an employment relationship in only two immaterial respects. These were: (1) the brothers were bound to the Institute not by contract, but by their vows; and (2) "[f]ar from the institute paying the brothers, the brothers entered into deeds under which they were obliged to transfer all their earnings to the institute. The institute catered for their needs from these funds."</w:t>
      </w:r>
      <w:r w:rsidRPr="00E25845">
        <w:rPr>
          <w:rStyle w:val="FootnoteReference"/>
          <w:rFonts w:ascii="Times New Roman" w:hAnsi="Times New Roman"/>
          <w:sz w:val="24"/>
        </w:rPr>
        <w:footnoteReference w:id="291"/>
      </w:r>
      <w:r w:rsidRPr="00E25845">
        <w:rPr>
          <w:rFonts w:ascii="Times New Roman" w:hAnsi="Times New Roman"/>
        </w:rPr>
        <w:t xml:space="preserve"> Finally, Lord Phillips found that the members of the Institute were united in the objective of providing Christian teaching for boys, and the relationship between the teaching brothers and the institute was directed to achieving that objective.</w:t>
      </w:r>
      <w:r w:rsidRPr="00E25845">
        <w:rPr>
          <w:rStyle w:val="FootnoteReference"/>
          <w:rFonts w:ascii="Times New Roman" w:hAnsi="Times New Roman"/>
          <w:sz w:val="24"/>
        </w:rPr>
        <w:footnoteReference w:id="292"/>
      </w:r>
    </w:p>
    <w:p w14:paraId="399D68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the recent decision of </w:t>
      </w:r>
      <w:r w:rsidRPr="00E25845">
        <w:rPr>
          <w:rFonts w:ascii="Times New Roman" w:hAnsi="Times New Roman"/>
          <w:i/>
          <w:iCs/>
        </w:rPr>
        <w:t>BXB v Trustees of the Barry Congregation of Jehovah's Witnesses</w:t>
      </w:r>
      <w:r w:rsidRPr="00E25845">
        <w:rPr>
          <w:rFonts w:ascii="Times New Roman" w:hAnsi="Times New Roman"/>
        </w:rPr>
        <w:t>,</w:t>
      </w:r>
      <w:r w:rsidRPr="00E25845">
        <w:rPr>
          <w:rStyle w:val="FootnoteReference"/>
          <w:rFonts w:ascii="Times New Roman" w:hAnsi="Times New Roman"/>
          <w:sz w:val="24"/>
        </w:rPr>
        <w:footnoteReference w:id="293"/>
      </w:r>
      <w:r w:rsidRPr="00E25845">
        <w:rPr>
          <w:rFonts w:ascii="Times New Roman" w:hAnsi="Times New Roman"/>
        </w:rPr>
        <w:t xml:space="preserve"> the Supreme Court of the United Kingdom found a relationship akin to employment, supporting the imposition of vicarious liability, between the wrongdoer and the Watch Tower Bible and Tract Society of Pennsylvania, a charitable corporation that supported the worldwide activities of the Jehovah's Witnesses. In that case, the claimant was a woman who was sexually assaulted by an elder of the Jehovah's Witnesses. She commenced an action for damages for personal injury including psychiatric harm against two entities that conducted or supported the religious activities of Jehovah's Witnesses. Lord Burrows (with whom Lord Reed, Lord Hodge, Lord Briggs and Lord Stephens agreed) identified relevant features to consider when deciding whether a relationship is "akin to employment" as including:</w:t>
      </w:r>
      <w:r w:rsidRPr="00E25845">
        <w:rPr>
          <w:rStyle w:val="FootnoteReference"/>
          <w:rFonts w:ascii="Times New Roman" w:hAnsi="Times New Roman"/>
          <w:sz w:val="24"/>
        </w:rPr>
        <w:footnoteReference w:id="294"/>
      </w:r>
    </w:p>
    <w:p w14:paraId="66B56478" w14:textId="77777777" w:rsidR="003C3645" w:rsidRDefault="003C3645" w:rsidP="00E25845">
      <w:pPr>
        <w:pStyle w:val="LeftrightafterHC"/>
        <w:spacing w:before="0" w:after="260" w:line="280" w:lineRule="exact"/>
        <w:ind w:right="0"/>
        <w:jc w:val="both"/>
        <w:rPr>
          <w:rFonts w:ascii="Times New Roman" w:hAnsi="Times New Roman"/>
        </w:rPr>
      </w:pPr>
      <w:r w:rsidRPr="00E25845">
        <w:rPr>
          <w:rFonts w:ascii="Times New Roman" w:hAnsi="Times New Roman"/>
        </w:rPr>
        <w:t>"whether the work is being paid for in money or in kind, how integral to the organisation is the work carried out by the tortfeasor, the extent of the defendant's control over the tortfeasor in carrying out the work, whether the work is being carried out for the defendant's benefit or in furtherance of the aims of the organisation, what the situation is with regard to appointment and termination, and whether there is a hierarchy of seniority into which the relevant role fits. It is important to recognise ... that the 'akin to employment' expansion does not undermine the traditional position that there is no vicarious liability where the tortfeasor is a true independent contractor in relation to the defendant."</w:t>
      </w:r>
    </w:p>
    <w:p w14:paraId="57DC4E26"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lastRenderedPageBreak/>
        <w:t>The statutory reforms in Australia</w:t>
      </w:r>
      <w:r w:rsidRPr="00E25845">
        <w:rPr>
          <w:rFonts w:ascii="Times New Roman" w:hAnsi="Times New Roman"/>
        </w:rPr>
        <w:tab/>
      </w:r>
    </w:p>
    <w:p w14:paraId="39AED9A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Since the Royal Commission, all States and Territories have introduced laws that impose liability upon organisations for child abuse committed by members of those organisations. Other than in the Australian Capital Territory, institutional liability is extended beyond liability for the wrongs of an employee. In New South Wales, South Australia, Tasmania and the Northern Territory, liability extends to abuse by an individual who is "akin to an employee" of the organisation.</w:t>
      </w:r>
      <w:r w:rsidRPr="00E25845">
        <w:rPr>
          <w:rStyle w:val="FootnoteReference"/>
          <w:rFonts w:ascii="Times New Roman" w:hAnsi="Times New Roman"/>
          <w:sz w:val="24"/>
        </w:rPr>
        <w:footnoteReference w:id="295"/>
      </w:r>
      <w:r w:rsidRPr="00E25845">
        <w:rPr>
          <w:rFonts w:ascii="Times New Roman" w:hAnsi="Times New Roman"/>
        </w:rPr>
        <w:t xml:space="preserve"> In Victoria and Queensland, new duties of care have been enacted to prevent child abuse by an individual associated with the relevant organisation and, if the organisation is a religious organisation, this includes a minister of religion, a religious leader or a member of the personnel of the religious organisation.</w:t>
      </w:r>
      <w:r w:rsidRPr="00E25845">
        <w:rPr>
          <w:rStyle w:val="FootnoteReference"/>
          <w:rFonts w:ascii="Times New Roman" w:hAnsi="Times New Roman"/>
          <w:sz w:val="24"/>
        </w:rPr>
        <w:footnoteReference w:id="296"/>
      </w:r>
      <w:r w:rsidRPr="00E25845">
        <w:rPr>
          <w:rFonts w:ascii="Times New Roman" w:hAnsi="Times New Roman"/>
        </w:rPr>
        <w:t xml:space="preserve"> In Western Australia, liability extends to a case where a person was subjected to child sexual abuse "by a person associated with an institution".</w:t>
      </w:r>
      <w:r w:rsidRPr="00E25845">
        <w:rPr>
          <w:rStyle w:val="FootnoteReference"/>
          <w:rFonts w:ascii="Times New Roman" w:hAnsi="Times New Roman"/>
          <w:sz w:val="24"/>
        </w:rPr>
        <w:footnoteReference w:id="297"/>
      </w:r>
      <w:r w:rsidRPr="00E25845">
        <w:rPr>
          <w:rFonts w:ascii="Times New Roman" w:hAnsi="Times New Roman"/>
        </w:rPr>
        <w:t xml:space="preserve"> </w:t>
      </w:r>
    </w:p>
    <w:p w14:paraId="03DFB67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Increasing recognition that priests and other members of religious orders are analogous to employees in important respects, and should be treated accordingly, is apparent in contexts apart from tort law, both in Australia and elsewhere. For example, in the House of Lords decision of </w:t>
      </w:r>
      <w:r w:rsidRPr="00E25845">
        <w:rPr>
          <w:rFonts w:ascii="Times New Roman" w:hAnsi="Times New Roman"/>
          <w:i/>
          <w:iCs/>
        </w:rPr>
        <w:t>Percy v Board of National Mission of the Church of Scotland</w:t>
      </w:r>
      <w:r w:rsidRPr="00E25845">
        <w:rPr>
          <w:rFonts w:ascii="Times New Roman" w:hAnsi="Times New Roman"/>
        </w:rPr>
        <w:t>, it was found that the relationship between an ordained minister of the Church of Scotland and the Board of National Mission of the Church of Scotland was an employment relationship for the purposes of a sex discrimination statute, although there was no contract of employment.</w:t>
      </w:r>
      <w:r w:rsidRPr="00E25845">
        <w:rPr>
          <w:rStyle w:val="FootnoteReference"/>
          <w:rFonts w:ascii="Times New Roman" w:hAnsi="Times New Roman"/>
          <w:sz w:val="24"/>
        </w:rPr>
        <w:footnoteReference w:id="298"/>
      </w:r>
      <w:r w:rsidRPr="00E25845">
        <w:rPr>
          <w:rFonts w:ascii="Times New Roman" w:hAnsi="Times New Roman"/>
        </w:rPr>
        <w:t xml:space="preserve"> In Australia, taxation laws treat priests as employees,</w:t>
      </w:r>
      <w:r w:rsidRPr="00E25845">
        <w:rPr>
          <w:rStyle w:val="FootnoteReference"/>
          <w:rFonts w:ascii="Times New Roman" w:hAnsi="Times New Roman"/>
          <w:sz w:val="24"/>
        </w:rPr>
        <w:footnoteReference w:id="299"/>
      </w:r>
      <w:r w:rsidRPr="00E25845">
        <w:rPr>
          <w:rFonts w:ascii="Times New Roman" w:hAnsi="Times New Roman"/>
        </w:rPr>
        <w:t xml:space="preserve"> and anti-discrimination laws impose vicarious liability for the conduct of an agent where that conduct is in connection with duties of the agent as an agent.</w:t>
      </w:r>
      <w:r w:rsidRPr="00E25845">
        <w:rPr>
          <w:rStyle w:val="FootnoteReference"/>
          <w:rFonts w:ascii="Times New Roman" w:hAnsi="Times New Roman"/>
          <w:sz w:val="24"/>
        </w:rPr>
        <w:footnoteReference w:id="300"/>
      </w:r>
    </w:p>
    <w:p w14:paraId="3867462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These instances of liability imposed on religious organisations demonstrate a marked social change in which relationships established under non-legal </w:t>
      </w:r>
      <w:r w:rsidRPr="00E25845">
        <w:rPr>
          <w:rFonts w:ascii="Times New Roman" w:hAnsi="Times New Roman"/>
        </w:rPr>
        <w:lastRenderedPageBreak/>
        <w:t>frameworks, or alternative legal frameworks such as canon law, are not an acceptable justification for the non-imposition of vicarious liability where the relevant relationships are regarded as "functionally analogous to employment"</w:t>
      </w:r>
      <w:r w:rsidRPr="00E25845">
        <w:rPr>
          <w:rStyle w:val="FootnoteReference"/>
          <w:rFonts w:ascii="Times New Roman" w:hAnsi="Times New Roman"/>
          <w:sz w:val="24"/>
        </w:rPr>
        <w:footnoteReference w:id="301"/>
      </w:r>
      <w:r w:rsidRPr="00E25845">
        <w:rPr>
          <w:rFonts w:ascii="Times New Roman" w:hAnsi="Times New Roman"/>
        </w:rPr>
        <w:t xml:space="preserve"> or, in other words, akin to employment. </w:t>
      </w:r>
    </w:p>
    <w:p w14:paraId="6CFA0620"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t>An alternative statement of the positive law</w:t>
      </w:r>
    </w:p>
    <w:p w14:paraId="4EC9E4E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An approach to vicarious liability that responds to contemporary Australian conditions first asks whether the tortfeasor is an employee or an independent contractor. The extension of vicarious liability to relationships akin to employment does not cut across the general rule that enterprises are not vicariously liable for the torts of an independent contractor. Outside of the category of religious organisations, this question will resolve whether the relationship between the defendant and the tortfeasor is capable of giving rise to vicarious liability in the vast majority of cases. "The long-standing distinction ... between employees and independent contractors remain[s] of crucial importance."</w:t>
      </w:r>
      <w:r w:rsidRPr="00E25845">
        <w:rPr>
          <w:rStyle w:val="FootnoteReference"/>
          <w:rFonts w:ascii="Times New Roman" w:hAnsi="Times New Roman"/>
          <w:sz w:val="24"/>
        </w:rPr>
        <w:footnoteReference w:id="302"/>
      </w:r>
      <w:r w:rsidRPr="00E25845">
        <w:rPr>
          <w:rFonts w:ascii="Times New Roman" w:hAnsi="Times New Roman"/>
        </w:rPr>
        <w:t xml:space="preserve"> </w:t>
      </w:r>
    </w:p>
    <w:p w14:paraId="32600FC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If, however, the tortfeasor is neither an employee nor an independent contractor, a court must then ask whether the relationship between the tortfeasor and defendant is akin to one of employment by focusing on the details of the relationship. The relevant features to focus on will be those identified in </w:t>
      </w:r>
      <w:r w:rsidRPr="00E25845">
        <w:rPr>
          <w:rFonts w:ascii="Times New Roman" w:hAnsi="Times New Roman"/>
          <w:i/>
          <w:iCs/>
        </w:rPr>
        <w:t xml:space="preserve">Hollis </w:t>
      </w:r>
      <w:r w:rsidRPr="00E25845">
        <w:rPr>
          <w:rFonts w:ascii="Times New Roman" w:hAnsi="Times New Roman"/>
        </w:rPr>
        <w:t xml:space="preserve">and </w:t>
      </w:r>
      <w:r w:rsidRPr="00E25845">
        <w:rPr>
          <w:rFonts w:ascii="Times New Roman" w:hAnsi="Times New Roman"/>
          <w:i/>
          <w:iCs/>
        </w:rPr>
        <w:t>Personnel Contracting</w:t>
      </w:r>
      <w:r w:rsidRPr="00E25845">
        <w:rPr>
          <w:rFonts w:ascii="Times New Roman" w:hAnsi="Times New Roman"/>
        </w:rPr>
        <w:t>.</w:t>
      </w:r>
      <w:r w:rsidRPr="00E25845">
        <w:rPr>
          <w:rStyle w:val="FootnoteReference"/>
          <w:rFonts w:ascii="Times New Roman" w:hAnsi="Times New Roman"/>
          <w:sz w:val="24"/>
        </w:rPr>
        <w:footnoteReference w:id="303"/>
      </w:r>
      <w:r w:rsidRPr="00E25845">
        <w:rPr>
          <w:rFonts w:ascii="Times New Roman" w:hAnsi="Times New Roman"/>
        </w:rPr>
        <w:t xml:space="preserve">  </w:t>
      </w:r>
    </w:p>
    <w:p w14:paraId="2A49D0D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Liability for the torts of another requires that the tortious conduct be committed "in the course or scope of" the relationship between the tortfeasor and the defendant.</w:t>
      </w:r>
      <w:r w:rsidRPr="00E25845">
        <w:rPr>
          <w:rStyle w:val="FootnoteReference"/>
          <w:rFonts w:ascii="Times New Roman" w:hAnsi="Times New Roman"/>
          <w:sz w:val="24"/>
        </w:rPr>
        <w:footnoteReference w:id="304"/>
      </w:r>
      <w:r w:rsidRPr="00E25845">
        <w:rPr>
          <w:rFonts w:ascii="Times New Roman" w:hAnsi="Times New Roman"/>
        </w:rPr>
        <w:t xml:space="preserve"> Vicarious liability for unauthorised wrongful conduct by employees has been explained by connections between the wrongful conduct and features of the role that the employee is engaged to perform, including, as identified in </w:t>
      </w:r>
      <w:r w:rsidRPr="00E25845">
        <w:rPr>
          <w:rFonts w:ascii="Times New Roman" w:hAnsi="Times New Roman"/>
          <w:i/>
          <w:iCs/>
        </w:rPr>
        <w:t>Prince Alfred College</w:t>
      </w:r>
      <w:r w:rsidRPr="00E25845">
        <w:rPr>
          <w:rFonts w:ascii="Times New Roman" w:hAnsi="Times New Roman"/>
        </w:rPr>
        <w:t>, "authority, power, trust, control and the ability to achieve intimacy with the victim".</w:t>
      </w:r>
      <w:r w:rsidRPr="00E25845">
        <w:rPr>
          <w:rStyle w:val="FootnoteReference"/>
          <w:rFonts w:ascii="Times New Roman" w:hAnsi="Times New Roman"/>
          <w:sz w:val="24"/>
        </w:rPr>
        <w:footnoteReference w:id="305"/>
      </w:r>
    </w:p>
    <w:p w14:paraId="6CDD542B"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The relationship between the Diocese and Coffey</w:t>
      </w:r>
    </w:p>
    <w:p w14:paraId="01F2D8D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Diocese acknowledged that it owed a duty of care "to DP in relation to the conduct of priests appointed to the Port Fairy parish in their dealings with parishioners and their families".</w:t>
      </w:r>
      <w:r w:rsidRPr="00E25845">
        <w:rPr>
          <w:rStyle w:val="FootnoteReference"/>
          <w:rFonts w:ascii="Times New Roman" w:hAnsi="Times New Roman"/>
          <w:sz w:val="24"/>
        </w:rPr>
        <w:footnoteReference w:id="306"/>
      </w:r>
      <w:r w:rsidRPr="00E25845">
        <w:rPr>
          <w:rFonts w:ascii="Times New Roman" w:hAnsi="Times New Roman"/>
        </w:rPr>
        <w:t xml:space="preserve"> Thus, the Diocese accepted that it bore direct legal responsibility for Coffey's conduct in certain circumstances because of its capacity to affect interactions between Coffey and parishioners and their family members.  </w:t>
      </w:r>
    </w:p>
    <w:p w14:paraId="5C75035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primary judge found that the Diocese did not breach the duty of care because the risk of harm to DP of the kind suffered was not reasonably foreseeable.</w:t>
      </w:r>
      <w:r w:rsidRPr="00E25845">
        <w:rPr>
          <w:rStyle w:val="FootnoteReference"/>
          <w:rFonts w:ascii="Times New Roman" w:hAnsi="Times New Roman"/>
          <w:sz w:val="24"/>
        </w:rPr>
        <w:footnoteReference w:id="307"/>
      </w:r>
      <w:r w:rsidRPr="00E25845">
        <w:rPr>
          <w:rFonts w:ascii="Times New Roman" w:hAnsi="Times New Roman"/>
        </w:rPr>
        <w:t xml:space="preserve"> DP's case on fault-based liability in negligence was not pursued on appeal. As explained by the plurality, whether the relationship between the Diocese and DP gave rise to a non-delegable duty to ensure that the priest did not harm DP was the subject of a notice of contention filed in this Court but, as the contention was not addressed in the courts below, it would be unfair for the issue to be considered at this late stage of the proceedings. Accordingly, this case is not concerned with whether the Diocese is liable for breach of a non-delegable duty.</w:t>
      </w:r>
    </w:p>
    <w:p w14:paraId="100F42D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Although the Court of Appeal of the Supreme Court of Victoria did not state that it applied a test of whether the relationship was "akin to employment" in imposing vicarious liability on the Diocese, this was the effect of the Court's reasoning. In particular, the Court found that the relationship between the Diocese and Coffey was one which "in an appropriate case, would render the Diocese vicariously liable for any tort committed by Coffey in his role as an assistant priest within the Diocese".</w:t>
      </w:r>
      <w:r w:rsidRPr="00E25845">
        <w:rPr>
          <w:rStyle w:val="FootnoteReference"/>
          <w:rFonts w:ascii="Times New Roman" w:hAnsi="Times New Roman"/>
          <w:sz w:val="24"/>
        </w:rPr>
        <w:footnoteReference w:id="308"/>
      </w:r>
      <w:r w:rsidRPr="00E25845">
        <w:rPr>
          <w:rFonts w:ascii="Times New Roman" w:hAnsi="Times New Roman"/>
          <w:b/>
          <w:bCs/>
        </w:rPr>
        <w:t xml:space="preserve"> </w:t>
      </w:r>
      <w:r w:rsidRPr="00E25845">
        <w:rPr>
          <w:rFonts w:ascii="Times New Roman" w:hAnsi="Times New Roman"/>
        </w:rPr>
        <w:t xml:space="preserve">In my view, having regard to the state of the law as I have described it, the Court of Appeal was correct to consider that the relationship between the Diocese and Coffey was akin to an employment relationship and to conclude that the relationship could give rise to vicarious liability in an appropriate case. </w:t>
      </w:r>
    </w:p>
    <w:p w14:paraId="3484B94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Some basic facts about the relationship between the Diocese and Coffey were not in issue. The activities of the Diocese could be characterised as the conduct of an enterprise. Coffey was appointed to his role in the Port Fairy parish by the then Bishop of Ballarat ("the Bishop") on behalf of the Diocese to serve parishioners on behalf of the Catholic Church by performing the ministry of the Church in the parish. That is, the Diocese placed Coffey in his role as assistant parish priest to perform the functions of a priest of the Catholic Church, of which the Diocese was a part, in activities that were central to the purposes of the Diocese. </w:t>
      </w:r>
      <w:r w:rsidRPr="00E25845">
        <w:rPr>
          <w:rFonts w:ascii="Times New Roman" w:hAnsi="Times New Roman"/>
        </w:rPr>
        <w:lastRenderedPageBreak/>
        <w:t xml:space="preserve">In a general sense, Coffey was "identified as representing that enterprise", to use the language of the plurality in </w:t>
      </w:r>
      <w:r w:rsidRPr="00E25845">
        <w:rPr>
          <w:rFonts w:ascii="Times New Roman" w:hAnsi="Times New Roman"/>
          <w:i/>
          <w:iCs/>
        </w:rPr>
        <w:t>Hollis</w:t>
      </w:r>
      <w:r w:rsidRPr="00E25845">
        <w:rPr>
          <w:rFonts w:ascii="Times New Roman" w:hAnsi="Times New Roman"/>
        </w:rPr>
        <w:t>. However, the appellant argued that this meant no more than that Coffey was an assistant priest.</w:t>
      </w:r>
    </w:p>
    <w:p w14:paraId="62C3C97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There was no suggestion that, in his role as an assistant parish priest, Coffey was engaging in an independent enterprise, or that Coffey represented any person or entity apart from the Catholic Church in his role. Plainly enough, the relationship between the Diocese and Coffey bore no resemblance to the relationship between a principal and independent contractor.</w:t>
      </w:r>
      <w:r w:rsidRPr="00E25845">
        <w:rPr>
          <w:rStyle w:val="FootnoteReference"/>
          <w:rFonts w:ascii="Times New Roman" w:hAnsi="Times New Roman"/>
          <w:sz w:val="24"/>
        </w:rPr>
        <w:footnoteReference w:id="309"/>
      </w:r>
      <w:r w:rsidRPr="00E25845">
        <w:rPr>
          <w:rFonts w:ascii="Times New Roman" w:hAnsi="Times New Roman"/>
        </w:rPr>
        <w:tab/>
      </w:r>
    </w:p>
    <w:p w14:paraId="0C1454FD"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Analogy with the relationship in Hollis</w:t>
      </w:r>
    </w:p>
    <w:p w14:paraId="030D2C5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In </w:t>
      </w:r>
      <w:r w:rsidRPr="00E25845">
        <w:rPr>
          <w:rFonts w:ascii="Times New Roman" w:hAnsi="Times New Roman"/>
          <w:i/>
          <w:iCs/>
        </w:rPr>
        <w:t>Hollis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the plurality identified seven features of the enterprise's engagement of the relevant workers that indicated that they were employees.</w:t>
      </w:r>
      <w:r w:rsidRPr="00E25845">
        <w:rPr>
          <w:rStyle w:val="FootnoteReference"/>
          <w:rFonts w:ascii="Times New Roman" w:hAnsi="Times New Roman"/>
          <w:sz w:val="24"/>
        </w:rPr>
        <w:footnoteReference w:id="310"/>
      </w:r>
      <w:r w:rsidRPr="00E25845">
        <w:rPr>
          <w:rFonts w:ascii="Times New Roman" w:hAnsi="Times New Roman"/>
        </w:rPr>
        <w:t xml:space="preserve"> All but one of those features, which concerned actual control over the manner of performance of work, can be seen in the Diocese's appointment of Coffey as an assistant parish priest. </w:t>
      </w:r>
    </w:p>
    <w:p w14:paraId="2B6A51C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First, he was not providing skilled labour or labour that required skilled qualifications. Coffey was not able to make an independent career as an assistant parish priest. </w:t>
      </w:r>
    </w:p>
    <w:p w14:paraId="28CF3EA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Secondly, Coffey was presented to the parishioners of the Diocese as an emanation of the Catholic Church by his attire. The Bishop selected Coffey for the role of assistant parish priest and reposed trust in Coffey to perform pastoral work in the Port Fairy parish. </w:t>
      </w:r>
    </w:p>
    <w:p w14:paraId="31A30F2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Thirdly, fixing the Diocese with responsibility for an assistant parish priest's torts could be expected to have a deterrent effect because of the Diocese's capacity to organise and supervise such a priest's activities through the authority of the Bishop. </w:t>
      </w:r>
    </w:p>
    <w:p w14:paraId="5788B1B1"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Fourthly, there was no apparent scope for Coffey to bargain for his rate of remuneration. </w:t>
      </w:r>
    </w:p>
    <w:p w14:paraId="3215B66F"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Fifthly, there was no suggestion that Coffey was required to provide tools or equipment or, indeed, his own accommodation. Coffey was entirely dependent upon the Diocese for his tools of trade. </w:t>
      </w:r>
    </w:p>
    <w:p w14:paraId="06047FB8"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Sixthly, the Bishop as head of the Diocese had considerable scope for the actual exercise of control over Coffey. This included where Coffey lived and whether he would continue in his role as assistant parish priest at any given time.</w:t>
      </w:r>
    </w:p>
    <w:p w14:paraId="75A45C94"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Subservience</w:t>
      </w:r>
    </w:p>
    <w:p w14:paraId="3D809672"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relationship between Coffey and the Diocese is analogous to an employment relationship in the important respects that distinguish an employment relationship from a relationship of principal and independent contractor. Coffey had no entitlement to delegate any part of his role to a third party. The Court of Appeal found that Coffey's duties as an assistant priest, and his appointment to that position, were entirely personal to him.</w:t>
      </w:r>
      <w:r w:rsidRPr="00E25845">
        <w:rPr>
          <w:rStyle w:val="FootnoteReference"/>
          <w:rFonts w:ascii="Times New Roman" w:hAnsi="Times New Roman"/>
          <w:sz w:val="24"/>
        </w:rPr>
        <w:footnoteReference w:id="311"/>
      </w:r>
      <w:r w:rsidRPr="00E25845">
        <w:rPr>
          <w:rFonts w:ascii="Times New Roman" w:hAnsi="Times New Roman"/>
        </w:rPr>
        <w:t xml:space="preserve"> Under the terms of the Diocese's appointment of Coffey, Coffey was accountable to the Diocese for the performance of his activities and was required to obey the Bishop. The Court of Appeal found, as a "fundamental point", that the position of an assistant priest within the Diocese was subject to the appointment of the Bishop of the Diocese and to the maintenance of that appointment by that Bishop.</w:t>
      </w:r>
      <w:r w:rsidRPr="00E25845">
        <w:rPr>
          <w:rStyle w:val="FootnoteReference"/>
          <w:rFonts w:ascii="Times New Roman" w:hAnsi="Times New Roman"/>
          <w:sz w:val="24"/>
        </w:rPr>
        <w:footnoteReference w:id="312"/>
      </w:r>
      <w:r w:rsidRPr="00E25845">
        <w:rPr>
          <w:rFonts w:ascii="Times New Roman" w:hAnsi="Times New Roman"/>
          <w:b/>
          <w:bCs/>
        </w:rPr>
        <w:t xml:space="preserve"> </w:t>
      </w:r>
      <w:r w:rsidRPr="00E25845">
        <w:rPr>
          <w:rFonts w:ascii="Times New Roman" w:hAnsi="Times New Roman"/>
        </w:rPr>
        <w:t>Accordingly, the terms of the appointment placed Coffey in a position of subservience in relation to the Bishop and in a position of dependence in relation to the Diocese.</w:t>
      </w:r>
    </w:p>
    <w:p w14:paraId="091876D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Court of Appeal found that the canon law that governed the relationship between Coffey and the Diocese permitted the Bishop to exercise control over Coffey "that was at least as great as, if not greater than, that enjoyed by an employer".</w:t>
      </w:r>
      <w:r w:rsidRPr="00E25845">
        <w:rPr>
          <w:rStyle w:val="FootnoteReference"/>
          <w:rFonts w:ascii="Times New Roman" w:hAnsi="Times New Roman"/>
          <w:sz w:val="24"/>
        </w:rPr>
        <w:footnoteReference w:id="313"/>
      </w:r>
      <w:r w:rsidRPr="00E25845">
        <w:rPr>
          <w:rFonts w:ascii="Times New Roman" w:hAnsi="Times New Roman"/>
        </w:rPr>
        <w:t xml:space="preserve"> The Court of Appeal's finding cannot be understood as a finding about legal rights and obligations. Rather, the finding must be understood alongside its finding that the relationship between Coffey and the Diocese was governed by a strict set of rules that each of them had subscribed to, and that enabled the priest to embody the Diocese in his pastoral role. </w:t>
      </w:r>
    </w:p>
    <w:p w14:paraId="0A9417B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appellant did not dispute the finding that the Diocese had "a general control over Coffey's appointment and over his role and duties in the parish".</w:t>
      </w:r>
      <w:r w:rsidRPr="00E25845">
        <w:rPr>
          <w:rStyle w:val="FootnoteReference"/>
          <w:rFonts w:ascii="Times New Roman" w:hAnsi="Times New Roman"/>
          <w:sz w:val="24"/>
        </w:rPr>
        <w:footnoteReference w:id="314"/>
      </w:r>
      <w:r w:rsidRPr="00E25845">
        <w:rPr>
          <w:rFonts w:ascii="Times New Roman" w:hAnsi="Times New Roman"/>
        </w:rPr>
        <w:t xml:space="preserve"> Nor did the appellant dispute the finding that Coffey was subject to the direction and control of the Bishop of the Diocese.</w:t>
      </w:r>
      <w:r w:rsidRPr="00E25845">
        <w:rPr>
          <w:rStyle w:val="FootnoteReference"/>
          <w:rFonts w:ascii="Times New Roman" w:hAnsi="Times New Roman"/>
          <w:sz w:val="24"/>
        </w:rPr>
        <w:footnoteReference w:id="315"/>
      </w:r>
      <w:r w:rsidRPr="00E25845">
        <w:rPr>
          <w:rFonts w:ascii="Times New Roman" w:hAnsi="Times New Roman"/>
        </w:rPr>
        <w:t xml:space="preserve"> However, the appellant disputed that the relevant control was analogous to an employer's legal capacity to control the conduct of an employee, arguing that it was the result of ecclesiastical rules that did not have legal significance</w:t>
      </w:r>
      <w:r w:rsidRPr="00E25845">
        <w:rPr>
          <w:rFonts w:ascii="Times New Roman" w:hAnsi="Times New Roman"/>
          <w:b/>
          <w:bCs/>
        </w:rPr>
        <w:t xml:space="preserve">. </w:t>
      </w:r>
      <w:r w:rsidRPr="00E25845">
        <w:rPr>
          <w:rFonts w:ascii="Times New Roman" w:hAnsi="Times New Roman"/>
        </w:rPr>
        <w:t xml:space="preserve">In addition, the appellant rejected the Court of </w:t>
      </w:r>
      <w:r w:rsidRPr="00E25845">
        <w:rPr>
          <w:rFonts w:ascii="Times New Roman" w:hAnsi="Times New Roman"/>
        </w:rPr>
        <w:lastRenderedPageBreak/>
        <w:t>Appeal's "uneasy equivalence" of the Bishop's ecclesiastical authority with the Diocese.</w:t>
      </w:r>
    </w:p>
    <w:p w14:paraId="6E5F43E9"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appellant's contentions are unpersuasive. Coffey was accountable to the Bishop and was required to obey him. In this sense, the Bishop could supervise and effect improvements in Coffey's performance and eliminate risks of harm to others as a result of Coffey's duties as an assistant priest. That is a sufficient level of "control" for a relationship to attract vicarious liability. As Giliker has explained, the control test asks "whether ultimate authority over the person in the performance of the work resided in the employer so that the worker was subject to the latter's orders and directions".</w:t>
      </w:r>
      <w:r w:rsidRPr="00E25845">
        <w:rPr>
          <w:rStyle w:val="FootnoteReference"/>
          <w:rFonts w:ascii="Times New Roman" w:hAnsi="Times New Roman"/>
          <w:sz w:val="24"/>
        </w:rPr>
        <w:footnoteReference w:id="316"/>
      </w:r>
      <w:r w:rsidRPr="00E25845">
        <w:rPr>
          <w:rFonts w:ascii="Times New Roman" w:hAnsi="Times New Roman"/>
        </w:rPr>
        <w:t xml:space="preserve"> Even though the Bishop did not have a legally enforceable power to control Coffey pursuant to a contract of employment, it cannot be disputed that Coffey was bound to follow the Bishop's orders when carrying out his role. </w:t>
      </w:r>
    </w:p>
    <w:p w14:paraId="57BD3FD3"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Dependence</w:t>
      </w:r>
      <w:r w:rsidRPr="00E25845">
        <w:rPr>
          <w:rFonts w:ascii="Times New Roman" w:hAnsi="Times New Roman"/>
        </w:rPr>
        <w:tab/>
      </w:r>
    </w:p>
    <w:p w14:paraId="1246570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Coffey's livelihood was provided for by the Diocese.</w:t>
      </w:r>
      <w:r w:rsidRPr="00E25845">
        <w:rPr>
          <w:rStyle w:val="FootnoteReference"/>
          <w:rFonts w:ascii="Times New Roman" w:hAnsi="Times New Roman"/>
          <w:sz w:val="24"/>
        </w:rPr>
        <w:footnoteReference w:id="317"/>
      </w:r>
      <w:r w:rsidRPr="00E25845">
        <w:rPr>
          <w:rFonts w:ascii="Times New Roman" w:hAnsi="Times New Roman"/>
        </w:rPr>
        <w:t xml:space="preserve"> He had no other vocation and the Diocese provided him with accommodation.</w:t>
      </w:r>
      <w:r w:rsidRPr="00E25845">
        <w:rPr>
          <w:rStyle w:val="FootnoteReference"/>
          <w:rFonts w:ascii="Times New Roman" w:hAnsi="Times New Roman"/>
          <w:sz w:val="24"/>
        </w:rPr>
        <w:footnoteReference w:id="318"/>
      </w:r>
      <w:r w:rsidRPr="00E25845">
        <w:rPr>
          <w:rFonts w:ascii="Times New Roman" w:hAnsi="Times New Roman"/>
        </w:rPr>
        <w:t xml:space="preserve"> Coffey's reliance upon the Diocese for his livelihood reinforced his situation as integrated in, and not independent from, the Diocese. </w:t>
      </w:r>
    </w:p>
    <w:p w14:paraId="2F844A3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A particular justification for treating the appointment as akin to employment for the purposes of vicarious liability is that the terms of Coffey's appointment as assistant parish priest were inconsistent with any practical ability on Coffey's part to bear legal responsibility to third parties for the cost of injury or damage to them arising from the performance by Coffey of activities on behalf of the Diocese. The expectation that a priest devote himself to the purposes of the Diocese, on the basis of complete financial dependence on the Diocese, means that unless there is vicarious liability for a priest's torts, the Diocese will avoid the usual liability of an enterprise by the creation of a relationship that ensures the priest's lack of capacity to compensate third parties for his torts committed in the pursuit of the purposes of the Diocese.</w:t>
      </w:r>
    </w:p>
    <w:p w14:paraId="011F975E"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lastRenderedPageBreak/>
        <w:t>Coffey's integration in the Diocese</w:t>
      </w:r>
    </w:p>
    <w:p w14:paraId="33FEA8E5"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r>
      <w:r w:rsidRPr="00E25845">
        <w:rPr>
          <w:rFonts w:ascii="Times New Roman" w:hAnsi="Times New Roman"/>
          <w:b/>
          <w:bCs/>
        </w:rPr>
        <w:t xml:space="preserve"> </w:t>
      </w:r>
      <w:r w:rsidRPr="00E25845">
        <w:rPr>
          <w:rFonts w:ascii="Times New Roman" w:hAnsi="Times New Roman"/>
        </w:rPr>
        <w:t xml:space="preserve">While there was no legally binding contract between the Diocese and Coffey concerning the terms of Coffey's appointment, the </w:t>
      </w:r>
      <w:r w:rsidRPr="00E25845">
        <w:rPr>
          <w:rFonts w:ascii="Times New Roman" w:hAnsi="Times New Roman"/>
          <w:i/>
          <w:iCs/>
        </w:rPr>
        <w:t>Decree on the Ministry and Life of Priests</w:t>
      </w:r>
      <w:r w:rsidRPr="00E25845">
        <w:rPr>
          <w:rFonts w:ascii="Times New Roman" w:hAnsi="Times New Roman"/>
        </w:rPr>
        <w:t>,</w:t>
      </w:r>
      <w:r w:rsidRPr="00E25845">
        <w:rPr>
          <w:rFonts w:ascii="Times New Roman" w:hAnsi="Times New Roman"/>
          <w:i/>
          <w:iCs/>
        </w:rPr>
        <w:t xml:space="preserve"> </w:t>
      </w:r>
      <w:r w:rsidRPr="00E25845">
        <w:rPr>
          <w:rFonts w:ascii="Times New Roman" w:hAnsi="Times New Roman"/>
        </w:rPr>
        <w:t>said to apply to all priests, described Coffey's relationship with other members of the Church in the following terms:</w:t>
      </w:r>
      <w:r w:rsidRPr="00E25845">
        <w:rPr>
          <w:rStyle w:val="FootnoteReference"/>
          <w:rFonts w:ascii="Times New Roman" w:hAnsi="Times New Roman"/>
          <w:sz w:val="24"/>
        </w:rPr>
        <w:footnoteReference w:id="319"/>
      </w:r>
    </w:p>
    <w:p w14:paraId="4BA2386D"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"All priests, in union with bishops, so share in one and the same priesthood and ministry of Christ that the very unity of their consecration and mission requires their hierarchical communion with the order of bishops. ... For above all upon the bishops rests the heavy responsibility for the sanctity of their priests. ...</w:t>
      </w:r>
    </w:p>
    <w:p w14:paraId="295B8DC5"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Priests, never losing sight of the fullness of the priesthood which the bishops enjoy, must respect in them the authority of Christ, the Supreme Shepherd. They must therefore stand by their bishops in sincere charity and obedience. This priestly obedience, imbued with a spirit of cooperation is based on the very sharing in the episcopal ministry which is conferred on priests both through the Sacrament of Orders and the canonical mission.</w:t>
      </w:r>
    </w:p>
    <w:p w14:paraId="385A8A65" w14:textId="77777777" w:rsidR="003C3645" w:rsidRPr="00E258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This union of priests with their bishops is all the more necessary today since in our present age, for various reasons, apostolic undertakings must necessarily not only take on many forms but frequently extend even beyond the boundaries of one parish or diocese. No priest, therefore, can on his own accomplish his mission in a satisfactory way. He can do so only by joining forces with other priests under the direction of the Church authorities.</w:t>
      </w:r>
    </w:p>
    <w:p w14:paraId="047C17A4" w14:textId="77777777" w:rsidR="003C3645" w:rsidRDefault="003C3645" w:rsidP="00E25845">
      <w:pPr>
        <w:pStyle w:val="LRIndentafterHC"/>
        <w:spacing w:before="0" w:after="260" w:line="280" w:lineRule="exact"/>
        <w:ind w:right="0"/>
        <w:jc w:val="both"/>
        <w:rPr>
          <w:rFonts w:ascii="Times New Roman" w:hAnsi="Times New Roman"/>
        </w:rPr>
      </w:pPr>
      <w:r w:rsidRPr="00E25845">
        <w:rPr>
          <w:rFonts w:ascii="Times New Roman" w:hAnsi="Times New Roman"/>
        </w:rPr>
        <w:t>Priests by virtue of their ordination to the priesthood are united among themselves in an intimate sacramental brotherhood. In individual dioceses, priests form one priesthood under their own bishop. Even though priests are assigned to different duties, nevertheless they carry on one priestly ministry for men. ... Each one ... is united in special bonds of apostolic charity, ministry and brotherhood with the other members of this priesthood. ... Each and every priest ... is united with his fellow priests in a bond of charity, prayer and total cooperation."</w:t>
      </w:r>
    </w:p>
    <w:p w14:paraId="27A3A4F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w:t>
      </w:r>
      <w:r w:rsidRPr="00E25845">
        <w:rPr>
          <w:rFonts w:ascii="Times New Roman" w:hAnsi="Times New Roman"/>
          <w:i/>
          <w:iCs/>
        </w:rPr>
        <w:t xml:space="preserve">Decree </w:t>
      </w:r>
      <w:r w:rsidRPr="00E25845">
        <w:rPr>
          <w:rFonts w:ascii="Times New Roman" w:hAnsi="Times New Roman"/>
        </w:rPr>
        <w:t xml:space="preserve">demonstrates a profound integration between Coffey and the Bishop, and between Coffey and other members of the priesthood within the Diocese. It identifies that priests share the "episcopal ministry" and refers to this as a "union of priests with their bishops". </w:t>
      </w:r>
    </w:p>
    <w:p w14:paraId="4BFCDFB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lastRenderedPageBreak/>
        <w:tab/>
        <w:t>The Diocese, through the Bishop, gave Coffey the imprimatur to undertake religious care for the spiritual life of the Port Fairy flock including by "visit[ing] parishioners' homes and interact[ing] with the family and the children".</w:t>
      </w:r>
      <w:r w:rsidRPr="00E25845">
        <w:rPr>
          <w:rStyle w:val="FootnoteReference"/>
          <w:rFonts w:ascii="Times New Roman" w:hAnsi="Times New Roman"/>
          <w:sz w:val="24"/>
        </w:rPr>
        <w:footnoteReference w:id="320"/>
      </w:r>
      <w:r w:rsidRPr="00E25845">
        <w:rPr>
          <w:rFonts w:ascii="Times New Roman" w:hAnsi="Times New Roman"/>
        </w:rPr>
        <w:t xml:space="preserve"> The appellant did not dispute that Coffey's role was "integrally interconnected with the fundamental work and function of the Diocese".</w:t>
      </w:r>
      <w:r w:rsidRPr="00E25845">
        <w:rPr>
          <w:rStyle w:val="FootnoteReference"/>
          <w:rFonts w:ascii="Times New Roman" w:hAnsi="Times New Roman"/>
          <w:sz w:val="24"/>
        </w:rPr>
        <w:footnoteReference w:id="321"/>
      </w:r>
      <w:r w:rsidRPr="00E25845">
        <w:rPr>
          <w:rFonts w:ascii="Times New Roman" w:hAnsi="Times New Roman"/>
        </w:rPr>
        <w:t xml:space="preserve"> Coffey's work in providing pastoral care to members of the Port Fairy parish was the purpose for which the Diocese existed. The Court of Appeal found that: Coffey embodied the Diocese in his pastoral role;</w:t>
      </w:r>
      <w:r w:rsidRPr="00E25845">
        <w:rPr>
          <w:rStyle w:val="FootnoteReference"/>
          <w:rFonts w:ascii="Times New Roman" w:hAnsi="Times New Roman"/>
          <w:sz w:val="24"/>
        </w:rPr>
        <w:footnoteReference w:id="322"/>
      </w:r>
      <w:r w:rsidRPr="00E25845">
        <w:rPr>
          <w:rFonts w:ascii="Times New Roman" w:hAnsi="Times New Roman"/>
        </w:rPr>
        <w:t xml:space="preserve"> the Diocese did its work by and through Coffey;</w:t>
      </w:r>
      <w:r w:rsidRPr="00E25845">
        <w:rPr>
          <w:rStyle w:val="FootnoteReference"/>
          <w:rFonts w:ascii="Times New Roman" w:hAnsi="Times New Roman"/>
          <w:sz w:val="24"/>
        </w:rPr>
        <w:footnoteReference w:id="323"/>
      </w:r>
      <w:r w:rsidRPr="00E25845">
        <w:rPr>
          <w:rFonts w:ascii="Times New Roman" w:hAnsi="Times New Roman"/>
        </w:rPr>
        <w:t xml:space="preserve"> Coffey was a servant of the Diocese albeit he was not its employee; and Coffey was an "emanation" of the Diocese in terms of the principles discussed in </w:t>
      </w:r>
      <w:r w:rsidRPr="00E25845">
        <w:rPr>
          <w:rFonts w:ascii="Times New Roman" w:hAnsi="Times New Roman"/>
          <w:i/>
          <w:iCs/>
        </w:rPr>
        <w:t xml:space="preserve">Colonial Mutual Life, Hollis </w:t>
      </w:r>
      <w:r w:rsidRPr="00E25845">
        <w:rPr>
          <w:rFonts w:ascii="Times New Roman" w:hAnsi="Times New Roman"/>
        </w:rPr>
        <w:t xml:space="preserve">and </w:t>
      </w:r>
      <w:r w:rsidRPr="00E25845">
        <w:rPr>
          <w:rFonts w:ascii="Times New Roman" w:hAnsi="Times New Roman"/>
          <w:i/>
          <w:iCs/>
        </w:rPr>
        <w:t>Sweeney</w:t>
      </w:r>
      <w:r w:rsidRPr="00E25845">
        <w:rPr>
          <w:rFonts w:ascii="Times New Roman" w:hAnsi="Times New Roman"/>
        </w:rPr>
        <w:t>.</w:t>
      </w:r>
      <w:r w:rsidRPr="00E25845">
        <w:rPr>
          <w:rStyle w:val="FootnoteReference"/>
          <w:rFonts w:ascii="Times New Roman" w:hAnsi="Times New Roman"/>
          <w:sz w:val="24"/>
        </w:rPr>
        <w:footnoteReference w:id="324"/>
      </w:r>
    </w:p>
    <w:p w14:paraId="3F1F419A"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Moreover, Coffey was clearly identified as a Catholic priest by clerical garb and vestments,</w:t>
      </w:r>
      <w:r w:rsidRPr="00E25845">
        <w:rPr>
          <w:rStyle w:val="FootnoteReference"/>
          <w:rFonts w:ascii="Times New Roman" w:hAnsi="Times New Roman"/>
          <w:sz w:val="24"/>
        </w:rPr>
        <w:footnoteReference w:id="325"/>
      </w:r>
      <w:r w:rsidRPr="00E25845">
        <w:rPr>
          <w:rFonts w:ascii="Times New Roman" w:hAnsi="Times New Roman"/>
        </w:rPr>
        <w:t xml:space="preserve"> which were supplied to him by the Diocese.</w:t>
      </w:r>
      <w:r w:rsidRPr="00E25845">
        <w:rPr>
          <w:rStyle w:val="FootnoteReference"/>
          <w:rFonts w:ascii="Times New Roman" w:hAnsi="Times New Roman"/>
          <w:sz w:val="24"/>
        </w:rPr>
        <w:footnoteReference w:id="326"/>
      </w:r>
      <w:r w:rsidRPr="00E25845">
        <w:rPr>
          <w:rFonts w:ascii="Times New Roman" w:hAnsi="Times New Roman"/>
        </w:rPr>
        <w:t xml:space="preserve"> It was found in the courts below that there was a "general or widely-held expectation by the Port Fairy Catholic community" that "priests stood as representatives of the Church's values and must embody them always"</w:t>
      </w:r>
      <w:r w:rsidRPr="00E25845">
        <w:rPr>
          <w:rStyle w:val="FootnoteReference"/>
          <w:rFonts w:ascii="Times New Roman" w:hAnsi="Times New Roman"/>
          <w:sz w:val="24"/>
        </w:rPr>
        <w:footnoteReference w:id="327"/>
      </w:r>
      <w:r w:rsidRPr="00E25845">
        <w:rPr>
          <w:rFonts w:ascii="Times New Roman" w:hAnsi="Times New Roman"/>
        </w:rPr>
        <w:t xml:space="preserve"> and that "Coffey carried out the work of the Diocese 'in its place'".</w:t>
      </w:r>
      <w:r w:rsidRPr="00E25845">
        <w:rPr>
          <w:rStyle w:val="FootnoteReference"/>
          <w:rFonts w:ascii="Times New Roman" w:hAnsi="Times New Roman"/>
          <w:sz w:val="24"/>
        </w:rPr>
        <w:footnoteReference w:id="328"/>
      </w:r>
      <w:r w:rsidRPr="00E25845">
        <w:rPr>
          <w:rFonts w:ascii="Times New Roman" w:hAnsi="Times New Roman"/>
        </w:rPr>
        <w:t xml:space="preserve">  </w:t>
      </w:r>
    </w:p>
    <w:p w14:paraId="2D248DC8" w14:textId="77777777" w:rsidR="003C3645" w:rsidRPr="00E25845" w:rsidRDefault="003C3645" w:rsidP="00E25845">
      <w:pPr>
        <w:pStyle w:val="HeadingL2"/>
        <w:spacing w:after="260" w:line="280" w:lineRule="exact"/>
        <w:ind w:right="0"/>
        <w:jc w:val="both"/>
        <w:rPr>
          <w:rFonts w:ascii="Times New Roman" w:hAnsi="Times New Roman"/>
        </w:rPr>
      </w:pPr>
      <w:r w:rsidRPr="00E25845">
        <w:rPr>
          <w:rFonts w:ascii="Times New Roman" w:hAnsi="Times New Roman"/>
        </w:rPr>
        <w:t>Conclusion</w:t>
      </w:r>
      <w:r w:rsidRPr="00E25845">
        <w:rPr>
          <w:rFonts w:ascii="Times New Roman" w:hAnsi="Times New Roman"/>
        </w:rPr>
        <w:tab/>
      </w:r>
    </w:p>
    <w:p w14:paraId="6E600D8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relationship between Coffey and the Diocese is fairly described as "akin to employment" by reason of its characteristics that are relevant to the justifications for the imposition of strict liability, and because Coffey cannot be classified as an independent contractor. </w:t>
      </w:r>
    </w:p>
    <w:p w14:paraId="75F37550" w14:textId="77777777" w:rsidR="003C3645" w:rsidRPr="00E25845" w:rsidRDefault="003C3645" w:rsidP="00E25845">
      <w:pPr>
        <w:pStyle w:val="HeadingL1"/>
        <w:spacing w:after="260" w:line="280" w:lineRule="exact"/>
        <w:ind w:right="0"/>
        <w:jc w:val="both"/>
        <w:rPr>
          <w:rFonts w:ascii="Times New Roman" w:hAnsi="Times New Roman"/>
        </w:rPr>
      </w:pPr>
      <w:r w:rsidRPr="00E25845">
        <w:rPr>
          <w:rFonts w:ascii="Times New Roman" w:hAnsi="Times New Roman"/>
        </w:rPr>
        <w:lastRenderedPageBreak/>
        <w:t>Coffey's sexual misconduct did not occur in the course of his role as an assistant parish priest</w:t>
      </w:r>
    </w:p>
    <w:p w14:paraId="17E881B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facts concerning Coffey's sexual abuse of DP are set out in the joint judgment.</w:t>
      </w:r>
      <w:r w:rsidRPr="00E25845">
        <w:rPr>
          <w:rStyle w:val="FootnoteReference"/>
          <w:rFonts w:ascii="Times New Roman" w:hAnsi="Times New Roman"/>
          <w:sz w:val="24"/>
        </w:rPr>
        <w:footnoteReference w:id="329"/>
      </w:r>
      <w:r w:rsidRPr="00E25845">
        <w:rPr>
          <w:rFonts w:ascii="Times New Roman" w:hAnsi="Times New Roman"/>
        </w:rPr>
        <w:t xml:space="preserve"> That judgment explains that pastoral visits to the family homes of parishioners (including DP's family home) were an integral part of Coffey's role as assistant parish priest and that those visits afforded opportunities to him to gain unsupervised access to young boys and, consequently, to abuse them.</w:t>
      </w:r>
      <w:r w:rsidRPr="00E25845">
        <w:rPr>
          <w:rStyle w:val="FootnoteReference"/>
          <w:rFonts w:ascii="Times New Roman" w:hAnsi="Times New Roman"/>
          <w:sz w:val="24"/>
        </w:rPr>
        <w:footnoteReference w:id="330"/>
      </w:r>
      <w:r w:rsidRPr="00E25845">
        <w:rPr>
          <w:rFonts w:ascii="Times New Roman" w:hAnsi="Times New Roman"/>
        </w:rPr>
        <w:t xml:space="preserve"> </w:t>
      </w:r>
    </w:p>
    <w:p w14:paraId="4DC50280"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More specifically, the primary judge found that pastoral activities in the private homes of parishioners "might include those specified by scripture, such as administering last rites or marriage sacraments, but also encompassed more vaguely defined activities which Father Dillon described as 'getting to know people': 'sometimes it would be ... by invitation, sometimes it would be just social, and other times it might be that they had a particular ... issue that [they wanted to] discuss and ... they felt much more at home, literally, in doing that in the privacy of their own home ... '".</w:t>
      </w:r>
      <w:r w:rsidRPr="00E25845">
        <w:rPr>
          <w:rStyle w:val="FootnoteReference"/>
          <w:rFonts w:ascii="Times New Roman" w:hAnsi="Times New Roman"/>
          <w:sz w:val="24"/>
        </w:rPr>
        <w:footnoteReference w:id="331"/>
      </w:r>
      <w:r w:rsidRPr="00E25845">
        <w:rPr>
          <w:rFonts w:ascii="Times New Roman" w:hAnsi="Times New Roman"/>
        </w:rPr>
        <w:t xml:space="preserve"> The role of priests included "intimacy ... with the members of their parish for pastoral care and guidance".</w:t>
      </w:r>
      <w:r w:rsidRPr="00E25845">
        <w:rPr>
          <w:rStyle w:val="FootnoteReference"/>
          <w:rFonts w:ascii="Times New Roman" w:hAnsi="Times New Roman"/>
          <w:sz w:val="24"/>
        </w:rPr>
        <w:footnoteReference w:id="332"/>
      </w:r>
      <w:r w:rsidRPr="00E25845">
        <w:rPr>
          <w:rFonts w:ascii="Times New Roman" w:hAnsi="Times New Roman"/>
        </w:rPr>
        <w:t xml:space="preserve"> </w:t>
      </w:r>
    </w:p>
    <w:p w14:paraId="19FDCB1C"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There were two sexual assaults that were the subject of DP's claim. The first occurred in DP's home when Coffey opportunistically offered to put DP to bed. The second occurred in a tent in the garden of the family home on Boxing Day after DP took Coffey outside to show him the tent that DP had received as a Christmas present. </w:t>
      </w:r>
    </w:p>
    <w:p w14:paraId="3865A62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The first incident was permitted to occur because of the trust that DP's parents evidently placed in Coffey to leave him alone with their child. The primary judge found that this trust arose from Coffey's role as assistant parish priest and Coffey's affinity with DP's family. The second incident apparently occurred in a similar context of trust, or because of DP's trust in Coffey that arose from his parents' trust.</w:t>
      </w:r>
    </w:p>
    <w:p w14:paraId="2EA3C364"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The courts below erred in finding that because Coffey's role as assistant parish priest placed him in a position of trust and authority vis-à-vis DP and his family, and it was in this position that he committed the assaults against DP, Coffey's torts were committed in the course of his relationship with the Diocese. The fact that Coffey's role placed him in a position of trust in the provision of </w:t>
      </w:r>
      <w:r w:rsidRPr="00E25845">
        <w:rPr>
          <w:rFonts w:ascii="Times New Roman" w:hAnsi="Times New Roman"/>
        </w:rPr>
        <w:lastRenderedPageBreak/>
        <w:t xml:space="preserve">pastoral care is insufficient to support a conclusion that the sexual assaults occurred in the course of Coffey's role. </w:t>
      </w:r>
    </w:p>
    <w:p w14:paraId="5B8BA706"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Coffey's role did not involve providing domestic assistance; although, no doubt, there might have been occasions when domestic assistance might have been included in the provision of pastoral care. On the factual findings made by the courts below, there is nothing to suggest that Coffey's role justified him being alone with DP, a five-year-old boy. Coffey's role gave him neither authority nor power to insist on being alone with DP, nor any capacity to control DP's parents in relation to decisions about allowing DP to be in Coffey's sole care. There is no evidence to think that Coffey's role in providing pastoral care to DP's family enabled him to achieve intimacy with DP beyond the incidents in which DP was assaulted. That role did not involve, for example, providing religious instruction to DP alone or securing DP's participation with Coffey in religious activities alone together, such as preparation for masses in which DP might have been Coffey's altar boy. Accordingly, Coffey's role gave him the opportunity to harm DP, but it was not the occasion for that harm in the sense explained in </w:t>
      </w:r>
      <w:r w:rsidRPr="00E25845">
        <w:rPr>
          <w:rFonts w:ascii="Times New Roman" w:hAnsi="Times New Roman"/>
          <w:i/>
          <w:iCs/>
        </w:rPr>
        <w:t>Prince Alfred College.</w:t>
      </w:r>
    </w:p>
    <w:p w14:paraId="179366E7" w14:textId="77777777" w:rsidR="003C3645" w:rsidRPr="00E25845" w:rsidRDefault="003C3645" w:rsidP="00E25845">
      <w:pPr>
        <w:pStyle w:val="FixListStyle"/>
        <w:spacing w:after="260" w:line="280" w:lineRule="exact"/>
        <w:ind w:right="0"/>
        <w:jc w:val="both"/>
        <w:rPr>
          <w:rFonts w:ascii="Times New Roman" w:hAnsi="Times New Roman"/>
        </w:rPr>
      </w:pPr>
      <w:r w:rsidRPr="00E25845">
        <w:rPr>
          <w:rFonts w:ascii="Times New Roman" w:hAnsi="Times New Roman"/>
        </w:rPr>
        <w:tab/>
        <w:t xml:space="preserve">For these reasons, although the relationship between the Diocese and Coffey attracted vicarious liability, Coffey's torts were not committed in the course of that relationship. </w:t>
      </w:r>
    </w:p>
    <w:p w14:paraId="352FDFCF" w14:textId="77777777" w:rsidR="003C3645" w:rsidRDefault="003C3645" w:rsidP="006D4E15">
      <w:pPr>
        <w:pStyle w:val="leftright"/>
        <w:spacing w:before="0" w:after="260" w:line="280" w:lineRule="exact"/>
        <w:ind w:left="1440" w:right="0" w:hanging="720"/>
        <w:jc w:val="both"/>
        <w:rPr>
          <w:rFonts w:ascii="Times New Roman" w:hAnsi="Times New Roman"/>
        </w:rPr>
      </w:pPr>
    </w:p>
    <w:p w14:paraId="08A9C8CB" w14:textId="77777777" w:rsidR="003C3645" w:rsidRDefault="003C3645" w:rsidP="006D4E15">
      <w:pPr>
        <w:pStyle w:val="leftright"/>
        <w:spacing w:before="0" w:after="260" w:line="280" w:lineRule="exact"/>
        <w:ind w:left="1440" w:right="0" w:hanging="720"/>
        <w:jc w:val="both"/>
        <w:rPr>
          <w:rFonts w:ascii="Times New Roman" w:hAnsi="Times New Roman"/>
        </w:rPr>
        <w:sectPr w:rsidR="003C3645" w:rsidSect="003C3645">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2EC5AFEB" w14:textId="77777777" w:rsidR="003C3645" w:rsidRPr="00A53CF5" w:rsidRDefault="003C3645" w:rsidP="00A53CF5">
      <w:pPr>
        <w:pStyle w:val="NormalBody"/>
        <w:tabs>
          <w:tab w:val="clear" w:pos="720"/>
          <w:tab w:val="left" w:pos="0"/>
        </w:tabs>
        <w:spacing w:after="260" w:line="280" w:lineRule="exact"/>
        <w:ind w:right="0"/>
        <w:jc w:val="both"/>
        <w:rPr>
          <w:rFonts w:ascii="Times New Roman" w:hAnsi="Times New Roman"/>
        </w:rPr>
      </w:pPr>
      <w:r w:rsidRPr="00A53CF5">
        <w:rPr>
          <w:rFonts w:ascii="Times New Roman" w:hAnsi="Times New Roman"/>
        </w:rPr>
        <w:lastRenderedPageBreak/>
        <w:t xml:space="preserve">JAGOT J.   </w:t>
      </w:r>
    </w:p>
    <w:p w14:paraId="70FA9C57"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The appeal</w:t>
      </w:r>
    </w:p>
    <w:p w14:paraId="594CAAD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questions to which this appeal gives rise should be understood as: </w:t>
      </w:r>
    </w:p>
    <w:p w14:paraId="6D43EAD3" w14:textId="77777777" w:rsidR="003C3645" w:rsidRPr="00A53CF5" w:rsidRDefault="003C3645" w:rsidP="00A53CF5">
      <w:pPr>
        <w:pStyle w:val="LeftrightafterHC"/>
        <w:spacing w:before="0" w:after="260" w:line="280" w:lineRule="exact"/>
        <w:ind w:left="1440" w:right="0" w:hanging="720"/>
        <w:jc w:val="both"/>
        <w:rPr>
          <w:rFonts w:ascii="Times New Roman" w:hAnsi="Times New Roman"/>
          <w:b/>
          <w:bCs/>
        </w:rPr>
      </w:pPr>
      <w:r w:rsidRPr="00A53CF5">
        <w:rPr>
          <w:rFonts w:ascii="Times New Roman" w:hAnsi="Times New Roman"/>
        </w:rPr>
        <w:t>(1) </w:t>
      </w:r>
      <w:r w:rsidRPr="00A53CF5">
        <w:rPr>
          <w:rFonts w:ascii="Times New Roman" w:hAnsi="Times New Roman"/>
        </w:rPr>
        <w:tab/>
        <w:t>did the conclusion of the Courts below, that the appellant (as the nominated proper defendant on behalf of the Diocese of Ballarat</w:t>
      </w:r>
      <w:r w:rsidRPr="00A53CF5">
        <w:rPr>
          <w:rStyle w:val="FootnoteReference"/>
          <w:rFonts w:ascii="Times New Roman" w:hAnsi="Times New Roman"/>
          <w:sz w:val="24"/>
        </w:rPr>
        <w:footnoteReference w:id="333"/>
      </w:r>
      <w:r>
        <w:rPr>
          <w:rFonts w:ascii="Times New Roman" w:hAnsi="Times New Roman"/>
        </w:rPr>
        <w:t>)</w:t>
      </w:r>
      <w:r w:rsidRPr="00A53CF5">
        <w:rPr>
          <w:rFonts w:ascii="Times New Roman" w:hAnsi="Times New Roman"/>
        </w:rPr>
        <w:t xml:space="preserve"> was vicariously liable for the conduct of an assistant priest appointed to a parish within the Diocese in sexually abusing the respondent, a child, in 1971, involve an extension, rather than application, of the common law principle of vicarious liability in circumstances where it was found that the assistant priest was not an employee of the Diocese and it was not found that, in committing the tortious conduct, the assistant priest was a true "agent" of the Diocese or was directly authorised by the Diocese to commit such acts; </w:t>
      </w:r>
      <w:r w:rsidRPr="00A53CF5">
        <w:rPr>
          <w:rFonts w:ascii="Times New Roman" w:hAnsi="Times New Roman"/>
          <w:b/>
          <w:bCs/>
        </w:rPr>
        <w:t xml:space="preserve"> </w:t>
      </w:r>
    </w:p>
    <w:p w14:paraId="61949B3C" w14:textId="77777777" w:rsidR="003C3645" w:rsidRPr="00A53CF5" w:rsidRDefault="003C3645" w:rsidP="00A53CF5">
      <w:pPr>
        <w:pStyle w:val="LeftrightafterHC"/>
        <w:spacing w:before="0" w:after="260" w:line="280" w:lineRule="exact"/>
        <w:ind w:left="1440" w:right="0" w:hanging="720"/>
        <w:jc w:val="both"/>
        <w:rPr>
          <w:rFonts w:ascii="Times New Roman" w:hAnsi="Times New Roman"/>
        </w:rPr>
      </w:pPr>
      <w:r w:rsidRPr="00A53CF5">
        <w:rPr>
          <w:rFonts w:ascii="Times New Roman" w:hAnsi="Times New Roman"/>
        </w:rPr>
        <w:t>(2) </w:t>
      </w:r>
      <w:r w:rsidRPr="00A53CF5">
        <w:rPr>
          <w:rFonts w:ascii="Times New Roman" w:hAnsi="Times New Roman"/>
        </w:rPr>
        <w:tab/>
        <w:t xml:space="preserve">if the conclusion of vicarious liability was an extension and not an application of the common law, should that extension be adopted and become part of the common law of Australia; and </w:t>
      </w:r>
    </w:p>
    <w:p w14:paraId="1D142CEF" w14:textId="77777777" w:rsidR="003C3645" w:rsidRDefault="003C3645" w:rsidP="00A53CF5">
      <w:pPr>
        <w:pStyle w:val="LeftrightafterHC"/>
        <w:spacing w:before="0" w:after="260" w:line="280" w:lineRule="exact"/>
        <w:ind w:left="1440" w:right="0" w:hanging="720"/>
        <w:jc w:val="both"/>
        <w:rPr>
          <w:rFonts w:ascii="Times New Roman" w:hAnsi="Times New Roman"/>
          <w:b/>
          <w:bCs/>
        </w:rPr>
      </w:pPr>
      <w:r w:rsidRPr="00A53CF5">
        <w:rPr>
          <w:rFonts w:ascii="Times New Roman" w:hAnsi="Times New Roman"/>
        </w:rPr>
        <w:t>(3) </w:t>
      </w:r>
      <w:r w:rsidRPr="00A53CF5">
        <w:rPr>
          <w:rFonts w:ascii="Times New Roman" w:hAnsi="Times New Roman"/>
        </w:rPr>
        <w:tab/>
        <w:t>should the respondent be permitted in this appeal to claim that the Diocese was liable as it owed to the respondent a personal or non</w:t>
      </w:r>
      <w:r w:rsidRPr="00A53CF5">
        <w:rPr>
          <w:rFonts w:ascii="Times New Roman" w:hAnsi="Times New Roman"/>
        </w:rPr>
        <w:noBreakHyphen/>
        <w:t>delegable duty of care to protect the respondent from the risk of sexual abuse by its priests, despite the respondent's claim for damages before the Courts below being based only on the Diocese's own negligence (that is, the Diocese being in breach of a duty of care which it owed to the respondent) or</w:t>
      </w:r>
      <w:r w:rsidRPr="00A53CF5">
        <w:rPr>
          <w:rFonts w:ascii="Times New Roman" w:hAnsi="Times New Roman"/>
          <w:b/>
          <w:bCs/>
        </w:rPr>
        <w:t xml:space="preserve"> </w:t>
      </w:r>
      <w:r w:rsidRPr="00A53CF5">
        <w:rPr>
          <w:rFonts w:ascii="Times New Roman" w:hAnsi="Times New Roman"/>
        </w:rPr>
        <w:t>the Diocese being vicariously liable for the tortious conduct of the assistant priest</w:t>
      </w:r>
      <w:r w:rsidRPr="00A53CF5">
        <w:rPr>
          <w:rFonts w:ascii="Times New Roman" w:hAnsi="Times New Roman"/>
          <w:b/>
          <w:bCs/>
        </w:rPr>
        <w:t xml:space="preserve"> </w:t>
      </w:r>
      <w:r w:rsidRPr="00A53CF5">
        <w:rPr>
          <w:rFonts w:ascii="Times New Roman" w:hAnsi="Times New Roman"/>
        </w:rPr>
        <w:t>(that is, the Diocese being liable for a breach of a duty of care which the assistant priest owed to the respondent).</w:t>
      </w:r>
    </w:p>
    <w:p w14:paraId="2A0C8206" w14:textId="77777777" w:rsidR="003C3645" w:rsidRPr="00A53CF5" w:rsidRDefault="003C3645" w:rsidP="0062706E">
      <w:pPr>
        <w:pStyle w:val="FixListStyle"/>
        <w:keepNext/>
        <w:spacing w:after="260" w:line="280" w:lineRule="exact"/>
        <w:ind w:right="0"/>
        <w:jc w:val="both"/>
        <w:rPr>
          <w:rFonts w:ascii="Times New Roman" w:hAnsi="Times New Roman"/>
        </w:rPr>
      </w:pPr>
      <w:r w:rsidRPr="00A53CF5">
        <w:rPr>
          <w:rFonts w:ascii="Times New Roman" w:hAnsi="Times New Roman"/>
        </w:rPr>
        <w:lastRenderedPageBreak/>
        <w:tab/>
        <w:t>For the following reasons these questions should be answered:</w:t>
      </w:r>
    </w:p>
    <w:p w14:paraId="3CE4F8AC" w14:textId="77777777" w:rsidR="003C3645" w:rsidRPr="00A53CF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(1) </w:t>
      </w:r>
      <w:r w:rsidRPr="00A53CF5">
        <w:rPr>
          <w:rFonts w:ascii="Times New Roman" w:hAnsi="Times New Roman"/>
        </w:rPr>
        <w:tab/>
        <w:t>"yes";</w:t>
      </w:r>
    </w:p>
    <w:p w14:paraId="3724A5D1" w14:textId="77777777" w:rsidR="003C3645" w:rsidRPr="00A53CF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(2) </w:t>
      </w:r>
      <w:r w:rsidRPr="00A53CF5">
        <w:rPr>
          <w:rFonts w:ascii="Times New Roman" w:hAnsi="Times New Roman"/>
        </w:rPr>
        <w:tab/>
        <w:t xml:space="preserve">"no"; and </w:t>
      </w:r>
    </w:p>
    <w:p w14:paraId="13FA19C5" w14:textId="77777777" w:rsidR="003C3645" w:rsidRDefault="003C3645" w:rsidP="00A53CF5">
      <w:pPr>
        <w:pStyle w:val="LeftrightafterHC"/>
        <w:spacing w:before="0" w:after="260" w:line="280" w:lineRule="exact"/>
        <w:ind w:right="0"/>
        <w:jc w:val="both"/>
        <w:rPr>
          <w:rFonts w:ascii="Times New Roman" w:hAnsi="Times New Roman"/>
        </w:rPr>
      </w:pPr>
      <w:r w:rsidRPr="00A53CF5">
        <w:rPr>
          <w:rFonts w:ascii="Times New Roman" w:hAnsi="Times New Roman"/>
        </w:rPr>
        <w:t>(3) </w:t>
      </w:r>
      <w:r w:rsidRPr="00A53CF5">
        <w:rPr>
          <w:rFonts w:ascii="Times New Roman" w:hAnsi="Times New Roman"/>
        </w:rPr>
        <w:tab/>
        <w:t>"no".</w:t>
      </w:r>
    </w:p>
    <w:p w14:paraId="7CBB620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Consequently, the appeal should be allowed, the substantive orders of the Courts below should be set aside, and the proceeding should be dismissed, with costs.</w:t>
      </w:r>
    </w:p>
    <w:p w14:paraId="3BAD4B23"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Background</w:t>
      </w:r>
    </w:p>
    <w:p w14:paraId="0228636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respondent sued the Diocese for harm suffered as a result of two assaults perpetrated on him by Father Coffey, an assistant priest of the parish of Port Fairy in the Diocese of Ballarat, in 1971 when he was five years old. The respondent's claim was made on two bases: first, that the Diocese was negligent in breaching a duty of care that it owed to the respondent in respect of its authority over, and supervision and control of the conduct of, Father Coffey; and second, that the Diocese was vicariously liable for the conduct of Father Coffey.</w:t>
      </w:r>
    </w:p>
    <w:p w14:paraId="6279DFD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primary judge in the Supreme Court of Victoria (J Forrest J)</w:t>
      </w:r>
      <w:r w:rsidRPr="00A53CF5">
        <w:rPr>
          <w:rStyle w:val="FootnoteReference"/>
          <w:rFonts w:ascii="Times New Roman" w:hAnsi="Times New Roman"/>
          <w:sz w:val="24"/>
        </w:rPr>
        <w:footnoteReference w:id="334"/>
      </w:r>
      <w:r w:rsidRPr="00A53CF5">
        <w:rPr>
          <w:rFonts w:ascii="Times New Roman" w:hAnsi="Times New Roman"/>
        </w:rPr>
        <w:t xml:space="preserve"> found that Father Coffey assaulted the respondent on two occasions. On the first occasion, Father Coffey slapped the respondent on the bottom and fondled the respondent's penis and testicles when putting the respondent to bed in the respondent's home when Father Coffey visited the home for a social gathering in 1971. On the second occasion, Father Coffey lifted the respondent's shirt and tickled the respondent's belly below his belly button and towards the region of the respondent's genitals while in a tent with the respondent in the backyard of the respondent's home. This continued for about three minutes until the respondent called out for his mother who was outside the tent. When his mother asked what was wrong the respondent asked if he could get out of the tent. This occurred on Boxing Day in 1971, the respondent having received the tent as a Christmas present.</w:t>
      </w:r>
      <w:r w:rsidRPr="00A53CF5">
        <w:rPr>
          <w:rFonts w:ascii="Times New Roman" w:hAnsi="Times New Roman"/>
          <w:b/>
          <w:bCs/>
        </w:rPr>
        <w:t xml:space="preserve"> </w:t>
      </w:r>
    </w:p>
    <w:p w14:paraId="788C7C17" w14:textId="3901DACC"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Although the Diocese did not ultimately dispute that it owed a duty of care in relation to the conduct of priests towards parishioners of parishes within the Diocese, the primary judge rejected the respondent's claim based on the negligence of the Diocese. The primary judge found that the Diocese had not breached its duty of care in the appointment of Father Coffey, or supervision of him in performing his functions as an assistant priest, because, in 1971, it was not reasonably </w:t>
      </w:r>
      <w:r w:rsidRPr="00A53CF5">
        <w:rPr>
          <w:rFonts w:ascii="Times New Roman" w:hAnsi="Times New Roman"/>
        </w:rPr>
        <w:lastRenderedPageBreak/>
        <w:t xml:space="preserve">foreseeable that in doing so Father Coffey would cause harm to a child parishioner of the kind suffered by the respondent. </w:t>
      </w:r>
    </w:p>
    <w:p w14:paraId="4081786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the vicarious liability claim, the primary judge found that Father Coffey was not an employee of the Diocese despite "many ... features of the employment relationship" being present. Further, the primary judge did not find that Father Coffey was an agent of the Diocese (in a relevant legal sense) when visiting the home of the respondent's parents, despite accepting that Father Coffey was performing a pastoral function as an assistant priest of the parish on those visits. The primary judge concluded, however, that the Diocese was vicariously liable for the tortious conduct that Father Coffey inflicted on the respondent by reason of the "totality of the relationship" between the Diocese and Father Coffey, as well as Father Coffey's role within the Port Fairy Catholic community, including his relationship with the respondent and his parents.</w:t>
      </w:r>
      <w:r w:rsidRPr="00A53CF5">
        <w:rPr>
          <w:rFonts w:ascii="Times New Roman" w:hAnsi="Times New Roman"/>
          <w:b/>
          <w:bCs/>
        </w:rPr>
        <w:t xml:space="preserve"> </w:t>
      </w:r>
    </w:p>
    <w:p w14:paraId="41F5504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Court of Appeal of the Supreme Court of Victoria (Beach, Niall and Kaye JJA)</w:t>
      </w:r>
      <w:r w:rsidRPr="00A53CF5">
        <w:rPr>
          <w:rStyle w:val="FootnoteReference"/>
          <w:rFonts w:ascii="Times New Roman" w:hAnsi="Times New Roman"/>
          <w:sz w:val="24"/>
        </w:rPr>
        <w:footnoteReference w:id="335"/>
      </w:r>
      <w:r w:rsidRPr="00A53CF5">
        <w:rPr>
          <w:rFonts w:ascii="Times New Roman" w:hAnsi="Times New Roman"/>
        </w:rPr>
        <w:t xml:space="preserve"> dismissed the Diocese's appeal against the finding that it was vicariously liable for Father Coffey's conduct. Although the respondent cross</w:t>
      </w:r>
      <w:r w:rsidRPr="00A53CF5">
        <w:rPr>
          <w:rFonts w:ascii="Times New Roman" w:hAnsi="Times New Roman"/>
        </w:rPr>
        <w:noBreakHyphen/>
        <w:t>appealed on a ground concerning the damages he was awarded (a cross</w:t>
      </w:r>
      <w:r w:rsidRPr="00A53CF5">
        <w:rPr>
          <w:rFonts w:ascii="Times New Roman" w:hAnsi="Times New Roman"/>
        </w:rPr>
        <w:noBreakHyphen/>
        <w:t>appeal which was dismissed), he did not cross</w:t>
      </w:r>
      <w:r w:rsidRPr="00A53CF5">
        <w:rPr>
          <w:rFonts w:ascii="Times New Roman" w:hAnsi="Times New Roman"/>
        </w:rPr>
        <w:noBreakHyphen/>
        <w:t>appeal on a ground that the primary judge erred in rejecting his claim that the Diocese was liable to him in negligence. Further, the respondent did not contend before the Court of Appeal that the Diocese owed him a personal or non</w:t>
      </w:r>
      <w:r w:rsidRPr="00A53CF5">
        <w:rPr>
          <w:rFonts w:ascii="Times New Roman" w:hAnsi="Times New Roman"/>
        </w:rPr>
        <w:noBreakHyphen/>
        <w:t xml:space="preserve">delegable duty of care which it breached.  </w:t>
      </w:r>
    </w:p>
    <w:p w14:paraId="7B1672FC"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the Diocese's appeal against the finding that it was vicariously liable for Father Coffey's conduct, the Court of Appeal concluded that the relationship between a diocese and priest (including assistant priest) is "</w:t>
      </w:r>
      <w:r w:rsidRPr="00A53CF5">
        <w:rPr>
          <w:rFonts w:ascii="Times New Roman" w:hAnsi="Times New Roman"/>
          <w:i/>
          <w:iCs/>
        </w:rPr>
        <w:t>sui generis</w:t>
      </w:r>
      <w:r w:rsidRPr="00A53CF5">
        <w:rPr>
          <w:rFonts w:ascii="Times New Roman" w:hAnsi="Times New Roman"/>
        </w:rPr>
        <w:t xml:space="preserve">" (that is, "of its own kind"). The Court of Appeal concluded that, in terms of the principles discussed in </w:t>
      </w:r>
      <w:r w:rsidRPr="00A53CF5">
        <w:rPr>
          <w:rFonts w:ascii="Times New Roman" w:hAnsi="Times New Roman"/>
          <w:i/>
          <w:iCs/>
        </w:rPr>
        <w:t>Colonial Mutual Life Assurance Society Ltd v Producers and Citizens Co</w:t>
      </w:r>
      <w:r w:rsidRPr="00A53CF5">
        <w:rPr>
          <w:rFonts w:ascii="Times New Roman" w:hAnsi="Times New Roman"/>
          <w:i/>
          <w:iCs/>
        </w:rPr>
        <w:noBreakHyphen/>
        <w:t>operative Assurance Co of Australia Ltd</w:t>
      </w:r>
      <w:r w:rsidRPr="00A53CF5">
        <w:rPr>
          <w:rStyle w:val="FootnoteReference"/>
          <w:rFonts w:ascii="Times New Roman" w:hAnsi="Times New Roman"/>
          <w:sz w:val="24"/>
        </w:rPr>
        <w:footnoteReference w:id="336"/>
      </w:r>
      <w:r w:rsidRPr="00A53CF5">
        <w:rPr>
          <w:rFonts w:ascii="Times New Roman" w:hAnsi="Times New Roman"/>
        </w:rPr>
        <w:t xml:space="preserve"> ("</w:t>
      </w:r>
      <w:r w:rsidRPr="00A53CF5">
        <w:rPr>
          <w:rFonts w:ascii="Times New Roman" w:hAnsi="Times New Roman"/>
          <w:i/>
          <w:iCs/>
        </w:rPr>
        <w:t>Colonial Mutual</w:t>
      </w:r>
      <w:r w:rsidRPr="00A53CF5">
        <w:rPr>
          <w:rFonts w:ascii="Times New Roman" w:hAnsi="Times New Roman"/>
        </w:rPr>
        <w:t xml:space="preserve">"), </w:t>
      </w:r>
      <w:r w:rsidRPr="00A53CF5">
        <w:rPr>
          <w:rFonts w:ascii="Times New Roman" w:hAnsi="Times New Roman"/>
          <w:i/>
          <w:iCs/>
        </w:rPr>
        <w:t>Hollis v Vabu Pty Ltd</w:t>
      </w:r>
      <w:r w:rsidRPr="00A53CF5">
        <w:rPr>
          <w:rFonts w:ascii="Times New Roman" w:hAnsi="Times New Roman"/>
        </w:rPr>
        <w:t>,</w:t>
      </w:r>
      <w:r w:rsidRPr="00A53CF5">
        <w:rPr>
          <w:rStyle w:val="FootnoteReference"/>
          <w:rFonts w:ascii="Times New Roman" w:hAnsi="Times New Roman"/>
          <w:sz w:val="24"/>
        </w:rPr>
        <w:footnoteReference w:id="337"/>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w:t>
      </w:r>
      <w:r w:rsidRPr="00A53CF5">
        <w:rPr>
          <w:rStyle w:val="FootnoteReference"/>
          <w:rFonts w:ascii="Times New Roman" w:hAnsi="Times New Roman"/>
          <w:sz w:val="24"/>
        </w:rPr>
        <w:footnoteReference w:id="338"/>
      </w:r>
      <w:r w:rsidRPr="00A53CF5">
        <w:rPr>
          <w:rFonts w:ascii="Times New Roman" w:hAnsi="Times New Roman"/>
        </w:rPr>
        <w:t xml:space="preserve"> "by virtue of his role as an assistant priest appointed by the Diocese, Coffey was an emanation of the Diocese" making the Diocese vicariously liable for Father Coffey's tortious assaults on the respondent.</w:t>
      </w:r>
      <w:r w:rsidRPr="00A53CF5">
        <w:rPr>
          <w:rStyle w:val="FootnoteReference"/>
          <w:rFonts w:ascii="Times New Roman" w:hAnsi="Times New Roman"/>
          <w:sz w:val="24"/>
        </w:rPr>
        <w:footnoteReference w:id="339"/>
      </w:r>
      <w:r w:rsidRPr="00A53CF5">
        <w:rPr>
          <w:rFonts w:ascii="Times New Roman" w:hAnsi="Times New Roman"/>
        </w:rPr>
        <w:t xml:space="preserve"> </w:t>
      </w:r>
    </w:p>
    <w:p w14:paraId="274625A9"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lastRenderedPageBreak/>
        <w:t>Employees, independent contractors, and agents</w:t>
      </w:r>
    </w:p>
    <w:p w14:paraId="491F7E77"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uncertainties</w:t>
      </w:r>
    </w:p>
    <w:p w14:paraId="58436C4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doctrine of vicarious liability is the subject of frequently expressed judicial lamentations. It has been said, for example, that vicarious liability is based on a maxim, "</w:t>
      </w:r>
      <w:r w:rsidRPr="00A53CF5">
        <w:rPr>
          <w:rFonts w:ascii="Times New Roman" w:hAnsi="Times New Roman"/>
          <w:i/>
          <w:iCs/>
        </w:rPr>
        <w:t>respondeat superior</w:t>
      </w:r>
      <w:r w:rsidRPr="00A53CF5">
        <w:rPr>
          <w:rFonts w:ascii="Times New Roman" w:hAnsi="Times New Roman"/>
        </w:rPr>
        <w:t>" (that is, "let the master answer"), "adopted not by way of an exercise in analytical jurisprudence but as a matter of policy, which did not really need to be juristically rationalised, but might perhaps be justified (however illogically) as an extension of the notion of agency as a ground of liability".</w:t>
      </w:r>
      <w:r w:rsidRPr="00A53CF5">
        <w:rPr>
          <w:rStyle w:val="FootnoteReference"/>
          <w:rFonts w:ascii="Times New Roman" w:hAnsi="Times New Roman"/>
          <w:sz w:val="24"/>
        </w:rPr>
        <w:footnoteReference w:id="340"/>
      </w:r>
      <w:r w:rsidRPr="00A53CF5">
        <w:rPr>
          <w:rFonts w:ascii="Times New Roman" w:hAnsi="Times New Roman"/>
        </w:rPr>
        <w:t xml:space="preserve"> Further, and worse, the maxim "</w:t>
      </w:r>
      <w:r w:rsidRPr="00A53CF5">
        <w:rPr>
          <w:rFonts w:ascii="Times New Roman" w:hAnsi="Times New Roman"/>
          <w:i/>
          <w:iCs/>
        </w:rPr>
        <w:t>respondeat superior</w:t>
      </w:r>
      <w:r w:rsidRPr="00A53CF5">
        <w:rPr>
          <w:rFonts w:ascii="Times New Roman" w:hAnsi="Times New Roman"/>
        </w:rPr>
        <w:t>" ceased to have any connection with social reality after the end of feudalism in England and, with it, the associated "medieval notions of headship of a household which in turn depended upon the application of analogies drawn from Roman law" in which a master had to keep his slaves in order.</w:t>
      </w:r>
      <w:r w:rsidRPr="00A53CF5">
        <w:rPr>
          <w:rStyle w:val="FootnoteReference"/>
          <w:rFonts w:ascii="Times New Roman" w:hAnsi="Times New Roman"/>
          <w:sz w:val="24"/>
        </w:rPr>
        <w:footnoteReference w:id="341"/>
      </w:r>
      <w:r w:rsidRPr="00A53CF5">
        <w:rPr>
          <w:rFonts w:ascii="Times New Roman" w:hAnsi="Times New Roman"/>
        </w:rPr>
        <w:t xml:space="preserve"> Contemporary judicial discourse, accordingly, recognises that "the law has so far departed from its root that 'it is as hopeless to reconcile the differences [between tradition and the instinct for justice] by logic as to square the circle'"</w:t>
      </w:r>
      <w:r>
        <w:rPr>
          <w:rFonts w:ascii="Times New Roman" w:hAnsi="Times New Roman"/>
        </w:rPr>
        <w:t>.</w:t>
      </w:r>
      <w:r w:rsidRPr="00A53CF5">
        <w:rPr>
          <w:rStyle w:val="FootnoteReference"/>
          <w:rFonts w:ascii="Times New Roman" w:hAnsi="Times New Roman"/>
          <w:sz w:val="24"/>
        </w:rPr>
        <w:footnoteReference w:id="342"/>
      </w:r>
    </w:p>
    <w:p w14:paraId="2D9EB45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To the extent that the doctrine of vicarious liability is justified as an extension of the notion of agency, it has been said that "difficulties ... arise from the many senses in which the word 'agent' is employed".</w:t>
      </w:r>
      <w:r w:rsidRPr="00A53CF5">
        <w:rPr>
          <w:rStyle w:val="FootnoteReference"/>
          <w:rFonts w:ascii="Times New Roman" w:hAnsi="Times New Roman"/>
          <w:sz w:val="24"/>
        </w:rPr>
        <w:footnoteReference w:id="343"/>
      </w:r>
      <w:r w:rsidRPr="00A53CF5">
        <w:rPr>
          <w:rFonts w:ascii="Times New Roman" w:hAnsi="Times New Roman"/>
        </w:rPr>
        <w:t xml:space="preserve"> Similarly, "the expressions 'for', 'on behalf of', 'for the benefit of' and even 'authorize' are often used in relation to services which, although done for the advantage of a person who requests them, involve no representation".</w:t>
      </w:r>
      <w:r w:rsidRPr="00A53CF5">
        <w:rPr>
          <w:rStyle w:val="FootnoteReference"/>
          <w:rFonts w:ascii="Times New Roman" w:hAnsi="Times New Roman"/>
          <w:sz w:val="24"/>
        </w:rPr>
        <w:footnoteReference w:id="344"/>
      </w:r>
      <w:r w:rsidRPr="00A53CF5">
        <w:rPr>
          <w:rFonts w:ascii="Times New Roman" w:hAnsi="Times New Roman"/>
        </w:rPr>
        <w:t xml:space="preserve"> This Court has cautioned against the use of words such as "representative", "delegate", or "agent" to describe a relationship in which one person seeks to gain a benefit or advantage from engaging another person to perform a task, on the basis that such descriptions "obscure the need to examine what exactly are the relationships between the </w:t>
      </w:r>
      <w:r w:rsidRPr="00A53CF5">
        <w:rPr>
          <w:rFonts w:ascii="Times New Roman" w:hAnsi="Times New Roman"/>
        </w:rPr>
        <w:lastRenderedPageBreak/>
        <w:t>various actors".</w:t>
      </w:r>
      <w:r w:rsidRPr="00A53CF5">
        <w:rPr>
          <w:rStyle w:val="FootnoteReference"/>
          <w:rFonts w:ascii="Times New Roman" w:hAnsi="Times New Roman"/>
          <w:sz w:val="24"/>
        </w:rPr>
        <w:footnoteReference w:id="345"/>
      </w:r>
      <w:r w:rsidRPr="00A53CF5">
        <w:rPr>
          <w:rFonts w:ascii="Times New Roman" w:hAnsi="Times New Roman"/>
        </w:rPr>
        <w:t xml:space="preserve"> These (and similar) words "are statements of conclusion that do not necessarily proceed from an articulated underlying principle that identifies why there should be vicarious liability in one case but not another".</w:t>
      </w:r>
      <w:r w:rsidRPr="00A53CF5">
        <w:rPr>
          <w:rStyle w:val="FootnoteReference"/>
          <w:rFonts w:ascii="Times New Roman" w:hAnsi="Times New Roman"/>
          <w:sz w:val="24"/>
        </w:rPr>
        <w:footnoteReference w:id="346"/>
      </w:r>
      <w:r w:rsidRPr="00A53CF5">
        <w:rPr>
          <w:rFonts w:ascii="Times New Roman" w:hAnsi="Times New Roman"/>
        </w:rPr>
        <w:t xml:space="preserve"> To use these terms as a substitute for analysis is to "invert the order of inquiry, and by so doing to beg the question, and allow linguistics to determine legal rights".</w:t>
      </w:r>
      <w:r w:rsidRPr="00A53CF5">
        <w:rPr>
          <w:rStyle w:val="FootnoteReference"/>
          <w:rFonts w:ascii="Times New Roman" w:hAnsi="Times New Roman"/>
          <w:sz w:val="24"/>
        </w:rPr>
        <w:footnoteReference w:id="347"/>
      </w:r>
    </w:p>
    <w:p w14:paraId="3C795CC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Further, the term "vicarious liability" has traditionally embraced more than the ordinary meaning of that concept would permit. Fullagar J, for example, referred to a "true vicarious liability" as one in which the liability of a tortfeasor for a breach of the tortfeasor's duty of care is attributed to another person. In such a case, the other person is truly "vicariously liable" by reason of attribution of liability itself.</w:t>
      </w:r>
      <w:r w:rsidRPr="00A53CF5">
        <w:rPr>
          <w:rStyle w:val="FootnoteReference"/>
          <w:rFonts w:ascii="Times New Roman" w:hAnsi="Times New Roman"/>
          <w:sz w:val="24"/>
        </w:rPr>
        <w:footnoteReference w:id="348"/>
      </w:r>
      <w:r w:rsidRPr="00A53CF5">
        <w:rPr>
          <w:rFonts w:ascii="Times New Roman" w:hAnsi="Times New Roman"/>
        </w:rPr>
        <w:t xml:space="preserve"> Yet, as will become apparent, the term "vicarious liability" is routinely applied to other kinds of liability which, on analysis, involve direct rather than vicarious liability in the true sense Fullagar J identified. </w:t>
      </w:r>
    </w:p>
    <w:p w14:paraId="16E9ED3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As the following discussion also exposes, the existence of these uncertainties has worked against, rather than in favour of, the expansion of the common law doctrine of vicarious liability. </w:t>
      </w:r>
    </w:p>
    <w:p w14:paraId="273EB239"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certainties</w:t>
      </w:r>
    </w:p>
    <w:p w14:paraId="2B47FA9E" w14:textId="77777777" w:rsidR="003C3645" w:rsidRPr="00A53CF5" w:rsidRDefault="003C3645" w:rsidP="00A53CF5">
      <w:pPr>
        <w:pStyle w:val="HeadingL3"/>
        <w:spacing w:after="260" w:line="280" w:lineRule="exact"/>
        <w:ind w:right="0"/>
        <w:jc w:val="both"/>
        <w:rPr>
          <w:rFonts w:ascii="Times New Roman" w:hAnsi="Times New Roman"/>
        </w:rPr>
      </w:pPr>
      <w:r w:rsidRPr="00A53CF5">
        <w:rPr>
          <w:rFonts w:ascii="Times New Roman" w:hAnsi="Times New Roman"/>
        </w:rPr>
        <w:t>The general rule</w:t>
      </w:r>
    </w:p>
    <w:p w14:paraId="036644F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this troubled landscape some matters are clear. The "general rule [is] that an employer is vicariously liable for the tortious acts of an employee but that a principal is not liable for the tortious acts of an independent contractor".</w:t>
      </w:r>
      <w:r w:rsidRPr="00A53CF5">
        <w:rPr>
          <w:rStyle w:val="FootnoteReference"/>
          <w:rFonts w:ascii="Times New Roman" w:hAnsi="Times New Roman"/>
          <w:sz w:val="24"/>
        </w:rPr>
        <w:footnoteReference w:id="349"/>
      </w:r>
      <w:r w:rsidRPr="00A53CF5">
        <w:rPr>
          <w:rFonts w:ascii="Times New Roman" w:hAnsi="Times New Roman"/>
        </w:rPr>
        <w:t xml:space="preserve"> While the distinction between an employee and an independent contractor may itself not be straightforward, the Court has said that "[w]hatever may be the logical and doctrinal imperfections and difficulties in the origins of the law relating to vicarious liability, the two central conceptions of distinguishing between </w:t>
      </w:r>
      <w:r w:rsidRPr="00A53CF5">
        <w:rPr>
          <w:rFonts w:ascii="Times New Roman" w:hAnsi="Times New Roman"/>
        </w:rPr>
        <w:lastRenderedPageBreak/>
        <w:t>independent contractors and employees and attaching determinative significance to course of employment are now too deeply rooted to be pulled out".</w:t>
      </w:r>
      <w:r w:rsidRPr="00A53CF5">
        <w:rPr>
          <w:rStyle w:val="FootnoteReference"/>
          <w:rFonts w:ascii="Times New Roman" w:hAnsi="Times New Roman"/>
          <w:sz w:val="24"/>
        </w:rPr>
        <w:footnoteReference w:id="350"/>
      </w:r>
      <w:r w:rsidRPr="00A53CF5">
        <w:rPr>
          <w:rFonts w:ascii="Times New Roman" w:hAnsi="Times New Roman"/>
        </w:rPr>
        <w:t xml:space="preserve"> </w:t>
      </w:r>
    </w:p>
    <w:p w14:paraId="056F4DE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additional requirement needed to establish the liability of an employer for acts of their employee, that the tortious act of an employee be "committed in the course or scope of the employment",</w:t>
      </w:r>
      <w:r w:rsidRPr="00A53CF5">
        <w:rPr>
          <w:rStyle w:val="FootnoteReference"/>
          <w:rFonts w:ascii="Times New Roman" w:hAnsi="Times New Roman"/>
          <w:sz w:val="24"/>
        </w:rPr>
        <w:footnoteReference w:id="351"/>
      </w:r>
      <w:r w:rsidRPr="00A53CF5">
        <w:rPr>
          <w:rFonts w:ascii="Times New Roman" w:hAnsi="Times New Roman"/>
        </w:rPr>
        <w:t xml:space="preserve"> is a necessary limitation on the general rule (that an employer is vicariously liable for the tortious acts of an employee) because the common law recognises that an "employee" has that status only in consequence of a legal relationship between that person and another (the "employer"), and that this legal relationship has limits, be they temporal, functional, geographical, or otherwise.</w:t>
      </w:r>
      <w:r w:rsidRPr="00A53CF5">
        <w:rPr>
          <w:rStyle w:val="FootnoteReference"/>
          <w:rFonts w:ascii="Times New Roman" w:hAnsi="Times New Roman"/>
          <w:sz w:val="24"/>
        </w:rPr>
        <w:footnoteReference w:id="352"/>
      </w:r>
    </w:p>
    <w:p w14:paraId="1A0B8E6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respect of this general rule the Court has said:</w:t>
      </w:r>
      <w:r w:rsidRPr="00A53CF5">
        <w:rPr>
          <w:rStyle w:val="FootnoteReference"/>
          <w:rFonts w:ascii="Times New Roman" w:hAnsi="Times New Roman"/>
          <w:sz w:val="24"/>
        </w:rPr>
        <w:footnoteReference w:id="353"/>
      </w:r>
    </w:p>
    <w:p w14:paraId="4862BAD7" w14:textId="77777777" w:rsidR="003C3645" w:rsidRPr="00A53CF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"the wider proposition that underpinned the argument ... that if A 'represents' B, B is vicariously liable for the conduct of A, is a proposition of such generality that it goes well beyond the bounds set by notions of control ... or set by notions of course of employment.</w:t>
      </w:r>
    </w:p>
    <w:p w14:paraId="0EA6B78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b/>
        <w:t>These bounds should not now be redrawn in the manner asserted ... Hitherto the distinction between independent contractors and employees has been critical to the definition of the ambit of vicarious liability. The view, sometimes expressed, that the distinction should be abandoned in favour of a wider principle, has not commanded the assent of a majority of this Court."</w:t>
      </w:r>
    </w:p>
    <w:p w14:paraId="2CDA8AD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This Court has consistently refused to abandon the distinction between, on the one hand, employees for whose tortious acts in the course of employment an employer is vicariously liable and, on the other hand, independent contractors for whose tortious acts in the course of carrying out a task for </w:t>
      </w:r>
      <w:r>
        <w:rPr>
          <w:rFonts w:ascii="Times New Roman" w:hAnsi="Times New Roman"/>
        </w:rPr>
        <w:t xml:space="preserve">a principal </w:t>
      </w:r>
      <w:r w:rsidRPr="00A53CF5">
        <w:rPr>
          <w:rFonts w:ascii="Times New Roman" w:hAnsi="Times New Roman"/>
        </w:rPr>
        <w:t xml:space="preserve">the </w:t>
      </w:r>
      <w:r>
        <w:rPr>
          <w:rFonts w:ascii="Times New Roman" w:hAnsi="Times New Roman"/>
        </w:rPr>
        <w:t xml:space="preserve">principal </w:t>
      </w:r>
      <w:r w:rsidRPr="00A53CF5">
        <w:rPr>
          <w:rFonts w:ascii="Times New Roman" w:hAnsi="Times New Roman"/>
        </w:rPr>
        <w:t>is not vicariously liable. For example, in: (a) </w:t>
      </w:r>
      <w:r w:rsidRPr="00A53CF5">
        <w:rPr>
          <w:rFonts w:ascii="Times New Roman" w:hAnsi="Times New Roman"/>
          <w:i/>
          <w:iCs/>
        </w:rPr>
        <w:t>Scott v Davis</w:t>
      </w:r>
      <w:r w:rsidRPr="00A53CF5">
        <w:rPr>
          <w:rFonts w:ascii="Times New Roman" w:hAnsi="Times New Roman"/>
        </w:rPr>
        <w:t>,</w:t>
      </w:r>
      <w:r w:rsidRPr="00A53CF5">
        <w:rPr>
          <w:rStyle w:val="FootnoteReference"/>
          <w:rFonts w:ascii="Times New Roman" w:hAnsi="Times New Roman"/>
          <w:sz w:val="24"/>
        </w:rPr>
        <w:footnoteReference w:id="354"/>
      </w:r>
      <w:r w:rsidRPr="00A53CF5">
        <w:rPr>
          <w:rFonts w:ascii="Times New Roman" w:hAnsi="Times New Roman"/>
        </w:rPr>
        <w:t xml:space="preserve"> an "argument that 'a </w:t>
      </w:r>
      <w:r w:rsidRPr="00A53CF5">
        <w:rPr>
          <w:rFonts w:ascii="Times New Roman" w:hAnsi="Times New Roman"/>
        </w:rPr>
        <w:lastRenderedPageBreak/>
        <w:t>new species of actor, one who is not an employee, nor an independent contractor, but an "agent" in a non-technical sense' should be identified as relevant to determining vicarious liability, was rejected";</w:t>
      </w:r>
      <w:r w:rsidRPr="00A53CF5">
        <w:rPr>
          <w:rStyle w:val="FootnoteReference"/>
          <w:rFonts w:ascii="Times New Roman" w:hAnsi="Times New Roman"/>
          <w:sz w:val="24"/>
        </w:rPr>
        <w:footnoteReference w:id="355"/>
      </w:r>
      <w:r w:rsidRPr="00A53CF5">
        <w:rPr>
          <w:rFonts w:ascii="Times New Roman" w:hAnsi="Times New Roman"/>
        </w:rPr>
        <w:t xml:space="preserve"> and (b) </w:t>
      </w:r>
      <w:r w:rsidRPr="00A53CF5">
        <w:rPr>
          <w:rFonts w:ascii="Times New Roman" w:hAnsi="Times New Roman"/>
          <w:i/>
          <w:iCs/>
        </w:rPr>
        <w:t>Hollis v Vabu Pty Ltd</w:t>
      </w:r>
      <w:r w:rsidRPr="00A53CF5">
        <w:rPr>
          <w:rFonts w:ascii="Times New Roman" w:hAnsi="Times New Roman"/>
        </w:rPr>
        <w:t>, in which the general rule was not challenged,</w:t>
      </w:r>
      <w:r w:rsidRPr="00A53CF5">
        <w:rPr>
          <w:rStyle w:val="FootnoteReference"/>
          <w:rFonts w:ascii="Times New Roman" w:hAnsi="Times New Roman"/>
          <w:sz w:val="24"/>
        </w:rPr>
        <w:footnoteReference w:id="356"/>
      </w:r>
      <w:r w:rsidRPr="00A53CF5">
        <w:rPr>
          <w:rFonts w:ascii="Times New Roman" w:hAnsi="Times New Roman"/>
        </w:rPr>
        <w:t xml:space="preserve"> the imposition of vicarious liability on the employer depended on the characterisation of the legal relationship between the bicycle couriers and the company that engaged them as one of employee and employer.</w:t>
      </w:r>
      <w:r w:rsidRPr="00A53CF5">
        <w:rPr>
          <w:rStyle w:val="FootnoteReference"/>
          <w:rFonts w:ascii="Times New Roman" w:hAnsi="Times New Roman"/>
          <w:sz w:val="24"/>
        </w:rPr>
        <w:footnoteReference w:id="357"/>
      </w:r>
    </w:p>
    <w:p w14:paraId="570CE55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statement in </w:t>
      </w:r>
      <w:r w:rsidRPr="00A53CF5">
        <w:rPr>
          <w:rFonts w:ascii="Times New Roman" w:hAnsi="Times New Roman"/>
          <w:i/>
          <w:iCs/>
        </w:rPr>
        <w:t>Hollis v Vabu Pty Ltd</w:t>
      </w:r>
      <w:r w:rsidRPr="00A53CF5">
        <w:rPr>
          <w:rFonts w:ascii="Times New Roman" w:hAnsi="Times New Roman"/>
        </w:rPr>
        <w:t xml:space="preserve"> that "[i]n general, under contemporary Australian conditions, the conduct by the defendant of an enterprise in which persons are identified as representing that enterprise should carry an obligation to third persons to bear the cost of injury or damage to them which may fairly be said to be characteristic of the conduct of that enterprise"</w:t>
      </w:r>
      <w:r w:rsidRPr="00A53CF5">
        <w:rPr>
          <w:rStyle w:val="FootnoteReference"/>
          <w:rFonts w:ascii="Times New Roman" w:hAnsi="Times New Roman"/>
          <w:sz w:val="24"/>
        </w:rPr>
        <w:footnoteReference w:id="358"/>
      </w:r>
      <w:r w:rsidRPr="00A53CF5">
        <w:rPr>
          <w:rFonts w:ascii="Times New Roman" w:hAnsi="Times New Roman"/>
        </w:rPr>
        <w:t xml:space="preserve"> is not to be misunderstood. The statement was made in the context of that case in which the general rule was not challenged. As a result, their Honours (Gleeson CJ, Gaudron, Gummow, Kirby and Hayne JJ) were not "contemplating the reformulation of basic doctrine" but, rather, were applying "existing principle in a way that is informed by a recognition of the fundamental purposes of vicarious liability and the operation of that principle in the context of one of the many particular relationships that has developed in contemporary Australian society".</w:t>
      </w:r>
      <w:r w:rsidRPr="00A53CF5">
        <w:rPr>
          <w:rStyle w:val="FootnoteReference"/>
          <w:rFonts w:ascii="Times New Roman" w:hAnsi="Times New Roman"/>
          <w:sz w:val="24"/>
        </w:rPr>
        <w:footnoteReference w:id="359"/>
      </w:r>
      <w:r w:rsidRPr="00A53CF5">
        <w:rPr>
          <w:rFonts w:ascii="Times New Roman" w:hAnsi="Times New Roman"/>
        </w:rPr>
        <w:t xml:space="preserve"> In this context, the statement is to be understood as referring to the fact that it was a characteristic of the enterprise in which the bicycle couriers were employed that the couriers would frequently disobey traffic rules (eg, riding on footpaths) and thereby pose a danger to pedestrians.</w:t>
      </w:r>
      <w:r w:rsidRPr="00A53CF5">
        <w:rPr>
          <w:rStyle w:val="FootnoteReference"/>
          <w:rFonts w:ascii="Times New Roman" w:hAnsi="Times New Roman"/>
          <w:sz w:val="24"/>
        </w:rPr>
        <w:footnoteReference w:id="360"/>
      </w:r>
      <w:r w:rsidRPr="00A53CF5">
        <w:rPr>
          <w:rFonts w:ascii="Times New Roman" w:hAnsi="Times New Roman"/>
        </w:rPr>
        <w:t xml:space="preserve"> The Court described this as an "important" finding because the employed bicycle courier of the defendant had struck the plaintiff on the footpath, and it was illegal for the courier to ride the bicycle on the footpath.</w:t>
      </w:r>
      <w:r w:rsidRPr="00A53CF5">
        <w:rPr>
          <w:rStyle w:val="FootnoteReference"/>
          <w:rFonts w:ascii="Times New Roman" w:hAnsi="Times New Roman"/>
          <w:sz w:val="24"/>
        </w:rPr>
        <w:footnoteReference w:id="361"/>
      </w:r>
      <w:r w:rsidRPr="00A53CF5">
        <w:rPr>
          <w:rFonts w:ascii="Times New Roman" w:hAnsi="Times New Roman"/>
        </w:rPr>
        <w:t xml:space="preserve"> The point the Court was making is that it did not matter that the employed bicycle courier had committed the tortious act while riding the bicycle illegally because such illegal acts were a characteristic of the enterprise in which the couriers were employed.</w:t>
      </w:r>
    </w:p>
    <w:p w14:paraId="24C7444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Another observation in </w:t>
      </w:r>
      <w:r w:rsidRPr="00A53CF5">
        <w:rPr>
          <w:rFonts w:ascii="Times New Roman" w:hAnsi="Times New Roman"/>
          <w:i/>
          <w:iCs/>
        </w:rPr>
        <w:t>Hollis v Vabu Pty Ltd</w:t>
      </w:r>
      <w:r w:rsidRPr="00A53CF5">
        <w:rPr>
          <w:rFonts w:ascii="Times New Roman" w:hAnsi="Times New Roman"/>
        </w:rPr>
        <w:t>, that "[v]icarious liability may also flow (and indeed more usually flows) from a relationship of employment", must also be understood in context.</w:t>
      </w:r>
      <w:r w:rsidRPr="00A53CF5">
        <w:rPr>
          <w:rStyle w:val="FootnoteReference"/>
          <w:rFonts w:ascii="Times New Roman" w:hAnsi="Times New Roman"/>
          <w:sz w:val="24"/>
        </w:rPr>
        <w:footnoteReference w:id="362"/>
      </w:r>
      <w:r w:rsidRPr="00A53CF5">
        <w:rPr>
          <w:rFonts w:ascii="Times New Roman" w:hAnsi="Times New Roman"/>
        </w:rPr>
        <w:t xml:space="preserve"> One part of that context is that, as noted, there was no challenge to the general rule in that case. Another part of the context is that the general rule is "general" because it is subject to exceptions. As explained below, vicarious liability can arise in circumstances other than an employment relationship, but those circumstances are closely confined.  </w:t>
      </w:r>
    </w:p>
    <w:p w14:paraId="0B92189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further observation which should be made about </w:t>
      </w:r>
      <w:r w:rsidRPr="00A53CF5">
        <w:rPr>
          <w:rFonts w:ascii="Times New Roman" w:hAnsi="Times New Roman"/>
          <w:i/>
          <w:iCs/>
        </w:rPr>
        <w:t>Hollis v Vabu Pty Ltd</w:t>
      </w:r>
      <w:r w:rsidRPr="00A53CF5">
        <w:rPr>
          <w:rFonts w:ascii="Times New Roman" w:hAnsi="Times New Roman"/>
        </w:rPr>
        <w:t xml:space="preserve"> is that when their Honours said that "guidance for the outcome is provided by various matters which are expressive of the fundamental concerns underlying the doctrine of vicarious liability [which] include, but are not confined to, what now is considered 'control'",</w:t>
      </w:r>
      <w:r w:rsidRPr="00A53CF5">
        <w:rPr>
          <w:rStyle w:val="FootnoteReference"/>
          <w:rFonts w:ascii="Times New Roman" w:hAnsi="Times New Roman"/>
          <w:sz w:val="24"/>
        </w:rPr>
        <w:footnoteReference w:id="363"/>
      </w:r>
      <w:r w:rsidRPr="00A53CF5">
        <w:rPr>
          <w:rFonts w:ascii="Times New Roman" w:hAnsi="Times New Roman"/>
        </w:rPr>
        <w:t xml:space="preserve"> they were not suggesting that vicarious liability depended on a finding of control by one person of another person acting on the first-mentioned person's behalf. Nor were they saying that if a court can divine that the circumstances accord with the policy underpinnings of the doctrine of vicarious liability, the court is free to impose vicarious liability. They were saying only that one important indicator of an employment relationship which is central to the doctrine of vicarious liability is control. </w:t>
      </w:r>
    </w:p>
    <w:p w14:paraId="7EC5AA9F"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Similarly, when Gleeson CJ, Gummow, Hayne, Heydon and Crennan JJ said in </w:t>
      </w:r>
      <w:r w:rsidRPr="00A53CF5">
        <w:rPr>
          <w:rFonts w:ascii="Times New Roman" w:hAnsi="Times New Roman"/>
          <w:i/>
          <w:iCs/>
        </w:rPr>
        <w:t>Sweeney v Boylan Nominees Pty Ltd</w:t>
      </w:r>
      <w:r w:rsidRPr="00A53CF5">
        <w:rPr>
          <w:rFonts w:ascii="Times New Roman" w:hAnsi="Times New Roman"/>
        </w:rPr>
        <w:t xml:space="preserve"> that the tortfeasor in that case was "not presented to the public as an emanation of the respondent",</w:t>
      </w:r>
      <w:r w:rsidRPr="00A53CF5">
        <w:rPr>
          <w:rStyle w:val="FootnoteReference"/>
          <w:rFonts w:ascii="Times New Roman" w:hAnsi="Times New Roman"/>
          <w:sz w:val="24"/>
        </w:rPr>
        <w:footnoteReference w:id="364"/>
      </w:r>
      <w:r w:rsidRPr="00A53CF5">
        <w:rPr>
          <w:rFonts w:ascii="Times New Roman" w:hAnsi="Times New Roman"/>
        </w:rPr>
        <w:t xml:space="preserve"> they were not saying that the concept of being an "emanation" of another person was relevant other than to the issue they were then considering – that because the tortfeasor was not an employee of the respondent but was an independent contractor, the respondent could not be vicariously liable for the tortfeasor's wrong. Their Honours had already expressly rejected the attempted expansion of principle in saying:</w:t>
      </w:r>
      <w:r w:rsidRPr="00A53CF5">
        <w:rPr>
          <w:rStyle w:val="FootnoteReference"/>
          <w:rFonts w:ascii="Times New Roman" w:hAnsi="Times New Roman"/>
          <w:sz w:val="24"/>
        </w:rPr>
        <w:footnoteReference w:id="365"/>
      </w:r>
    </w:p>
    <w:p w14:paraId="002F9332"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 xml:space="preserve">"neither in </w:t>
      </w:r>
      <w:r w:rsidRPr="00A53CF5">
        <w:rPr>
          <w:rFonts w:ascii="Times New Roman" w:hAnsi="Times New Roman"/>
          <w:i/>
          <w:iCs/>
        </w:rPr>
        <w:t>Scott</w:t>
      </w:r>
      <w:r w:rsidRPr="00A53CF5">
        <w:rPr>
          <w:rFonts w:ascii="Times New Roman" w:hAnsi="Times New Roman"/>
        </w:rPr>
        <w:t xml:space="preserve"> nor in </w:t>
      </w:r>
      <w:r w:rsidRPr="00A53CF5">
        <w:rPr>
          <w:rFonts w:ascii="Times New Roman" w:hAnsi="Times New Roman"/>
          <w:i/>
          <w:iCs/>
        </w:rPr>
        <w:t>Hollis</w:t>
      </w:r>
      <w:r w:rsidRPr="00A53CF5">
        <w:rPr>
          <w:rFonts w:ascii="Times New Roman" w:hAnsi="Times New Roman"/>
        </w:rPr>
        <w:t xml:space="preserve">, nor earlier in </w:t>
      </w:r>
      <w:r w:rsidRPr="00A53CF5">
        <w:rPr>
          <w:rFonts w:ascii="Times New Roman" w:hAnsi="Times New Roman"/>
          <w:i/>
          <w:iCs/>
        </w:rPr>
        <w:t>Colonial Mutual Life</w:t>
      </w:r>
      <w:r w:rsidRPr="00A53CF5">
        <w:rPr>
          <w:rFonts w:ascii="Times New Roman" w:hAnsi="Times New Roman"/>
        </w:rPr>
        <w:t xml:space="preserve">, was there established the principle that A is vicariously liable for the conduct of B if B 'represents' A (in the sense of B acting for the benefit or advantage of A). On the contrary, </w:t>
      </w:r>
      <w:r w:rsidRPr="00A53CF5">
        <w:rPr>
          <w:rFonts w:ascii="Times New Roman" w:hAnsi="Times New Roman"/>
          <w:i/>
          <w:iCs/>
        </w:rPr>
        <w:t>Scott</w:t>
      </w:r>
      <w:r w:rsidRPr="00A53CF5">
        <w:rPr>
          <w:rFonts w:ascii="Times New Roman" w:hAnsi="Times New Roman"/>
        </w:rPr>
        <w:t xml:space="preserve"> rejected contentions that, at their roots, were no different from those advanced in this case under the rubric of 'representation' rather than, as in </w:t>
      </w:r>
      <w:r w:rsidRPr="00A53CF5">
        <w:rPr>
          <w:rFonts w:ascii="Times New Roman" w:hAnsi="Times New Roman"/>
          <w:i/>
          <w:iCs/>
        </w:rPr>
        <w:t>Scott</w:t>
      </w:r>
      <w:r w:rsidRPr="00A53CF5">
        <w:rPr>
          <w:rFonts w:ascii="Times New Roman" w:hAnsi="Times New Roman"/>
        </w:rPr>
        <w:t xml:space="preserve">, under the rubric 'agency'. As was </w:t>
      </w:r>
      <w:r w:rsidRPr="00A53CF5">
        <w:rPr>
          <w:rFonts w:ascii="Times New Roman" w:hAnsi="Times New Roman"/>
        </w:rPr>
        <w:lastRenderedPageBreak/>
        <w:t xml:space="preserve">said in </w:t>
      </w:r>
      <w:r w:rsidRPr="00A53CF5">
        <w:rPr>
          <w:rFonts w:ascii="Times New Roman" w:hAnsi="Times New Roman"/>
          <w:i/>
          <w:iCs/>
        </w:rPr>
        <w:t>Scott</w:t>
      </w:r>
      <w:r w:rsidRPr="00A53CF5">
        <w:rPr>
          <w:rFonts w:ascii="Times New Roman" w:hAnsi="Times New Roman"/>
        </w:rPr>
        <w:t xml:space="preserve"> of the word 'agent', to use the word 'representative' is to begin but not to end the inquiry."</w:t>
      </w:r>
    </w:p>
    <w:p w14:paraId="3C2E9B56" w14:textId="77777777" w:rsidR="003C3645" w:rsidRPr="00A53CF5" w:rsidRDefault="003C3645" w:rsidP="00A53CF5">
      <w:pPr>
        <w:pStyle w:val="HeadingL3"/>
        <w:spacing w:after="260" w:line="280" w:lineRule="exact"/>
        <w:ind w:right="0"/>
        <w:jc w:val="both"/>
        <w:rPr>
          <w:rFonts w:ascii="Times New Roman" w:hAnsi="Times New Roman"/>
        </w:rPr>
      </w:pPr>
      <w:r w:rsidRPr="00A53CF5">
        <w:rPr>
          <w:rFonts w:ascii="Times New Roman" w:hAnsi="Times New Roman"/>
        </w:rPr>
        <w:t>Exceptions to the general rule</w:t>
      </w:r>
    </w:p>
    <w:p w14:paraId="630A189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One exception to the general rule that an employment relationship is necessary to give rise to vicarious liability is that a person can be liable for the conduct of an independent contractor if the person has "directly authorized the doing of the act which amounts to a tort".</w:t>
      </w:r>
      <w:r w:rsidRPr="00A53CF5">
        <w:rPr>
          <w:rStyle w:val="FootnoteReference"/>
          <w:rFonts w:ascii="Times New Roman" w:hAnsi="Times New Roman"/>
          <w:sz w:val="24"/>
        </w:rPr>
        <w:footnoteReference w:id="366"/>
      </w:r>
      <w:r w:rsidRPr="00A53CF5">
        <w:rPr>
          <w:rFonts w:ascii="Times New Roman" w:hAnsi="Times New Roman"/>
        </w:rPr>
        <w:t xml:space="preserve"> The question whether this form of liability is direct or vicarious is open to debate on the basis that a person who directs or authorises a tortious act,</w:t>
      </w:r>
      <w:r w:rsidRPr="00A53CF5">
        <w:rPr>
          <w:rStyle w:val="FootnoteReference"/>
          <w:rFonts w:ascii="Times New Roman" w:hAnsi="Times New Roman"/>
          <w:sz w:val="24"/>
        </w:rPr>
        <w:footnoteReference w:id="367"/>
      </w:r>
      <w:r w:rsidRPr="00A53CF5">
        <w:rPr>
          <w:rFonts w:ascii="Times New Roman" w:hAnsi="Times New Roman"/>
        </w:rPr>
        <w:t xml:space="preserve"> in law, is taken to have committed the tortious act, but that difficulty need not detain us further. </w:t>
      </w:r>
    </w:p>
    <w:p w14:paraId="155E6C1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Another exception to the general rule that an employment relationship is necessary to give rise to vicarious liability is that a person can be vicariously liable where the person has held out another person to be their agent and authorised that other person to enter into legal relations on the person's behalf and the tort occurs within the scope of the apparent authority of the agent.</w:t>
      </w:r>
      <w:r w:rsidRPr="00A53CF5">
        <w:rPr>
          <w:rStyle w:val="FootnoteReference"/>
          <w:rFonts w:ascii="Times New Roman" w:hAnsi="Times New Roman"/>
          <w:sz w:val="24"/>
        </w:rPr>
        <w:footnoteReference w:id="368"/>
      </w:r>
      <w:r w:rsidRPr="00A53CF5">
        <w:rPr>
          <w:rFonts w:ascii="Times New Roman" w:hAnsi="Times New Roman"/>
        </w:rPr>
        <w:t xml:space="preserve"> </w:t>
      </w:r>
    </w:p>
    <w:p w14:paraId="6265854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best example in Australia of this second-mentioned class of exception, that a person can be vicariously liable where the person has held out another person to be their agent to enter into legal relations on the person's behalf and the tort occurs within the scope of the apparent authority of the agent, is </w:t>
      </w:r>
      <w:r w:rsidRPr="00A53CF5">
        <w:rPr>
          <w:rFonts w:ascii="Times New Roman" w:hAnsi="Times New Roman"/>
          <w:i/>
          <w:iCs/>
        </w:rPr>
        <w:t>Colonial Mutual</w:t>
      </w:r>
      <w:r w:rsidRPr="00A53CF5">
        <w:rPr>
          <w:rFonts w:ascii="Times New Roman" w:hAnsi="Times New Roman"/>
        </w:rPr>
        <w:t>. In that case, an insurance company had engaged a canvasser to persuade people to effect insurance with the company. The terms of the engagement provided for the canvasser to be paid partly on a commission basis and precluded him from disparaging any other person or institution.</w:t>
      </w:r>
      <w:r w:rsidRPr="00A53CF5">
        <w:rPr>
          <w:rStyle w:val="FootnoteReference"/>
          <w:rFonts w:ascii="Times New Roman" w:hAnsi="Times New Roman"/>
          <w:sz w:val="24"/>
        </w:rPr>
        <w:footnoteReference w:id="369"/>
      </w:r>
      <w:r w:rsidRPr="00A53CF5">
        <w:rPr>
          <w:rFonts w:ascii="Times New Roman" w:hAnsi="Times New Roman"/>
        </w:rPr>
        <w:t xml:space="preserve"> In breach of that stipulation, the canvasser defamed the plaintiff (another insurance company). The plaintiff sued the insurance company who had engaged the canvasser for the defamation. Dixon J (with whom Rich J agreed) explained that:</w:t>
      </w:r>
      <w:r w:rsidRPr="00A53CF5">
        <w:rPr>
          <w:rStyle w:val="FootnoteReference"/>
          <w:rFonts w:ascii="Times New Roman" w:hAnsi="Times New Roman"/>
          <w:sz w:val="24"/>
        </w:rPr>
        <w:footnoteReference w:id="370"/>
      </w:r>
    </w:p>
    <w:p w14:paraId="6BB69CE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lastRenderedPageBreak/>
        <w:tab/>
        <w:t>"In most cases in which a tort is committed in the course of the performance of work for the benefit of another person, he cannot be vicariously responsible if the actual tortfeasor is not his servant and he has not directly authorized the doing of the act which amounts to a tort. The work, although done at his request and for his benefit, is considered as the independent function of the person who undertakes it, and not as something which the person obtaining the benefit does by his representative standing in his place and, therefore, identified with him for the purpose of liability arising in the course of its performance. The independent contractor carries out his work, not as a representative but as a principal."</w:t>
      </w:r>
    </w:p>
    <w:p w14:paraId="57AD446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Dixon J continued, however, explaining that, in contrast to most cases:</w:t>
      </w:r>
      <w:r w:rsidRPr="00A53CF5">
        <w:rPr>
          <w:rStyle w:val="FootnoteReference"/>
          <w:rFonts w:ascii="Times New Roman" w:hAnsi="Times New Roman"/>
          <w:sz w:val="24"/>
        </w:rPr>
        <w:footnoteReference w:id="371"/>
      </w:r>
    </w:p>
    <w:p w14:paraId="2D25BCD2"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w:t>
      </w:r>
      <w:r>
        <w:rPr>
          <w:rFonts w:ascii="Times New Roman" w:hAnsi="Times New Roman"/>
        </w:rPr>
        <w:t xml:space="preserve">[A] difficulty arises </w:t>
      </w:r>
      <w:r w:rsidRPr="00A53CF5">
        <w:rPr>
          <w:rFonts w:ascii="Times New Roman" w:hAnsi="Times New Roman"/>
        </w:rPr>
        <w:t>when the function entrusted is that of representing the person who requests its performance in a transaction with others, so that the very service to be performed consists in standing in his place and assuming to act in his right and not in an independent capacity. In this very case the 'agent' has authority to obtain proposals for and on behalf of the appellant; and he has ... authority to accept premiums. When a proposal is made and a premium paid to him, the Company then and there receives them, because it has put him in its place for the purpose ... [I]n performing these services for the Company, he does not act independently, but as a representative of the Company, which accordingly must be considered as itself conducting the negotiation in his person."</w:t>
      </w:r>
    </w:p>
    <w:p w14:paraId="1BC98DDF"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Dixon J recognised the lack of any case "which distinctly decides that a principal is liable generally for wrongful acts which he did not directly authorize, committed in the course of carrying out his agency by an agent who is not the principal's servant or partner, except, perhaps, in some special relations, such as solicitor and client, and then within limitations".</w:t>
      </w:r>
      <w:r w:rsidRPr="00A53CF5">
        <w:rPr>
          <w:rStyle w:val="FootnoteReference"/>
          <w:rFonts w:ascii="Times New Roman" w:hAnsi="Times New Roman"/>
          <w:sz w:val="24"/>
        </w:rPr>
        <w:footnoteReference w:id="372"/>
      </w:r>
      <w:r w:rsidRPr="00A53CF5">
        <w:rPr>
          <w:rFonts w:ascii="Times New Roman" w:hAnsi="Times New Roman"/>
        </w:rPr>
        <w:t xml:space="preserve"> His Honour considered that a finding of vicarious liability on the facts of the case was within the existing principles because, in respect of the canvassing, the canvasser was an agent who represented the insurance company. This characterisation of the relationship between the insurance company as principal and the canvasser as agent followed from the company's vesting of legal authority in the canvasser (to obtain proposals for and on behalf of the company and to accept premiums).</w:t>
      </w:r>
      <w:r w:rsidRPr="00A53CF5">
        <w:rPr>
          <w:rStyle w:val="FootnoteReference"/>
          <w:rFonts w:ascii="Times New Roman" w:hAnsi="Times New Roman"/>
          <w:sz w:val="24"/>
        </w:rPr>
        <w:footnoteReference w:id="373"/>
      </w:r>
      <w:r w:rsidRPr="00A53CF5">
        <w:rPr>
          <w:rFonts w:ascii="Times New Roman" w:hAnsi="Times New Roman"/>
        </w:rPr>
        <w:t xml:space="preserve"> Further, the company had directly authorised the defamatory statements because it had confided to the </w:t>
      </w:r>
      <w:r w:rsidRPr="00A53CF5">
        <w:rPr>
          <w:rFonts w:ascii="Times New Roman" w:hAnsi="Times New Roman"/>
        </w:rPr>
        <w:lastRenderedPageBreak/>
        <w:t>judgment of the agent "within the limits of relevance and of reasonableness, the choice of inducements and arguments, [and] authorized him on its behalf to address to prospective proponents such observations as appeared to him appropriate".</w:t>
      </w:r>
      <w:r w:rsidRPr="00A53CF5">
        <w:rPr>
          <w:rStyle w:val="FootnoteReference"/>
          <w:rFonts w:ascii="Times New Roman" w:hAnsi="Times New Roman"/>
          <w:sz w:val="24"/>
        </w:rPr>
        <w:footnoteReference w:id="374"/>
      </w:r>
      <w:r w:rsidRPr="00A53CF5">
        <w:rPr>
          <w:rFonts w:ascii="Times New Roman" w:hAnsi="Times New Roman"/>
        </w:rPr>
        <w:t xml:space="preserve"> As such, the undertaking in the contract that the canvasser not disparage others was "not a limitation of his authority but a promise as to the manner of its exercise".</w:t>
      </w:r>
      <w:r w:rsidRPr="00A53CF5">
        <w:rPr>
          <w:rStyle w:val="FootnoteReference"/>
          <w:rFonts w:ascii="Times New Roman" w:hAnsi="Times New Roman"/>
          <w:sz w:val="24"/>
        </w:rPr>
        <w:footnoteReference w:id="375"/>
      </w:r>
    </w:p>
    <w:p w14:paraId="1E5465B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Dixon J's reasoning in </w:t>
      </w:r>
      <w:r w:rsidRPr="00A53CF5">
        <w:rPr>
          <w:rFonts w:ascii="Times New Roman" w:hAnsi="Times New Roman"/>
          <w:i/>
          <w:iCs/>
        </w:rPr>
        <w:t>Colonial Mutual</w:t>
      </w:r>
      <w:r w:rsidRPr="00A53CF5">
        <w:rPr>
          <w:rFonts w:ascii="Times New Roman" w:hAnsi="Times New Roman"/>
        </w:rPr>
        <w:t xml:space="preserve"> was not only expressed to involve no "extension of principle",</w:t>
      </w:r>
      <w:r w:rsidRPr="00A53CF5">
        <w:rPr>
          <w:rStyle w:val="FootnoteReference"/>
          <w:rFonts w:ascii="Times New Roman" w:hAnsi="Times New Roman"/>
          <w:sz w:val="24"/>
        </w:rPr>
        <w:footnoteReference w:id="376"/>
      </w:r>
      <w:r w:rsidRPr="00A53CF5">
        <w:rPr>
          <w:rFonts w:ascii="Times New Roman" w:hAnsi="Times New Roman"/>
        </w:rPr>
        <w:t xml:space="preserve"> but has also been understood to involve no such extension in subsequent decisions of this Court.</w:t>
      </w:r>
    </w:p>
    <w:p w14:paraId="26CF4F8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w:t>
      </w:r>
      <w:r w:rsidRPr="00A53CF5">
        <w:rPr>
          <w:rFonts w:ascii="Times New Roman" w:hAnsi="Times New Roman"/>
          <w:i/>
          <w:iCs/>
        </w:rPr>
        <w:t>Scott v Davis</w:t>
      </w:r>
      <w:r w:rsidRPr="00A53CF5">
        <w:rPr>
          <w:rFonts w:ascii="Times New Roman" w:hAnsi="Times New Roman"/>
        </w:rPr>
        <w:t>, Gummow J (with whom Gleeson CJ relevantly agreed in respect of the relevance of the authorities concerning agency</w:t>
      </w:r>
      <w:r w:rsidRPr="00A53CF5">
        <w:rPr>
          <w:rStyle w:val="FootnoteReference"/>
          <w:rFonts w:ascii="Times New Roman" w:hAnsi="Times New Roman"/>
          <w:sz w:val="24"/>
        </w:rPr>
        <w:footnoteReference w:id="377"/>
      </w:r>
      <w:r w:rsidRPr="00A53CF5">
        <w:rPr>
          <w:rFonts w:ascii="Times New Roman" w:hAnsi="Times New Roman"/>
        </w:rPr>
        <w:t xml:space="preserve">), referring to </w:t>
      </w:r>
      <w:r w:rsidRPr="00A53CF5">
        <w:rPr>
          <w:rFonts w:ascii="Times New Roman" w:hAnsi="Times New Roman"/>
          <w:i/>
          <w:iCs/>
        </w:rPr>
        <w:t>Colonial Mutual</w:t>
      </w:r>
      <w:r w:rsidRPr="00A53CF5">
        <w:rPr>
          <w:rFonts w:ascii="Times New Roman" w:hAnsi="Times New Roman"/>
        </w:rPr>
        <w:t>, identified the "considerable terminological confusion in this area" and said that "'agency' is best used ... 'to connote an authority or capacity in one person to create legal relations between a person occupying the position of principal and third parties'".</w:t>
      </w:r>
      <w:r w:rsidRPr="00A53CF5">
        <w:rPr>
          <w:rStyle w:val="FootnoteReference"/>
          <w:rFonts w:ascii="Times New Roman" w:hAnsi="Times New Roman"/>
          <w:sz w:val="24"/>
        </w:rPr>
        <w:footnoteReference w:id="378"/>
      </w:r>
      <w:r w:rsidRPr="00A53CF5">
        <w:rPr>
          <w:rFonts w:ascii="Times New Roman" w:hAnsi="Times New Roman"/>
        </w:rPr>
        <w:t xml:space="preserve"> Gummow J also said that, in this area of discourse, legal content has been given to concepts (including that of "agency") "over a long period", one result of which is the "contrast ... drawn between 'true' agency", as in </w:t>
      </w:r>
      <w:r w:rsidRPr="00A53CF5">
        <w:rPr>
          <w:rFonts w:ascii="Times New Roman" w:hAnsi="Times New Roman"/>
          <w:i/>
          <w:iCs/>
        </w:rPr>
        <w:t>Colonial Mutual</w:t>
      </w:r>
      <w:r w:rsidRPr="00A53CF5">
        <w:rPr>
          <w:rFonts w:ascii="Times New Roman" w:hAnsi="Times New Roman"/>
        </w:rPr>
        <w:t>, and "a new species of actor, one who is not an employee, nor an independent contractor, but an 'agent' in a non-technical sense".</w:t>
      </w:r>
      <w:r w:rsidRPr="00A53CF5">
        <w:rPr>
          <w:rStyle w:val="FootnoteReference"/>
          <w:rFonts w:ascii="Times New Roman" w:hAnsi="Times New Roman"/>
          <w:sz w:val="24"/>
        </w:rPr>
        <w:footnoteReference w:id="379"/>
      </w:r>
      <w:r w:rsidRPr="00A53CF5">
        <w:rPr>
          <w:rFonts w:ascii="Times New Roman" w:hAnsi="Times New Roman"/>
        </w:rPr>
        <w:t xml:space="preserve"> His Honour rejected the recognition of this new species of actor, noting that it involved indeterminacy in the imposition of liability in circumstances where there was no call to "fill what otherwise are perceived to be 'gaps' in what should be one coherent system of law" and therefore no need for an "extension of concepts of agency and vicarious liability".</w:t>
      </w:r>
      <w:r w:rsidRPr="00A53CF5">
        <w:rPr>
          <w:rStyle w:val="FootnoteReference"/>
          <w:rFonts w:ascii="Times New Roman" w:hAnsi="Times New Roman"/>
          <w:sz w:val="24"/>
        </w:rPr>
        <w:footnoteReference w:id="380"/>
      </w:r>
    </w:p>
    <w:p w14:paraId="7A2A1E3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In </w:t>
      </w:r>
      <w:r w:rsidRPr="00A53CF5">
        <w:rPr>
          <w:rFonts w:ascii="Times New Roman" w:hAnsi="Times New Roman"/>
          <w:i/>
          <w:iCs/>
        </w:rPr>
        <w:t>Sweeney v Boylan Nominees Pty Ltd</w:t>
      </w:r>
      <w:r w:rsidRPr="00A53CF5">
        <w:rPr>
          <w:rFonts w:ascii="Times New Roman" w:hAnsi="Times New Roman"/>
        </w:rPr>
        <w:t xml:space="preserve">, Gleeson CJ, Gummow, Hayne, Heydon and Crennan JJ, in a joint judgment, said that </w:t>
      </w:r>
      <w:r w:rsidRPr="00A53CF5">
        <w:rPr>
          <w:rFonts w:ascii="Times New Roman" w:hAnsi="Times New Roman"/>
          <w:i/>
          <w:iCs/>
        </w:rPr>
        <w:t>Colonial Mutual</w:t>
      </w:r>
      <w:r w:rsidRPr="00A53CF5">
        <w:rPr>
          <w:rFonts w:ascii="Times New Roman" w:hAnsi="Times New Roman"/>
        </w:rPr>
        <w:t>:</w:t>
      </w:r>
      <w:r w:rsidRPr="00A53CF5">
        <w:rPr>
          <w:rStyle w:val="FootnoteReference"/>
          <w:rFonts w:ascii="Times New Roman" w:hAnsi="Times New Roman"/>
          <w:sz w:val="24"/>
        </w:rPr>
        <w:footnoteReference w:id="381"/>
      </w:r>
    </w:p>
    <w:p w14:paraId="3CD71F91"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"establishes that if an independent contractor is engaged to solicit the bringing about of legal relations between the principal who engages the contractor and third parties, the principal will be held liable for slanders uttered to persuade the third party to make an agreement with the principal. It is a conclusion that depends directly upon the identification of the independent contractor as the principal's agent (properly so called) and the recognition that the conduct of which complaint is made was conduct undertaken in the course of, and for the purpose of, executing that agency."</w:t>
      </w:r>
    </w:p>
    <w:p w14:paraId="23E2DF0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On this basis, their Honours described </w:t>
      </w:r>
      <w:r w:rsidRPr="00A53CF5">
        <w:rPr>
          <w:rFonts w:ascii="Times New Roman" w:hAnsi="Times New Roman"/>
          <w:i/>
          <w:iCs/>
        </w:rPr>
        <w:t>Colonial Mutual</w:t>
      </w:r>
      <w:r w:rsidRPr="00A53CF5">
        <w:rPr>
          <w:rFonts w:ascii="Times New Roman" w:hAnsi="Times New Roman"/>
        </w:rPr>
        <w:t xml:space="preserve"> as a decision that "stands wholly within the bounds of the explanations proffered by Pollock for the liability of a master for the tortious acts of a servant. It stands within those bounds because of the closeness of the connection between the principal’s business and the conduct of the independent contractor for which it is sought to make the principal liable" – Pollock having considered, as their Honours put it, that "course of employment was not a limitation or an otherwise more general liability of the employer; it was a necessary element of the definition of the extent of liability".</w:t>
      </w:r>
      <w:r w:rsidRPr="00A53CF5">
        <w:rPr>
          <w:rStyle w:val="FootnoteReference"/>
          <w:rFonts w:ascii="Times New Roman" w:hAnsi="Times New Roman"/>
          <w:sz w:val="24"/>
        </w:rPr>
        <w:footnoteReference w:id="382"/>
      </w:r>
      <w:r w:rsidRPr="00A53CF5">
        <w:rPr>
          <w:rFonts w:ascii="Times New Roman" w:hAnsi="Times New Roman"/>
        </w:rPr>
        <w:t xml:space="preserve"> By this, their Honours should be understood to mean that there are two ways in which a person might be engaged in conducting the business of another: either as an employee acting in the course of employment or as an independent contractor who is nevertheless a true agent of the principal authorised to bring about legal relations between the principal and a third party. In both cases, the employer and principal respectively may be vicariously liable for the wrongs of the employee or agent. </w:t>
      </w:r>
    </w:p>
    <w:p w14:paraId="519227B1"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third and final exception to the general rule that it is an employment relationship which gives rise to vicarious liability is the common law relating to the liability of owners of motor vehicles for harm caused by the vehicle when driven by another person for the owner's purposes.</w:t>
      </w:r>
      <w:r w:rsidRPr="00A53CF5">
        <w:rPr>
          <w:rStyle w:val="FootnoteReference"/>
          <w:rFonts w:ascii="Times New Roman" w:hAnsi="Times New Roman"/>
          <w:sz w:val="24"/>
        </w:rPr>
        <w:footnoteReference w:id="383"/>
      </w:r>
      <w:r w:rsidRPr="00A53CF5">
        <w:rPr>
          <w:rFonts w:ascii="Times New Roman" w:hAnsi="Times New Roman"/>
        </w:rPr>
        <w:t xml:space="preserve"> In </w:t>
      </w:r>
      <w:r w:rsidRPr="00A53CF5">
        <w:rPr>
          <w:rFonts w:ascii="Times New Roman" w:hAnsi="Times New Roman"/>
          <w:i/>
          <w:iCs/>
        </w:rPr>
        <w:t>Scott v Davis</w:t>
      </w:r>
      <w:r w:rsidRPr="00A53CF5">
        <w:rPr>
          <w:rFonts w:ascii="Times New Roman" w:hAnsi="Times New Roman"/>
        </w:rPr>
        <w:t xml:space="preserve"> the question was whether the third class of exception should apply to an owner of a plane who had organised a pilot to take a guest for a joy</w:t>
      </w:r>
      <w:r w:rsidRPr="00A53CF5">
        <w:rPr>
          <w:rFonts w:ascii="Times New Roman" w:hAnsi="Times New Roman"/>
        </w:rPr>
        <w:noBreakHyphen/>
        <w:t>ride.</w:t>
      </w:r>
      <w:r w:rsidRPr="00A53CF5">
        <w:rPr>
          <w:rStyle w:val="FootnoteReference"/>
          <w:rFonts w:ascii="Times New Roman" w:hAnsi="Times New Roman"/>
          <w:sz w:val="24"/>
        </w:rPr>
        <w:footnoteReference w:id="384"/>
      </w:r>
      <w:r w:rsidRPr="00A53CF5">
        <w:rPr>
          <w:rFonts w:ascii="Times New Roman" w:hAnsi="Times New Roman"/>
        </w:rPr>
        <w:t xml:space="preserve"> Gleeson CJ identified the third class of exception as being within a broader class (ie "an owner or a bailee of a chattel is vicariously liable for the negligence of another person who has the </w:t>
      </w:r>
      <w:r w:rsidRPr="00A53CF5">
        <w:rPr>
          <w:rFonts w:ascii="Times New Roman" w:hAnsi="Times New Roman"/>
        </w:rPr>
        <w:lastRenderedPageBreak/>
        <w:t>temporary management of the chattel, even when that other person is not an employee of the owner or bailee"</w:t>
      </w:r>
      <w:r w:rsidRPr="00A53CF5">
        <w:rPr>
          <w:rStyle w:val="FootnoteReference"/>
          <w:rFonts w:ascii="Times New Roman" w:hAnsi="Times New Roman"/>
          <w:sz w:val="24"/>
        </w:rPr>
        <w:footnoteReference w:id="385"/>
      </w:r>
      <w:r w:rsidRPr="00A53CF5">
        <w:rPr>
          <w:rFonts w:ascii="Times New Roman" w:hAnsi="Times New Roman"/>
        </w:rPr>
        <w:t>) but, whatever its status, the majority of the Court refused to apply the third exception to the facts of that case on the basis that (amongst other things) its application would conflict with the general rule that a person could not be liable for the acts of an independent contractor</w:t>
      </w:r>
      <w:r w:rsidRPr="00A53CF5">
        <w:rPr>
          <w:rStyle w:val="FootnoteReference"/>
          <w:rFonts w:ascii="Times New Roman" w:hAnsi="Times New Roman"/>
          <w:sz w:val="24"/>
        </w:rPr>
        <w:footnoteReference w:id="386"/>
      </w:r>
      <w:r w:rsidRPr="00A53CF5">
        <w:rPr>
          <w:rFonts w:ascii="Times New Roman" w:hAnsi="Times New Roman"/>
        </w:rPr>
        <w:t xml:space="preserve"> and that the sole authority in Australia establishing this exception, </w:t>
      </w:r>
      <w:r w:rsidRPr="00A53CF5">
        <w:rPr>
          <w:rFonts w:ascii="Times New Roman" w:hAnsi="Times New Roman"/>
          <w:i/>
          <w:iCs/>
        </w:rPr>
        <w:t>Soblusky v Egan</w:t>
      </w:r>
      <w:r w:rsidRPr="00A53CF5">
        <w:rPr>
          <w:rFonts w:ascii="Times New Roman" w:hAnsi="Times New Roman"/>
        </w:rPr>
        <w:t>,</w:t>
      </w:r>
      <w:r w:rsidRPr="00A53CF5">
        <w:rPr>
          <w:rStyle w:val="FootnoteReference"/>
          <w:rFonts w:ascii="Times New Roman" w:hAnsi="Times New Roman"/>
          <w:sz w:val="24"/>
        </w:rPr>
        <w:footnoteReference w:id="387"/>
      </w:r>
      <w:r w:rsidRPr="00A53CF5">
        <w:rPr>
          <w:rFonts w:ascii="Times New Roman" w:hAnsi="Times New Roman"/>
        </w:rPr>
        <w:t xml:space="preserve"> should not be extended beyond motor vehicles.</w:t>
      </w:r>
      <w:r w:rsidRPr="00A53CF5">
        <w:rPr>
          <w:rStyle w:val="FootnoteReference"/>
          <w:rFonts w:ascii="Times New Roman" w:hAnsi="Times New Roman"/>
          <w:sz w:val="24"/>
        </w:rPr>
        <w:footnoteReference w:id="388"/>
      </w:r>
    </w:p>
    <w:p w14:paraId="6F099494"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Personal or non-delegable duties of care</w:t>
      </w:r>
    </w:p>
    <w:p w14:paraId="5D95E574"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uncertainties</w:t>
      </w:r>
    </w:p>
    <w:p w14:paraId="5A907E5D"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doctrine of personal or non</w:t>
      </w:r>
      <w:r w:rsidRPr="00A53CF5">
        <w:rPr>
          <w:rFonts w:ascii="Times New Roman" w:hAnsi="Times New Roman"/>
        </w:rPr>
        <w:noBreakHyphen/>
        <w:t>delegable duties of care has been described as: a doctrine in which the "purpose and effect of such a characterisation of a duty of care is not always entirely clear";</w:t>
      </w:r>
      <w:r w:rsidRPr="00A53CF5">
        <w:rPr>
          <w:rStyle w:val="FootnoteReference"/>
          <w:rFonts w:ascii="Times New Roman" w:hAnsi="Times New Roman"/>
          <w:sz w:val="24"/>
        </w:rPr>
        <w:footnoteReference w:id="389"/>
      </w:r>
      <w:r w:rsidRPr="00A53CF5">
        <w:rPr>
          <w:rFonts w:ascii="Times New Roman" w:hAnsi="Times New Roman"/>
        </w:rPr>
        <w:t xml:space="preserve"> a "disguised form of vicarious liability";</w:t>
      </w:r>
      <w:r w:rsidRPr="00A53CF5">
        <w:rPr>
          <w:rStyle w:val="FootnoteReference"/>
          <w:rFonts w:ascii="Times New Roman" w:hAnsi="Times New Roman"/>
          <w:sz w:val="24"/>
        </w:rPr>
        <w:footnoteReference w:id="390"/>
      </w:r>
      <w:r w:rsidRPr="00A53CF5">
        <w:rPr>
          <w:rFonts w:ascii="Times New Roman" w:hAnsi="Times New Roman"/>
        </w:rPr>
        <w:t xml:space="preserve"> "a 'fictitious formula'";</w:t>
      </w:r>
      <w:r w:rsidRPr="00A53CF5">
        <w:rPr>
          <w:rStyle w:val="FootnoteReference"/>
          <w:rFonts w:ascii="Times New Roman" w:hAnsi="Times New Roman"/>
          <w:sz w:val="24"/>
        </w:rPr>
        <w:footnoteReference w:id="391"/>
      </w:r>
      <w:r w:rsidRPr="00A53CF5">
        <w:rPr>
          <w:rFonts w:ascii="Times New Roman" w:hAnsi="Times New Roman"/>
        </w:rPr>
        <w:t xml:space="preserve"> a form of allocation of liability in which "the defendant becomes, in effect, the insurer of some activity even when it is performed by another";</w:t>
      </w:r>
      <w:r w:rsidRPr="00A53CF5">
        <w:rPr>
          <w:rStyle w:val="FootnoteReference"/>
          <w:rFonts w:ascii="Times New Roman" w:hAnsi="Times New Roman"/>
          <w:sz w:val="24"/>
        </w:rPr>
        <w:footnoteReference w:id="392"/>
      </w:r>
      <w:r w:rsidRPr="00A53CF5">
        <w:rPr>
          <w:rFonts w:ascii="Times New Roman" w:hAnsi="Times New Roman"/>
        </w:rPr>
        <w:t xml:space="preserve"> lacking "any unifying and clear principle";</w:t>
      </w:r>
      <w:r w:rsidRPr="00A53CF5">
        <w:rPr>
          <w:rStyle w:val="FootnoteReference"/>
          <w:rFonts w:ascii="Times New Roman" w:hAnsi="Times New Roman"/>
          <w:sz w:val="24"/>
        </w:rPr>
        <w:footnoteReference w:id="393"/>
      </w:r>
      <w:r w:rsidRPr="00A53CF5">
        <w:rPr>
          <w:rFonts w:ascii="Times New Roman" w:hAnsi="Times New Roman"/>
        </w:rPr>
        <w:t xml:space="preserve"> and an area in which, in common with the doctrine of vicarious liability, "[c]ommentators and judges have strived unsuccessfully for uniformity of language and meaning".</w:t>
      </w:r>
      <w:r w:rsidRPr="00A53CF5">
        <w:rPr>
          <w:rStyle w:val="FootnoteReference"/>
          <w:rFonts w:ascii="Times New Roman" w:hAnsi="Times New Roman"/>
          <w:sz w:val="24"/>
        </w:rPr>
        <w:footnoteReference w:id="394"/>
      </w:r>
      <w:r w:rsidRPr="00A53CF5">
        <w:rPr>
          <w:rFonts w:ascii="Times New Roman" w:hAnsi="Times New Roman"/>
        </w:rPr>
        <w:t xml:space="preserve"> </w:t>
      </w:r>
    </w:p>
    <w:p w14:paraId="744C8CD9"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Mason J explained the doctrine of personal or non</w:t>
      </w:r>
      <w:r w:rsidRPr="00A53CF5">
        <w:rPr>
          <w:rFonts w:ascii="Times New Roman" w:hAnsi="Times New Roman"/>
        </w:rPr>
        <w:noBreakHyphen/>
        <w:t>delegable duties of care as in part an artefact of the common employment rule, now consigned to the archives, by which one employee could not maintain a claim against the employer for the negligence of another employee.</w:t>
      </w:r>
      <w:r w:rsidRPr="00A53CF5">
        <w:rPr>
          <w:rStyle w:val="FootnoteReference"/>
          <w:rFonts w:ascii="Times New Roman" w:hAnsi="Times New Roman"/>
          <w:sz w:val="24"/>
        </w:rPr>
        <w:footnoteReference w:id="395"/>
      </w:r>
      <w:r w:rsidRPr="00A53CF5">
        <w:rPr>
          <w:rFonts w:ascii="Times New Roman" w:hAnsi="Times New Roman"/>
        </w:rPr>
        <w:t xml:space="preserve"> His Honour also recorded the criticism of the doctrine that it rested on "little more than assertion".</w:t>
      </w:r>
      <w:r w:rsidRPr="00A53CF5">
        <w:rPr>
          <w:rStyle w:val="FootnoteReference"/>
          <w:rFonts w:ascii="Times New Roman" w:hAnsi="Times New Roman"/>
          <w:sz w:val="24"/>
        </w:rPr>
        <w:footnoteReference w:id="396"/>
      </w:r>
      <w:r w:rsidRPr="00A53CF5">
        <w:rPr>
          <w:rFonts w:ascii="Times New Roman" w:hAnsi="Times New Roman"/>
        </w:rPr>
        <w:t xml:space="preserve"> </w:t>
      </w:r>
    </w:p>
    <w:p w14:paraId="37C4639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Lord Sumption JSC recently observed that:</w:t>
      </w:r>
      <w:r w:rsidRPr="00A53CF5">
        <w:rPr>
          <w:rStyle w:val="FootnoteReference"/>
          <w:rFonts w:ascii="Times New Roman" w:hAnsi="Times New Roman"/>
          <w:sz w:val="24"/>
        </w:rPr>
        <w:footnoteReference w:id="397"/>
      </w:r>
    </w:p>
    <w:p w14:paraId="042D23A0"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b/>
        <w:t>"The main problem about this area of the law is to prevent the exception from eating up the rule. Non</w:t>
      </w:r>
      <w:r w:rsidRPr="00A53CF5">
        <w:rPr>
          <w:rFonts w:ascii="Times New Roman" w:hAnsi="Times New Roman"/>
        </w:rPr>
        <w:noBreakHyphen/>
        <w:t>delegable duties of care are inconsistent with the fault-based principles on which the law of negligence is based, and are therefore exceptional. The difference between an ordinary duty of care and a non</w:t>
      </w:r>
      <w:r w:rsidRPr="00A53CF5">
        <w:rPr>
          <w:rFonts w:ascii="Times New Roman" w:hAnsi="Times New Roman"/>
        </w:rPr>
        <w:noBreakHyphen/>
        <w:t>delegable duty must therefore be more than a question of degree."</w:t>
      </w:r>
    </w:p>
    <w:p w14:paraId="52BC521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This observation is apt in circumstances where several cases list examples of relationships in which a personal or non</w:t>
      </w:r>
      <w:r w:rsidRPr="00A53CF5">
        <w:rPr>
          <w:rFonts w:ascii="Times New Roman" w:hAnsi="Times New Roman"/>
        </w:rPr>
        <w:noBreakHyphen/>
        <w:t>delegable duty of care has been found including: an employer ensuring a safe system of work for all engaged on its behalf in the work (be they employees or independent contractors); a hospital avoiding harm to its patients that would not have been suffered if reasonable care had been provided; a school avoiding harm to its pupils that would not have been suffered if reasonable care had been provided; or an invitor or landlord avoiding harm to its invitees or tenants by unsafe premises.</w:t>
      </w:r>
      <w:r w:rsidRPr="00A53CF5">
        <w:rPr>
          <w:rStyle w:val="FootnoteReference"/>
          <w:rFonts w:ascii="Times New Roman" w:hAnsi="Times New Roman"/>
          <w:sz w:val="24"/>
        </w:rPr>
        <w:footnoteReference w:id="398"/>
      </w:r>
      <w:r w:rsidRPr="00A53CF5">
        <w:rPr>
          <w:rFonts w:ascii="Times New Roman" w:hAnsi="Times New Roman"/>
        </w:rPr>
        <w:t xml:space="preserve"> As Gleeson CJ said, "[i]t is significant that the duty of care is personal or non</w:t>
      </w:r>
      <w:r w:rsidRPr="00A53CF5">
        <w:rPr>
          <w:rFonts w:ascii="Times New Roman" w:hAnsi="Times New Roman"/>
        </w:rPr>
        <w:noBreakHyphen/>
        <w:t>delegable; but it is always necessary to ascertain its content".</w:t>
      </w:r>
      <w:r w:rsidRPr="00A53CF5">
        <w:rPr>
          <w:rStyle w:val="FootnoteReference"/>
          <w:rFonts w:ascii="Times New Roman" w:hAnsi="Times New Roman"/>
          <w:sz w:val="24"/>
        </w:rPr>
        <w:footnoteReference w:id="399"/>
      </w:r>
      <w:r w:rsidRPr="00A53CF5">
        <w:rPr>
          <w:rFonts w:ascii="Times New Roman" w:hAnsi="Times New Roman"/>
        </w:rPr>
        <w:t xml:space="preserve"> The significance lies "not in the extent of the responsibility undertaken ... but in the inability to discharge that responsibility by delegating the task of providing care to a third party or third parties".</w:t>
      </w:r>
      <w:r w:rsidRPr="00A53CF5">
        <w:rPr>
          <w:rStyle w:val="FootnoteReference"/>
          <w:rFonts w:ascii="Times New Roman" w:hAnsi="Times New Roman"/>
          <w:sz w:val="24"/>
        </w:rPr>
        <w:footnoteReference w:id="400"/>
      </w:r>
    </w:p>
    <w:p w14:paraId="1DA6399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Further, and in common with the term "vicarious liability", the notion of a duty of care being "non</w:t>
      </w:r>
      <w:r w:rsidRPr="00A53CF5">
        <w:rPr>
          <w:rFonts w:ascii="Times New Roman" w:hAnsi="Times New Roman"/>
        </w:rPr>
        <w:noBreakHyphen/>
        <w:t>delegable" is itself potentially misleading. It is not that a person is unable to entrust the performance of a personal or non</w:t>
      </w:r>
      <w:r w:rsidRPr="00A53CF5">
        <w:rPr>
          <w:rFonts w:ascii="Times New Roman" w:hAnsi="Times New Roman"/>
        </w:rPr>
        <w:noBreakHyphen/>
        <w:t>delegable duty of care to another. In this context, what is meant is only that the person subject to the personal or non</w:t>
      </w:r>
      <w:r w:rsidRPr="00A53CF5">
        <w:rPr>
          <w:rFonts w:ascii="Times New Roman" w:hAnsi="Times New Roman"/>
        </w:rPr>
        <w:noBreakHyphen/>
        <w:t xml:space="preserve">delegable duty may exercise reasonable care in the selection of the </w:t>
      </w:r>
      <w:r w:rsidRPr="00A53CF5">
        <w:rPr>
          <w:rFonts w:ascii="Times New Roman" w:hAnsi="Times New Roman"/>
        </w:rPr>
        <w:lastRenderedPageBreak/>
        <w:t>person entrusted to perform the task but that reasonable care will not protect the person the subject of the duty from liability.</w:t>
      </w:r>
      <w:r w:rsidRPr="00A53CF5">
        <w:rPr>
          <w:rStyle w:val="FootnoteReference"/>
          <w:rFonts w:ascii="Times New Roman" w:hAnsi="Times New Roman"/>
          <w:sz w:val="24"/>
        </w:rPr>
        <w:footnoteReference w:id="401"/>
      </w:r>
      <w:r w:rsidRPr="00A53CF5">
        <w:rPr>
          <w:rFonts w:ascii="Times New Roman" w:hAnsi="Times New Roman"/>
        </w:rPr>
        <w:t xml:space="preserve"> </w:t>
      </w:r>
    </w:p>
    <w:p w14:paraId="0CFB10CC" w14:textId="77777777" w:rsidR="003C3645" w:rsidRPr="00A53CF5" w:rsidRDefault="003C3645" w:rsidP="00A53CF5">
      <w:pPr>
        <w:pStyle w:val="HeadingL2"/>
        <w:spacing w:after="260" w:line="280" w:lineRule="exact"/>
        <w:ind w:right="0"/>
        <w:jc w:val="both"/>
        <w:rPr>
          <w:rFonts w:ascii="Times New Roman" w:hAnsi="Times New Roman"/>
        </w:rPr>
      </w:pPr>
      <w:r w:rsidRPr="00A53CF5">
        <w:rPr>
          <w:rFonts w:ascii="Times New Roman" w:hAnsi="Times New Roman"/>
        </w:rPr>
        <w:t>The certainties</w:t>
      </w:r>
    </w:p>
    <w:p w14:paraId="16C0208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Again, whatever the doctrinal inadequacy, some things are clear. Some duties of care have been characterised as personal or non</w:t>
      </w:r>
      <w:r w:rsidRPr="00A53CF5">
        <w:rPr>
          <w:rFonts w:ascii="Times New Roman" w:hAnsi="Times New Roman"/>
        </w:rPr>
        <w:noBreakHyphen/>
        <w:t>delegable. In such a case, the person subject to the personal or non</w:t>
      </w:r>
      <w:r w:rsidRPr="00A53CF5">
        <w:rPr>
          <w:rFonts w:ascii="Times New Roman" w:hAnsi="Times New Roman"/>
        </w:rPr>
        <w:noBreakHyphen/>
        <w:t>delegable duty of care may be liable for the act or omission of another person as that act or omission may constitute a breach of the first-mentioned person's personal or non</w:t>
      </w:r>
      <w:r w:rsidRPr="00A53CF5">
        <w:rPr>
          <w:rFonts w:ascii="Times New Roman" w:hAnsi="Times New Roman"/>
        </w:rPr>
        <w:noBreakHyphen/>
        <w:t>delegable duty of care. Such liability is not vicarious, but direct, because it does not involve an attribution of liability for the acts of the other person to the first</w:t>
      </w:r>
      <w:r w:rsidRPr="00A53CF5">
        <w:rPr>
          <w:rFonts w:ascii="Times New Roman" w:hAnsi="Times New Roman"/>
        </w:rPr>
        <w:noBreakHyphen/>
        <w:t>mentioned person but depends on the acts of the other person directly breaching the duty of care the first-mentioned person owed to whomever was harmed by the acts.</w:t>
      </w:r>
      <w:r w:rsidRPr="00A53CF5">
        <w:rPr>
          <w:rStyle w:val="FootnoteReference"/>
          <w:rFonts w:ascii="Times New Roman" w:hAnsi="Times New Roman"/>
          <w:sz w:val="24"/>
        </w:rPr>
        <w:footnoteReference w:id="402"/>
      </w:r>
      <w:r w:rsidRPr="00A53CF5">
        <w:rPr>
          <w:rFonts w:ascii="Times New Roman" w:hAnsi="Times New Roman"/>
        </w:rPr>
        <w:t xml:space="preserve"> </w:t>
      </w:r>
    </w:p>
    <w:p w14:paraId="63AC9A4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If a duty of care is personal or non</w:t>
      </w:r>
      <w:r w:rsidRPr="00A53CF5">
        <w:rPr>
          <w:rFonts w:ascii="Times New Roman" w:hAnsi="Times New Roman"/>
        </w:rPr>
        <w:noBreakHyphen/>
        <w:t>delegable, the person subject to the duty cannot escape liability by taking reasonable care to ensure that the person engaged to perform the task on behalf of the first-mentioned person is competent and suitable for the performance of the task.</w:t>
      </w:r>
      <w:r w:rsidRPr="00A53CF5">
        <w:rPr>
          <w:rStyle w:val="FootnoteReference"/>
          <w:rFonts w:ascii="Times New Roman" w:hAnsi="Times New Roman"/>
          <w:sz w:val="24"/>
        </w:rPr>
        <w:footnoteReference w:id="403"/>
      </w:r>
      <w:r w:rsidRPr="00A53CF5">
        <w:rPr>
          <w:rFonts w:ascii="Times New Roman" w:hAnsi="Times New Roman"/>
        </w:rPr>
        <w:t xml:space="preserve"> The imposition of liability on a person subject to a personal or non-delegable duty for the intentional criminal acts of an otherwise reasonably selected delegate raises difficult issues of principle.</w:t>
      </w:r>
      <w:r w:rsidRPr="00A53CF5">
        <w:rPr>
          <w:rStyle w:val="FootnoteReference"/>
          <w:rFonts w:ascii="Times New Roman" w:hAnsi="Times New Roman"/>
          <w:sz w:val="24"/>
        </w:rPr>
        <w:footnoteReference w:id="404"/>
      </w:r>
      <w:r w:rsidRPr="00A53CF5">
        <w:rPr>
          <w:rFonts w:ascii="Times New Roman" w:hAnsi="Times New Roman"/>
        </w:rPr>
        <w:t xml:space="preserve"> Generally, however, the duty is not a duty merely to take reasonable care in the engagement of others to perform a task, it is a duty to ensure that in performing the task reasonable care is taken.</w:t>
      </w:r>
      <w:r w:rsidRPr="00A53CF5">
        <w:rPr>
          <w:rStyle w:val="FootnoteReference"/>
          <w:rFonts w:ascii="Times New Roman" w:hAnsi="Times New Roman"/>
          <w:sz w:val="24"/>
        </w:rPr>
        <w:footnoteReference w:id="405"/>
      </w:r>
      <w:r w:rsidRPr="00A53CF5">
        <w:rPr>
          <w:rFonts w:ascii="Times New Roman" w:hAnsi="Times New Roman"/>
        </w:rPr>
        <w:t xml:space="preserve"> Accordingly, if an employer is subject to a personal or non</w:t>
      </w:r>
      <w:r w:rsidRPr="00A53CF5">
        <w:rPr>
          <w:rFonts w:ascii="Times New Roman" w:hAnsi="Times New Roman"/>
        </w:rPr>
        <w:noBreakHyphen/>
        <w:t>delegable duty of care (eg, to provide a safe system of work), the distinction between the acts of an employee and the acts of an independent contractor does not determine the employer's liability.</w:t>
      </w:r>
      <w:r w:rsidRPr="00A53CF5">
        <w:rPr>
          <w:rStyle w:val="FootnoteReference"/>
          <w:rFonts w:ascii="Times New Roman" w:hAnsi="Times New Roman"/>
          <w:sz w:val="24"/>
        </w:rPr>
        <w:footnoteReference w:id="406"/>
      </w:r>
      <w:r w:rsidRPr="00A53CF5">
        <w:rPr>
          <w:rFonts w:ascii="Times New Roman" w:hAnsi="Times New Roman"/>
        </w:rPr>
        <w:t xml:space="preserve"> </w:t>
      </w:r>
    </w:p>
    <w:p w14:paraId="6FA7A1A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Mason J explained the justification for the doctrine as emerging from the nature of the relationship between the parties, particularly the peculiar vulnerability of the one party to harm by reason of a lack of care by or on behalf </w:t>
      </w:r>
      <w:r w:rsidRPr="00A53CF5">
        <w:rPr>
          <w:rFonts w:ascii="Times New Roman" w:hAnsi="Times New Roman"/>
        </w:rPr>
        <w:lastRenderedPageBreak/>
        <w:t>of the other party entrusted with the care of the first-mentioned party.</w:t>
      </w:r>
      <w:r w:rsidRPr="00A53CF5">
        <w:rPr>
          <w:rStyle w:val="FootnoteReference"/>
          <w:rFonts w:ascii="Times New Roman" w:hAnsi="Times New Roman"/>
          <w:sz w:val="24"/>
        </w:rPr>
        <w:footnoteReference w:id="407"/>
      </w:r>
      <w:r w:rsidRPr="00A53CF5">
        <w:rPr>
          <w:rFonts w:ascii="Times New Roman" w:hAnsi="Times New Roman"/>
        </w:rPr>
        <w:t xml:space="preserve"> As his Honour put it, "[i]n these situations the special duty arises because the person on whom it is imposed has undertaken the care, supervision or control of the person or property of another or is so placed in relation to that person or his property as to assume a particular responsibility for his or its safety, in circumstances where the person affected might reasonably expect that due care will be exercised".</w:t>
      </w:r>
      <w:r w:rsidRPr="00A53CF5">
        <w:rPr>
          <w:rStyle w:val="FootnoteReference"/>
          <w:rFonts w:ascii="Times New Roman" w:hAnsi="Times New Roman"/>
          <w:sz w:val="24"/>
        </w:rPr>
        <w:footnoteReference w:id="408"/>
      </w:r>
      <w:r w:rsidRPr="00A53CF5">
        <w:rPr>
          <w:rFonts w:ascii="Times New Roman" w:hAnsi="Times New Roman"/>
        </w:rPr>
        <w:t xml:space="preserve"> Deane J, referring to the employment context, explained the reason for the doctrine as that "in the context of the particular relationship of employer and employee and of the undertaking by the employee of the general obligation to work in the interests of the employer, the content of the employer's duty to take reasonable care to provide a safe system and conditions of work for the employee is not discharged by delegation unless the delegate, be he employee or independent contractor, in fact provides the reasonable care which the employer was under an obligation to bring to bear".</w:t>
      </w:r>
      <w:r w:rsidRPr="00A53CF5">
        <w:rPr>
          <w:rStyle w:val="FootnoteReference"/>
          <w:rFonts w:ascii="Times New Roman" w:hAnsi="Times New Roman"/>
          <w:sz w:val="24"/>
        </w:rPr>
        <w:footnoteReference w:id="409"/>
      </w:r>
      <w:r w:rsidRPr="00A53CF5">
        <w:rPr>
          <w:rFonts w:ascii="Times New Roman" w:hAnsi="Times New Roman"/>
        </w:rPr>
        <w:t xml:space="preserve"> It follows from this that the other limiting factor on an employer's vicarious liability, that the employee's act giving rise to the employer's liability be in the course of employment, has no role to play if the employer owes the person harmed a personal or non</w:t>
      </w:r>
      <w:r w:rsidRPr="00A53CF5">
        <w:rPr>
          <w:rFonts w:ascii="Times New Roman" w:hAnsi="Times New Roman"/>
        </w:rPr>
        <w:noBreakHyphen/>
        <w:t>delegable duty of care.</w:t>
      </w:r>
      <w:r w:rsidRPr="00A53CF5">
        <w:rPr>
          <w:rStyle w:val="FootnoteReference"/>
          <w:rFonts w:ascii="Times New Roman" w:hAnsi="Times New Roman"/>
          <w:sz w:val="24"/>
        </w:rPr>
        <w:footnoteReference w:id="410"/>
      </w:r>
    </w:p>
    <w:p w14:paraId="0CF29523"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Subsequently, in </w:t>
      </w:r>
      <w:r w:rsidRPr="00A53CF5">
        <w:rPr>
          <w:rFonts w:ascii="Times New Roman" w:hAnsi="Times New Roman"/>
          <w:i/>
          <w:iCs/>
        </w:rPr>
        <w:t>Burnie Port Authority v General Jones Pty Ltd</w:t>
      </w:r>
      <w:r w:rsidRPr="00A53CF5">
        <w:rPr>
          <w:rFonts w:ascii="Times New Roman" w:hAnsi="Times New Roman"/>
        </w:rPr>
        <w:t>, Mason CJ, Deane, Dawson, Toohey and Gaudron JJ said that the common element in most cases where a personal or non</w:t>
      </w:r>
      <w:r w:rsidRPr="00A53CF5">
        <w:rPr>
          <w:rFonts w:ascii="Times New Roman" w:hAnsi="Times New Roman"/>
        </w:rPr>
        <w:noBreakHyphen/>
        <w:t>delegable duty of care has been found is the undertaking of the provision of care, supervision or control by the defendant for the safety of the plaintiff in circumstances where the plaintiff would reasonably expect the exercise of due care for their safety.</w:t>
      </w:r>
      <w:r w:rsidRPr="00A53CF5">
        <w:rPr>
          <w:rStyle w:val="FootnoteReference"/>
          <w:rFonts w:ascii="Times New Roman" w:hAnsi="Times New Roman"/>
          <w:sz w:val="24"/>
        </w:rPr>
        <w:footnoteReference w:id="411"/>
      </w:r>
      <w:r w:rsidRPr="00A53CF5">
        <w:rPr>
          <w:rFonts w:ascii="Times New Roman" w:hAnsi="Times New Roman"/>
        </w:rPr>
        <w:t xml:space="preserve"> Subsequently, however, Gleeson</w:t>
      </w:r>
      <w:r>
        <w:rPr>
          <w:rFonts w:ascii="Times New Roman" w:hAnsi="Times New Roman"/>
        </w:rPr>
        <w:t> </w:t>
      </w:r>
      <w:r w:rsidRPr="00A53CF5">
        <w:rPr>
          <w:rFonts w:ascii="Times New Roman" w:hAnsi="Times New Roman"/>
        </w:rPr>
        <w:t>CJ expressed concern about a duty of such potentially wide application.</w:t>
      </w:r>
      <w:r w:rsidRPr="00A53CF5">
        <w:rPr>
          <w:rStyle w:val="FootnoteReference"/>
          <w:rFonts w:ascii="Times New Roman" w:hAnsi="Times New Roman"/>
          <w:sz w:val="24"/>
        </w:rPr>
        <w:footnoteReference w:id="412"/>
      </w:r>
      <w:r w:rsidRPr="00A53CF5">
        <w:rPr>
          <w:rFonts w:ascii="Times New Roman" w:hAnsi="Times New Roman"/>
        </w:rPr>
        <w:t xml:space="preserve"> Gummow J also noted that caution is required in respect of any expansion of the classes of personal or non-delegable duties of care as the effect of imposing such a duty is that a "defendant becomes, in effect, the insurer of some activity even when it is performed by another".</w:t>
      </w:r>
      <w:r w:rsidRPr="00A53CF5">
        <w:rPr>
          <w:rStyle w:val="FootnoteReference"/>
          <w:rFonts w:ascii="Times New Roman" w:hAnsi="Times New Roman"/>
          <w:sz w:val="24"/>
        </w:rPr>
        <w:footnoteReference w:id="413"/>
      </w:r>
    </w:p>
    <w:p w14:paraId="51501C2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the face of the uncertainty underpinning a principled basis on which to expand any doctrine of personal or non-delegable duties of care beyond its </w:t>
      </w:r>
      <w:r w:rsidRPr="00A53CF5">
        <w:rPr>
          <w:rFonts w:ascii="Times New Roman" w:hAnsi="Times New Roman"/>
        </w:rPr>
        <w:lastRenderedPageBreak/>
        <w:t>recognised categories, it must be accepted that caution is required before establishing new cases of personal or non</w:t>
      </w:r>
      <w:r w:rsidRPr="00A53CF5">
        <w:rPr>
          <w:rFonts w:ascii="Times New Roman" w:hAnsi="Times New Roman"/>
        </w:rPr>
        <w:noBreakHyphen/>
        <w:t>delegable duties of care. To decide a new category of a personal or non</w:t>
      </w:r>
      <w:r w:rsidRPr="00A53CF5">
        <w:rPr>
          <w:rFonts w:ascii="Times New Roman" w:hAnsi="Times New Roman"/>
        </w:rPr>
        <w:noBreakHyphen/>
        <w:t>delegable duty of care, precision in the "nature and content of the particular duty"</w:t>
      </w:r>
      <w:r w:rsidRPr="00A53CF5">
        <w:rPr>
          <w:rStyle w:val="FootnoteReference"/>
          <w:rFonts w:ascii="Times New Roman" w:hAnsi="Times New Roman"/>
          <w:sz w:val="24"/>
        </w:rPr>
        <w:footnoteReference w:id="414"/>
      </w:r>
      <w:r w:rsidRPr="00A53CF5">
        <w:rPr>
          <w:rFonts w:ascii="Times New Roman" w:hAnsi="Times New Roman"/>
        </w:rPr>
        <w:t xml:space="preserve"> is also required – the foundation for which must be findings at a level of particularity that enable the reasons for the imposition of the duty to be articulated. </w:t>
      </w:r>
    </w:p>
    <w:p w14:paraId="095600F5"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Application or extension of principle of vicarious liability?</w:t>
      </w:r>
    </w:p>
    <w:p w14:paraId="436F6E3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It is apparent that neither the primary judge nor the Court of Appeal considered that the determination of the case to find the Diocese liable for the conduct of Father Coffey involved anything more than the application of the established principles of vicarious liability. For example, the Court of Appeal reasoned that: (a) "the principle of vicarious liability has not been confined solely and exclusively to cases in which the relationship between the tortfeasor and the principal is that of employer and employee"; and (b) "the cases reveal ... a commonality of the factors that are central to the issue whether, in an appropriate case, the relationship is one to which the principle of vicarious liability may apply".</w:t>
      </w:r>
      <w:r w:rsidRPr="00A53CF5">
        <w:rPr>
          <w:rStyle w:val="FootnoteReference"/>
          <w:rFonts w:ascii="Times New Roman" w:hAnsi="Times New Roman"/>
          <w:sz w:val="24"/>
        </w:rPr>
        <w:footnoteReference w:id="415"/>
      </w:r>
      <w:r w:rsidRPr="00A53CF5">
        <w:rPr>
          <w:rFonts w:ascii="Times New Roman" w:hAnsi="Times New Roman"/>
        </w:rPr>
        <w:t xml:space="preserve"> Proposition (a) was said to follow from </w:t>
      </w:r>
      <w:r w:rsidRPr="00A53CF5">
        <w:rPr>
          <w:rFonts w:ascii="Times New Roman" w:hAnsi="Times New Roman"/>
          <w:i/>
          <w:iCs/>
        </w:rPr>
        <w:t>Colonial Mutual</w:t>
      </w:r>
      <w:r w:rsidRPr="00A53CF5">
        <w:rPr>
          <w:rFonts w:ascii="Times New Roman" w:hAnsi="Times New Roman"/>
        </w:rPr>
        <w:t>, in which this Court found that vicarious liability could, in specific circumstances, arise in a relationship of "agency" rather than employment.</w:t>
      </w:r>
      <w:r w:rsidRPr="00A53CF5">
        <w:rPr>
          <w:rStyle w:val="FootnoteReference"/>
          <w:rFonts w:ascii="Times New Roman" w:hAnsi="Times New Roman"/>
          <w:sz w:val="24"/>
        </w:rPr>
        <w:footnoteReference w:id="416"/>
      </w:r>
      <w:r w:rsidRPr="00A53CF5">
        <w:rPr>
          <w:rFonts w:ascii="Times New Roman" w:hAnsi="Times New Roman"/>
        </w:rPr>
        <w:t xml:space="preserve"> Proposition (b) was said to follow from the application of </w:t>
      </w:r>
      <w:r w:rsidRPr="00A53CF5">
        <w:rPr>
          <w:rFonts w:ascii="Times New Roman" w:hAnsi="Times New Roman"/>
          <w:i/>
          <w:iCs/>
        </w:rPr>
        <w:t xml:space="preserve">Colonial Mutual </w:t>
      </w:r>
      <w:r w:rsidRPr="00A53CF5">
        <w:rPr>
          <w:rFonts w:ascii="Times New Roman" w:hAnsi="Times New Roman"/>
        </w:rPr>
        <w:t xml:space="preserve">in </w:t>
      </w:r>
      <w:r w:rsidRPr="00A53CF5">
        <w:rPr>
          <w:rFonts w:ascii="Times New Roman" w:hAnsi="Times New Roman"/>
          <w:i/>
          <w:iCs/>
        </w:rPr>
        <w:t>Hollis v</w:t>
      </w:r>
      <w:r w:rsidRPr="00A53CF5">
        <w:rPr>
          <w:rFonts w:ascii="Times New Roman" w:hAnsi="Times New Roman"/>
        </w:rPr>
        <w:t xml:space="preserve"> </w:t>
      </w:r>
      <w:r w:rsidRPr="00A53CF5">
        <w:rPr>
          <w:rFonts w:ascii="Times New Roman" w:hAnsi="Times New Roman"/>
          <w:i/>
          <w:iCs/>
        </w:rPr>
        <w:t>Vabu Pty Ltd</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in which the Court of Appeal considered that this Court treated as a "central factor" the extent to which the tortfeasor "presented as an emanation of the principal".</w:t>
      </w:r>
      <w:r w:rsidRPr="00A53CF5">
        <w:rPr>
          <w:rStyle w:val="FootnoteReference"/>
          <w:rFonts w:ascii="Times New Roman" w:hAnsi="Times New Roman"/>
          <w:sz w:val="24"/>
        </w:rPr>
        <w:footnoteReference w:id="417"/>
      </w:r>
      <w:r w:rsidRPr="00A53CF5">
        <w:rPr>
          <w:rFonts w:ascii="Times New Roman" w:hAnsi="Times New Roman"/>
        </w:rPr>
        <w:t xml:space="preserve"> In view of that reasoning, the Court of Appeal concluded that the primary judge was correct in finding "that the relationship between Coffey ... and the Diocese, was one which, in an appropriate case, would render the Diocese vicariously liable".</w:t>
      </w:r>
      <w:r w:rsidRPr="00A53CF5">
        <w:rPr>
          <w:rStyle w:val="FootnoteReference"/>
          <w:rFonts w:ascii="Times New Roman" w:hAnsi="Times New Roman"/>
          <w:sz w:val="24"/>
        </w:rPr>
        <w:footnoteReference w:id="418"/>
      </w:r>
      <w:r w:rsidRPr="00A53CF5">
        <w:rPr>
          <w:rFonts w:ascii="Times New Roman" w:hAnsi="Times New Roman"/>
        </w:rPr>
        <w:t xml:space="preserve"> In light of that conclusion, the Court of Appeal applied </w:t>
      </w:r>
      <w:r w:rsidRPr="00A53CF5">
        <w:rPr>
          <w:rFonts w:ascii="Times New Roman" w:hAnsi="Times New Roman"/>
          <w:i/>
          <w:iCs/>
        </w:rPr>
        <w:t>Prince Alfred College Inc v ADC</w:t>
      </w:r>
      <w:r w:rsidRPr="00A53CF5">
        <w:rPr>
          <w:rFonts w:ascii="Times New Roman" w:hAnsi="Times New Roman"/>
        </w:rPr>
        <w:t>, amongst other cases, to determine that "the vicarious liability of the Diocese for the conduct of Coffey extended to and encompassed the two indecent assaults"</w:t>
      </w:r>
      <w:r w:rsidRPr="00A53CF5">
        <w:rPr>
          <w:rStyle w:val="FootnoteReference"/>
          <w:rFonts w:ascii="Times New Roman" w:hAnsi="Times New Roman"/>
          <w:sz w:val="24"/>
        </w:rPr>
        <w:footnoteReference w:id="419"/>
      </w:r>
      <w:r w:rsidRPr="00A53CF5">
        <w:rPr>
          <w:rFonts w:ascii="Times New Roman" w:hAnsi="Times New Roman"/>
        </w:rPr>
        <w:t xml:space="preserve"> (ie, that this was an "appropriate case") because the primary judge "was well justified in concluding that the position of power and intimacy, invested in Coffey as an assistant priest of </w:t>
      </w:r>
      <w:r w:rsidRPr="00A53CF5">
        <w:rPr>
          <w:rFonts w:ascii="Times New Roman" w:hAnsi="Times New Roman"/>
        </w:rPr>
        <w:lastRenderedPageBreak/>
        <w:t>the parish, provided him not only with the opportunity to sexually abuse the respondent, but also the occasion for the commission of those wrongful acts".</w:t>
      </w:r>
      <w:r w:rsidRPr="00A53CF5">
        <w:rPr>
          <w:rStyle w:val="FootnoteReference"/>
          <w:rFonts w:ascii="Times New Roman" w:hAnsi="Times New Roman"/>
          <w:sz w:val="24"/>
        </w:rPr>
        <w:footnoteReference w:id="420"/>
      </w:r>
    </w:p>
    <w:p w14:paraId="24E47BE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Court of Appeal's conclusions based on propositions (a) and (b) cannot be endorsed. </w:t>
      </w:r>
      <w:r w:rsidRPr="00A53CF5">
        <w:rPr>
          <w:rFonts w:ascii="Times New Roman" w:hAnsi="Times New Roman"/>
          <w:i/>
          <w:iCs/>
        </w:rPr>
        <w:t>Colonial Mutual</w:t>
      </w:r>
      <w:r w:rsidRPr="00A53CF5">
        <w:rPr>
          <w:rFonts w:ascii="Times New Roman" w:hAnsi="Times New Roman"/>
        </w:rPr>
        <w:t xml:space="preserve">, </w:t>
      </w:r>
      <w:r w:rsidRPr="00A53CF5">
        <w:rPr>
          <w:rFonts w:ascii="Times New Roman" w:hAnsi="Times New Roman"/>
          <w:i/>
          <w:iCs/>
        </w:rPr>
        <w:t>Hollis v Vabu Pty Ltd</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do not stand for the proposition that a "central factor" of the imposition of vicarious liability is the extent to which the tortfeasor "presented as an emanation of the principal". To the contrary, those cases, and </w:t>
      </w:r>
      <w:r w:rsidRPr="00A53CF5">
        <w:rPr>
          <w:rFonts w:ascii="Times New Roman" w:hAnsi="Times New Roman"/>
          <w:i/>
          <w:iCs/>
        </w:rPr>
        <w:t>Scott v Davis</w:t>
      </w:r>
      <w:r w:rsidRPr="00A53CF5">
        <w:rPr>
          <w:rFonts w:ascii="Times New Roman" w:hAnsi="Times New Roman"/>
        </w:rPr>
        <w:t>, caution against reasoning by reference to loose concepts such as "agent", "representative", or "emanation" in the context of vicarious liability. The key propositions which emerge from those cases in respect of the doctrine of vicarious liability are that: (a) the paradigm case of vicarious liability is that of an employer for conduct of an employee within the course of the employee's employment; (b) the paradigm case in which there is no vicarious liability is that of an employer for conduct of an independent contractor; (c) there is no general additional species of legal actor – being a person who is neither an employee, nor an independent contractor, nor a true agent in the sense of a person authorised by a principal to create or enter into legal relations (usually contracts) on behalf of the principal – recognised by the common law whose acts can give rise to the vicarious liability of another; (d) this said, a person can be vicariously liable for the tortious conduct of another person, an independent contractor or otherwise, if the first-mentioned person has directly authorised the tortious conduct of that other person,</w:t>
      </w:r>
      <w:r w:rsidRPr="00A53CF5">
        <w:rPr>
          <w:rStyle w:val="FootnoteReference"/>
          <w:rFonts w:ascii="Times New Roman" w:hAnsi="Times New Roman"/>
          <w:sz w:val="24"/>
        </w:rPr>
        <w:footnoteReference w:id="421"/>
      </w:r>
      <w:r w:rsidRPr="00A53CF5">
        <w:rPr>
          <w:rFonts w:ascii="Times New Roman" w:hAnsi="Times New Roman"/>
        </w:rPr>
        <w:t xml:space="preserve"> or if the first-mentioned person has held out an independent contractor to be their agent and authorised that agent to enter into legal relations on the person's behalf and the tortious conduct occurs within the scope of the apparent authority of the agent;</w:t>
      </w:r>
      <w:r w:rsidRPr="00A53CF5">
        <w:rPr>
          <w:rStyle w:val="FootnoteReference"/>
          <w:rFonts w:ascii="Times New Roman" w:hAnsi="Times New Roman"/>
          <w:sz w:val="24"/>
        </w:rPr>
        <w:footnoteReference w:id="422"/>
      </w:r>
      <w:r w:rsidRPr="00A53CF5">
        <w:rPr>
          <w:rFonts w:ascii="Times New Roman" w:hAnsi="Times New Roman"/>
        </w:rPr>
        <w:t xml:space="preserve"> and (e) the owner of a motor vehicle who authorises another to drive it for the purposes of the owner are taken to be in a relationship of principal and agent so that the former is liable for the tortious conduct of the latter in the driving of the motor vehicle.</w:t>
      </w:r>
      <w:r w:rsidRPr="00A53CF5">
        <w:rPr>
          <w:rStyle w:val="FootnoteReference"/>
          <w:rFonts w:ascii="Times New Roman" w:hAnsi="Times New Roman"/>
          <w:sz w:val="24"/>
        </w:rPr>
        <w:footnoteReference w:id="423"/>
      </w:r>
    </w:p>
    <w:p w14:paraId="6C71A4FB"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Other propositions also must be understood from those cases. </w:t>
      </w:r>
    </w:p>
    <w:p w14:paraId="5ED3122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First, the principles that apply to determining if a person is an employee or an independent contractor are separate and distinct from the principles of vicarious </w:t>
      </w:r>
      <w:r w:rsidRPr="00A53CF5">
        <w:rPr>
          <w:rFonts w:ascii="Times New Roman" w:hAnsi="Times New Roman"/>
        </w:rPr>
        <w:lastRenderedPageBreak/>
        <w:t xml:space="preserve">liability. Put another way, it is necessary first to determine if a person is an employee or an independent contractor in order to determine if the person who has engaged the employee or independent contractor to perform a task can be vicariously liable for tortious conduct in issue. It is not permissible to apply the principles that determine if a person is an employee or an independent contractor to create a new class of legal actor, being neither an employee nor an independent contractor. </w:t>
      </w:r>
    </w:p>
    <w:p w14:paraId="626BCAB7"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Second, the principles that apply to determining if a person is an employee or an independent contractor also cannot be applied to determine if the person who is neither an employee nor an independent contractor is some loose and amorphous kind of "agent", "representative" or "emanation" of the person who engaged them to carry out a task. In the context of Australian common law vicarious liability, there is no such relevant legal category. Other than instances of persons directly authorised to commit tortious conduct, the only relevant legal category apart from employee or independent contractor for the purpose of determining common law vicarious liability is true or proper agent (that is, an agent in the strict legal sense and not some more general sense). Other principles apply to determining if a person is a true or proper agent. Leaving aside the driving of motor vehicles, in this context a person is only a true or proper agent if the principal has given that person authority to enter into legal relations on their behalf. If the person so authorised then commits a tort within the scope of their apparent authority, the principal can be vicariously liable for the tortious conduct of the principal's agent.</w:t>
      </w:r>
      <w:r w:rsidRPr="00A53CF5">
        <w:rPr>
          <w:rStyle w:val="FootnoteReference"/>
          <w:rFonts w:ascii="Times New Roman" w:hAnsi="Times New Roman"/>
          <w:sz w:val="24"/>
        </w:rPr>
        <w:footnoteReference w:id="424"/>
      </w:r>
    </w:p>
    <w:p w14:paraId="5C4CADF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Third, it is only if a person is found to be an employee that the principles relating to the course of the person's employment become relevant to vicarious liability. That is, it is not permissible to use the principles relating to determining if an act or omission occurred within the course of a person's employment to determine if the person is an employee, independent contractor, or true or proper agent. </w:t>
      </w:r>
    </w:p>
    <w:p w14:paraId="04B9B9C4"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Fourth, the question whether a person is an employee or an independent contractor for the purpose of the application of the principles of vicarious liability is to be answered by reference to the principles relevant to that purpose. It is not to the point that a person may have been characterised as an employee or independent contractor for other purposes, such as taxation purposes.</w:t>
      </w:r>
      <w:r w:rsidRPr="00A53CF5">
        <w:rPr>
          <w:rStyle w:val="FootnoteReference"/>
          <w:rFonts w:ascii="Times New Roman" w:hAnsi="Times New Roman"/>
          <w:sz w:val="24"/>
        </w:rPr>
        <w:footnoteReference w:id="425"/>
      </w:r>
    </w:p>
    <w:p w14:paraId="6418450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Accordingly, in this case, the proper course of inquiry in respect of the question whether the Diocese was vicariously (not directly) liable for the tortious conduct of Father Coffey against the respondent involves the following questions. The first is (a), did the Diocese directly authorise the tortious conduct of Father Coffey.</w:t>
      </w:r>
      <w:r w:rsidRPr="00A53CF5">
        <w:rPr>
          <w:rStyle w:val="FootnoteReference"/>
          <w:rFonts w:ascii="Times New Roman" w:hAnsi="Times New Roman"/>
          <w:sz w:val="24"/>
        </w:rPr>
        <w:footnoteReference w:id="426"/>
      </w:r>
      <w:r w:rsidRPr="00A53CF5">
        <w:rPr>
          <w:rFonts w:ascii="Times New Roman" w:hAnsi="Times New Roman"/>
        </w:rPr>
        <w:t xml:space="preserve"> As this was never suggested to be a source of the Diocese's vicarious liability, the next questions are: (b), for the purpose of the doctrine of vicarious liability, was Father Coffey an employee or independent contractor of the Diocese;</w:t>
      </w:r>
      <w:r w:rsidRPr="00A53CF5">
        <w:rPr>
          <w:rStyle w:val="FootnoteReference"/>
          <w:rFonts w:ascii="Times New Roman" w:hAnsi="Times New Roman"/>
          <w:sz w:val="24"/>
        </w:rPr>
        <w:footnoteReference w:id="427"/>
      </w:r>
      <w:r w:rsidRPr="00A53CF5">
        <w:rPr>
          <w:rFonts w:ascii="Times New Roman" w:hAnsi="Times New Roman"/>
        </w:rPr>
        <w:t xml:space="preserve"> and (c), if, for the purpose of the doctrine of vicarious liability, Father Coffey was an employee of the Diocese, was his tortious conduct within the course of his employment or not, recognising that criminal and intentional tortious conduct may nevertheless be within the course of an employee's employment.</w:t>
      </w:r>
      <w:r w:rsidRPr="00A53CF5">
        <w:rPr>
          <w:rStyle w:val="FootnoteReference"/>
          <w:rFonts w:ascii="Times New Roman" w:hAnsi="Times New Roman"/>
          <w:sz w:val="24"/>
        </w:rPr>
        <w:footnoteReference w:id="428"/>
      </w:r>
      <w:r w:rsidRPr="00A53CF5">
        <w:rPr>
          <w:rFonts w:ascii="Times New Roman" w:hAnsi="Times New Roman"/>
        </w:rPr>
        <w:t xml:space="preserve"> If the answer to question (b) is "Father Coffey was an employee of the Diocese for the purpose of the doctrine of vicarious liability" and the answer to question (c) is that "Father Coffey's tortious conduct was within the course of his employment", then the Diocese can be vicariously liable for that tortious conduct. </w:t>
      </w:r>
    </w:p>
    <w:p w14:paraId="121E146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If, however, the answer to question (a) is that "the Diocese did not directly authorise Father Coffey's tortious conduct" and the answer to question (b) is that "Father Coffey was not an employee of the Diocese", (meaning that question (c) does not arise), then it is necessary to ask question (d), did the Diocese </w:t>
      </w:r>
      <w:r w:rsidRPr="00A53CF5" w:rsidDel="000C153F">
        <w:rPr>
          <w:rFonts w:ascii="Times New Roman" w:hAnsi="Times New Roman"/>
        </w:rPr>
        <w:t xml:space="preserve">constitute </w:t>
      </w:r>
      <w:r w:rsidRPr="00A53CF5">
        <w:rPr>
          <w:rFonts w:ascii="Times New Roman" w:hAnsi="Times New Roman"/>
        </w:rPr>
        <w:t>Father Coffey as its agent for the purpose of creating legal relations with others and, if so, did Father Coffey's tortious conduct occur within the scope of his apparent authority from the Diocese.</w:t>
      </w:r>
      <w:r w:rsidRPr="00A53CF5">
        <w:rPr>
          <w:rStyle w:val="FootnoteReference"/>
          <w:rFonts w:ascii="Times New Roman" w:hAnsi="Times New Roman"/>
          <w:sz w:val="24"/>
        </w:rPr>
        <w:footnoteReference w:id="429"/>
      </w:r>
      <w:r w:rsidRPr="00A53CF5">
        <w:rPr>
          <w:rFonts w:ascii="Times New Roman" w:hAnsi="Times New Roman"/>
        </w:rPr>
        <w:t xml:space="preserve"> If the answer to question (d) is "yes", then the Diocese can be vicariously liable for that tortious conduct. If the answer to (d) is "no", then there is no other available pathway at common law for the Diocese to be vicariously liable for Father Coffey's tortious conduct. In particular, it is not permissible to take parts of the principles for determining whether a person is an employee or independent contractor, whether an employee's acts or omissions occurred in the course of their employment, and whether a person is a true and proper agent of another person as principal, and from a combination of those parts, </w:t>
      </w:r>
      <w:r w:rsidRPr="00A53CF5">
        <w:rPr>
          <w:rFonts w:ascii="Times New Roman" w:hAnsi="Times New Roman"/>
        </w:rPr>
        <w:lastRenderedPageBreak/>
        <w:t xml:space="preserve">create a new species of legal actor – such as a representative, emanation or agent (in a loose sense) – giving rise to the vicarious liability of another person. </w:t>
      </w:r>
    </w:p>
    <w:p w14:paraId="2701D05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Against this background it is apparent that the Court of Appeal's analysis involved an extension rather than an application of the common law doctrine of vicarious liability. For example, the Court of Appeal recorded that it was "common ground on this appeal that, at the relevant time, Coffey was neither an employee of the Diocese, nor was he an independent contractor engaged by it".</w:t>
      </w:r>
      <w:r w:rsidRPr="00A53CF5">
        <w:rPr>
          <w:rStyle w:val="FootnoteReference"/>
          <w:rFonts w:ascii="Times New Roman" w:hAnsi="Times New Roman"/>
          <w:sz w:val="24"/>
        </w:rPr>
        <w:footnoteReference w:id="430"/>
      </w:r>
      <w:r w:rsidRPr="00A53CF5">
        <w:rPr>
          <w:rFonts w:ascii="Times New Roman" w:hAnsi="Times New Roman"/>
        </w:rPr>
        <w:t xml:space="preserve"> Rather than asking the necessary questions (as set out above), the Court of Appeal reasoned that the legal relationship between Father Coffey and the Diocese was "</w:t>
      </w:r>
      <w:r w:rsidRPr="00A53CF5">
        <w:rPr>
          <w:rFonts w:ascii="Times New Roman" w:hAnsi="Times New Roman"/>
          <w:i/>
          <w:iCs/>
        </w:rPr>
        <w:t>sui generis</w:t>
      </w:r>
      <w:r w:rsidRPr="00A53CF5">
        <w:rPr>
          <w:rFonts w:ascii="Times New Roman" w:hAnsi="Times New Roman"/>
        </w:rPr>
        <w:t>",</w:t>
      </w:r>
      <w:r w:rsidRPr="00A53CF5">
        <w:rPr>
          <w:rStyle w:val="FootnoteReference"/>
          <w:rFonts w:ascii="Times New Roman" w:hAnsi="Times New Roman"/>
          <w:sz w:val="24"/>
        </w:rPr>
        <w:footnoteReference w:id="431"/>
      </w:r>
      <w:r w:rsidRPr="00A53CF5">
        <w:rPr>
          <w:rFonts w:ascii="Times New Roman" w:hAnsi="Times New Roman"/>
        </w:rPr>
        <w:t xml:space="preserve"> thereby enabling a new species of legal actor to be created as the source of vicarious liability. </w:t>
      </w:r>
    </w:p>
    <w:p w14:paraId="0BA19AE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As noted, there was no suggestion that the Diocese had directly authorised Father Coffey's tortious conduct against the respondent. Although the respondent pleaded that Father Coffey was the Diocese's "agent", it was not pleaded and cannot be said that the Diocese </w:t>
      </w:r>
      <w:r w:rsidRPr="00A53CF5" w:rsidDel="00003E32">
        <w:rPr>
          <w:rFonts w:ascii="Times New Roman" w:hAnsi="Times New Roman"/>
        </w:rPr>
        <w:t xml:space="preserve">constituted </w:t>
      </w:r>
      <w:r w:rsidRPr="00A53CF5">
        <w:rPr>
          <w:rFonts w:ascii="Times New Roman" w:hAnsi="Times New Roman"/>
        </w:rPr>
        <w:t xml:space="preserve">Father Coffey as its "agent" for the purpose of creating legal relations with the respondent (or, more to the point, the respondent's parents as his legal guardians) or that Father Coffey's tortious conduct was within the scope of his apparent authority as such an agent. </w:t>
      </w:r>
    </w:p>
    <w:p w14:paraId="51C063D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Instead of proceeding in accordance with the questions outlined above, the Court of Appeal referred to two decisions of single judges, the first of which rejected a finding of vicarious liability as the tortfeasor was not an employee, and the second of which imposed vicarious liability despite the tortfeasor not being an employee, applying the reasoning of the primary judge in this case.</w:t>
      </w:r>
      <w:r w:rsidRPr="00A53CF5">
        <w:rPr>
          <w:rStyle w:val="FootnoteReference"/>
          <w:rFonts w:ascii="Times New Roman" w:hAnsi="Times New Roman"/>
          <w:sz w:val="24"/>
        </w:rPr>
        <w:footnoteReference w:id="432"/>
      </w:r>
      <w:r w:rsidRPr="00A53CF5">
        <w:rPr>
          <w:rFonts w:ascii="Times New Roman" w:hAnsi="Times New Roman"/>
        </w:rPr>
        <w:t xml:space="preserve"> The Court of Appeal then said it was applying </w:t>
      </w:r>
      <w:r w:rsidRPr="00A53CF5">
        <w:rPr>
          <w:rFonts w:ascii="Times New Roman" w:hAnsi="Times New Roman"/>
          <w:i/>
          <w:iCs/>
        </w:rPr>
        <w:t>Colonial Mutual</w:t>
      </w:r>
      <w:r w:rsidRPr="00A53CF5">
        <w:rPr>
          <w:rFonts w:ascii="Times New Roman" w:hAnsi="Times New Roman"/>
        </w:rPr>
        <w:t>,</w:t>
      </w:r>
      <w:r w:rsidRPr="00A53CF5">
        <w:rPr>
          <w:rStyle w:val="FootnoteReference"/>
          <w:rFonts w:ascii="Times New Roman" w:hAnsi="Times New Roman"/>
          <w:sz w:val="24"/>
        </w:rPr>
        <w:footnoteReference w:id="433"/>
      </w:r>
      <w:r w:rsidRPr="00A53CF5">
        <w:rPr>
          <w:rFonts w:ascii="Times New Roman" w:hAnsi="Times New Roman"/>
        </w:rPr>
        <w:t xml:space="preserve"> but not for the requisite purpose of deciding if Father Coffey was a true and proper agent authorised by the Diocese to create legal relations on behalf of the Diocese and, in committing the torts, was acting within the scope of his apparent authority from the Diocese.</w:t>
      </w:r>
      <w:r w:rsidRPr="00A53CF5">
        <w:rPr>
          <w:rStyle w:val="FootnoteReference"/>
          <w:rFonts w:ascii="Times New Roman" w:hAnsi="Times New Roman"/>
          <w:sz w:val="24"/>
        </w:rPr>
        <w:footnoteReference w:id="434"/>
      </w:r>
      <w:r w:rsidRPr="00A53CF5">
        <w:rPr>
          <w:rFonts w:ascii="Times New Roman" w:hAnsi="Times New Roman"/>
        </w:rPr>
        <w:t xml:space="preserve"> The Court of Appeal referred to, amongst other cases, </w:t>
      </w:r>
      <w:r w:rsidRPr="00A53CF5">
        <w:rPr>
          <w:rFonts w:ascii="Times New Roman" w:hAnsi="Times New Roman"/>
          <w:i/>
          <w:iCs/>
        </w:rPr>
        <w:t>Hollis v Vabu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w:t>
      </w:r>
      <w:r w:rsidRPr="00A53CF5">
        <w:rPr>
          <w:rFonts w:ascii="Times New Roman" w:hAnsi="Times New Roman"/>
          <w:i/>
          <w:iCs/>
        </w:rPr>
        <w:t>Sweeney v Boylan Nominees Pty Ltd</w:t>
      </w:r>
      <w:r w:rsidRPr="00A53CF5">
        <w:rPr>
          <w:rFonts w:ascii="Times New Roman" w:hAnsi="Times New Roman"/>
        </w:rPr>
        <w:t xml:space="preserve"> (as well as </w:t>
      </w:r>
      <w:r w:rsidRPr="00A53CF5">
        <w:rPr>
          <w:rFonts w:ascii="Times New Roman" w:hAnsi="Times New Roman"/>
          <w:i/>
          <w:iCs/>
        </w:rPr>
        <w:t>Stevens v Brodribb Sawmilling Co Pty Ltd</w:t>
      </w:r>
      <w:r w:rsidRPr="00A53CF5">
        <w:rPr>
          <w:rStyle w:val="FootnoteReference"/>
          <w:rFonts w:ascii="Times New Roman" w:hAnsi="Times New Roman"/>
          <w:sz w:val="24"/>
        </w:rPr>
        <w:footnoteReference w:id="435"/>
      </w:r>
      <w:r w:rsidRPr="00A53CF5">
        <w:rPr>
          <w:rFonts w:ascii="Times New Roman" w:hAnsi="Times New Roman"/>
        </w:rPr>
        <w:t xml:space="preserve">), and </w:t>
      </w:r>
      <w:r w:rsidRPr="00A53CF5">
        <w:rPr>
          <w:rFonts w:ascii="Times New Roman" w:hAnsi="Times New Roman"/>
          <w:i/>
          <w:iCs/>
        </w:rPr>
        <w:t xml:space="preserve">Construction, Forestry, Maritime, Mining and </w:t>
      </w:r>
      <w:r w:rsidRPr="00A53CF5">
        <w:rPr>
          <w:rFonts w:ascii="Times New Roman" w:hAnsi="Times New Roman"/>
          <w:i/>
          <w:iCs/>
        </w:rPr>
        <w:lastRenderedPageBreak/>
        <w:t>Energy Union v Personnel Contracting Pty Ltd</w:t>
      </w:r>
      <w:r w:rsidRPr="00A53CF5">
        <w:rPr>
          <w:rFonts w:ascii="Times New Roman" w:hAnsi="Times New Roman"/>
        </w:rPr>
        <w:t>,</w:t>
      </w:r>
      <w:r w:rsidRPr="00A53CF5">
        <w:rPr>
          <w:rStyle w:val="FootnoteReference"/>
          <w:rFonts w:ascii="Times New Roman" w:hAnsi="Times New Roman"/>
          <w:sz w:val="24"/>
        </w:rPr>
        <w:footnoteReference w:id="436"/>
      </w:r>
      <w:r w:rsidRPr="00A53CF5">
        <w:rPr>
          <w:rFonts w:ascii="Times New Roman" w:hAnsi="Times New Roman"/>
        </w:rPr>
        <w:t xml:space="preserve"> but not for the requisite purpose of asking if Father Coffey was an employee of, or independent contractor engaged by, the Diocese to perform a task (it being common ground that he was neither</w:t>
      </w:r>
      <w:r w:rsidRPr="00A53CF5">
        <w:rPr>
          <w:rStyle w:val="FootnoteReference"/>
          <w:rFonts w:ascii="Times New Roman" w:hAnsi="Times New Roman"/>
          <w:sz w:val="24"/>
        </w:rPr>
        <w:footnoteReference w:id="437"/>
      </w:r>
      <w:r w:rsidRPr="00A53CF5">
        <w:rPr>
          <w:rFonts w:ascii="Times New Roman" w:hAnsi="Times New Roman"/>
        </w:rPr>
        <w:t xml:space="preserve">). The Court of Appeal also referred to </w:t>
      </w:r>
      <w:r w:rsidRPr="00A53CF5">
        <w:rPr>
          <w:rFonts w:ascii="Times New Roman" w:hAnsi="Times New Roman"/>
          <w:i/>
          <w:iCs/>
        </w:rPr>
        <w:t>Lloyd v Grace, Smith &amp; Co</w:t>
      </w:r>
      <w:r w:rsidRPr="00A53CF5">
        <w:rPr>
          <w:rFonts w:ascii="Times New Roman" w:hAnsi="Times New Roman"/>
        </w:rPr>
        <w:t>,</w:t>
      </w:r>
      <w:r w:rsidRPr="00A53CF5">
        <w:rPr>
          <w:rStyle w:val="FootnoteReference"/>
          <w:rFonts w:ascii="Times New Roman" w:hAnsi="Times New Roman"/>
          <w:sz w:val="24"/>
        </w:rPr>
        <w:footnoteReference w:id="438"/>
      </w:r>
      <w:r w:rsidRPr="00A53CF5">
        <w:rPr>
          <w:rFonts w:ascii="Times New Roman" w:hAnsi="Times New Roman"/>
        </w:rPr>
        <w:t xml:space="preserve"> </w:t>
      </w:r>
      <w:r w:rsidRPr="00A53CF5">
        <w:rPr>
          <w:rFonts w:ascii="Times New Roman" w:hAnsi="Times New Roman"/>
          <w:i/>
          <w:iCs/>
        </w:rPr>
        <w:t>Deatons Pty Ltd v Flew</w:t>
      </w:r>
      <w:r w:rsidRPr="00A53CF5">
        <w:rPr>
          <w:rFonts w:ascii="Times New Roman" w:hAnsi="Times New Roman"/>
        </w:rPr>
        <w:t>,</w:t>
      </w:r>
      <w:r w:rsidRPr="00A53CF5">
        <w:rPr>
          <w:rStyle w:val="FootnoteReference"/>
          <w:rFonts w:ascii="Times New Roman" w:hAnsi="Times New Roman"/>
          <w:sz w:val="24"/>
        </w:rPr>
        <w:footnoteReference w:id="439"/>
      </w:r>
      <w:r w:rsidRPr="00A53CF5">
        <w:rPr>
          <w:rFonts w:ascii="Times New Roman" w:hAnsi="Times New Roman"/>
        </w:rPr>
        <w:t xml:space="preserve"> </w:t>
      </w:r>
      <w:r w:rsidRPr="00A53CF5">
        <w:rPr>
          <w:rFonts w:ascii="Times New Roman" w:hAnsi="Times New Roman"/>
          <w:i/>
          <w:iCs/>
        </w:rPr>
        <w:t>Lister v Hesley Hall Ltd</w:t>
      </w:r>
      <w:r w:rsidRPr="00A53CF5">
        <w:rPr>
          <w:rFonts w:ascii="Times New Roman" w:hAnsi="Times New Roman"/>
        </w:rPr>
        <w:t>,</w:t>
      </w:r>
      <w:r w:rsidRPr="00A53CF5">
        <w:rPr>
          <w:rStyle w:val="FootnoteReference"/>
          <w:rFonts w:ascii="Times New Roman" w:hAnsi="Times New Roman"/>
          <w:sz w:val="24"/>
        </w:rPr>
        <w:footnoteReference w:id="440"/>
      </w:r>
      <w:r w:rsidRPr="00A53CF5">
        <w:rPr>
          <w:rFonts w:ascii="Times New Roman" w:hAnsi="Times New Roman"/>
        </w:rPr>
        <w:t xml:space="preserve"> </w:t>
      </w:r>
      <w:r w:rsidRPr="00A53CF5">
        <w:rPr>
          <w:rFonts w:ascii="Times New Roman" w:hAnsi="Times New Roman"/>
          <w:i/>
          <w:iCs/>
        </w:rPr>
        <w:t>New South Wales v Lepore</w:t>
      </w:r>
      <w:r w:rsidRPr="00A53CF5">
        <w:rPr>
          <w:rFonts w:ascii="Times New Roman" w:hAnsi="Times New Roman"/>
        </w:rPr>
        <w:t>,</w:t>
      </w:r>
      <w:r w:rsidRPr="00A53CF5">
        <w:rPr>
          <w:rStyle w:val="FootnoteReference"/>
          <w:rFonts w:ascii="Times New Roman" w:hAnsi="Times New Roman"/>
          <w:sz w:val="24"/>
        </w:rPr>
        <w:footnoteReference w:id="441"/>
      </w:r>
      <w:r w:rsidRPr="00A53CF5">
        <w:rPr>
          <w:rFonts w:ascii="Times New Roman" w:hAnsi="Times New Roman"/>
        </w:rPr>
        <w:t xml:space="preserve"> and </w:t>
      </w:r>
      <w:r w:rsidRPr="00A53CF5">
        <w:rPr>
          <w:rFonts w:ascii="Times New Roman" w:hAnsi="Times New Roman"/>
          <w:i/>
          <w:iCs/>
        </w:rPr>
        <w:t>Prince Alfred College Inc v ADC</w:t>
      </w:r>
      <w:r w:rsidRPr="00A53CF5">
        <w:rPr>
          <w:rFonts w:ascii="Times New Roman" w:hAnsi="Times New Roman"/>
        </w:rPr>
        <w:t>,</w:t>
      </w:r>
      <w:r w:rsidRPr="00A53CF5">
        <w:rPr>
          <w:rStyle w:val="FootnoteReference"/>
          <w:rFonts w:ascii="Times New Roman" w:hAnsi="Times New Roman"/>
          <w:sz w:val="24"/>
        </w:rPr>
        <w:footnoteReference w:id="442"/>
      </w:r>
      <w:r w:rsidRPr="00A53CF5">
        <w:rPr>
          <w:rFonts w:ascii="Times New Roman" w:hAnsi="Times New Roman"/>
          <w:i/>
          <w:iCs/>
        </w:rPr>
        <w:t xml:space="preserve"> </w:t>
      </w:r>
      <w:r w:rsidRPr="00A53CF5">
        <w:rPr>
          <w:rFonts w:ascii="Times New Roman" w:hAnsi="Times New Roman"/>
        </w:rPr>
        <w:t xml:space="preserve">but not for the requisite purpose of deciding if the intentional (indeed, criminal) tortious acts of Father Coffey were within the scope of his employment (Father Coffey not being an employee). </w:t>
      </w:r>
    </w:p>
    <w:p w14:paraId="5CC2F35D" w14:textId="2B5744FE"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using the authorities for other than their requisite purposes, the Court of Appeal could and did conclude that Father Coffey was subject to the control and direction of the Bishop of the Diocese</w:t>
      </w:r>
      <w:r w:rsidRPr="00A53CF5">
        <w:rPr>
          <w:rStyle w:val="FootnoteReference"/>
          <w:rFonts w:ascii="Times New Roman" w:hAnsi="Times New Roman"/>
          <w:sz w:val="24"/>
        </w:rPr>
        <w:footnoteReference w:id="443"/>
      </w:r>
      <w:r w:rsidRPr="00A53CF5">
        <w:rPr>
          <w:rFonts w:ascii="Times New Roman" w:hAnsi="Times New Roman"/>
        </w:rPr>
        <w:t xml:space="preserve"> (which is undoubtedly correct insofar as Father Coffey's religious duties were concerned), and was a "representative" and "emanation" of the Diocese,</w:t>
      </w:r>
      <w:r w:rsidRPr="00A53CF5">
        <w:rPr>
          <w:rStyle w:val="FootnoteReference"/>
          <w:rFonts w:ascii="Times New Roman" w:hAnsi="Times New Roman"/>
          <w:sz w:val="24"/>
        </w:rPr>
        <w:footnoteReference w:id="444"/>
      </w:r>
      <w:r w:rsidRPr="00A53CF5">
        <w:rPr>
          <w:rFonts w:ascii="Times New Roman" w:hAnsi="Times New Roman"/>
        </w:rPr>
        <w:t xml:space="preserve"> with the consequence that the Diocese could be vicariously liable for Father Coffey's tortious conduct against the respondent.</w:t>
      </w:r>
      <w:r w:rsidRPr="00A53CF5">
        <w:rPr>
          <w:rStyle w:val="FootnoteReference"/>
          <w:rFonts w:ascii="Times New Roman" w:hAnsi="Times New Roman"/>
          <w:sz w:val="24"/>
        </w:rPr>
        <w:footnoteReference w:id="445"/>
      </w:r>
      <w:r w:rsidRPr="00A53CF5">
        <w:rPr>
          <w:rFonts w:ascii="Times New Roman" w:hAnsi="Times New Roman"/>
        </w:rPr>
        <w:t xml:space="preserve"> However, "control" was relevant only to a question that had been answered in the negative in the case: whether Father Coffey was an employee of the Diocese.</w:t>
      </w:r>
      <w:r w:rsidRPr="00A53CF5">
        <w:rPr>
          <w:rStyle w:val="FootnoteReference"/>
          <w:rFonts w:ascii="Times New Roman" w:hAnsi="Times New Roman"/>
          <w:sz w:val="24"/>
        </w:rPr>
        <w:footnoteReference w:id="446"/>
      </w:r>
      <w:r w:rsidRPr="00A53CF5">
        <w:rPr>
          <w:rFonts w:ascii="Times New Roman" w:hAnsi="Times New Roman"/>
        </w:rPr>
        <w:t xml:space="preserve"> And being a "representative" or "emanation" of the Diocese could be relevant only to the same question: whether Father Coffey was an employee of the Diocese, on the same basis as discussed in </w:t>
      </w:r>
      <w:r w:rsidRPr="00A53CF5">
        <w:rPr>
          <w:rFonts w:ascii="Times New Roman" w:hAnsi="Times New Roman"/>
          <w:i/>
          <w:iCs/>
        </w:rPr>
        <w:t>Hollis v Vabu Pty Ltd</w:t>
      </w:r>
      <w:r w:rsidRPr="00A53CF5">
        <w:rPr>
          <w:rFonts w:ascii="Times New Roman" w:hAnsi="Times New Roman"/>
        </w:rPr>
        <w:t xml:space="preserve"> (ie, the fact that the putative employer required the bicycle couriers to wear a uniform bearing the putative employer's logo was a relevant feature weighing in favour of the conclusion that </w:t>
      </w:r>
      <w:r w:rsidRPr="00A53CF5">
        <w:rPr>
          <w:rFonts w:ascii="Times New Roman" w:hAnsi="Times New Roman"/>
        </w:rPr>
        <w:lastRenderedPageBreak/>
        <w:t>the couriers were employees and not independent contractors).</w:t>
      </w:r>
      <w:r w:rsidRPr="00A53CF5">
        <w:rPr>
          <w:rStyle w:val="FootnoteReference"/>
          <w:rFonts w:ascii="Times New Roman" w:hAnsi="Times New Roman"/>
          <w:sz w:val="24"/>
        </w:rPr>
        <w:footnoteReference w:id="447"/>
      </w:r>
      <w:r w:rsidRPr="00A53CF5">
        <w:rPr>
          <w:rFonts w:ascii="Times New Roman" w:hAnsi="Times New Roman"/>
        </w:rPr>
        <w:t xml:space="preserve"> The fact that Father Coffey was a "representative" or "emanation" of the Diocese in the sense described by the Court of Appeal could not be relevant to the application of the principle in </w:t>
      </w:r>
      <w:r w:rsidRPr="00A53CF5">
        <w:rPr>
          <w:rFonts w:ascii="Times New Roman" w:hAnsi="Times New Roman"/>
          <w:i/>
          <w:iCs/>
        </w:rPr>
        <w:t>Colonial Mutual</w:t>
      </w:r>
      <w:r w:rsidRPr="00A53CF5">
        <w:rPr>
          <w:rFonts w:ascii="Times New Roman" w:hAnsi="Times New Roman"/>
        </w:rPr>
        <w:t xml:space="preserve">, as there was no suggestion that the Diocese </w:t>
      </w:r>
      <w:r w:rsidRPr="00A53CF5" w:rsidDel="004E22F7">
        <w:rPr>
          <w:rFonts w:ascii="Times New Roman" w:hAnsi="Times New Roman"/>
        </w:rPr>
        <w:t xml:space="preserve">constituted </w:t>
      </w:r>
      <w:r w:rsidRPr="00A53CF5">
        <w:rPr>
          <w:rFonts w:ascii="Times New Roman" w:hAnsi="Times New Roman"/>
        </w:rPr>
        <w:t>Father Coffey as its true or proper agent for the purpose of creating legal relations between the Diocese and other persons.</w:t>
      </w:r>
    </w:p>
    <w:p w14:paraId="3DFF22D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thereafter using authorities relevant to the question whether intentional tortious (indeed, criminal) conduct was within the course of employment, the Court of Appeal also could and did conclude that vicarious liability attached to the Diocese because it placed Father Coffey "in a position of authority, power and trust in respect of his parishioners, such that he was able to achieve a substantial degree of intimacy with them and their families".</w:t>
      </w:r>
      <w:r w:rsidRPr="00A53CF5">
        <w:rPr>
          <w:rStyle w:val="FootnoteReference"/>
          <w:rFonts w:ascii="Times New Roman" w:hAnsi="Times New Roman"/>
          <w:sz w:val="24"/>
        </w:rPr>
        <w:footnoteReference w:id="448"/>
      </w:r>
      <w:r w:rsidRPr="00A53CF5">
        <w:rPr>
          <w:rFonts w:ascii="Times New Roman" w:hAnsi="Times New Roman"/>
        </w:rPr>
        <w:t xml:space="preserve"> This position, the Court of Appeal said, provided Father Coffey with "'not just the opportunity but also the occasion' for the wrongful acts which he committed against the respondent".</w:t>
      </w:r>
      <w:r w:rsidRPr="00A53CF5">
        <w:rPr>
          <w:rStyle w:val="FootnoteReference"/>
          <w:rFonts w:ascii="Times New Roman" w:hAnsi="Times New Roman"/>
          <w:sz w:val="24"/>
        </w:rPr>
        <w:footnoteReference w:id="449"/>
      </w:r>
      <w:r w:rsidRPr="00A53CF5">
        <w:rPr>
          <w:rFonts w:ascii="Times New Roman" w:hAnsi="Times New Roman"/>
        </w:rPr>
        <w:t xml:space="preserve"> But the distinction between the "opportunity" for the commission of a tort and the "occasion" for the commission of a tort is relevant only for the purpose of determining if the tortious conduct occurred in the course of an employee's employment or not. The distinction therefore presupposes that the tortfeasor has been found to be an employee of the person said to be vicariously liable for the tortious conduct.</w:t>
      </w:r>
      <w:r w:rsidRPr="00A53CF5">
        <w:rPr>
          <w:rStyle w:val="FootnoteReference"/>
          <w:rFonts w:ascii="Times New Roman" w:hAnsi="Times New Roman"/>
          <w:sz w:val="24"/>
        </w:rPr>
        <w:footnoteReference w:id="450"/>
      </w:r>
      <w:r w:rsidRPr="00A53CF5">
        <w:rPr>
          <w:rFonts w:ascii="Times New Roman" w:hAnsi="Times New Roman"/>
        </w:rPr>
        <w:t xml:space="preserve"> The fact that a person's position provided them with "not just the opportunity but also the occasion" for tortious conduct does not constitute a separate feature enabling vicarious liability to be established in respect of the conduct of a person who is not an employee. </w:t>
      </w:r>
    </w:p>
    <w:p w14:paraId="7FE81C5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For those reasons, the reasoning of the primary judge and the Court of Appeal involve an extension and not an application of the common law. The next question is whether that extension should be endorsed. </w:t>
      </w:r>
    </w:p>
    <w:p w14:paraId="06953DEF"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Should the principles of vicarious liability be extended?</w:t>
      </w:r>
    </w:p>
    <w:p w14:paraId="2675B00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answer to the question whether the principles of vicarious liability should be extended to enable the liability of the Diocese for Father Coffey's </w:t>
      </w:r>
      <w:r w:rsidRPr="00A53CF5">
        <w:rPr>
          <w:rFonts w:ascii="Times New Roman" w:hAnsi="Times New Roman"/>
        </w:rPr>
        <w:lastRenderedPageBreak/>
        <w:t>tortious conduct against the respondent to be sustained is "no". There are two primary reasons why no such extension should be endorsed.</w:t>
      </w:r>
    </w:p>
    <w:p w14:paraId="0BEDAFFE"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First, the proposed extension of the principles of vicarious liability would need to confront the reasoning in </w:t>
      </w:r>
      <w:r w:rsidRPr="00A53CF5">
        <w:rPr>
          <w:rFonts w:ascii="Times New Roman" w:hAnsi="Times New Roman"/>
          <w:i/>
          <w:iCs/>
        </w:rPr>
        <w:t>Hollis v Vabu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 reasoning which stands firmly against any such extension on grounds that may be inferred to include that the degree of uncertainty in the existing common law doctrine (as to the distinction between an employee and an independent contractor, as to the course of employment, and as to personal or non</w:t>
      </w:r>
      <w:r w:rsidRPr="00A53CF5">
        <w:rPr>
          <w:rFonts w:ascii="Times New Roman" w:hAnsi="Times New Roman"/>
        </w:rPr>
        <w:noBreakHyphen/>
        <w:t>delegable duties of care) should not be exacerbated on a vague and unprincipled basis, the consequences of which might be indeterminacy and incoherence in the law.</w:t>
      </w:r>
      <w:r w:rsidRPr="00A53CF5">
        <w:rPr>
          <w:rStyle w:val="FootnoteReference"/>
          <w:rFonts w:ascii="Times New Roman" w:hAnsi="Times New Roman"/>
          <w:sz w:val="24"/>
        </w:rPr>
        <w:footnoteReference w:id="451"/>
      </w:r>
      <w:r w:rsidRPr="00A53CF5">
        <w:rPr>
          <w:rFonts w:ascii="Times New Roman" w:hAnsi="Times New Roman"/>
        </w:rPr>
        <w:t xml:space="preserve"> If, as is the case, the distinction between employees and independent contractors is now "too deeply rooted to be pulled out"</w:t>
      </w:r>
      <w:r w:rsidRPr="00A53CF5">
        <w:rPr>
          <w:rStyle w:val="FootnoteReference"/>
          <w:rFonts w:ascii="Times New Roman" w:hAnsi="Times New Roman"/>
          <w:sz w:val="24"/>
        </w:rPr>
        <w:footnoteReference w:id="452"/>
      </w:r>
      <w:r w:rsidRPr="00A53CF5">
        <w:rPr>
          <w:rFonts w:ascii="Times New Roman" w:hAnsi="Times New Roman"/>
        </w:rPr>
        <w:t xml:space="preserve"> and, as is the case, </w:t>
      </w:r>
      <w:r w:rsidRPr="00A53CF5">
        <w:rPr>
          <w:rFonts w:ascii="Times New Roman" w:hAnsi="Times New Roman"/>
          <w:i/>
          <w:iCs/>
        </w:rPr>
        <w:t>Colonial Mutual</w:t>
      </w:r>
      <w:r w:rsidRPr="00A53CF5">
        <w:rPr>
          <w:rFonts w:ascii="Times New Roman" w:hAnsi="Times New Roman"/>
        </w:rPr>
        <w:t xml:space="preserve"> is to be understood as a case in which an independent contractor was </w:t>
      </w:r>
      <w:r w:rsidRPr="00A53CF5" w:rsidDel="00B7719C">
        <w:rPr>
          <w:rFonts w:ascii="Times New Roman" w:hAnsi="Times New Roman"/>
        </w:rPr>
        <w:t xml:space="preserve">constituted </w:t>
      </w:r>
      <w:r w:rsidRPr="00A53CF5">
        <w:rPr>
          <w:rFonts w:ascii="Times New Roman" w:hAnsi="Times New Roman"/>
        </w:rPr>
        <w:t xml:space="preserve">as the agent of a principal for the purpose of creating legal relations with others so that torts committed by the agent within the scope of the agent's apparent authority could be brought home to the principal, there is no scope for the extension of principle which underlies the conclusion of the primary judge and the Court of Appeal in the present case. </w:t>
      </w:r>
    </w:p>
    <w:p w14:paraId="38855B6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Second, the Victorian Parliament enacted the </w:t>
      </w:r>
      <w:r w:rsidRPr="00A53CF5">
        <w:rPr>
          <w:rFonts w:ascii="Times New Roman" w:hAnsi="Times New Roman"/>
          <w:i/>
          <w:iCs/>
        </w:rPr>
        <w:t>Legal Identity of Defendants (Organisational Child Abuse) Act 2018</w:t>
      </w:r>
      <w:r w:rsidRPr="00A53CF5">
        <w:rPr>
          <w:rFonts w:ascii="Times New Roman" w:hAnsi="Times New Roman"/>
        </w:rPr>
        <w:t xml:space="preserve"> (Vic) and amended the </w:t>
      </w:r>
      <w:r w:rsidRPr="00A53CF5">
        <w:rPr>
          <w:rFonts w:ascii="Times New Roman" w:hAnsi="Times New Roman"/>
          <w:i/>
          <w:iCs/>
        </w:rPr>
        <w:t>Wrongs Act 1958</w:t>
      </w:r>
      <w:r w:rsidRPr="00A53CF5">
        <w:rPr>
          <w:rFonts w:ascii="Times New Roman" w:hAnsi="Times New Roman"/>
        </w:rPr>
        <w:t xml:space="preserve"> (Vic) in response to the </w:t>
      </w:r>
      <w:r w:rsidRPr="00A53CF5">
        <w:rPr>
          <w:rFonts w:ascii="Times New Roman" w:hAnsi="Times New Roman"/>
          <w:i/>
          <w:iCs/>
        </w:rPr>
        <w:t xml:space="preserve">Redress and Civil Litigation Report </w:t>
      </w:r>
      <w:r w:rsidRPr="00A53CF5">
        <w:rPr>
          <w:rFonts w:ascii="Times New Roman" w:hAnsi="Times New Roman"/>
        </w:rPr>
        <w:t>of the Royal Commission into Institutional Responses to Child Sexual Abuse (the "Royal Commission report") and, in so doing, adopted the recommendation in the Royal Commission report of the imposition of a new duty of care to operate prospectively only and not retrospectively.</w:t>
      </w:r>
      <w:r w:rsidRPr="00A53CF5">
        <w:rPr>
          <w:rStyle w:val="FootnoteReference"/>
          <w:rFonts w:ascii="Times New Roman" w:hAnsi="Times New Roman"/>
          <w:sz w:val="24"/>
        </w:rPr>
        <w:footnoteReference w:id="453"/>
      </w:r>
      <w:r w:rsidRPr="00A53CF5">
        <w:rPr>
          <w:rFonts w:ascii="Times New Roman" w:hAnsi="Times New Roman"/>
        </w:rPr>
        <w:t xml:space="preserve"> The new duty of care, in s 91(2) of the </w:t>
      </w:r>
      <w:r w:rsidRPr="00A53CF5">
        <w:rPr>
          <w:rFonts w:ascii="Times New Roman" w:hAnsi="Times New Roman"/>
          <w:i/>
          <w:iCs/>
        </w:rPr>
        <w:t>Wrongs Act</w:t>
      </w:r>
      <w:r w:rsidRPr="00A53CF5">
        <w:rPr>
          <w:rFonts w:ascii="Times New Roman" w:hAnsi="Times New Roman"/>
        </w:rPr>
        <w:t>, is in these terms:</w:t>
      </w:r>
    </w:p>
    <w:p w14:paraId="6F100D67"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"A relevant organisation owes a duty to take the care that in all the circumstances of the case is reasonable to prevent the abuse of a child by an individual associated with the relevant organisation while the child is under the care, supervision or authority of the relevant organisation."</w:t>
      </w:r>
    </w:p>
    <w:p w14:paraId="55DF0ED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 xml:space="preserve">Section 91(3) of the </w:t>
      </w:r>
      <w:r w:rsidRPr="00A53CF5">
        <w:rPr>
          <w:rFonts w:ascii="Times New Roman" w:hAnsi="Times New Roman"/>
          <w:i/>
          <w:iCs/>
        </w:rPr>
        <w:t>Wrongs Act</w:t>
      </w:r>
      <w:r w:rsidRPr="00A53CF5">
        <w:rPr>
          <w:rFonts w:ascii="Times New Roman" w:hAnsi="Times New Roman"/>
        </w:rPr>
        <w:t xml:space="preserve"> provides that:</w:t>
      </w:r>
    </w:p>
    <w:p w14:paraId="694959FF" w14:textId="77777777" w:rsidR="003C3645" w:rsidRDefault="003C3645" w:rsidP="00A53CF5">
      <w:pPr>
        <w:pStyle w:val="leftright"/>
        <w:spacing w:before="0" w:after="260" w:line="280" w:lineRule="exact"/>
        <w:ind w:right="0"/>
        <w:jc w:val="both"/>
        <w:rPr>
          <w:rFonts w:ascii="Times New Roman" w:hAnsi="Times New Roman"/>
        </w:rPr>
      </w:pPr>
      <w:r w:rsidRPr="00A53CF5">
        <w:rPr>
          <w:rFonts w:ascii="Times New Roman" w:hAnsi="Times New Roman"/>
        </w:rPr>
        <w:t>"In a proceeding on a claim against a relevant organisation for damages in respect of the abuse of a child under its care, supervision or authority, on proof that abuse has occurred and that the abuse was committed by an individual associated with the relevant organisation, the relevant organisation is presumed to have breached the duty of care referred to in subsection (2) unless the relevant organisation proves on the balance of probabilities that it took reasonable precautions to prevent the abuse in question."</w:t>
      </w:r>
    </w:p>
    <w:p w14:paraId="3E0E6A3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A "relevant organisation" is relevantly defined in s 88 of the </w:t>
      </w:r>
      <w:r w:rsidRPr="00A53CF5">
        <w:rPr>
          <w:rFonts w:ascii="Times New Roman" w:hAnsi="Times New Roman"/>
          <w:i/>
          <w:iCs/>
        </w:rPr>
        <w:t>Wrongs Act</w:t>
      </w:r>
      <w:r w:rsidRPr="00A53CF5">
        <w:rPr>
          <w:rFonts w:ascii="Times New Roman" w:hAnsi="Times New Roman"/>
        </w:rPr>
        <w:t xml:space="preserve"> to include an NGO within the meaning of the </w:t>
      </w:r>
      <w:r w:rsidRPr="00A53CF5">
        <w:rPr>
          <w:rFonts w:ascii="Times New Roman" w:hAnsi="Times New Roman"/>
          <w:i/>
          <w:iCs/>
        </w:rPr>
        <w:t xml:space="preserve">Legal Identity of Defendants (Organisational Child Abuse) Act </w:t>
      </w:r>
      <w:r w:rsidRPr="00A53CF5">
        <w:rPr>
          <w:rFonts w:ascii="Times New Roman" w:hAnsi="Times New Roman"/>
        </w:rPr>
        <w:t>which is capable of being sued in accordance with that Act. "[A]buse" is defined to mean physical abuse or sexual abuse. Section</w:t>
      </w:r>
      <w:r>
        <w:rPr>
          <w:rFonts w:ascii="Times New Roman" w:hAnsi="Times New Roman"/>
        </w:rPr>
        <w:t> </w:t>
      </w:r>
      <w:r w:rsidRPr="00A53CF5">
        <w:rPr>
          <w:rFonts w:ascii="Times New Roman" w:hAnsi="Times New Roman"/>
        </w:rPr>
        <w:t xml:space="preserve">90(1)(b) of the </w:t>
      </w:r>
      <w:r w:rsidRPr="00A53CF5">
        <w:rPr>
          <w:rFonts w:ascii="Times New Roman" w:hAnsi="Times New Roman"/>
          <w:i/>
          <w:iCs/>
        </w:rPr>
        <w:t>Wrongs Act</w:t>
      </w:r>
      <w:r w:rsidRPr="00A53CF5">
        <w:rPr>
          <w:rFonts w:ascii="Times New Roman" w:hAnsi="Times New Roman"/>
        </w:rPr>
        <w:t xml:space="preserve"> provides, in part, that an individual associated with a relevant organisation, if the relevant organisation is a religious organisation, includes but is not limited to a minister of religion, a religious leader, an officer or a member of the personnel of the religious organisation. Section 93 of the </w:t>
      </w:r>
      <w:r w:rsidRPr="00A53CF5">
        <w:rPr>
          <w:rFonts w:ascii="Times New Roman" w:hAnsi="Times New Roman"/>
          <w:i/>
          <w:iCs/>
        </w:rPr>
        <w:t xml:space="preserve">Wrongs Act </w:t>
      </w:r>
      <w:r w:rsidRPr="00A53CF5">
        <w:rPr>
          <w:rFonts w:ascii="Times New Roman" w:hAnsi="Times New Roman"/>
        </w:rPr>
        <w:t xml:space="preserve">provides that Pt XIII of that Act, in which the foregoing provisions are included, "applies to abuse of a child that occurs on or after the day on which the </w:t>
      </w:r>
      <w:r w:rsidRPr="00A53CF5">
        <w:rPr>
          <w:rFonts w:ascii="Times New Roman" w:hAnsi="Times New Roman"/>
          <w:i/>
          <w:iCs/>
        </w:rPr>
        <w:t>Wrongs Amendment (Organisational Child Abuse) Act 2017</w:t>
      </w:r>
      <w:r w:rsidRPr="00A53CF5">
        <w:rPr>
          <w:rFonts w:ascii="Times New Roman" w:hAnsi="Times New Roman"/>
        </w:rPr>
        <w:t xml:space="preserve"> comes into operation". The day on which the </w:t>
      </w:r>
      <w:r w:rsidRPr="00A53CF5">
        <w:rPr>
          <w:rFonts w:ascii="Times New Roman" w:hAnsi="Times New Roman"/>
          <w:i/>
          <w:iCs/>
        </w:rPr>
        <w:t>Wrongs Amendment (Organisational Child Abuse) Act 2017</w:t>
      </w:r>
      <w:r w:rsidRPr="00A53CF5">
        <w:rPr>
          <w:rFonts w:ascii="Times New Roman" w:hAnsi="Times New Roman"/>
        </w:rPr>
        <w:t xml:space="preserve"> (Vic) came into operation is 1 July 2017. </w:t>
      </w:r>
    </w:p>
    <w:p w14:paraId="4A0CE2D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relevance of this is that the Royal Commission and the Victorian Parliament had a range of options available to determine what should be done to "address, or alleviate the impact of, past and future child sexual abuse and related matters in institutional contexts".</w:t>
      </w:r>
      <w:r w:rsidRPr="00A53CF5">
        <w:rPr>
          <w:rStyle w:val="FootnoteReference"/>
          <w:rFonts w:ascii="Times New Roman" w:hAnsi="Times New Roman"/>
          <w:sz w:val="24"/>
        </w:rPr>
        <w:footnoteReference w:id="454"/>
      </w:r>
      <w:r w:rsidRPr="00A53CF5">
        <w:rPr>
          <w:rFonts w:ascii="Times New Roman" w:hAnsi="Times New Roman"/>
        </w:rPr>
        <w:t xml:space="preserve"> The Royal Commission concluded that "the current civil litigation systems and past and current redress processes have not provided justice for many survivors".</w:t>
      </w:r>
      <w:r w:rsidRPr="00A53CF5">
        <w:rPr>
          <w:rStyle w:val="FootnoteReference"/>
          <w:rFonts w:ascii="Times New Roman" w:hAnsi="Times New Roman"/>
          <w:sz w:val="24"/>
        </w:rPr>
        <w:footnoteReference w:id="455"/>
      </w:r>
      <w:r w:rsidRPr="00A53CF5">
        <w:rPr>
          <w:rFonts w:ascii="Times New Roman" w:hAnsi="Times New Roman"/>
        </w:rPr>
        <w:t xml:space="preserve"> In dealing with the duty of institutions it dealt with both direct and vicarious liability of institutions, and non</w:t>
      </w:r>
      <w:r w:rsidRPr="00A53CF5">
        <w:rPr>
          <w:rFonts w:ascii="Times New Roman" w:hAnsi="Times New Roman"/>
        </w:rPr>
        <w:noBreakHyphen/>
        <w:t>delegable duties of care.</w:t>
      </w:r>
      <w:r w:rsidRPr="00A53CF5">
        <w:rPr>
          <w:rStyle w:val="FootnoteReference"/>
          <w:rFonts w:ascii="Times New Roman" w:hAnsi="Times New Roman"/>
          <w:sz w:val="24"/>
        </w:rPr>
        <w:footnoteReference w:id="456"/>
      </w:r>
      <w:r w:rsidRPr="00A53CF5">
        <w:rPr>
          <w:rFonts w:ascii="Times New Roman" w:hAnsi="Times New Roman"/>
        </w:rPr>
        <w:t xml:space="preserve"> In so doing, it considered approaches overseas, namely in Canada </w:t>
      </w:r>
      <w:r w:rsidRPr="00A53CF5">
        <w:rPr>
          <w:rFonts w:ascii="Times New Roman" w:hAnsi="Times New Roman"/>
        </w:rPr>
        <w:lastRenderedPageBreak/>
        <w:t>and the United Kingdom.</w:t>
      </w:r>
      <w:r w:rsidRPr="00A53CF5">
        <w:rPr>
          <w:rStyle w:val="FootnoteReference"/>
          <w:rFonts w:ascii="Times New Roman" w:hAnsi="Times New Roman"/>
          <w:sz w:val="24"/>
        </w:rPr>
        <w:footnoteReference w:id="457"/>
      </w:r>
      <w:r w:rsidRPr="00A53CF5">
        <w:rPr>
          <w:rFonts w:ascii="Times New Roman" w:hAnsi="Times New Roman"/>
        </w:rPr>
        <w:t xml:space="preserve"> It considered a range of options for legislative reform.</w:t>
      </w:r>
      <w:r w:rsidRPr="00A53CF5">
        <w:rPr>
          <w:rStyle w:val="FootnoteReference"/>
          <w:rFonts w:ascii="Times New Roman" w:hAnsi="Times New Roman"/>
          <w:sz w:val="24"/>
        </w:rPr>
        <w:footnoteReference w:id="458"/>
      </w:r>
      <w:r w:rsidRPr="00A53CF5">
        <w:rPr>
          <w:rFonts w:ascii="Times New Roman" w:hAnsi="Times New Roman"/>
        </w:rPr>
        <w:t xml:space="preserve"> In that process it issued a Consultation Paper and consulted broadly with governments, organisations, and many representative bodies, and held a public hearing.</w:t>
      </w:r>
      <w:r w:rsidRPr="00A53CF5">
        <w:rPr>
          <w:rStyle w:val="FootnoteReference"/>
          <w:rFonts w:ascii="Times New Roman" w:hAnsi="Times New Roman"/>
          <w:sz w:val="24"/>
        </w:rPr>
        <w:footnoteReference w:id="459"/>
      </w:r>
      <w:r w:rsidRPr="00A53CF5">
        <w:rPr>
          <w:rFonts w:ascii="Times New Roman" w:hAnsi="Times New Roman"/>
        </w:rPr>
        <w:t xml:space="preserve"> It ultimately recommended State and Territory legislative reform in which an institution would be subject to a new statutory non</w:t>
      </w:r>
      <w:r w:rsidRPr="00A53CF5">
        <w:rPr>
          <w:rFonts w:ascii="Times New Roman" w:hAnsi="Times New Roman"/>
        </w:rPr>
        <w:noBreakHyphen/>
        <w:t>delegable duty to take reasonable care to prevent the sexual abuse of a child with the onus of proof to be reversed so that, on the plaintiff establishing that the abuse occurred, an institution would be liable for child sexual abuse by its members or employees unless the institution prove</w:t>
      </w:r>
      <w:r>
        <w:rPr>
          <w:rFonts w:ascii="Times New Roman" w:hAnsi="Times New Roman"/>
        </w:rPr>
        <w:t>d</w:t>
      </w:r>
      <w:r w:rsidRPr="00A53CF5">
        <w:rPr>
          <w:rFonts w:ascii="Times New Roman" w:hAnsi="Times New Roman"/>
        </w:rPr>
        <w:t xml:space="preserve"> it took reasonable steps to prevent abuse.</w:t>
      </w:r>
      <w:r w:rsidRPr="00A53CF5">
        <w:rPr>
          <w:rStyle w:val="FootnoteReference"/>
          <w:rFonts w:ascii="Times New Roman" w:hAnsi="Times New Roman"/>
          <w:sz w:val="24"/>
        </w:rPr>
        <w:footnoteReference w:id="460"/>
      </w:r>
      <w:r w:rsidRPr="00A53CF5">
        <w:rPr>
          <w:rFonts w:ascii="Times New Roman" w:hAnsi="Times New Roman"/>
        </w:rPr>
        <w:t xml:space="preserve"> It specifically recommended that the new statutory duty of care apply prospectively and not retrospectively.</w:t>
      </w:r>
      <w:r w:rsidRPr="00A53CF5">
        <w:rPr>
          <w:rStyle w:val="FootnoteReference"/>
          <w:rFonts w:ascii="Times New Roman" w:hAnsi="Times New Roman"/>
          <w:sz w:val="24"/>
        </w:rPr>
        <w:footnoteReference w:id="461"/>
      </w:r>
      <w:r w:rsidRPr="00A53CF5">
        <w:rPr>
          <w:rFonts w:ascii="Times New Roman" w:hAnsi="Times New Roman"/>
        </w:rPr>
        <w:t xml:space="preserve"> It also recommended legislative reform to ensure the existence of a proper defendant for all claims of institutional child sexual abuse.</w:t>
      </w:r>
      <w:r w:rsidRPr="00A53CF5">
        <w:rPr>
          <w:rStyle w:val="FootnoteReference"/>
          <w:rFonts w:ascii="Times New Roman" w:hAnsi="Times New Roman"/>
          <w:sz w:val="24"/>
        </w:rPr>
        <w:footnoteReference w:id="462"/>
      </w:r>
      <w:r w:rsidRPr="00A53CF5">
        <w:rPr>
          <w:rFonts w:ascii="Times New Roman" w:hAnsi="Times New Roman"/>
        </w:rPr>
        <w:t xml:space="preserve"> The Royal Commission did not recommend, for example, that there be national (or any) legislative reform amending or extending the common law doctrine of vicarious liability to relationships other than the employment relationship or that the relationship between a relevant organisation and a member of that organisation be deemed to be either an employment relationship or that of principal and agent in the sense that gives rise to vicarious liability (either prospectively or retrospectively). </w:t>
      </w:r>
    </w:p>
    <w:p w14:paraId="6B675AC6"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 enactment of the </w:t>
      </w:r>
      <w:r w:rsidRPr="00A53CF5">
        <w:rPr>
          <w:rFonts w:ascii="Times New Roman" w:hAnsi="Times New Roman"/>
          <w:i/>
          <w:iCs/>
        </w:rPr>
        <w:t>Legal Identity of Defendants (Organisational Child Abuse) Act</w:t>
      </w:r>
      <w:r w:rsidRPr="00A53CF5">
        <w:rPr>
          <w:rFonts w:ascii="Times New Roman" w:hAnsi="Times New Roman"/>
        </w:rPr>
        <w:t xml:space="preserve"> and the </w:t>
      </w:r>
      <w:r w:rsidRPr="00A53CF5">
        <w:rPr>
          <w:rFonts w:ascii="Times New Roman" w:hAnsi="Times New Roman"/>
          <w:i/>
          <w:iCs/>
        </w:rPr>
        <w:t>Wrongs Amendment (Organisational Child Abuse) Act</w:t>
      </w:r>
      <w:r w:rsidRPr="00A53CF5">
        <w:rPr>
          <w:rFonts w:ascii="Times New Roman" w:hAnsi="Times New Roman"/>
        </w:rPr>
        <w:t xml:space="preserve"> reflect part of the Victorian Parliament's response to the Royal Commission report, as well as the Family and Community Development Committee report, </w:t>
      </w:r>
      <w:r w:rsidRPr="00A53CF5">
        <w:rPr>
          <w:rFonts w:ascii="Times New Roman" w:hAnsi="Times New Roman"/>
          <w:i/>
          <w:iCs/>
        </w:rPr>
        <w:t xml:space="preserve">Betrayal of </w:t>
      </w:r>
      <w:r w:rsidRPr="00A53CF5">
        <w:rPr>
          <w:rFonts w:ascii="Times New Roman" w:hAnsi="Times New Roman"/>
          <w:i/>
          <w:iCs/>
        </w:rPr>
        <w:lastRenderedPageBreak/>
        <w:t>Trust</w:t>
      </w:r>
      <w:r w:rsidRPr="00A53CF5">
        <w:rPr>
          <w:rFonts w:ascii="Times New Roman" w:hAnsi="Times New Roman"/>
        </w:rPr>
        <w:t>.</w:t>
      </w:r>
      <w:r w:rsidRPr="00A53CF5">
        <w:rPr>
          <w:rStyle w:val="FootnoteReference"/>
          <w:rFonts w:ascii="Times New Roman" w:hAnsi="Times New Roman"/>
          <w:sz w:val="24"/>
        </w:rPr>
        <w:footnoteReference w:id="463"/>
      </w:r>
      <w:r w:rsidRPr="00A53CF5">
        <w:rPr>
          <w:rFonts w:ascii="Times New Roman" w:hAnsi="Times New Roman"/>
        </w:rPr>
        <w:t xml:space="preserve"> In the Second Reading Speech relating to the </w:t>
      </w:r>
      <w:r w:rsidRPr="00A53CF5">
        <w:rPr>
          <w:rFonts w:ascii="Times New Roman" w:hAnsi="Times New Roman"/>
          <w:i/>
          <w:iCs/>
        </w:rPr>
        <w:t>Wrongs Amendment (Organisational Child Abuse) Act</w:t>
      </w:r>
      <w:r w:rsidRPr="00A53CF5">
        <w:rPr>
          <w:rFonts w:ascii="Times New Roman" w:hAnsi="Times New Roman"/>
        </w:rPr>
        <w:t>, the Attorney</w:t>
      </w:r>
      <w:r w:rsidRPr="00A53CF5">
        <w:rPr>
          <w:rFonts w:ascii="Times New Roman" w:hAnsi="Times New Roman"/>
        </w:rPr>
        <w:noBreakHyphen/>
        <w:t xml:space="preserve">General said that the Act "implements recommendation 26.4 of </w:t>
      </w:r>
      <w:r w:rsidRPr="00A53CF5">
        <w:rPr>
          <w:rFonts w:ascii="Times New Roman" w:hAnsi="Times New Roman"/>
          <w:i/>
          <w:iCs/>
        </w:rPr>
        <w:t>Betrayal of Trust</w:t>
      </w:r>
      <w:r w:rsidRPr="00A53CF5">
        <w:rPr>
          <w:rFonts w:ascii="Times New Roman" w:hAnsi="Times New Roman"/>
        </w:rPr>
        <w:t>, and addresses recommendation 91 of the Royal Commission (and that recommendation's scoping guidance in recommendations 92 and 93)".</w:t>
      </w:r>
      <w:r w:rsidRPr="00A53CF5">
        <w:rPr>
          <w:rStyle w:val="FootnoteReference"/>
          <w:rFonts w:ascii="Times New Roman" w:hAnsi="Times New Roman"/>
          <w:sz w:val="24"/>
        </w:rPr>
        <w:footnoteReference w:id="464"/>
      </w:r>
      <w:r w:rsidRPr="00A53CF5">
        <w:rPr>
          <w:rFonts w:ascii="Times New Roman" w:hAnsi="Times New Roman"/>
        </w:rPr>
        <w:t xml:space="preserve"> The Attorney</w:t>
      </w:r>
      <w:r w:rsidRPr="00A53CF5">
        <w:rPr>
          <w:rFonts w:ascii="Times New Roman" w:hAnsi="Times New Roman"/>
        </w:rPr>
        <w:noBreakHyphen/>
        <w:t>General added that in "recognition of the uncertainties that exist in the current common law, the bill creates a new duty via statute",</w:t>
      </w:r>
      <w:r w:rsidRPr="00A53CF5">
        <w:rPr>
          <w:rStyle w:val="FootnoteReference"/>
          <w:rFonts w:ascii="Times New Roman" w:hAnsi="Times New Roman"/>
          <w:sz w:val="24"/>
        </w:rPr>
        <w:footnoteReference w:id="465"/>
      </w:r>
      <w:r w:rsidRPr="00A53CF5">
        <w:rPr>
          <w:rFonts w:ascii="Times New Roman" w:hAnsi="Times New Roman"/>
        </w:rPr>
        <w:t xml:space="preserve"> a response which "balances the interests of plaintiffs and defendants".</w:t>
      </w:r>
      <w:r w:rsidRPr="00A53CF5">
        <w:rPr>
          <w:rStyle w:val="FootnoteReference"/>
          <w:rFonts w:ascii="Times New Roman" w:hAnsi="Times New Roman"/>
          <w:sz w:val="24"/>
        </w:rPr>
        <w:footnoteReference w:id="466"/>
      </w:r>
      <w:r w:rsidRPr="00A53CF5">
        <w:rPr>
          <w:rFonts w:ascii="Times New Roman" w:hAnsi="Times New Roman"/>
        </w:rPr>
        <w:t xml:space="preserve"> The Attorney</w:t>
      </w:r>
      <w:r w:rsidRPr="00A53CF5">
        <w:rPr>
          <w:rFonts w:ascii="Times New Roman" w:hAnsi="Times New Roman"/>
        </w:rPr>
        <w:noBreakHyphen/>
        <w:t>General contrasted the new statutory duty resulting from this balancing of considerations with "the law of vicarious liability, where liability can be imposed upon an organisation even if that organisation is free from fault".</w:t>
      </w:r>
      <w:r w:rsidRPr="00A53CF5">
        <w:rPr>
          <w:rStyle w:val="FootnoteReference"/>
          <w:rFonts w:ascii="Times New Roman" w:hAnsi="Times New Roman"/>
          <w:sz w:val="24"/>
        </w:rPr>
        <w:footnoteReference w:id="467"/>
      </w:r>
      <w:r w:rsidRPr="00A53CF5">
        <w:rPr>
          <w:rFonts w:ascii="Times New Roman" w:hAnsi="Times New Roman"/>
        </w:rPr>
        <w:t xml:space="preserve"> The Attorney</w:t>
      </w:r>
      <w:r w:rsidRPr="00A53CF5">
        <w:rPr>
          <w:rFonts w:ascii="Times New Roman" w:hAnsi="Times New Roman"/>
        </w:rPr>
        <w:noBreakHyphen/>
        <w:t xml:space="preserve">General also said that "[f]inally, the bill is prospective in operation. To enable organisations to be educated about the meaning and impact of the bill prior to it coming into effect, the bill will only apply to child abuse that occurs on or after the proposed default commencement date, being 1 July 2017. Prospective application of the reform is in line with the recommendations of both </w:t>
      </w:r>
      <w:r w:rsidRPr="00A53CF5">
        <w:rPr>
          <w:rFonts w:ascii="Times New Roman" w:hAnsi="Times New Roman"/>
          <w:i/>
          <w:iCs/>
        </w:rPr>
        <w:t>Betrayal of Trust</w:t>
      </w:r>
      <w:r w:rsidRPr="00A53CF5">
        <w:rPr>
          <w:rFonts w:ascii="Times New Roman" w:hAnsi="Times New Roman"/>
        </w:rPr>
        <w:t xml:space="preserve"> and the Royal Commission. In saying this, it is important to note that the common law, in particular the law of vicarious liability, will still be available ... as an avenue for organisational child abuse plaintiffs alongside the bill. When the common law changes, it does so with retrospective effect. If the Australian common law develops as it has overseas, survivors of organisational child abuse will be able to utilise that avenue accordingly."</w:t>
      </w:r>
      <w:r w:rsidRPr="00A53CF5">
        <w:rPr>
          <w:rStyle w:val="FootnoteReference"/>
          <w:rFonts w:ascii="Times New Roman" w:hAnsi="Times New Roman"/>
          <w:sz w:val="24"/>
        </w:rPr>
        <w:footnoteReference w:id="468"/>
      </w:r>
    </w:p>
    <w:p w14:paraId="771243C1" w14:textId="3EBE06D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Taken as a whole, the terms of the Victorian Parliament's legislative reforms responsive to the Royal Commission report and to </w:t>
      </w:r>
      <w:r w:rsidRPr="00A53CF5">
        <w:rPr>
          <w:rFonts w:ascii="Times New Roman" w:hAnsi="Times New Roman"/>
          <w:i/>
          <w:iCs/>
        </w:rPr>
        <w:t>Betrayal of Trust</w:t>
      </w:r>
      <w:r w:rsidRPr="00A53CF5">
        <w:rPr>
          <w:rFonts w:ascii="Times New Roman" w:hAnsi="Times New Roman"/>
        </w:rPr>
        <w:t xml:space="preserve"> weigh heavily against any expansion of the common law doctrine of vicarious liability. The </w:t>
      </w:r>
      <w:r w:rsidRPr="00A53CF5">
        <w:rPr>
          <w:rFonts w:ascii="Times New Roman" w:hAnsi="Times New Roman"/>
        </w:rPr>
        <w:lastRenderedPageBreak/>
        <w:t>"genius of the common law" includes that "the first statement of a common law rule or principle is not its final statement",</w:t>
      </w:r>
      <w:r w:rsidRPr="00A53CF5">
        <w:rPr>
          <w:rStyle w:val="FootnoteReference"/>
          <w:rFonts w:ascii="Times New Roman" w:hAnsi="Times New Roman"/>
          <w:sz w:val="24"/>
        </w:rPr>
        <w:footnoteReference w:id="469"/>
      </w:r>
      <w:r w:rsidRPr="00A53CF5">
        <w:rPr>
          <w:rFonts w:ascii="Times New Roman" w:hAnsi="Times New Roman"/>
        </w:rPr>
        <w:t xml:space="preserve"> but its genius also includes many self-imposed checks and balances against "unprincipled, social engineering on the part of the common law judges".</w:t>
      </w:r>
      <w:r w:rsidRPr="00A53CF5">
        <w:rPr>
          <w:rStyle w:val="FootnoteReference"/>
          <w:rFonts w:ascii="Times New Roman" w:hAnsi="Times New Roman"/>
          <w:sz w:val="24"/>
        </w:rPr>
        <w:footnoteReference w:id="470"/>
      </w:r>
      <w:r w:rsidRPr="00A53CF5">
        <w:rPr>
          <w:rFonts w:ascii="Times New Roman" w:hAnsi="Times New Roman"/>
        </w:rPr>
        <w:t xml:space="preserve"> It is one thing to accept that the common law should not stand still merely "because the legislature has not moved" to adapt to changing social conditions,</w:t>
      </w:r>
      <w:r w:rsidRPr="00A53CF5">
        <w:rPr>
          <w:rStyle w:val="FootnoteReference"/>
          <w:rFonts w:ascii="Times New Roman" w:hAnsi="Times New Roman"/>
          <w:sz w:val="24"/>
        </w:rPr>
        <w:footnoteReference w:id="471"/>
      </w:r>
      <w:r w:rsidRPr="00A53CF5">
        <w:rPr>
          <w:rFonts w:ascii="Times New Roman" w:hAnsi="Times New Roman"/>
        </w:rPr>
        <w:t xml:space="preserve"> but another to change a common law principle in circumstances where the legislature has responded to a comprehensive review of the common law's inadequacies by the enactment of statutory provisions which make no change to that common law principle. The contemplation in the Attorney</w:t>
      </w:r>
      <w:r w:rsidRPr="00A53CF5">
        <w:rPr>
          <w:rFonts w:ascii="Times New Roman" w:hAnsi="Times New Roman"/>
        </w:rPr>
        <w:noBreakHyphen/>
        <w:t>General's Second Reading Speech that the common law may develop in Australia as it has overseas</w:t>
      </w:r>
      <w:r w:rsidRPr="00A53CF5">
        <w:rPr>
          <w:rStyle w:val="FootnoteReference"/>
          <w:rFonts w:ascii="Times New Roman" w:hAnsi="Times New Roman"/>
          <w:sz w:val="24"/>
        </w:rPr>
        <w:footnoteReference w:id="472"/>
      </w:r>
      <w:r w:rsidRPr="00A53CF5">
        <w:rPr>
          <w:rFonts w:ascii="Times New Roman" w:hAnsi="Times New Roman"/>
        </w:rPr>
        <w:t xml:space="preserve"> (to expand the doctrine of vicarious liability to apply to relationships akin to employment if it is fair, just, and reasonable as a matter of policy that vicarious liability be imposed</w:t>
      </w:r>
      <w:r w:rsidRPr="00A53CF5">
        <w:rPr>
          <w:rStyle w:val="FootnoteReference"/>
          <w:rFonts w:ascii="Times New Roman" w:hAnsi="Times New Roman"/>
          <w:sz w:val="24"/>
        </w:rPr>
        <w:footnoteReference w:id="473"/>
      </w:r>
      <w:r w:rsidRPr="00A53CF5">
        <w:rPr>
          <w:rFonts w:ascii="Times New Roman" w:hAnsi="Times New Roman"/>
        </w:rPr>
        <w:t xml:space="preserve">) is not to be understood as an invitation to do so. In particular, and as noted, the Royal Commission report considered the development of vicarious liability overseas, including in </w:t>
      </w:r>
      <w:r w:rsidRPr="00A53CF5">
        <w:rPr>
          <w:rFonts w:ascii="Times New Roman" w:hAnsi="Times New Roman"/>
          <w:i/>
          <w:iCs/>
        </w:rPr>
        <w:t>Various Claimants v Catholic Child Welfare Society</w:t>
      </w:r>
      <w:r w:rsidRPr="00A53CF5">
        <w:rPr>
          <w:rFonts w:ascii="Times New Roman" w:hAnsi="Times New Roman"/>
        </w:rPr>
        <w:t>,</w:t>
      </w:r>
      <w:r w:rsidRPr="00A53CF5">
        <w:rPr>
          <w:rStyle w:val="FootnoteReference"/>
          <w:rFonts w:ascii="Times New Roman" w:hAnsi="Times New Roman"/>
          <w:sz w:val="24"/>
        </w:rPr>
        <w:footnoteReference w:id="474"/>
      </w:r>
      <w:r w:rsidRPr="00A53CF5">
        <w:rPr>
          <w:rFonts w:ascii="Times New Roman" w:hAnsi="Times New Roman"/>
        </w:rPr>
        <w:t xml:space="preserve"> and recommended a response that did not expand the doctrine of vicarious liability,</w:t>
      </w:r>
      <w:r w:rsidRPr="00A53CF5">
        <w:rPr>
          <w:rStyle w:val="FootnoteReference"/>
          <w:rFonts w:ascii="Times New Roman" w:hAnsi="Times New Roman"/>
          <w:sz w:val="24"/>
        </w:rPr>
        <w:footnoteReference w:id="475"/>
      </w:r>
      <w:r w:rsidRPr="00A53CF5">
        <w:rPr>
          <w:rFonts w:ascii="Times New Roman" w:hAnsi="Times New Roman"/>
        </w:rPr>
        <w:t xml:space="preserve"> but instead imposed a new statutory personal or non</w:t>
      </w:r>
      <w:r w:rsidRPr="00A53CF5">
        <w:rPr>
          <w:rFonts w:ascii="Times New Roman" w:hAnsi="Times New Roman"/>
        </w:rPr>
        <w:noBreakHyphen/>
        <w:t>delegable duty of care which was to be prospective only, not retrospective.</w:t>
      </w:r>
    </w:p>
    <w:p w14:paraId="12BE3DA0"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Further, the terms of the Victorian Parliament's legislative response are irreconcilable with the notion, put forward by the respondent, that the </w:t>
      </w:r>
      <w:r w:rsidRPr="00A53CF5">
        <w:rPr>
          <w:rFonts w:ascii="Times New Roman" w:hAnsi="Times New Roman"/>
          <w:i/>
          <w:iCs/>
        </w:rPr>
        <w:t>Legal Identity of Defendants (Organisational Child Abuse) Act</w:t>
      </w:r>
      <w:r w:rsidRPr="00A53CF5">
        <w:rPr>
          <w:rFonts w:ascii="Times New Roman" w:hAnsi="Times New Roman"/>
        </w:rPr>
        <w:t xml:space="preserve"> provides a statutory context for facilitating a finding of vicarious liability. According to this argument, because the </w:t>
      </w:r>
      <w:r w:rsidRPr="00A53CF5">
        <w:rPr>
          <w:rFonts w:ascii="Times New Roman" w:hAnsi="Times New Roman"/>
          <w:i/>
          <w:iCs/>
        </w:rPr>
        <w:t xml:space="preserve">Legal Identity of Defendants (Organisational Child Abuse) Act </w:t>
      </w:r>
      <w:r w:rsidRPr="00A53CF5">
        <w:rPr>
          <w:rFonts w:ascii="Times New Roman" w:hAnsi="Times New Roman"/>
        </w:rPr>
        <w:t xml:space="preserve">remedies the circumstance that the Diocese is not a legal entity capable of being </w:t>
      </w:r>
      <w:r w:rsidRPr="00A53CF5">
        <w:rPr>
          <w:rFonts w:ascii="Times New Roman" w:hAnsi="Times New Roman"/>
        </w:rPr>
        <w:lastRenderedPageBreak/>
        <w:t xml:space="preserve">sued, it must be taken that it also remedies the fact that, as an unincorporated association without legal personhood, the Diocese could not and did not employ Father Coffey. On this basis, the respondent submitted that s 7(4) of that Act (which provides that "[a] court may substantively determine a claim in a proceeding founded on or arising from child abuse for which there is a proper defendant under this section as if the NGO itself were incorporated and capable of being sued and found liable for child abuse in respect of the claim"), in effect, bridges the gap between the common law of vicarious liability (dependent on an employment relationship) and the respondent's claim against the Diocese for Father Coffey's tortious conduct against the respondent (the Diocese not being Father Coffey's employer because it has no legal personhood). </w:t>
      </w:r>
    </w:p>
    <w:p w14:paraId="274ED601"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There is no reasonably open reading of the </w:t>
      </w:r>
      <w:r w:rsidRPr="00A53CF5">
        <w:rPr>
          <w:rFonts w:ascii="Times New Roman" w:hAnsi="Times New Roman"/>
          <w:i/>
          <w:iCs/>
        </w:rPr>
        <w:t>Legal Identity of Defendants (Organisational Child Abuse) Act</w:t>
      </w:r>
      <w:r w:rsidRPr="00A53CF5">
        <w:rPr>
          <w:rFonts w:ascii="Times New Roman" w:hAnsi="Times New Roman"/>
        </w:rPr>
        <w:t xml:space="preserve"> which could be taken to have that effect. That Act does not have the effect of deeming an NGO to be incorporated. Still less, does it deem an NGO to be an employer of, relevantly, its members. The Act does no more than, relevantly, enable an NGO to nominate a proper defendant and provide a default provision if an NGO does not do so. In this case, the default provision, s 8, is not engaged because the Diocese has nominated its current Bishop to be the proper defendant on its behalf.</w:t>
      </w:r>
    </w:p>
    <w:p w14:paraId="1674A4A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It is also significant that in the most recent decisions of the Supreme Court of the United Kingdom concerning vicarious liability, the high tide of vicarious liability appears to be in retreat in that country.</w:t>
      </w:r>
      <w:r w:rsidRPr="00A53CF5">
        <w:rPr>
          <w:rStyle w:val="FootnoteReference"/>
          <w:rFonts w:ascii="Times New Roman" w:hAnsi="Times New Roman"/>
          <w:sz w:val="24"/>
        </w:rPr>
        <w:footnoteReference w:id="476"/>
      </w:r>
      <w:r w:rsidRPr="00A53CF5">
        <w:rPr>
          <w:rFonts w:ascii="Times New Roman" w:hAnsi="Times New Roman"/>
        </w:rPr>
        <w:t xml:space="preserve"> While the statement made in </w:t>
      </w:r>
      <w:r w:rsidRPr="00A53CF5">
        <w:rPr>
          <w:rFonts w:ascii="Times New Roman" w:hAnsi="Times New Roman"/>
          <w:i/>
          <w:iCs/>
        </w:rPr>
        <w:t>Various Claimants v Catholic Child Welfare Society</w:t>
      </w:r>
      <w:r w:rsidRPr="00A53CF5">
        <w:rPr>
          <w:rFonts w:ascii="Times New Roman" w:hAnsi="Times New Roman"/>
        </w:rPr>
        <w:t xml:space="preserve"> was that "[t]he law of vicarious liability is on the move",</w:t>
      </w:r>
      <w:r w:rsidRPr="00A53CF5">
        <w:rPr>
          <w:rStyle w:val="FootnoteReference"/>
          <w:rFonts w:ascii="Times New Roman" w:hAnsi="Times New Roman"/>
          <w:sz w:val="24"/>
        </w:rPr>
        <w:footnoteReference w:id="477"/>
      </w:r>
      <w:r w:rsidRPr="00A53CF5">
        <w:rPr>
          <w:rFonts w:ascii="Times New Roman" w:hAnsi="Times New Roman"/>
        </w:rPr>
        <w:t xml:space="preserve"> the issue in </w:t>
      </w:r>
      <w:r w:rsidRPr="00A53CF5">
        <w:rPr>
          <w:rFonts w:ascii="Times New Roman" w:hAnsi="Times New Roman"/>
          <w:i/>
          <w:iCs/>
        </w:rPr>
        <w:t>Various Claimants v Barclays Bank plc</w:t>
      </w:r>
      <w:r w:rsidRPr="00A53CF5">
        <w:rPr>
          <w:rFonts w:ascii="Times New Roman" w:hAnsi="Times New Roman"/>
        </w:rPr>
        <w:t xml:space="preserve"> was "how far that move can take it".</w:t>
      </w:r>
      <w:r w:rsidRPr="00A53CF5">
        <w:rPr>
          <w:rStyle w:val="FootnoteReference"/>
          <w:rFonts w:ascii="Times New Roman" w:hAnsi="Times New Roman"/>
          <w:sz w:val="24"/>
        </w:rPr>
        <w:footnoteReference w:id="478"/>
      </w:r>
      <w:r w:rsidRPr="00A53CF5">
        <w:rPr>
          <w:rFonts w:ascii="Times New Roman" w:hAnsi="Times New Roman"/>
        </w:rPr>
        <w:t xml:space="preserve"> In deciding that issue, Baroness Hale of Richmond referred to </w:t>
      </w:r>
      <w:r w:rsidRPr="00A53CF5">
        <w:rPr>
          <w:rFonts w:ascii="Times New Roman" w:hAnsi="Times New Roman"/>
          <w:i/>
          <w:iCs/>
        </w:rPr>
        <w:t>Armes v Nottinghamshire County Council</w:t>
      </w:r>
      <w:r w:rsidRPr="00A53CF5">
        <w:rPr>
          <w:rFonts w:ascii="Times New Roman" w:hAnsi="Times New Roman"/>
        </w:rPr>
        <w:t xml:space="preserve"> as "[t]he last, and perhaps the most difficult, case".</w:t>
      </w:r>
      <w:r w:rsidRPr="00A53CF5">
        <w:rPr>
          <w:rStyle w:val="FootnoteReference"/>
          <w:rFonts w:ascii="Times New Roman" w:hAnsi="Times New Roman"/>
          <w:sz w:val="24"/>
        </w:rPr>
        <w:footnoteReference w:id="479"/>
      </w:r>
      <w:r w:rsidRPr="00A53CF5">
        <w:rPr>
          <w:rFonts w:ascii="Times New Roman" w:hAnsi="Times New Roman"/>
        </w:rPr>
        <w:t xml:space="preserve"> It may be inferred that it was the most difficult case because the reasoning in it is in tension with the immediately succeeding observation that nothing in the earlier cases, including </w:t>
      </w:r>
      <w:r w:rsidRPr="00A53CF5">
        <w:rPr>
          <w:rFonts w:ascii="Times New Roman" w:hAnsi="Times New Roman"/>
          <w:i/>
          <w:iCs/>
        </w:rPr>
        <w:t>Armes v Nottinghamshire County Council</w:t>
      </w:r>
      <w:r w:rsidRPr="00A53CF5">
        <w:rPr>
          <w:rFonts w:ascii="Times New Roman" w:hAnsi="Times New Roman"/>
        </w:rPr>
        <w:t xml:space="preserve">, suggested that "the classic distinction between employment and relationships akin or analogous to employment, on the one hand, and the relationship with an independent contractor, on the other hand, has been </w:t>
      </w:r>
      <w:r w:rsidRPr="00A53CF5">
        <w:rPr>
          <w:rFonts w:ascii="Times New Roman" w:hAnsi="Times New Roman"/>
        </w:rPr>
        <w:lastRenderedPageBreak/>
        <w:t>eroded".</w:t>
      </w:r>
      <w:r w:rsidRPr="00A53CF5">
        <w:rPr>
          <w:rStyle w:val="FootnoteReference"/>
          <w:rFonts w:ascii="Times New Roman" w:hAnsi="Times New Roman"/>
          <w:sz w:val="24"/>
        </w:rPr>
        <w:footnoteReference w:id="480"/>
      </w:r>
      <w:r w:rsidRPr="00A53CF5">
        <w:rPr>
          <w:rFonts w:ascii="Times New Roman" w:hAnsi="Times New Roman"/>
        </w:rPr>
        <w:t xml:space="preserve"> The tension is apparent in the fact that the "the classic distinction" is between employment relationships and independent contractor relationships – the "analogous to employment" relationship as a source of vicarious liability being novel.</w:t>
      </w:r>
      <w:r w:rsidRPr="00A53CF5">
        <w:rPr>
          <w:rStyle w:val="FootnoteReference"/>
          <w:rFonts w:ascii="Times New Roman" w:hAnsi="Times New Roman"/>
          <w:sz w:val="24"/>
        </w:rPr>
        <w:footnoteReference w:id="481"/>
      </w:r>
      <w:r w:rsidRPr="00A53CF5">
        <w:rPr>
          <w:rFonts w:ascii="Times New Roman" w:hAnsi="Times New Roman"/>
        </w:rPr>
        <w:t xml:space="preserve"> Given that, one way or another, the law of vicarious liability had expanded in scope in the United Kingdom, the control of that expansion arguably reimposed to some extent in </w:t>
      </w:r>
      <w:r w:rsidRPr="00A53CF5">
        <w:rPr>
          <w:rFonts w:ascii="Times New Roman" w:hAnsi="Times New Roman"/>
          <w:i/>
          <w:iCs/>
        </w:rPr>
        <w:t>Various Claimants v Barclays Bank plc</w:t>
      </w:r>
      <w:r w:rsidRPr="00A53CF5">
        <w:rPr>
          <w:rFonts w:ascii="Times New Roman" w:hAnsi="Times New Roman"/>
        </w:rPr>
        <w:t xml:space="preserve"> was to emphasise that, in considering a relationship "analogous to employment", the question remained if "the tortfeasor is carrying on [their] own independent business" in which event there would be no relationship "analogous to employment".</w:t>
      </w:r>
      <w:r w:rsidRPr="00A53CF5">
        <w:rPr>
          <w:rStyle w:val="FootnoteReference"/>
          <w:rFonts w:ascii="Times New Roman" w:hAnsi="Times New Roman"/>
          <w:sz w:val="24"/>
        </w:rPr>
        <w:footnoteReference w:id="482"/>
      </w:r>
      <w:r w:rsidRPr="00A53CF5">
        <w:rPr>
          <w:rFonts w:ascii="Times New Roman" w:hAnsi="Times New Roman"/>
        </w:rPr>
        <w:t xml:space="preserve"> As Lord Burrows JSC observed in </w:t>
      </w:r>
      <w:r w:rsidRPr="00A53CF5">
        <w:rPr>
          <w:rFonts w:ascii="Times New Roman" w:hAnsi="Times New Roman"/>
          <w:i/>
          <w:iCs/>
        </w:rPr>
        <w:t>BXB v Trustees of the Barry Congregation of Jehovah's Witnesses</w:t>
      </w:r>
      <w:r w:rsidRPr="00A53CF5">
        <w:rPr>
          <w:rFonts w:ascii="Times New Roman" w:hAnsi="Times New Roman"/>
        </w:rPr>
        <w:t>,</w:t>
      </w:r>
      <w:r w:rsidRPr="00A53CF5">
        <w:rPr>
          <w:rStyle w:val="FootnoteReference"/>
          <w:rFonts w:ascii="Times New Roman" w:hAnsi="Times New Roman"/>
          <w:sz w:val="24"/>
        </w:rPr>
        <w:footnoteReference w:id="483"/>
      </w:r>
      <w:r w:rsidRPr="00A53CF5">
        <w:rPr>
          <w:rFonts w:ascii="Times New Roman" w:hAnsi="Times New Roman"/>
        </w:rPr>
        <w:t xml:space="preserve"> the case of </w:t>
      </w:r>
      <w:r w:rsidRPr="00A53CF5">
        <w:rPr>
          <w:rFonts w:ascii="Times New Roman" w:hAnsi="Times New Roman"/>
          <w:i/>
          <w:iCs/>
        </w:rPr>
        <w:t xml:space="preserve">Various Claimants v Barclays Bank plc </w:t>
      </w:r>
      <w:r w:rsidRPr="00A53CF5">
        <w:rPr>
          <w:rFonts w:ascii="Times New Roman" w:hAnsi="Times New Roman"/>
        </w:rPr>
        <w:t>revealed "an anxiety that the scope of vicarious liability was being widened too far".</w:t>
      </w:r>
      <w:r w:rsidRPr="00A53CF5">
        <w:rPr>
          <w:rStyle w:val="FootnoteReference"/>
          <w:rFonts w:ascii="Times New Roman" w:hAnsi="Times New Roman"/>
          <w:sz w:val="24"/>
        </w:rPr>
        <w:footnoteReference w:id="484"/>
      </w:r>
    </w:p>
    <w:p w14:paraId="13DD6EAA"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In summary, there is no proper basis to revisit the reasoning in </w:t>
      </w:r>
      <w:r w:rsidRPr="00A53CF5">
        <w:rPr>
          <w:rFonts w:ascii="Times New Roman" w:hAnsi="Times New Roman"/>
          <w:i/>
          <w:iCs/>
        </w:rPr>
        <w:t>Hollis v Vabu Pty Ltd</w:t>
      </w:r>
      <w:r w:rsidRPr="00A53CF5">
        <w:rPr>
          <w:rFonts w:ascii="Times New Roman" w:hAnsi="Times New Roman"/>
        </w:rPr>
        <w:t xml:space="preserve">, </w:t>
      </w:r>
      <w:r w:rsidRPr="00A53CF5">
        <w:rPr>
          <w:rFonts w:ascii="Times New Roman" w:hAnsi="Times New Roman"/>
          <w:i/>
          <w:iCs/>
        </w:rPr>
        <w:t>Scott v Davis</w:t>
      </w:r>
      <w:r w:rsidRPr="00A53CF5">
        <w:rPr>
          <w:rFonts w:ascii="Times New Roman" w:hAnsi="Times New Roman"/>
        </w:rPr>
        <w:t xml:space="preserve">, and </w:t>
      </w:r>
      <w:r w:rsidRPr="00A53CF5">
        <w:rPr>
          <w:rFonts w:ascii="Times New Roman" w:hAnsi="Times New Roman"/>
          <w:i/>
          <w:iCs/>
        </w:rPr>
        <w:t>Sweeney v Boylan Nominees Pty Ltd</w:t>
      </w:r>
      <w:r w:rsidRPr="00A53CF5">
        <w:rPr>
          <w:rFonts w:ascii="Times New Roman" w:hAnsi="Times New Roman"/>
        </w:rPr>
        <w:t xml:space="preserve">. Nor is there a proper basis to endorse the extension of the common law doctrine of vicarious liability that would be required to enable the Diocese to be found vicariously liable for the tortious conduct of Father Coffey against the respondent. The </w:t>
      </w:r>
      <w:r w:rsidRPr="00A53CF5">
        <w:rPr>
          <w:rFonts w:ascii="Times New Roman" w:hAnsi="Times New Roman"/>
          <w:i/>
          <w:iCs/>
        </w:rPr>
        <w:t>Legal Identity of Defendants (Organisational Child Abuse) Act</w:t>
      </w:r>
      <w:r w:rsidRPr="00A53CF5">
        <w:rPr>
          <w:rFonts w:ascii="Times New Roman" w:hAnsi="Times New Roman"/>
        </w:rPr>
        <w:t xml:space="preserve"> does not, for the purpose of the application of the doctrine of vicarious liability, remedy the fact that, as an unincorporated association without legal personhood, the Diocese could not and did not employ Father Coffey.</w:t>
      </w:r>
    </w:p>
    <w:p w14:paraId="30EB3AFD"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The new claim – a non-delegable duty</w:t>
      </w:r>
    </w:p>
    <w:p w14:paraId="4B42BD79"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In a notice of contention, the respondent sought to make a claim not put to the primary judge or the Court of Appeal that the Diocese "is liable to the respondent for breach of a non</w:t>
      </w:r>
      <w:r w:rsidRPr="00A53CF5">
        <w:rPr>
          <w:rFonts w:ascii="Times New Roman" w:hAnsi="Times New Roman"/>
        </w:rPr>
        <w:noBreakHyphen/>
        <w:t xml:space="preserve">delegable duty owed to the respondent to protect him from the risk of sexual abuse by its priests, including Father Bryan Coffey, in the course of Coffey's functions and duties as a priest and as a representative, servant or agent of the Diocese". </w:t>
      </w:r>
    </w:p>
    <w:p w14:paraId="5A6BA252"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lastRenderedPageBreak/>
        <w:tab/>
        <w:t>The Diocese opposed the respondent being granted leave in this appeal to make a new basis for the claim for damages. The basis for the Diocese's opposition was that it would be placed in position of irremediable prejudice in that this personal or non</w:t>
      </w:r>
      <w:r w:rsidRPr="00A53CF5">
        <w:rPr>
          <w:rFonts w:ascii="Times New Roman" w:hAnsi="Times New Roman"/>
        </w:rPr>
        <w:noBreakHyphen/>
        <w:t>delegable duty had never been pleaded or identified below and the Diocese therefore had no opportunity to adduce evidence about matters relevant to such a special duty being imposed. The Diocese also submitted that the imposition of such a personal or non</w:t>
      </w:r>
      <w:r w:rsidRPr="00A53CF5">
        <w:rPr>
          <w:rFonts w:ascii="Times New Roman" w:hAnsi="Times New Roman"/>
        </w:rPr>
        <w:noBreakHyphen/>
        <w:t>delegable duty would require the re</w:t>
      </w:r>
      <w:r w:rsidRPr="00A53CF5">
        <w:rPr>
          <w:rFonts w:ascii="Times New Roman" w:hAnsi="Times New Roman"/>
        </w:rPr>
        <w:noBreakHyphen/>
        <w:t xml:space="preserve">opening and overruling of </w:t>
      </w:r>
      <w:r w:rsidRPr="00A53CF5">
        <w:rPr>
          <w:rFonts w:ascii="Times New Roman" w:hAnsi="Times New Roman"/>
          <w:i/>
          <w:iCs/>
        </w:rPr>
        <w:t>New South Wales v Lepore</w:t>
      </w:r>
      <w:r w:rsidRPr="00A53CF5">
        <w:rPr>
          <w:rFonts w:ascii="Times New Roman" w:hAnsi="Times New Roman"/>
        </w:rPr>
        <w:t>,</w:t>
      </w:r>
      <w:r w:rsidRPr="00A53CF5">
        <w:rPr>
          <w:rStyle w:val="FootnoteReference"/>
          <w:rFonts w:ascii="Times New Roman" w:hAnsi="Times New Roman"/>
          <w:sz w:val="24"/>
        </w:rPr>
        <w:footnoteReference w:id="485"/>
      </w:r>
      <w:r w:rsidRPr="00A53CF5">
        <w:rPr>
          <w:rFonts w:ascii="Times New Roman" w:hAnsi="Times New Roman"/>
        </w:rPr>
        <w:t xml:space="preserve"> which had not been sought in the Courts below (or, for that matter, argued).</w:t>
      </w:r>
    </w:p>
    <w:p w14:paraId="6E3F1C0C"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The respondent's arguments in support of the grant of leave to raise the new claim that the Diocese owed him a personal or non</w:t>
      </w:r>
      <w:r w:rsidRPr="00A53CF5">
        <w:rPr>
          <w:rFonts w:ascii="Times New Roman" w:hAnsi="Times New Roman"/>
        </w:rPr>
        <w:noBreakHyphen/>
        <w:t>delegable duty of care do not confront the insuperable obstacles to the adoption of that course. The respondent argued that the posited personal or non</w:t>
      </w:r>
      <w:r w:rsidRPr="00A53CF5">
        <w:rPr>
          <w:rFonts w:ascii="Times New Roman" w:hAnsi="Times New Roman"/>
        </w:rPr>
        <w:noBreakHyphen/>
        <w:t>delegable duty of care arises from the same facts as found by the Courts below and did not require any further factual findings. That argument is untenable. Precision in identifying the context of any duty of care is necessary, but even more so in respect of an asserted personal or non</w:t>
      </w:r>
      <w:r w:rsidRPr="00A53CF5">
        <w:rPr>
          <w:rFonts w:ascii="Times New Roman" w:hAnsi="Times New Roman"/>
        </w:rPr>
        <w:noBreakHyphen/>
        <w:t>delegable duty of care.</w:t>
      </w:r>
      <w:r w:rsidRPr="00A53CF5">
        <w:rPr>
          <w:rStyle w:val="FootnoteReference"/>
          <w:rFonts w:ascii="Times New Roman" w:hAnsi="Times New Roman"/>
          <w:sz w:val="24"/>
        </w:rPr>
        <w:footnoteReference w:id="486"/>
      </w:r>
      <w:r w:rsidRPr="00A53CF5">
        <w:rPr>
          <w:rFonts w:ascii="Times New Roman" w:hAnsi="Times New Roman"/>
        </w:rPr>
        <w:t xml:space="preserve"> The non</w:t>
      </w:r>
      <w:r w:rsidRPr="00A53CF5">
        <w:rPr>
          <w:rFonts w:ascii="Times New Roman" w:hAnsi="Times New Roman"/>
        </w:rPr>
        <w:noBreakHyphen/>
        <w:t>delegable duty of care asserted in the notice of contention is a duty to "protect" the respondent from the risk of sexual abuse by the priests of the Diocese, including Father Coffey in the course of his functions and duties as a priest and as a representative, servant or agent of the Diocese. Even if a personal or non</w:t>
      </w:r>
      <w:r w:rsidRPr="00A53CF5">
        <w:rPr>
          <w:rFonts w:ascii="Times New Roman" w:hAnsi="Times New Roman"/>
        </w:rPr>
        <w:noBreakHyphen/>
        <w:t>delegable duty of care of that width and indeterminacy could arise, it should be inferred that the Diocese could have adduced evidence relevant to both the imposition and the alleged breach of that duty of care.</w:t>
      </w:r>
    </w:p>
    <w:p w14:paraId="0623E6A8"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 xml:space="preserve">For example, the duty sought to be imposed in the notice of contention was reframed in oral argument as a duty "to ensure that the young boy was not exposed to a risk of harm", with the asserted breach of the duty as "causing, or allowing, [Father Coffey] to have unsupervised access to young children without there being any restrictions on supervision". Whether as proposed initially or as reframed, the asserted duty is incoherent and indeterminate. It raises more questions than it answers. What does "its priests" mean in respect of the Diocese – only priests formally assigned to a parish within the Diocese or any priest who happened to be within the area of the Diocese? What are the criteria which distinguished the respondent from any other child – being a parishioner of the parish to which Father Coffey was assigned as assistant priest or being Catholic and the child of Catholic parents? What is the geographical extent of the asserted duty – is it delimited by the boundaries of the Diocese or does it extend to any location in which a priest of a parish within the Diocese is present? What is the functional extent of the asserted duty – does it apply only to children whom the Diocese has placed under the care, </w:t>
      </w:r>
      <w:r w:rsidRPr="00A53CF5">
        <w:rPr>
          <w:rFonts w:ascii="Times New Roman" w:hAnsi="Times New Roman"/>
        </w:rPr>
        <w:lastRenderedPageBreak/>
        <w:t xml:space="preserve">supervision, or authority of one of its priests or to all children with whom one of its priests might interact? What is the temporal extent of the asserted duty – where is the line to be drawn between a priest acting in an independent capacity and the unavoidably nebulous notion of a priest acting in the course of his functions and duties or as a representative, servant or agent of the Diocese? </w:t>
      </w:r>
    </w:p>
    <w:p w14:paraId="2A547CE5" w14:textId="77777777" w:rsidR="003C3645" w:rsidRPr="00A53CF5" w:rsidRDefault="003C3645" w:rsidP="00A53CF5">
      <w:pPr>
        <w:pStyle w:val="FixListStyle"/>
        <w:spacing w:after="260" w:line="280" w:lineRule="exact"/>
        <w:ind w:right="0"/>
        <w:jc w:val="both"/>
        <w:rPr>
          <w:rFonts w:ascii="Times New Roman" w:hAnsi="Times New Roman"/>
        </w:rPr>
      </w:pPr>
      <w:r w:rsidRPr="00A53CF5">
        <w:rPr>
          <w:rFonts w:ascii="Times New Roman" w:hAnsi="Times New Roman"/>
        </w:rPr>
        <w:tab/>
        <w:t>Given the scope of these unanswered questions, it cannot be inferred that the Diocese would have been unable to adduce evidence potentially relevant to the existence of the asserted personal or non</w:t>
      </w:r>
      <w:r w:rsidRPr="00A53CF5">
        <w:rPr>
          <w:rFonts w:ascii="Times New Roman" w:hAnsi="Times New Roman"/>
        </w:rPr>
        <w:noBreakHyphen/>
        <w:t>delegable duty of care. In these circumstances, the respondent cannot be permitted to raise the asserted personal or non</w:t>
      </w:r>
      <w:r w:rsidRPr="00A53CF5">
        <w:rPr>
          <w:rFonts w:ascii="Times New Roman" w:hAnsi="Times New Roman"/>
        </w:rPr>
        <w:noBreakHyphen/>
        <w:t>delegable duty of care for the first time in this Court.</w:t>
      </w:r>
      <w:r w:rsidRPr="00A53CF5">
        <w:rPr>
          <w:rStyle w:val="FootnoteReference"/>
          <w:rFonts w:ascii="Times New Roman" w:hAnsi="Times New Roman"/>
          <w:sz w:val="24"/>
        </w:rPr>
        <w:footnoteReference w:id="487"/>
      </w:r>
      <w:r w:rsidRPr="00A53CF5">
        <w:rPr>
          <w:rFonts w:ascii="Times New Roman" w:hAnsi="Times New Roman"/>
        </w:rPr>
        <w:t xml:space="preserve"> Further observations about the imposition of a personal or non</w:t>
      </w:r>
      <w:r w:rsidRPr="00A53CF5">
        <w:rPr>
          <w:rFonts w:ascii="Times New Roman" w:hAnsi="Times New Roman"/>
        </w:rPr>
        <w:noBreakHyphen/>
        <w:t>delegable duty of care on a body such as the Diocese should await a case in which the issue is properly raised and the asserted duty is both identified with precision and has an adequate factual foundation. That is not the present case.</w:t>
      </w:r>
    </w:p>
    <w:p w14:paraId="06482A12" w14:textId="77777777" w:rsidR="003C3645" w:rsidRPr="00A53CF5" w:rsidRDefault="003C3645" w:rsidP="00A53CF5">
      <w:pPr>
        <w:pStyle w:val="HeadingL1"/>
        <w:spacing w:after="260" w:line="280" w:lineRule="exact"/>
        <w:ind w:right="0"/>
        <w:jc w:val="both"/>
        <w:rPr>
          <w:rFonts w:ascii="Times New Roman" w:hAnsi="Times New Roman"/>
        </w:rPr>
      </w:pPr>
      <w:r w:rsidRPr="00A53CF5">
        <w:rPr>
          <w:rFonts w:ascii="Times New Roman" w:hAnsi="Times New Roman"/>
        </w:rPr>
        <w:t>Conclusion</w:t>
      </w:r>
    </w:p>
    <w:p w14:paraId="316C0D43" w14:textId="77777777" w:rsidR="003C3645" w:rsidRDefault="003C3645" w:rsidP="00A53CF5">
      <w:pPr>
        <w:pStyle w:val="FixListStyle"/>
        <w:spacing w:after="260" w:line="280" w:lineRule="exact"/>
        <w:ind w:right="0"/>
        <w:jc w:val="both"/>
        <w:rPr>
          <w:rFonts w:ascii="Times New Roman" w:hAnsi="Times New Roman"/>
        </w:rPr>
        <w:sectPr w:rsidR="003C3645" w:rsidSect="003C3645">
          <w:headerReference w:type="even" r:id="rId26"/>
          <w:headerReference w:type="default" r:id="rId27"/>
          <w:headerReference w:type="first" r:id="rId28"/>
          <w:pgSz w:w="11907" w:h="16839" w:code="9"/>
          <w:pgMar w:top="1440" w:right="1701" w:bottom="1984" w:left="1701" w:header="720" w:footer="720" w:gutter="0"/>
          <w:cols w:space="720"/>
          <w:docGrid w:linePitch="354"/>
        </w:sectPr>
      </w:pPr>
      <w:r w:rsidRPr="00A53CF5">
        <w:rPr>
          <w:rFonts w:ascii="Times New Roman" w:hAnsi="Times New Roman"/>
        </w:rPr>
        <w:tab/>
        <w:t>For these reasons, the Diocese's appeal must succeed. The orders proposed by Gageler CJ, Gordon, Edelman, Steward and Beech</w:t>
      </w:r>
      <w:r w:rsidRPr="00A53CF5">
        <w:rPr>
          <w:rFonts w:ascii="Times New Roman" w:hAnsi="Times New Roman"/>
        </w:rPr>
        <w:noBreakHyphen/>
        <w:t xml:space="preserve">Jones JJ should be made. </w:t>
      </w:r>
    </w:p>
    <w:p w14:paraId="279E4360" w14:textId="15493982" w:rsidR="00A66707" w:rsidRPr="006D4E15" w:rsidRDefault="00A66707" w:rsidP="003C3645">
      <w:pPr>
        <w:pStyle w:val="NormalBody"/>
      </w:pPr>
    </w:p>
    <w:sectPr w:rsidR="00A66707" w:rsidRPr="006D4E15" w:rsidSect="003C3645">
      <w:headerReference w:type="default" r:id="rId29"/>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881F" w14:textId="77777777" w:rsidR="0081294C" w:rsidRDefault="0081294C">
      <w:pPr>
        <w:spacing w:line="240" w:lineRule="auto"/>
      </w:pPr>
      <w:r>
        <w:separator/>
      </w:r>
    </w:p>
  </w:endnote>
  <w:endnote w:type="continuationSeparator" w:id="0">
    <w:p w14:paraId="48D7182D" w14:textId="77777777" w:rsidR="0081294C" w:rsidRDefault="0081294C">
      <w:pPr>
        <w:spacing w:line="240" w:lineRule="auto"/>
      </w:pPr>
      <w:r>
        <w:continuationSeparator/>
      </w:r>
    </w:p>
  </w:endnote>
  <w:endnote w:type="continuationNotice" w:id="1">
    <w:p w14:paraId="3EBB1A5A" w14:textId="77777777" w:rsidR="0081294C" w:rsidRDefault="00812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761" w14:textId="77777777" w:rsidR="00805D35" w:rsidRDefault="0080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31A8" w14:textId="77777777" w:rsidR="00805D35" w:rsidRDefault="0080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B5EF" w14:textId="77777777" w:rsidR="00805D35" w:rsidRDefault="00805D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337" w14:textId="77777777" w:rsidR="00805D35" w:rsidRDefault="00805D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D39B" w14:textId="77777777" w:rsidR="00805D35" w:rsidRDefault="00805D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41A7" w14:textId="77777777" w:rsidR="00805D35" w:rsidRDefault="0080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A39D" w14:textId="77777777" w:rsidR="0081294C" w:rsidRPr="006D4E15" w:rsidRDefault="0081294C" w:rsidP="006D4E15">
      <w:pPr>
        <w:pStyle w:val="Footer"/>
        <w:spacing w:before="120" w:after="20"/>
        <w:ind w:right="0"/>
        <w:rPr>
          <w:rFonts w:ascii="Times New Roman" w:hAnsi="Times New Roman"/>
        </w:rPr>
      </w:pPr>
      <w:r>
        <w:continuationSeparator/>
      </w:r>
    </w:p>
  </w:footnote>
  <w:footnote w:type="continuationSeparator" w:id="0">
    <w:p w14:paraId="09DFA591" w14:textId="77777777" w:rsidR="0081294C" w:rsidRPr="006D4E15" w:rsidRDefault="0081294C" w:rsidP="006D4E15">
      <w:pPr>
        <w:pStyle w:val="Footer"/>
        <w:spacing w:before="120" w:after="20"/>
        <w:ind w:right="0"/>
        <w:rPr>
          <w:rFonts w:ascii="Times New Roman" w:hAnsi="Times New Roman"/>
        </w:rPr>
      </w:pPr>
      <w:r w:rsidRPr="006D4E15">
        <w:rPr>
          <w:rFonts w:ascii="Times New Roman" w:hAnsi="Times New Roman"/>
        </w:rPr>
        <w:continuationSeparator/>
      </w:r>
    </w:p>
  </w:footnote>
  <w:footnote w:type="continuationNotice" w:id="1">
    <w:p w14:paraId="0D93F2D9" w14:textId="77777777" w:rsidR="0081294C" w:rsidRPr="003C3645" w:rsidRDefault="0081294C">
      <w:pPr>
        <w:jc w:val="right"/>
        <w:rPr>
          <w:rFonts w:ascii="Times New Roman" w:hAnsi="Times New Roman"/>
          <w:sz w:val="24"/>
        </w:rPr>
      </w:pPr>
    </w:p>
  </w:footnote>
  <w:footnote w:id="2">
    <w:p w14:paraId="1FAC1E5B" w14:textId="5C9A2B04" w:rsidR="00A638FF" w:rsidRPr="006D4E15" w:rsidRDefault="00A638F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BC694E" w:rsidRPr="006D4E15">
        <w:rPr>
          <w:rFonts w:ascii="Times New Roman" w:hAnsi="Times New Roman"/>
          <w:sz w:val="24"/>
        </w:rPr>
        <w:tab/>
      </w:r>
      <w:r w:rsidR="00AF084A" w:rsidRPr="006D4E15">
        <w:rPr>
          <w:rFonts w:ascii="Times New Roman" w:hAnsi="Times New Roman"/>
          <w:sz w:val="24"/>
        </w:rPr>
        <w:t xml:space="preserve">See, eg, </w:t>
      </w:r>
      <w:r w:rsidR="00BC694E" w:rsidRPr="006D4E15">
        <w:rPr>
          <w:rFonts w:ascii="Times New Roman" w:hAnsi="Times New Roman"/>
          <w:i/>
          <w:iCs/>
          <w:sz w:val="24"/>
        </w:rPr>
        <w:t>Various Claimants v Catholic Child Welfare Society</w:t>
      </w:r>
      <w:r w:rsidR="00BC694E" w:rsidRPr="006D4E15">
        <w:rPr>
          <w:rFonts w:ascii="Times New Roman" w:hAnsi="Times New Roman"/>
          <w:sz w:val="24"/>
        </w:rPr>
        <w:t xml:space="preserve"> </w:t>
      </w:r>
      <w:r w:rsidR="00783E16" w:rsidRPr="006D4E15">
        <w:rPr>
          <w:rFonts w:ascii="Times New Roman" w:hAnsi="Times New Roman"/>
          <w:sz w:val="24"/>
        </w:rPr>
        <w:t>("</w:t>
      </w:r>
      <w:r w:rsidR="00783E16" w:rsidRPr="006D4E15">
        <w:rPr>
          <w:rFonts w:ascii="Times New Roman" w:hAnsi="Times New Roman"/>
          <w:i/>
          <w:iCs/>
          <w:sz w:val="24"/>
        </w:rPr>
        <w:t>Christian Brothers</w:t>
      </w:r>
      <w:r w:rsidR="00783E16" w:rsidRPr="006D4E15">
        <w:rPr>
          <w:rFonts w:ascii="Times New Roman" w:hAnsi="Times New Roman"/>
          <w:sz w:val="24"/>
        </w:rPr>
        <w:t xml:space="preserve">") </w:t>
      </w:r>
      <w:r w:rsidR="00BC694E" w:rsidRPr="006D4E15">
        <w:rPr>
          <w:rFonts w:ascii="Times New Roman" w:hAnsi="Times New Roman"/>
          <w:sz w:val="24"/>
        </w:rPr>
        <w:t>[2013] 2 AC 1 at 18 [47], citing</w:t>
      </w:r>
      <w:r w:rsidR="00E36F7B" w:rsidRPr="006D4E15">
        <w:rPr>
          <w:rFonts w:ascii="Times New Roman" w:hAnsi="Times New Roman"/>
          <w:sz w:val="24"/>
        </w:rPr>
        <w:t> </w:t>
      </w:r>
      <w:r w:rsidR="00BC694E" w:rsidRPr="006D4E15">
        <w:rPr>
          <w:rFonts w:ascii="Times New Roman" w:hAnsi="Times New Roman"/>
          <w:i/>
          <w:iCs/>
          <w:sz w:val="24"/>
        </w:rPr>
        <w:t>E</w:t>
      </w:r>
      <w:r w:rsidR="006B040A" w:rsidRPr="006D4E15">
        <w:rPr>
          <w:rFonts w:ascii="Times New Roman" w:hAnsi="Times New Roman"/>
          <w:i/>
          <w:iCs/>
          <w:sz w:val="24"/>
        </w:rPr>
        <w:t> </w:t>
      </w:r>
      <w:r w:rsidR="00BC694E" w:rsidRPr="006D4E15">
        <w:rPr>
          <w:rFonts w:ascii="Times New Roman" w:hAnsi="Times New Roman"/>
          <w:i/>
          <w:iCs/>
          <w:sz w:val="24"/>
        </w:rPr>
        <w:t>v</w:t>
      </w:r>
      <w:r w:rsidR="006B040A" w:rsidRPr="006D4E15">
        <w:rPr>
          <w:rFonts w:ascii="Times New Roman" w:hAnsi="Times New Roman"/>
          <w:i/>
          <w:iCs/>
          <w:sz w:val="24"/>
        </w:rPr>
        <w:t> </w:t>
      </w:r>
      <w:r w:rsidR="00BC694E" w:rsidRPr="006D4E15">
        <w:rPr>
          <w:rFonts w:ascii="Times New Roman" w:hAnsi="Times New Roman"/>
          <w:i/>
          <w:iCs/>
          <w:sz w:val="24"/>
        </w:rPr>
        <w:t>English Province of Our Lady of Charity</w:t>
      </w:r>
      <w:r w:rsidR="00BC694E" w:rsidRPr="006D4E15">
        <w:rPr>
          <w:rFonts w:ascii="Times New Roman" w:hAnsi="Times New Roman"/>
          <w:sz w:val="24"/>
        </w:rPr>
        <w:t xml:space="preserve"> [2013] QB 722.</w:t>
      </w:r>
      <w:r w:rsidR="00A10214" w:rsidRPr="006D4E15">
        <w:rPr>
          <w:rFonts w:ascii="Times New Roman" w:hAnsi="Times New Roman"/>
          <w:sz w:val="24"/>
        </w:rPr>
        <w:t xml:space="preserve"> See</w:t>
      </w:r>
      <w:r w:rsidR="009308F1" w:rsidRPr="006D4E15">
        <w:rPr>
          <w:rFonts w:ascii="Times New Roman" w:hAnsi="Times New Roman"/>
          <w:sz w:val="24"/>
        </w:rPr>
        <w:t> </w:t>
      </w:r>
      <w:r w:rsidR="00A10214" w:rsidRPr="006D4E15">
        <w:rPr>
          <w:rFonts w:ascii="Times New Roman" w:hAnsi="Times New Roman"/>
          <w:sz w:val="24"/>
        </w:rPr>
        <w:t xml:space="preserve">also </w:t>
      </w:r>
      <w:r w:rsidR="00E40168" w:rsidRPr="006D4E15">
        <w:rPr>
          <w:rFonts w:ascii="Times New Roman" w:hAnsi="Times New Roman"/>
          <w:i/>
          <w:iCs/>
          <w:sz w:val="24"/>
        </w:rPr>
        <w:t>Cox v Ministry of Justice</w:t>
      </w:r>
      <w:r w:rsidR="00E40168" w:rsidRPr="006D4E15">
        <w:rPr>
          <w:rFonts w:ascii="Times New Roman" w:hAnsi="Times New Roman"/>
          <w:sz w:val="24"/>
        </w:rPr>
        <w:t xml:space="preserve"> [2016] AC 660 at 673 [32]</w:t>
      </w:r>
      <w:r w:rsidR="0058042F" w:rsidRPr="006D4E15">
        <w:rPr>
          <w:rFonts w:ascii="Times New Roman" w:hAnsi="Times New Roman"/>
          <w:sz w:val="24"/>
        </w:rPr>
        <w:t xml:space="preserve">; </w:t>
      </w:r>
      <w:r w:rsidR="0058042F" w:rsidRPr="006D4E15">
        <w:rPr>
          <w:rFonts w:ascii="Times New Roman" w:hAnsi="Times New Roman"/>
          <w:i/>
          <w:iCs/>
          <w:sz w:val="24"/>
          <w:szCs w:val="18"/>
        </w:rPr>
        <w:t>Armes v Nottinghamshire County Council</w:t>
      </w:r>
      <w:r w:rsidR="0058042F" w:rsidRPr="006D4E15">
        <w:rPr>
          <w:rFonts w:ascii="Times New Roman" w:hAnsi="Times New Roman"/>
          <w:sz w:val="24"/>
          <w:szCs w:val="18"/>
        </w:rPr>
        <w:t xml:space="preserve"> [2018] AC 355 at 378-</w:t>
      </w:r>
      <w:r w:rsidR="003C396A" w:rsidRPr="006D4E15">
        <w:rPr>
          <w:rFonts w:ascii="Times New Roman" w:hAnsi="Times New Roman"/>
          <w:sz w:val="24"/>
          <w:szCs w:val="18"/>
        </w:rPr>
        <w:t>3</w:t>
      </w:r>
      <w:r w:rsidR="0058042F" w:rsidRPr="006D4E15">
        <w:rPr>
          <w:rFonts w:ascii="Times New Roman" w:hAnsi="Times New Roman"/>
          <w:sz w:val="24"/>
          <w:szCs w:val="18"/>
        </w:rPr>
        <w:t>80 [59]-[64</w:t>
      </w:r>
      <w:r w:rsidR="0058042F" w:rsidRPr="006D4E15">
        <w:rPr>
          <w:rFonts w:ascii="Times New Roman" w:hAnsi="Times New Roman"/>
          <w:sz w:val="24"/>
        </w:rPr>
        <w:t>]</w:t>
      </w:r>
      <w:r w:rsidR="008B2C75" w:rsidRPr="006D4E15">
        <w:rPr>
          <w:rFonts w:ascii="Times New Roman" w:hAnsi="Times New Roman"/>
          <w:sz w:val="24"/>
        </w:rPr>
        <w:t xml:space="preserve">; </w:t>
      </w:r>
      <w:r w:rsidR="008B2C75" w:rsidRPr="006D4E15">
        <w:rPr>
          <w:rFonts w:ascii="Times New Roman" w:hAnsi="Times New Roman"/>
          <w:i/>
          <w:iCs/>
          <w:sz w:val="24"/>
        </w:rPr>
        <w:t>BXB v Trustees of the Barry Congregation of Jehovah</w:t>
      </w:r>
      <w:r w:rsidR="00BA73A8" w:rsidRPr="006D4E15">
        <w:rPr>
          <w:rFonts w:ascii="Times New Roman" w:hAnsi="Times New Roman"/>
          <w:i/>
          <w:iCs/>
          <w:sz w:val="24"/>
        </w:rPr>
        <w:t>'</w:t>
      </w:r>
      <w:r w:rsidR="008B2C75" w:rsidRPr="006D4E15">
        <w:rPr>
          <w:rFonts w:ascii="Times New Roman" w:hAnsi="Times New Roman"/>
          <w:i/>
          <w:iCs/>
          <w:sz w:val="24"/>
        </w:rPr>
        <w:t>s Witnesses</w:t>
      </w:r>
      <w:r w:rsidR="00B75992" w:rsidRPr="006D4E15">
        <w:rPr>
          <w:rFonts w:ascii="Times New Roman" w:hAnsi="Times New Roman"/>
          <w:i/>
          <w:iCs/>
          <w:sz w:val="24"/>
        </w:rPr>
        <w:t xml:space="preserve"> </w:t>
      </w:r>
      <w:r w:rsidR="00BA73A8" w:rsidRPr="006D4E15">
        <w:rPr>
          <w:rFonts w:ascii="Times New Roman" w:hAnsi="Times New Roman"/>
          <w:sz w:val="24"/>
        </w:rPr>
        <w:t>[2024] AC 567 at 591-592</w:t>
      </w:r>
      <w:r w:rsidR="00B75992" w:rsidRPr="006D4E15">
        <w:rPr>
          <w:rFonts w:ascii="Times New Roman" w:hAnsi="Times New Roman"/>
          <w:sz w:val="24"/>
          <w:szCs w:val="18"/>
        </w:rPr>
        <w:t xml:space="preserve"> [68]-[69]</w:t>
      </w:r>
      <w:r w:rsidR="0076678E" w:rsidRPr="006D4E15">
        <w:rPr>
          <w:rFonts w:ascii="Times New Roman" w:hAnsi="Times New Roman"/>
          <w:sz w:val="24"/>
          <w:szCs w:val="18"/>
        </w:rPr>
        <w:t>.</w:t>
      </w:r>
    </w:p>
  </w:footnote>
  <w:footnote w:id="3">
    <w:p w14:paraId="61E3D0D1" w14:textId="26E621A8"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74C56" w:rsidRPr="006D4E15">
        <w:rPr>
          <w:rFonts w:ascii="Times New Roman" w:hAnsi="Times New Roman"/>
          <w:sz w:val="24"/>
        </w:rPr>
        <w:t>(2001) 207 CLR 21.</w:t>
      </w:r>
    </w:p>
  </w:footnote>
  <w:footnote w:id="4">
    <w:p w14:paraId="7AB66A7C" w14:textId="79E96283"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9600E" w:rsidRPr="006D4E15">
        <w:rPr>
          <w:rFonts w:ascii="Times New Roman" w:hAnsi="Times New Roman"/>
          <w:sz w:val="24"/>
          <w:szCs w:val="18"/>
        </w:rPr>
        <w:t>(2006) 226 CLR 161.</w:t>
      </w:r>
    </w:p>
  </w:footnote>
  <w:footnote w:id="5">
    <w:p w14:paraId="5F2EE054" w14:textId="7F98225F"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34920" w:rsidRPr="006D4E15">
        <w:rPr>
          <w:rFonts w:ascii="Times New Roman" w:hAnsi="Times New Roman"/>
          <w:sz w:val="24"/>
          <w:szCs w:val="18"/>
        </w:rPr>
        <w:t>(2016) 258 CLR 134.</w:t>
      </w:r>
    </w:p>
  </w:footnote>
  <w:footnote w:id="6">
    <w:p w14:paraId="09D6339A" w14:textId="40946A90"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A0512" w:rsidRPr="006D4E15">
        <w:rPr>
          <w:rFonts w:ascii="Times New Roman" w:hAnsi="Times New Roman"/>
          <w:sz w:val="24"/>
          <w:szCs w:val="18"/>
        </w:rPr>
        <w:t>[1999] 2 SCR 534.</w:t>
      </w:r>
    </w:p>
  </w:footnote>
  <w:footnote w:id="7">
    <w:p w14:paraId="4D62746F" w14:textId="3FCEFA5C" w:rsidR="00A62F73" w:rsidRPr="006D4E15" w:rsidRDefault="00A62F7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A0512" w:rsidRPr="006D4E15">
        <w:rPr>
          <w:rFonts w:ascii="Times New Roman" w:hAnsi="Times New Roman"/>
          <w:sz w:val="24"/>
          <w:szCs w:val="18"/>
        </w:rPr>
        <w:t>[2013] 2 AC 1.</w:t>
      </w:r>
    </w:p>
  </w:footnote>
  <w:footnote w:id="8">
    <w:p w14:paraId="0023DCBB" w14:textId="779059BA" w:rsidR="00BD0900" w:rsidRPr="006D4E15" w:rsidRDefault="00BD090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[34].</w:t>
      </w:r>
    </w:p>
  </w:footnote>
  <w:footnote w:id="9">
    <w:p w14:paraId="7AD79512" w14:textId="21571657" w:rsidR="00BD0900" w:rsidRPr="006D4E15" w:rsidRDefault="00BD090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[35]</w:t>
      </w:r>
      <w:r w:rsidR="00D17C6C" w:rsidRPr="006D4E15">
        <w:rPr>
          <w:rFonts w:ascii="Times New Roman" w:hAnsi="Times New Roman"/>
          <w:sz w:val="24"/>
          <w:szCs w:val="18"/>
        </w:rPr>
        <w:t>. S</w:t>
      </w:r>
      <w:r w:rsidRPr="006D4E15">
        <w:rPr>
          <w:rFonts w:ascii="Times New Roman" w:hAnsi="Times New Roman"/>
          <w:sz w:val="24"/>
          <w:szCs w:val="18"/>
        </w:rPr>
        <w:t xml:space="preserve">ee also </w:t>
      </w:r>
      <w:r w:rsidRPr="006D4E15">
        <w:rPr>
          <w:rFonts w:ascii="Times New Roman" w:hAnsi="Times New Roman"/>
          <w:i/>
          <w:sz w:val="24"/>
          <w:szCs w:val="18"/>
        </w:rPr>
        <w:t>Sweeney</w:t>
      </w:r>
      <w:r w:rsidRPr="006D4E15">
        <w:rPr>
          <w:rFonts w:ascii="Times New Roman" w:hAnsi="Times New Roman"/>
          <w:sz w:val="24"/>
          <w:szCs w:val="18"/>
        </w:rPr>
        <w:t xml:space="preserve"> (2006) 226 CLR 161 at 166 [11].</w:t>
      </w:r>
    </w:p>
  </w:footnote>
  <w:footnote w:id="10">
    <w:p w14:paraId="3A89C93B" w14:textId="402D1324" w:rsidR="00DB56DF" w:rsidRPr="006D4E15" w:rsidRDefault="00DB56D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A6741" w:rsidRPr="006D4E15">
        <w:rPr>
          <w:rFonts w:ascii="Times New Roman" w:hAnsi="Times New Roman"/>
          <w:i/>
          <w:iCs/>
          <w:sz w:val="24"/>
        </w:rPr>
        <w:t xml:space="preserve">Colonial Mutual Life Assurance Society Ltd v Producers and Citizens Co-operative Assurance Co of </w:t>
      </w:r>
      <w:r w:rsidR="00EA6741" w:rsidRPr="006D4E15">
        <w:rPr>
          <w:rFonts w:ascii="Times New Roman" w:hAnsi="Times New Roman"/>
          <w:i/>
          <w:iCs/>
          <w:sz w:val="24"/>
          <w:szCs w:val="18"/>
        </w:rPr>
        <w:t>Australia</w:t>
      </w:r>
      <w:r w:rsidR="00EA6741" w:rsidRPr="006D4E15">
        <w:rPr>
          <w:rFonts w:ascii="Times New Roman" w:hAnsi="Times New Roman"/>
          <w:i/>
          <w:iCs/>
          <w:sz w:val="24"/>
        </w:rPr>
        <w:t xml:space="preserve"> Ltd</w:t>
      </w:r>
      <w:r w:rsidR="005374BB" w:rsidRPr="006D4E15">
        <w:rPr>
          <w:rFonts w:ascii="Times New Roman" w:hAnsi="Times New Roman"/>
          <w:sz w:val="24"/>
          <w:szCs w:val="18"/>
        </w:rPr>
        <w:t xml:space="preserve"> (1931) 46</w:t>
      </w:r>
      <w:r w:rsidR="002A6C77" w:rsidRPr="006D4E15">
        <w:rPr>
          <w:rFonts w:ascii="Times New Roman" w:hAnsi="Times New Roman"/>
          <w:sz w:val="24"/>
          <w:szCs w:val="18"/>
        </w:rPr>
        <w:t> </w:t>
      </w:r>
      <w:r w:rsidR="005374BB" w:rsidRPr="006D4E15">
        <w:rPr>
          <w:rFonts w:ascii="Times New Roman" w:hAnsi="Times New Roman"/>
          <w:sz w:val="24"/>
          <w:szCs w:val="18"/>
        </w:rPr>
        <w:t>CLR 41.</w:t>
      </w:r>
    </w:p>
  </w:footnote>
  <w:footnote w:id="11">
    <w:p w14:paraId="15C0DC43" w14:textId="24C4C0A6" w:rsidR="00E545C9" w:rsidRPr="006D4E15" w:rsidRDefault="00E545C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20BC5" w:rsidRPr="006D4E15">
        <w:rPr>
          <w:rFonts w:ascii="Times New Roman" w:hAnsi="Times New Roman"/>
          <w:i/>
          <w:iCs/>
          <w:sz w:val="24"/>
        </w:rPr>
        <w:t>CCIG Investments Pty Ltd v Schokman</w:t>
      </w:r>
      <w:r w:rsidR="00420BC5" w:rsidRPr="006D4E15">
        <w:rPr>
          <w:rFonts w:ascii="Times New Roman" w:hAnsi="Times New Roman"/>
          <w:sz w:val="24"/>
        </w:rPr>
        <w:t xml:space="preserve"> (2023) 97 ALJR 551 at 561-562 [49]-[53], 565 [65], 567-568</w:t>
      </w:r>
      <w:r w:rsidR="00705D73" w:rsidRPr="006D4E15">
        <w:rPr>
          <w:rFonts w:ascii="Times New Roman" w:hAnsi="Times New Roman"/>
          <w:sz w:val="24"/>
        </w:rPr>
        <w:t xml:space="preserve"> [70]-[75]</w:t>
      </w:r>
      <w:r w:rsidR="008A3E15" w:rsidRPr="006D4E15">
        <w:rPr>
          <w:rFonts w:ascii="Times New Roman" w:hAnsi="Times New Roman"/>
          <w:sz w:val="24"/>
        </w:rPr>
        <w:t xml:space="preserve">; </w:t>
      </w:r>
      <w:r w:rsidR="00181D8E" w:rsidRPr="006D4E15">
        <w:rPr>
          <w:rFonts w:ascii="Times New Roman" w:hAnsi="Times New Roman"/>
          <w:sz w:val="24"/>
        </w:rPr>
        <w:t>410 ALR 479 at 490</w:t>
      </w:r>
      <w:r w:rsidR="00DC666D" w:rsidRPr="006D4E15">
        <w:rPr>
          <w:rFonts w:ascii="Times New Roman" w:hAnsi="Times New Roman"/>
          <w:sz w:val="24"/>
        </w:rPr>
        <w:noBreakHyphen/>
      </w:r>
      <w:r w:rsidR="00181D8E" w:rsidRPr="006D4E15">
        <w:rPr>
          <w:rFonts w:ascii="Times New Roman" w:hAnsi="Times New Roman"/>
          <w:sz w:val="24"/>
        </w:rPr>
        <w:t xml:space="preserve">491, </w:t>
      </w:r>
      <w:r w:rsidR="00595E15" w:rsidRPr="006D4E15">
        <w:rPr>
          <w:rFonts w:ascii="Times New Roman" w:hAnsi="Times New Roman"/>
          <w:sz w:val="24"/>
        </w:rPr>
        <w:t>495-496,</w:t>
      </w:r>
      <w:r w:rsidR="00A35739" w:rsidRPr="006D4E15">
        <w:rPr>
          <w:rFonts w:ascii="Times New Roman" w:hAnsi="Times New Roman"/>
          <w:sz w:val="24"/>
        </w:rPr>
        <w:t xml:space="preserve"> 497-499.</w:t>
      </w:r>
      <w:r w:rsidR="00595E15" w:rsidRPr="006D4E15">
        <w:rPr>
          <w:rFonts w:ascii="Times New Roman" w:hAnsi="Times New Roman"/>
          <w:sz w:val="24"/>
        </w:rPr>
        <w:t xml:space="preserve"> </w:t>
      </w:r>
      <w:r w:rsidR="00BD415B" w:rsidRPr="006D4E15">
        <w:rPr>
          <w:rFonts w:ascii="Times New Roman" w:hAnsi="Times New Roman"/>
          <w:sz w:val="24"/>
        </w:rPr>
        <w:t>See also</w:t>
      </w:r>
      <w:r w:rsidR="0008492C" w:rsidRPr="006D4E15">
        <w:rPr>
          <w:rFonts w:ascii="Times New Roman" w:hAnsi="Times New Roman"/>
          <w:sz w:val="24"/>
        </w:rPr>
        <w:t xml:space="preserve"> </w:t>
      </w:r>
      <w:r w:rsidR="00F2391D" w:rsidRPr="006D4E15">
        <w:rPr>
          <w:rFonts w:ascii="Times New Roman" w:hAnsi="Times New Roman"/>
          <w:i/>
          <w:sz w:val="24"/>
        </w:rPr>
        <w:t xml:space="preserve">Darling Island Stevedoring and Lighterage Co Ltd v Long </w:t>
      </w:r>
      <w:r w:rsidR="00F2391D" w:rsidRPr="006D4E15">
        <w:rPr>
          <w:rFonts w:ascii="Times New Roman" w:hAnsi="Times New Roman"/>
          <w:sz w:val="24"/>
        </w:rPr>
        <w:t xml:space="preserve">(1957) 97 CLR 36 at 57, 60-61; </w:t>
      </w:r>
      <w:r w:rsidR="00F64CF9" w:rsidRPr="006D4E15">
        <w:rPr>
          <w:rFonts w:ascii="Times New Roman" w:hAnsi="Times New Roman"/>
          <w:i/>
          <w:iCs/>
          <w:sz w:val="24"/>
        </w:rPr>
        <w:t xml:space="preserve">The </w:t>
      </w:r>
      <w:r w:rsidR="00F2391D" w:rsidRPr="006D4E15">
        <w:rPr>
          <w:rFonts w:ascii="Times New Roman" w:hAnsi="Times New Roman"/>
          <w:i/>
          <w:sz w:val="24"/>
        </w:rPr>
        <w:t xml:space="preserve">Commonwealth v Introvigne </w:t>
      </w:r>
      <w:r w:rsidR="00F2391D" w:rsidRPr="006D4E15">
        <w:rPr>
          <w:rFonts w:ascii="Times New Roman" w:hAnsi="Times New Roman"/>
          <w:sz w:val="24"/>
        </w:rPr>
        <w:t>(1982) 150 CLR 258</w:t>
      </w:r>
      <w:r w:rsidR="00F2391D" w:rsidRPr="006D4E15">
        <w:rPr>
          <w:rFonts w:ascii="Times New Roman" w:hAnsi="Times New Roman"/>
          <w:i/>
          <w:sz w:val="24"/>
        </w:rPr>
        <w:t xml:space="preserve"> </w:t>
      </w:r>
      <w:r w:rsidR="00F2391D" w:rsidRPr="006D4E15">
        <w:rPr>
          <w:rFonts w:ascii="Times New Roman" w:hAnsi="Times New Roman"/>
          <w:sz w:val="24"/>
        </w:rPr>
        <w:t xml:space="preserve">at 260, 269, 271; </w:t>
      </w:r>
      <w:r w:rsidR="0008492C" w:rsidRPr="006D4E15">
        <w:rPr>
          <w:rFonts w:ascii="Times New Roman" w:hAnsi="Times New Roman"/>
          <w:i/>
          <w:iCs/>
          <w:sz w:val="24"/>
        </w:rPr>
        <w:t>New South Wales v</w:t>
      </w:r>
      <w:r w:rsidR="00BD415B" w:rsidRPr="006D4E15">
        <w:rPr>
          <w:rFonts w:ascii="Times New Roman" w:hAnsi="Times New Roman"/>
          <w:sz w:val="24"/>
        </w:rPr>
        <w:t xml:space="preserve"> </w:t>
      </w:r>
      <w:r w:rsidR="00BD415B" w:rsidRPr="006D4E15">
        <w:rPr>
          <w:rFonts w:ascii="Times New Roman" w:hAnsi="Times New Roman"/>
          <w:i/>
          <w:iCs/>
          <w:sz w:val="24"/>
        </w:rPr>
        <w:t xml:space="preserve">Lepore </w:t>
      </w:r>
      <w:r w:rsidR="00BD415B" w:rsidRPr="006D4E15">
        <w:rPr>
          <w:rFonts w:ascii="Times New Roman" w:hAnsi="Times New Roman"/>
          <w:sz w:val="24"/>
        </w:rPr>
        <w:t xml:space="preserve">(2003) </w:t>
      </w:r>
      <w:r w:rsidR="00555241" w:rsidRPr="006D4E15">
        <w:rPr>
          <w:rFonts w:ascii="Times New Roman" w:hAnsi="Times New Roman"/>
          <w:sz w:val="24"/>
        </w:rPr>
        <w:t xml:space="preserve">212 CLR 511 </w:t>
      </w:r>
      <w:r w:rsidR="002C0191" w:rsidRPr="006D4E15">
        <w:rPr>
          <w:rFonts w:ascii="Times New Roman" w:hAnsi="Times New Roman"/>
          <w:sz w:val="24"/>
        </w:rPr>
        <w:t>at</w:t>
      </w:r>
      <w:r w:rsidR="00BD415B" w:rsidRPr="006D4E15">
        <w:rPr>
          <w:rFonts w:ascii="Times New Roman" w:hAnsi="Times New Roman"/>
          <w:sz w:val="24"/>
        </w:rPr>
        <w:t xml:space="preserve"> 591-592 [231]</w:t>
      </w:r>
      <w:r w:rsidR="002A0C3B" w:rsidRPr="006D4E15">
        <w:rPr>
          <w:rFonts w:ascii="Times New Roman" w:hAnsi="Times New Roman"/>
          <w:sz w:val="24"/>
        </w:rPr>
        <w:t>;</w:t>
      </w:r>
      <w:r w:rsidR="000F077B" w:rsidRPr="006D4E15">
        <w:rPr>
          <w:rFonts w:ascii="Times New Roman" w:hAnsi="Times New Roman"/>
          <w:sz w:val="24"/>
        </w:rPr>
        <w:t xml:space="preserve"> </w:t>
      </w:r>
      <w:r w:rsidR="004D0247" w:rsidRPr="006D4E15">
        <w:rPr>
          <w:rFonts w:ascii="Times New Roman" w:hAnsi="Times New Roman"/>
          <w:i/>
          <w:iCs/>
          <w:sz w:val="24"/>
        </w:rPr>
        <w:t>Construction, Forestry, Maritime, Mining and Energy Union v Personnel Contracting Pty Ltd</w:t>
      </w:r>
      <w:r w:rsidR="004D0247" w:rsidRPr="006D4E15">
        <w:rPr>
          <w:rFonts w:ascii="Times New Roman" w:hAnsi="Times New Roman"/>
          <w:sz w:val="24"/>
        </w:rPr>
        <w:t xml:space="preserve"> (2022) 275</w:t>
      </w:r>
      <w:r w:rsidR="00503367" w:rsidRPr="006D4E15">
        <w:rPr>
          <w:rFonts w:ascii="Times New Roman" w:hAnsi="Times New Roman"/>
          <w:sz w:val="24"/>
        </w:rPr>
        <w:t> </w:t>
      </w:r>
      <w:r w:rsidR="004D0247" w:rsidRPr="006D4E15">
        <w:rPr>
          <w:rFonts w:ascii="Times New Roman" w:hAnsi="Times New Roman"/>
          <w:sz w:val="24"/>
        </w:rPr>
        <w:t>CLR 165</w:t>
      </w:r>
      <w:r w:rsidR="008A1BB8" w:rsidRPr="006D4E15">
        <w:rPr>
          <w:rFonts w:ascii="Times New Roman" w:hAnsi="Times New Roman"/>
          <w:sz w:val="24"/>
        </w:rPr>
        <w:t xml:space="preserve"> ("</w:t>
      </w:r>
      <w:r w:rsidR="008A1BB8" w:rsidRPr="006D4E15">
        <w:rPr>
          <w:rFonts w:ascii="Times New Roman" w:hAnsi="Times New Roman"/>
          <w:i/>
          <w:iCs/>
          <w:sz w:val="24"/>
        </w:rPr>
        <w:t>CFMMEU</w:t>
      </w:r>
      <w:r w:rsidR="008A1BB8" w:rsidRPr="006D4E15">
        <w:rPr>
          <w:rFonts w:ascii="Times New Roman" w:hAnsi="Times New Roman"/>
          <w:sz w:val="24"/>
        </w:rPr>
        <w:t>")</w:t>
      </w:r>
      <w:r w:rsidR="004D0247" w:rsidRPr="006D4E15">
        <w:rPr>
          <w:rFonts w:ascii="Times New Roman" w:hAnsi="Times New Roman"/>
          <w:sz w:val="24"/>
        </w:rPr>
        <w:t xml:space="preserve"> at 199 [82]</w:t>
      </w:r>
      <w:r w:rsidR="000B5FAA" w:rsidRPr="006D4E15">
        <w:rPr>
          <w:rFonts w:ascii="Times New Roman" w:hAnsi="Times New Roman"/>
          <w:sz w:val="24"/>
        </w:rPr>
        <w:t>.</w:t>
      </w:r>
    </w:p>
  </w:footnote>
  <w:footnote w:id="12">
    <w:p w14:paraId="364699A7" w14:textId="591AB1A0" w:rsidR="00290A52" w:rsidRPr="006D4E15" w:rsidRDefault="00290A5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8640C" w:rsidRPr="006D4E15">
        <w:rPr>
          <w:rFonts w:ascii="Times New Roman" w:hAnsi="Times New Roman"/>
          <w:i/>
          <w:iCs/>
          <w:sz w:val="24"/>
        </w:rPr>
        <w:t>Schokman</w:t>
      </w:r>
      <w:r w:rsidR="0088640C" w:rsidRPr="006D4E15">
        <w:rPr>
          <w:rFonts w:ascii="Times New Roman" w:hAnsi="Times New Roman"/>
          <w:sz w:val="24"/>
        </w:rPr>
        <w:t xml:space="preserve"> (2023) 97 ALJR 551 a</w:t>
      </w:r>
      <w:r w:rsidRPr="006D4E15">
        <w:rPr>
          <w:rFonts w:ascii="Times New Roman" w:hAnsi="Times New Roman"/>
          <w:sz w:val="24"/>
        </w:rPr>
        <w:t xml:space="preserve">t </w:t>
      </w:r>
      <w:r w:rsidR="0088640C" w:rsidRPr="006D4E15">
        <w:rPr>
          <w:rFonts w:ascii="Times New Roman" w:hAnsi="Times New Roman"/>
          <w:sz w:val="24"/>
        </w:rPr>
        <w:t xml:space="preserve">561 </w:t>
      </w:r>
      <w:r w:rsidRPr="006D4E15">
        <w:rPr>
          <w:rFonts w:ascii="Times New Roman" w:hAnsi="Times New Roman"/>
          <w:sz w:val="24"/>
        </w:rPr>
        <w:t xml:space="preserve">[50], </w:t>
      </w:r>
      <w:r w:rsidR="00417589" w:rsidRPr="006D4E15">
        <w:rPr>
          <w:rFonts w:ascii="Times New Roman" w:hAnsi="Times New Roman"/>
          <w:sz w:val="24"/>
        </w:rPr>
        <w:t xml:space="preserve">562-563 </w:t>
      </w:r>
      <w:r w:rsidRPr="006D4E15">
        <w:rPr>
          <w:rFonts w:ascii="Times New Roman" w:hAnsi="Times New Roman"/>
          <w:sz w:val="24"/>
        </w:rPr>
        <w:t>[55]-</w:t>
      </w:r>
      <w:r w:rsidR="00284584" w:rsidRPr="006D4E15">
        <w:rPr>
          <w:rFonts w:ascii="Times New Roman" w:hAnsi="Times New Roman"/>
          <w:sz w:val="24"/>
        </w:rPr>
        <w:t>[58]</w:t>
      </w:r>
      <w:r w:rsidR="00F50CC4" w:rsidRPr="006D4E15">
        <w:rPr>
          <w:rFonts w:ascii="Times New Roman" w:hAnsi="Times New Roman"/>
          <w:sz w:val="24"/>
        </w:rPr>
        <w:t xml:space="preserve"> and the authorities and materials cited</w:t>
      </w:r>
      <w:r w:rsidR="00DA38A9" w:rsidRPr="006D4E15">
        <w:rPr>
          <w:rFonts w:ascii="Times New Roman" w:hAnsi="Times New Roman"/>
          <w:sz w:val="24"/>
        </w:rPr>
        <w:t>;</w:t>
      </w:r>
      <w:r w:rsidR="002A59BA" w:rsidRPr="006D4E15">
        <w:rPr>
          <w:rFonts w:ascii="Times New Roman" w:hAnsi="Times New Roman"/>
          <w:sz w:val="24"/>
        </w:rPr>
        <w:t xml:space="preserve"> </w:t>
      </w:r>
      <w:r w:rsidR="00C0623A" w:rsidRPr="006D4E15">
        <w:rPr>
          <w:rFonts w:ascii="Times New Roman" w:hAnsi="Times New Roman"/>
          <w:sz w:val="24"/>
        </w:rPr>
        <w:t xml:space="preserve">410 ALR 479 at </w:t>
      </w:r>
      <w:r w:rsidR="00DA38A9" w:rsidRPr="006D4E15">
        <w:rPr>
          <w:rFonts w:ascii="Times New Roman" w:hAnsi="Times New Roman"/>
          <w:sz w:val="24"/>
        </w:rPr>
        <w:t>490, 492</w:t>
      </w:r>
      <w:r w:rsidR="00A61093" w:rsidRPr="006D4E15">
        <w:rPr>
          <w:rFonts w:ascii="Times New Roman" w:hAnsi="Times New Roman"/>
          <w:sz w:val="24"/>
        </w:rPr>
        <w:noBreakHyphen/>
      </w:r>
      <w:r w:rsidR="00DA38A9" w:rsidRPr="006D4E15">
        <w:rPr>
          <w:rFonts w:ascii="Times New Roman" w:hAnsi="Times New Roman"/>
          <w:sz w:val="24"/>
        </w:rPr>
        <w:t>493.</w:t>
      </w:r>
      <w:r w:rsidR="007B71DF" w:rsidRPr="006D4E15">
        <w:rPr>
          <w:rFonts w:ascii="Times New Roman" w:hAnsi="Times New Roman"/>
          <w:sz w:val="24"/>
        </w:rPr>
        <w:t xml:space="preserve"> See also </w:t>
      </w:r>
      <w:r w:rsidR="007B71DF" w:rsidRPr="006D4E15">
        <w:rPr>
          <w:rFonts w:ascii="Times New Roman" w:hAnsi="Times New Roman"/>
          <w:i/>
          <w:sz w:val="24"/>
        </w:rPr>
        <w:t xml:space="preserve">Deatons Pty Ltd v Flew </w:t>
      </w:r>
      <w:r w:rsidR="00BB05CA" w:rsidRPr="006D4E15">
        <w:rPr>
          <w:rFonts w:ascii="Times New Roman" w:hAnsi="Times New Roman"/>
          <w:sz w:val="24"/>
        </w:rPr>
        <w:t>(1949) 79 CLR 370 at 38</w:t>
      </w:r>
      <w:r w:rsidR="00867C0C" w:rsidRPr="006D4E15">
        <w:rPr>
          <w:rFonts w:ascii="Times New Roman" w:hAnsi="Times New Roman"/>
          <w:sz w:val="24"/>
        </w:rPr>
        <w:t>0</w:t>
      </w:r>
      <w:r w:rsidR="00BB05CA" w:rsidRPr="006D4E15">
        <w:rPr>
          <w:rFonts w:ascii="Times New Roman" w:hAnsi="Times New Roman"/>
          <w:sz w:val="24"/>
        </w:rPr>
        <w:t>.</w:t>
      </w:r>
    </w:p>
  </w:footnote>
  <w:footnote w:id="13">
    <w:p w14:paraId="62FD10CE" w14:textId="0F5B97F7" w:rsidR="00BE1FA6" w:rsidRPr="006D4E15" w:rsidRDefault="00BE1FA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77A73" w:rsidRPr="006D4E15">
        <w:rPr>
          <w:rFonts w:ascii="Times New Roman" w:hAnsi="Times New Roman"/>
          <w:i/>
          <w:iCs/>
          <w:sz w:val="24"/>
        </w:rPr>
        <w:t>Schokman</w:t>
      </w:r>
      <w:r w:rsidR="00277A73" w:rsidRPr="006D4E15">
        <w:rPr>
          <w:rFonts w:ascii="Times New Roman" w:hAnsi="Times New Roman"/>
          <w:sz w:val="24"/>
        </w:rPr>
        <w:t xml:space="preserve"> (2023) 97 ALJR 551 at 562 [55]</w:t>
      </w:r>
      <w:r w:rsidR="00C64BDE" w:rsidRPr="006D4E15">
        <w:rPr>
          <w:rFonts w:ascii="Times New Roman" w:hAnsi="Times New Roman"/>
          <w:sz w:val="24"/>
        </w:rPr>
        <w:t>; 410 ALR 479 at 492</w:t>
      </w:r>
      <w:r w:rsidR="004D6D87" w:rsidRPr="006D4E15">
        <w:rPr>
          <w:rFonts w:ascii="Times New Roman" w:hAnsi="Times New Roman"/>
          <w:sz w:val="24"/>
        </w:rPr>
        <w:t xml:space="preserve">, citing </w:t>
      </w:r>
      <w:r w:rsidR="00485601" w:rsidRPr="006D4E15">
        <w:rPr>
          <w:rFonts w:ascii="Times New Roman" w:hAnsi="Times New Roman"/>
          <w:i/>
          <w:iCs/>
          <w:sz w:val="24"/>
        </w:rPr>
        <w:t xml:space="preserve">Morgans v Launchbury </w:t>
      </w:r>
      <w:r w:rsidR="00EC727E" w:rsidRPr="006D4E15">
        <w:rPr>
          <w:rFonts w:ascii="Times New Roman" w:hAnsi="Times New Roman"/>
          <w:sz w:val="24"/>
        </w:rPr>
        <w:t>[1973] AC 127 at 135, 140, 144</w:t>
      </w:r>
      <w:r w:rsidR="00DF475F" w:rsidRPr="006D4E15">
        <w:rPr>
          <w:rFonts w:ascii="Times New Roman" w:hAnsi="Times New Roman"/>
          <w:sz w:val="24"/>
        </w:rPr>
        <w:t xml:space="preserve">. </w:t>
      </w:r>
      <w:r w:rsidR="000F4A75" w:rsidRPr="006D4E15">
        <w:rPr>
          <w:rFonts w:ascii="Times New Roman" w:hAnsi="Times New Roman"/>
          <w:sz w:val="24"/>
        </w:rPr>
        <w:t xml:space="preserve">See also </w:t>
      </w:r>
      <w:r w:rsidR="00CD4374" w:rsidRPr="006D4E15">
        <w:rPr>
          <w:rFonts w:ascii="Times New Roman" w:hAnsi="Times New Roman"/>
          <w:i/>
          <w:iCs/>
          <w:sz w:val="24"/>
        </w:rPr>
        <w:t xml:space="preserve">Soblusky v Egan </w:t>
      </w:r>
      <w:r w:rsidR="00CD4374" w:rsidRPr="006D4E15">
        <w:rPr>
          <w:rFonts w:ascii="Times New Roman" w:hAnsi="Times New Roman"/>
          <w:sz w:val="24"/>
        </w:rPr>
        <w:t>(1960) 103 CLR 215 at 231;</w:t>
      </w:r>
      <w:r w:rsidR="000F4A75" w:rsidRPr="006D4E15">
        <w:rPr>
          <w:rFonts w:ascii="Times New Roman" w:hAnsi="Times New Roman"/>
          <w:sz w:val="24"/>
        </w:rPr>
        <w:t xml:space="preserve"> </w:t>
      </w:r>
      <w:r w:rsidR="000F4A75" w:rsidRPr="006D4E15">
        <w:rPr>
          <w:rFonts w:ascii="Times New Roman" w:hAnsi="Times New Roman"/>
          <w:i/>
          <w:iCs/>
          <w:sz w:val="24"/>
        </w:rPr>
        <w:t xml:space="preserve">Lepore </w:t>
      </w:r>
      <w:r w:rsidR="000F4A75" w:rsidRPr="006D4E15">
        <w:rPr>
          <w:rFonts w:ascii="Times New Roman" w:hAnsi="Times New Roman"/>
          <w:sz w:val="24"/>
        </w:rPr>
        <w:t>(2003) 212 CLR 511 at 591-592 [231]</w:t>
      </w:r>
      <w:r w:rsidR="003C21DF" w:rsidRPr="006D4E15">
        <w:rPr>
          <w:rFonts w:ascii="Times New Roman" w:hAnsi="Times New Roman"/>
          <w:sz w:val="24"/>
        </w:rPr>
        <w:t xml:space="preserve">; </w:t>
      </w:r>
      <w:r w:rsidR="0082042E" w:rsidRPr="006D4E15">
        <w:rPr>
          <w:rFonts w:ascii="Times New Roman" w:hAnsi="Times New Roman"/>
          <w:i/>
          <w:iCs/>
          <w:sz w:val="24"/>
        </w:rPr>
        <w:t>CFMMEU</w:t>
      </w:r>
      <w:r w:rsidR="006228C5" w:rsidRPr="006D4E15">
        <w:rPr>
          <w:rFonts w:ascii="Times New Roman" w:hAnsi="Times New Roman"/>
          <w:i/>
          <w:iCs/>
          <w:sz w:val="24"/>
        </w:rPr>
        <w:t> </w:t>
      </w:r>
      <w:r w:rsidR="0082042E" w:rsidRPr="006D4E15">
        <w:rPr>
          <w:rFonts w:ascii="Times New Roman" w:hAnsi="Times New Roman"/>
          <w:sz w:val="24"/>
        </w:rPr>
        <w:t>(2022) 275 CLR 165 at 199-200 [82</w:t>
      </w:r>
      <w:r w:rsidR="00D772EB" w:rsidRPr="006D4E15" w:rsidDel="00316A98">
        <w:rPr>
          <w:rFonts w:ascii="Times New Roman" w:hAnsi="Times New Roman"/>
          <w:sz w:val="24"/>
        </w:rPr>
        <w:t>]</w:t>
      </w:r>
      <w:r w:rsidR="007D66A3" w:rsidRPr="006D4E15" w:rsidDel="00316A98">
        <w:rPr>
          <w:rFonts w:ascii="Times New Roman" w:hAnsi="Times New Roman"/>
          <w:sz w:val="24"/>
        </w:rPr>
        <w:t>.</w:t>
      </w:r>
      <w:r w:rsidR="00301C3B" w:rsidRPr="006D4E15" w:rsidDel="00316A98">
        <w:rPr>
          <w:rFonts w:ascii="Times New Roman" w:hAnsi="Times New Roman"/>
          <w:sz w:val="24"/>
        </w:rPr>
        <w:t xml:space="preserve"> </w:t>
      </w:r>
    </w:p>
  </w:footnote>
  <w:footnote w:id="14">
    <w:p w14:paraId="5F6FD09D" w14:textId="2D28C2DA" w:rsidR="00340D38" w:rsidRPr="006D4E15" w:rsidRDefault="00340D38"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rPr>
        <w:t>Schokman</w:t>
      </w:r>
      <w:r w:rsidRPr="006D4E15">
        <w:rPr>
          <w:rFonts w:ascii="Times New Roman" w:hAnsi="Times New Roman"/>
          <w:sz w:val="24"/>
          <w:szCs w:val="18"/>
        </w:rPr>
        <w:t xml:space="preserve"> (2023) 97 ALJR 551 at </w:t>
      </w:r>
      <w:r w:rsidR="00C831E4" w:rsidRPr="006D4E15">
        <w:rPr>
          <w:rFonts w:ascii="Times New Roman" w:hAnsi="Times New Roman"/>
          <w:sz w:val="24"/>
          <w:szCs w:val="18"/>
        </w:rPr>
        <w:t xml:space="preserve">561 </w:t>
      </w:r>
      <w:r w:rsidRPr="006D4E15">
        <w:rPr>
          <w:rFonts w:ascii="Times New Roman" w:hAnsi="Times New Roman"/>
          <w:sz w:val="24"/>
          <w:szCs w:val="18"/>
        </w:rPr>
        <w:t>[50]</w:t>
      </w:r>
      <w:r w:rsidR="00C3106A" w:rsidRPr="006D4E15">
        <w:rPr>
          <w:rFonts w:ascii="Times New Roman" w:hAnsi="Times New Roman"/>
          <w:sz w:val="24"/>
          <w:szCs w:val="18"/>
        </w:rPr>
        <w:t xml:space="preserve">; 410 ALR </w:t>
      </w:r>
      <w:r w:rsidR="00E763D7" w:rsidRPr="006D4E15">
        <w:rPr>
          <w:rFonts w:ascii="Times New Roman" w:hAnsi="Times New Roman"/>
          <w:sz w:val="24"/>
          <w:szCs w:val="18"/>
        </w:rPr>
        <w:t>4</w:t>
      </w:r>
      <w:r w:rsidR="00C3106A" w:rsidRPr="006D4E15">
        <w:rPr>
          <w:rFonts w:ascii="Times New Roman" w:hAnsi="Times New Roman"/>
          <w:sz w:val="24"/>
          <w:szCs w:val="18"/>
        </w:rPr>
        <w:t>79 at 490</w:t>
      </w:r>
      <w:r w:rsidR="00FC70A8" w:rsidRPr="006D4E15">
        <w:rPr>
          <w:rFonts w:ascii="Times New Roman" w:hAnsi="Times New Roman"/>
          <w:sz w:val="24"/>
          <w:szCs w:val="18"/>
        </w:rPr>
        <w:t>,</w:t>
      </w:r>
      <w:r w:rsidR="004C6547" w:rsidRPr="006D4E15">
        <w:rPr>
          <w:rFonts w:ascii="Times New Roman" w:hAnsi="Times New Roman"/>
          <w:sz w:val="24"/>
          <w:szCs w:val="18"/>
        </w:rPr>
        <w:t xml:space="preserve"> citing </w:t>
      </w:r>
      <w:bookmarkStart w:id="1" w:name="_Hlk163134482"/>
      <w:r w:rsidR="004C6547" w:rsidRPr="006D4E15">
        <w:rPr>
          <w:rFonts w:ascii="Times New Roman" w:hAnsi="Times New Roman"/>
          <w:sz w:val="24"/>
          <w:szCs w:val="18"/>
        </w:rPr>
        <w:t xml:space="preserve">Laski, </w:t>
      </w:r>
      <w:r w:rsidR="0060003F" w:rsidRPr="006D4E15">
        <w:rPr>
          <w:rFonts w:ascii="Times New Roman" w:hAnsi="Times New Roman"/>
          <w:sz w:val="24"/>
          <w:szCs w:val="18"/>
        </w:rPr>
        <w:t>"</w:t>
      </w:r>
      <w:r w:rsidR="004C6547" w:rsidRPr="006D4E15">
        <w:rPr>
          <w:rFonts w:ascii="Times New Roman" w:hAnsi="Times New Roman"/>
          <w:sz w:val="24"/>
          <w:szCs w:val="18"/>
        </w:rPr>
        <w:t>The</w:t>
      </w:r>
      <w:r w:rsidR="00624967" w:rsidRPr="006D4E15">
        <w:rPr>
          <w:rFonts w:ascii="Times New Roman" w:hAnsi="Times New Roman"/>
          <w:sz w:val="24"/>
          <w:szCs w:val="18"/>
        </w:rPr>
        <w:t> </w:t>
      </w:r>
      <w:r w:rsidR="004C6547" w:rsidRPr="006D4E15">
        <w:rPr>
          <w:rFonts w:ascii="Times New Roman" w:hAnsi="Times New Roman"/>
          <w:sz w:val="24"/>
          <w:szCs w:val="18"/>
        </w:rPr>
        <w:t>Basis of Vicarious Liability</w:t>
      </w:r>
      <w:r w:rsidR="0060003F" w:rsidRPr="006D4E15">
        <w:rPr>
          <w:rFonts w:ascii="Times New Roman" w:hAnsi="Times New Roman"/>
          <w:sz w:val="24"/>
          <w:szCs w:val="18"/>
        </w:rPr>
        <w:t>"</w:t>
      </w:r>
      <w:r w:rsidR="004C6547" w:rsidRPr="006D4E15">
        <w:rPr>
          <w:rFonts w:ascii="Times New Roman" w:hAnsi="Times New Roman"/>
          <w:sz w:val="24"/>
          <w:szCs w:val="18"/>
        </w:rPr>
        <w:t xml:space="preserve"> (1916) 26 </w:t>
      </w:r>
      <w:r w:rsidR="004C6547" w:rsidRPr="006D4E15">
        <w:rPr>
          <w:rFonts w:ascii="Times New Roman" w:hAnsi="Times New Roman"/>
          <w:i/>
          <w:sz w:val="24"/>
          <w:szCs w:val="18"/>
        </w:rPr>
        <w:t>Yale Law Journal</w:t>
      </w:r>
      <w:r w:rsidR="004C6547" w:rsidRPr="006D4E15">
        <w:rPr>
          <w:rFonts w:ascii="Times New Roman" w:hAnsi="Times New Roman"/>
          <w:sz w:val="24"/>
          <w:szCs w:val="18"/>
        </w:rPr>
        <w:t xml:space="preserve"> 105</w:t>
      </w:r>
      <w:bookmarkEnd w:id="1"/>
      <w:r w:rsidR="004C6547" w:rsidRPr="006D4E15">
        <w:rPr>
          <w:rFonts w:ascii="Times New Roman" w:hAnsi="Times New Roman"/>
          <w:sz w:val="24"/>
          <w:szCs w:val="18"/>
        </w:rPr>
        <w:t xml:space="preserve"> at 105, 107. See also</w:t>
      </w:r>
      <w:r w:rsidRPr="006D4E15">
        <w:rPr>
          <w:rFonts w:ascii="Times New Roman" w:hAnsi="Times New Roman"/>
          <w:sz w:val="24"/>
          <w:szCs w:val="18"/>
        </w:rPr>
        <w:t xml:space="preserve"> </w:t>
      </w:r>
      <w:r w:rsidR="00765073" w:rsidRPr="006D4E15">
        <w:rPr>
          <w:rFonts w:ascii="Times New Roman" w:hAnsi="Times New Roman"/>
          <w:sz w:val="24"/>
          <w:szCs w:val="18"/>
        </w:rPr>
        <w:t xml:space="preserve">(2023) 97 ALJR </w:t>
      </w:r>
      <w:r w:rsidR="00E762C8" w:rsidRPr="006D4E15">
        <w:rPr>
          <w:rFonts w:ascii="Times New Roman" w:hAnsi="Times New Roman"/>
          <w:sz w:val="24"/>
          <w:szCs w:val="18"/>
        </w:rPr>
        <w:t xml:space="preserve">551 at </w:t>
      </w:r>
      <w:r w:rsidR="00C831E4" w:rsidRPr="006D4E15">
        <w:rPr>
          <w:rFonts w:ascii="Times New Roman" w:hAnsi="Times New Roman"/>
          <w:sz w:val="24"/>
          <w:szCs w:val="18"/>
        </w:rPr>
        <w:t xml:space="preserve">562-563 </w:t>
      </w:r>
      <w:r w:rsidRPr="006D4E15">
        <w:rPr>
          <w:rFonts w:ascii="Times New Roman" w:hAnsi="Times New Roman"/>
          <w:sz w:val="24"/>
          <w:szCs w:val="18"/>
        </w:rPr>
        <w:t>[55]-[56]</w:t>
      </w:r>
      <w:r w:rsidR="00C831E4" w:rsidRPr="006D4E15">
        <w:rPr>
          <w:rFonts w:ascii="Times New Roman" w:hAnsi="Times New Roman"/>
          <w:sz w:val="24"/>
          <w:szCs w:val="18"/>
        </w:rPr>
        <w:t xml:space="preserve">; </w:t>
      </w:r>
      <w:r w:rsidR="00C831E4" w:rsidRPr="006D4E15">
        <w:rPr>
          <w:rFonts w:ascii="Times New Roman" w:hAnsi="Times New Roman"/>
          <w:sz w:val="24"/>
        </w:rPr>
        <w:t>410 ALR 479 at 492</w:t>
      </w:r>
      <w:r w:rsidR="00C831E4" w:rsidRPr="006D4E15">
        <w:rPr>
          <w:rFonts w:ascii="Times New Roman" w:hAnsi="Times New Roman"/>
          <w:sz w:val="24"/>
          <w:szCs w:val="18"/>
        </w:rPr>
        <w:t>.</w:t>
      </w:r>
    </w:p>
  </w:footnote>
  <w:footnote w:id="15">
    <w:p w14:paraId="701B831B" w14:textId="0AB76F9A" w:rsidR="003E7430" w:rsidRPr="006D4E15" w:rsidRDefault="003E743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Schokman</w:t>
      </w:r>
      <w:r w:rsidRPr="006D4E15">
        <w:rPr>
          <w:rFonts w:ascii="Times New Roman" w:hAnsi="Times New Roman"/>
          <w:sz w:val="24"/>
        </w:rPr>
        <w:t xml:space="preserve"> (2023) 97 ALJR 551 at </w:t>
      </w:r>
      <w:r w:rsidR="004811C0" w:rsidRPr="006D4E15">
        <w:rPr>
          <w:rFonts w:ascii="Times New Roman" w:hAnsi="Times New Roman"/>
          <w:sz w:val="24"/>
        </w:rPr>
        <w:t xml:space="preserve">561 [50], </w:t>
      </w:r>
      <w:r w:rsidRPr="006D4E15">
        <w:rPr>
          <w:rFonts w:ascii="Times New Roman" w:hAnsi="Times New Roman"/>
          <w:sz w:val="24"/>
        </w:rPr>
        <w:t>562-563 [55]-[58]</w:t>
      </w:r>
      <w:r w:rsidR="00AC3CCC" w:rsidRPr="006D4E15">
        <w:rPr>
          <w:rFonts w:ascii="Times New Roman" w:hAnsi="Times New Roman"/>
          <w:sz w:val="24"/>
        </w:rPr>
        <w:t xml:space="preserve"> and the authorities </w:t>
      </w:r>
      <w:r w:rsidR="00FB4813" w:rsidRPr="006D4E15">
        <w:rPr>
          <w:rFonts w:ascii="Times New Roman" w:hAnsi="Times New Roman"/>
          <w:sz w:val="24"/>
        </w:rPr>
        <w:t xml:space="preserve">and materials </w:t>
      </w:r>
      <w:r w:rsidR="00AC3CCC" w:rsidRPr="006D4E15">
        <w:rPr>
          <w:rFonts w:ascii="Times New Roman" w:hAnsi="Times New Roman"/>
          <w:sz w:val="24"/>
        </w:rPr>
        <w:t>cited</w:t>
      </w:r>
      <w:r w:rsidR="005E533D" w:rsidRPr="006D4E15">
        <w:rPr>
          <w:rFonts w:ascii="Times New Roman" w:hAnsi="Times New Roman"/>
          <w:sz w:val="24"/>
        </w:rPr>
        <w:t>; 410 ALR 479 at 490, 492-493</w:t>
      </w:r>
      <w:r w:rsidRPr="006D4E15">
        <w:rPr>
          <w:rFonts w:ascii="Times New Roman" w:hAnsi="Times New Roman"/>
          <w:sz w:val="24"/>
        </w:rPr>
        <w:t xml:space="preserve">. </w:t>
      </w:r>
      <w:r w:rsidR="0005478E" w:rsidRPr="006D4E15">
        <w:rPr>
          <w:rFonts w:ascii="Times New Roman" w:hAnsi="Times New Roman"/>
          <w:sz w:val="24"/>
        </w:rPr>
        <w:t>See</w:t>
      </w:r>
      <w:r w:rsidR="00C408A4" w:rsidRPr="006D4E15">
        <w:rPr>
          <w:rFonts w:ascii="Times New Roman" w:hAnsi="Times New Roman"/>
          <w:sz w:val="24"/>
        </w:rPr>
        <w:t> </w:t>
      </w:r>
      <w:r w:rsidR="00AC3CCC" w:rsidRPr="006D4E15">
        <w:rPr>
          <w:rFonts w:ascii="Times New Roman" w:hAnsi="Times New Roman"/>
          <w:sz w:val="24"/>
        </w:rPr>
        <w:t xml:space="preserve">also </w:t>
      </w:r>
      <w:r w:rsidR="0005478E" w:rsidRPr="006D4E15">
        <w:rPr>
          <w:rFonts w:ascii="Times New Roman" w:hAnsi="Times New Roman"/>
          <w:i/>
          <w:iCs/>
          <w:sz w:val="24"/>
        </w:rPr>
        <w:t>Lloyd v Grace</w:t>
      </w:r>
      <w:r w:rsidR="00221EFE" w:rsidRPr="006D4E15">
        <w:rPr>
          <w:rFonts w:ascii="Times New Roman" w:hAnsi="Times New Roman"/>
          <w:i/>
          <w:iCs/>
          <w:sz w:val="24"/>
        </w:rPr>
        <w:t>,</w:t>
      </w:r>
      <w:r w:rsidR="0005478E" w:rsidRPr="006D4E15">
        <w:rPr>
          <w:rFonts w:ascii="Times New Roman" w:hAnsi="Times New Roman"/>
          <w:i/>
          <w:iCs/>
          <w:sz w:val="24"/>
        </w:rPr>
        <w:t xml:space="preserve"> Smith</w:t>
      </w:r>
      <w:r w:rsidR="005C272B" w:rsidRPr="006D4E15">
        <w:rPr>
          <w:rFonts w:ascii="Times New Roman" w:hAnsi="Times New Roman"/>
          <w:i/>
          <w:sz w:val="24"/>
        </w:rPr>
        <w:t xml:space="preserve"> </w:t>
      </w:r>
      <w:r w:rsidR="00B0103A" w:rsidRPr="006D4E15">
        <w:rPr>
          <w:rFonts w:ascii="Times New Roman" w:hAnsi="Times New Roman"/>
          <w:i/>
          <w:iCs/>
          <w:sz w:val="24"/>
        </w:rPr>
        <w:t>&amp; Co</w:t>
      </w:r>
      <w:r w:rsidR="005C272B" w:rsidRPr="006D4E15">
        <w:rPr>
          <w:rFonts w:ascii="Times New Roman" w:hAnsi="Times New Roman"/>
          <w:sz w:val="24"/>
        </w:rPr>
        <w:t xml:space="preserve"> [1912] AC 716</w:t>
      </w:r>
      <w:r w:rsidR="005B0350" w:rsidRPr="006D4E15">
        <w:rPr>
          <w:rFonts w:ascii="Times New Roman" w:hAnsi="Times New Roman"/>
          <w:sz w:val="24"/>
        </w:rPr>
        <w:t xml:space="preserve"> at</w:t>
      </w:r>
      <w:r w:rsidR="005B0350" w:rsidRPr="006D4E15" w:rsidDel="000B5264">
        <w:rPr>
          <w:rFonts w:ascii="Times New Roman" w:hAnsi="Times New Roman"/>
          <w:sz w:val="24"/>
        </w:rPr>
        <w:t xml:space="preserve"> </w:t>
      </w:r>
      <w:r w:rsidR="003D0B65" w:rsidRPr="006D4E15">
        <w:rPr>
          <w:rFonts w:ascii="Times New Roman" w:hAnsi="Times New Roman"/>
          <w:sz w:val="24"/>
        </w:rPr>
        <w:t>724</w:t>
      </w:r>
      <w:r w:rsidR="00B9276E" w:rsidRPr="006D4E15">
        <w:rPr>
          <w:rFonts w:ascii="Times New Roman" w:hAnsi="Times New Roman"/>
          <w:sz w:val="24"/>
        </w:rPr>
        <w:noBreakHyphen/>
      </w:r>
      <w:r w:rsidR="003D0B65" w:rsidRPr="006D4E15">
        <w:rPr>
          <w:rFonts w:ascii="Times New Roman" w:hAnsi="Times New Roman"/>
          <w:sz w:val="24"/>
        </w:rPr>
        <w:t>725, 728</w:t>
      </w:r>
      <w:r w:rsidR="006321B3" w:rsidRPr="006D4E15">
        <w:rPr>
          <w:rFonts w:ascii="Times New Roman" w:hAnsi="Times New Roman"/>
          <w:sz w:val="24"/>
        </w:rPr>
        <w:noBreakHyphen/>
      </w:r>
      <w:r w:rsidR="003D0B65" w:rsidRPr="006D4E15">
        <w:rPr>
          <w:rFonts w:ascii="Times New Roman" w:hAnsi="Times New Roman"/>
          <w:sz w:val="24"/>
        </w:rPr>
        <w:t xml:space="preserve">729, </w:t>
      </w:r>
      <w:r w:rsidR="004725C5" w:rsidRPr="006D4E15">
        <w:rPr>
          <w:rFonts w:ascii="Times New Roman" w:hAnsi="Times New Roman"/>
          <w:sz w:val="24"/>
        </w:rPr>
        <w:t>738</w:t>
      </w:r>
      <w:r w:rsidR="00A34F31" w:rsidRPr="006D4E15" w:rsidDel="000B5264">
        <w:rPr>
          <w:rFonts w:ascii="Times New Roman" w:hAnsi="Times New Roman"/>
          <w:sz w:val="24"/>
        </w:rPr>
        <w:t>-740</w:t>
      </w:r>
      <w:r w:rsidR="0005478E" w:rsidRPr="006D4E15">
        <w:rPr>
          <w:rFonts w:ascii="Times New Roman" w:hAnsi="Times New Roman"/>
          <w:sz w:val="24"/>
        </w:rPr>
        <w:t>.</w:t>
      </w:r>
    </w:p>
  </w:footnote>
  <w:footnote w:id="16">
    <w:p w14:paraId="48170A1D" w14:textId="73597BE6" w:rsidR="00572347" w:rsidRPr="006D4E15" w:rsidRDefault="0057234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w:t>
      </w:r>
      <w:r w:rsidR="00F571E1" w:rsidRPr="006D4E15">
        <w:rPr>
          <w:rFonts w:ascii="Times New Roman" w:hAnsi="Times New Roman"/>
          <w:sz w:val="24"/>
        </w:rPr>
        <w:t xml:space="preserve">(2006) 226 CLR 161 </w:t>
      </w:r>
      <w:r w:rsidRPr="006D4E15">
        <w:rPr>
          <w:rFonts w:ascii="Times New Roman" w:hAnsi="Times New Roman"/>
          <w:sz w:val="24"/>
        </w:rPr>
        <w:t xml:space="preserve">at </w:t>
      </w:r>
      <w:r w:rsidR="00667EC3" w:rsidRPr="006D4E15">
        <w:rPr>
          <w:rFonts w:ascii="Times New Roman" w:hAnsi="Times New Roman"/>
          <w:sz w:val="24"/>
        </w:rPr>
        <w:t xml:space="preserve">172 </w:t>
      </w:r>
      <w:r w:rsidRPr="006D4E15">
        <w:rPr>
          <w:rFonts w:ascii="Times New Roman" w:hAnsi="Times New Roman"/>
          <w:sz w:val="24"/>
        </w:rPr>
        <w:t>[29]</w:t>
      </w:r>
      <w:r w:rsidR="00B45E99"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iCs/>
          <w:sz w:val="24"/>
        </w:rPr>
        <w:t>Scott</w:t>
      </w:r>
      <w:r w:rsidR="0079398A" w:rsidRPr="006D4E15">
        <w:rPr>
          <w:rFonts w:ascii="Times New Roman" w:hAnsi="Times New Roman"/>
          <w:i/>
          <w:iCs/>
          <w:sz w:val="24"/>
        </w:rPr>
        <w:t xml:space="preserve"> </w:t>
      </w:r>
      <w:r w:rsidR="00B864E2" w:rsidRPr="006D4E15">
        <w:rPr>
          <w:rFonts w:ascii="Times New Roman" w:hAnsi="Times New Roman"/>
          <w:i/>
          <w:iCs/>
          <w:sz w:val="24"/>
        </w:rPr>
        <w:t>v Davis</w:t>
      </w:r>
      <w:r w:rsidR="0079398A" w:rsidRPr="006D4E15">
        <w:rPr>
          <w:rFonts w:ascii="Times New Roman" w:hAnsi="Times New Roman"/>
          <w:i/>
          <w:iCs/>
          <w:sz w:val="24"/>
        </w:rPr>
        <w:t xml:space="preserve"> </w:t>
      </w:r>
      <w:r w:rsidR="0079398A" w:rsidRPr="006D4E15">
        <w:rPr>
          <w:rFonts w:ascii="Times New Roman" w:hAnsi="Times New Roman"/>
          <w:sz w:val="24"/>
        </w:rPr>
        <w:t xml:space="preserve">(2000) </w:t>
      </w:r>
      <w:r w:rsidR="00992B95" w:rsidRPr="006D4E15">
        <w:rPr>
          <w:rFonts w:ascii="Times New Roman" w:hAnsi="Times New Roman"/>
          <w:sz w:val="24"/>
        </w:rPr>
        <w:t>204 CLR 333 at 423 [268]</w:t>
      </w:r>
      <w:r w:rsidRPr="006D4E15">
        <w:rPr>
          <w:rFonts w:ascii="Times New Roman" w:hAnsi="Times New Roman"/>
          <w:sz w:val="24"/>
        </w:rPr>
        <w:t>.</w:t>
      </w:r>
      <w:r w:rsidR="000B15B6" w:rsidRPr="006D4E15">
        <w:rPr>
          <w:rFonts w:ascii="Times New Roman" w:hAnsi="Times New Roman"/>
          <w:sz w:val="24"/>
        </w:rPr>
        <w:t xml:space="preserve"> </w:t>
      </w:r>
      <w:r w:rsidR="00B212C1" w:rsidRPr="006D4E15">
        <w:rPr>
          <w:rFonts w:ascii="Times New Roman" w:hAnsi="Times New Roman"/>
          <w:sz w:val="24"/>
        </w:rPr>
        <w:t>cf</w:t>
      </w:r>
      <w:r w:rsidR="000B15B6" w:rsidRPr="006D4E15">
        <w:rPr>
          <w:rFonts w:ascii="Times New Roman" w:hAnsi="Times New Roman"/>
          <w:sz w:val="24"/>
        </w:rPr>
        <w:t xml:space="preserve"> </w:t>
      </w:r>
      <w:r w:rsidR="009A25B8" w:rsidRPr="006D4E15">
        <w:rPr>
          <w:rFonts w:ascii="Times New Roman" w:hAnsi="Times New Roman"/>
          <w:i/>
          <w:iCs/>
          <w:sz w:val="24"/>
        </w:rPr>
        <w:t>CF</w:t>
      </w:r>
      <w:r w:rsidR="00B95B4D" w:rsidRPr="006D4E15">
        <w:rPr>
          <w:rFonts w:ascii="Times New Roman" w:hAnsi="Times New Roman"/>
          <w:i/>
          <w:iCs/>
          <w:sz w:val="24"/>
        </w:rPr>
        <w:t>MMEU</w:t>
      </w:r>
      <w:r w:rsidR="00EB3B54" w:rsidRPr="006D4E15">
        <w:rPr>
          <w:rFonts w:ascii="Times New Roman" w:hAnsi="Times New Roman"/>
          <w:i/>
          <w:iCs/>
          <w:sz w:val="24"/>
        </w:rPr>
        <w:t> </w:t>
      </w:r>
      <w:r w:rsidR="00B95B4D" w:rsidRPr="006D4E15">
        <w:rPr>
          <w:rFonts w:ascii="Times New Roman" w:hAnsi="Times New Roman"/>
          <w:sz w:val="24"/>
        </w:rPr>
        <w:t xml:space="preserve">(2022) 275 CLR </w:t>
      </w:r>
      <w:r w:rsidR="00B212C1" w:rsidRPr="006D4E15">
        <w:rPr>
          <w:rFonts w:ascii="Times New Roman" w:hAnsi="Times New Roman"/>
          <w:sz w:val="24"/>
        </w:rPr>
        <w:t xml:space="preserve">165 at </w:t>
      </w:r>
      <w:r w:rsidR="0060211B" w:rsidRPr="006D4E15">
        <w:rPr>
          <w:rFonts w:ascii="Times New Roman" w:hAnsi="Times New Roman"/>
          <w:sz w:val="24"/>
        </w:rPr>
        <w:t xml:space="preserve">235 </w:t>
      </w:r>
      <w:r w:rsidR="00B212C1" w:rsidRPr="006D4E15">
        <w:rPr>
          <w:rFonts w:ascii="Times New Roman" w:hAnsi="Times New Roman"/>
          <w:sz w:val="24"/>
        </w:rPr>
        <w:t>[184]</w:t>
      </w:r>
      <w:r w:rsidR="00417DBB" w:rsidRPr="006D4E15">
        <w:rPr>
          <w:rFonts w:ascii="Times New Roman" w:hAnsi="Times New Roman"/>
          <w:sz w:val="24"/>
        </w:rPr>
        <w:t xml:space="preserve"> and the </w:t>
      </w:r>
      <w:r w:rsidR="00C76A80" w:rsidRPr="006D4E15">
        <w:rPr>
          <w:rFonts w:ascii="Times New Roman" w:hAnsi="Times New Roman"/>
          <w:sz w:val="24"/>
        </w:rPr>
        <w:t xml:space="preserve">authorities </w:t>
      </w:r>
      <w:r w:rsidR="00417DBB" w:rsidRPr="006D4E15">
        <w:rPr>
          <w:rFonts w:ascii="Times New Roman" w:hAnsi="Times New Roman"/>
          <w:sz w:val="24"/>
        </w:rPr>
        <w:t>cited</w:t>
      </w:r>
      <w:r w:rsidR="00B212C1" w:rsidRPr="006D4E15">
        <w:rPr>
          <w:rFonts w:ascii="Times New Roman" w:hAnsi="Times New Roman"/>
          <w:sz w:val="24"/>
        </w:rPr>
        <w:t>.</w:t>
      </w:r>
    </w:p>
  </w:footnote>
  <w:footnote w:id="17">
    <w:p w14:paraId="68BCF4B7" w14:textId="57E67CF2" w:rsidR="0061194E" w:rsidRPr="006D4E15" w:rsidRDefault="0061194E"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137E9" w:rsidRPr="006D4E15">
        <w:rPr>
          <w:rFonts w:ascii="Times New Roman" w:hAnsi="Times New Roman"/>
          <w:sz w:val="24"/>
        </w:rPr>
        <w:t>See</w:t>
      </w:r>
      <w:r w:rsidR="00ED2A48" w:rsidRPr="006D4E15">
        <w:rPr>
          <w:rFonts w:ascii="Times New Roman" w:hAnsi="Times New Roman"/>
          <w:sz w:val="24"/>
        </w:rPr>
        <w:t>,</w:t>
      </w:r>
      <w:r w:rsidR="002137E9" w:rsidRPr="006D4E15">
        <w:rPr>
          <w:rFonts w:ascii="Times New Roman" w:hAnsi="Times New Roman"/>
          <w:sz w:val="24"/>
        </w:rPr>
        <w:t xml:space="preserve"> eg</w:t>
      </w:r>
      <w:r w:rsidR="00ED2A48" w:rsidRPr="006D4E15">
        <w:rPr>
          <w:rFonts w:ascii="Times New Roman" w:hAnsi="Times New Roman"/>
          <w:sz w:val="24"/>
        </w:rPr>
        <w:t>,</w:t>
      </w:r>
      <w:r w:rsidR="002137E9" w:rsidRPr="006D4E15">
        <w:rPr>
          <w:rFonts w:ascii="Times New Roman" w:hAnsi="Times New Roman"/>
          <w:sz w:val="24"/>
        </w:rPr>
        <w:t xml:space="preserve"> </w:t>
      </w:r>
      <w:r w:rsidRPr="006D4E15">
        <w:rPr>
          <w:rFonts w:ascii="Times New Roman" w:hAnsi="Times New Roman"/>
          <w:i/>
          <w:iCs/>
          <w:sz w:val="24"/>
        </w:rPr>
        <w:t>Sweeney</w:t>
      </w:r>
      <w:r w:rsidRPr="006D4E15">
        <w:rPr>
          <w:rFonts w:ascii="Times New Roman" w:hAnsi="Times New Roman"/>
          <w:sz w:val="24"/>
        </w:rPr>
        <w:t xml:space="preserve"> </w:t>
      </w:r>
      <w:r w:rsidR="002137E9" w:rsidRPr="006D4E15">
        <w:rPr>
          <w:rFonts w:ascii="Times New Roman" w:hAnsi="Times New Roman"/>
          <w:sz w:val="24"/>
        </w:rPr>
        <w:t xml:space="preserve">(2006) 226 CLR 161 </w:t>
      </w:r>
      <w:r w:rsidRPr="006D4E15">
        <w:rPr>
          <w:rFonts w:ascii="Times New Roman" w:hAnsi="Times New Roman"/>
          <w:sz w:val="24"/>
        </w:rPr>
        <w:t xml:space="preserve">at </w:t>
      </w:r>
      <w:r w:rsidR="002137E9" w:rsidRPr="006D4E15">
        <w:rPr>
          <w:rFonts w:ascii="Times New Roman" w:hAnsi="Times New Roman"/>
          <w:sz w:val="24"/>
        </w:rPr>
        <w:t>171</w:t>
      </w:r>
      <w:r w:rsidRPr="006D4E15">
        <w:rPr>
          <w:rFonts w:ascii="Times New Roman" w:hAnsi="Times New Roman"/>
          <w:sz w:val="24"/>
        </w:rPr>
        <w:t xml:space="preserve"> [26].</w:t>
      </w:r>
      <w:r w:rsidRPr="006D4E15">
        <w:rPr>
          <w:rFonts w:ascii="Times New Roman" w:hAnsi="Times New Roman"/>
          <w:i/>
          <w:iCs/>
          <w:sz w:val="24"/>
        </w:rPr>
        <w:t xml:space="preserve"> </w:t>
      </w:r>
    </w:p>
  </w:footnote>
  <w:footnote w:id="18">
    <w:p w14:paraId="6AD7C457" w14:textId="358E8D08" w:rsidR="00F07F72" w:rsidRPr="006D4E15" w:rsidDel="00831328" w:rsidRDefault="00F07F72" w:rsidP="006D4E15">
      <w:pPr>
        <w:pStyle w:val="FootnoteText"/>
        <w:spacing w:line="280" w:lineRule="exact"/>
        <w:ind w:right="0"/>
        <w:jc w:val="both"/>
        <w:rPr>
          <w:rFonts w:ascii="Times New Roman" w:hAnsi="Times New Roman"/>
          <w:sz w:val="24"/>
        </w:rPr>
      </w:pPr>
      <w:r w:rsidRPr="006D4E15" w:rsidDel="00831328">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(2006) 226 CLR 161</w:t>
      </w:r>
      <w:r w:rsidR="00EB5FCE" w:rsidRPr="006D4E15">
        <w:rPr>
          <w:rFonts w:ascii="Times New Roman" w:hAnsi="Times New Roman"/>
          <w:sz w:val="24"/>
        </w:rPr>
        <w:t xml:space="preserve"> at 17</w:t>
      </w:r>
      <w:r w:rsidR="0044200B" w:rsidRPr="006D4E15">
        <w:rPr>
          <w:rFonts w:ascii="Times New Roman" w:hAnsi="Times New Roman"/>
          <w:sz w:val="24"/>
        </w:rPr>
        <w:t>2</w:t>
      </w:r>
      <w:r w:rsidR="00EB5FCE" w:rsidRPr="006D4E15">
        <w:rPr>
          <w:rFonts w:ascii="Times New Roman" w:hAnsi="Times New Roman"/>
          <w:sz w:val="24"/>
        </w:rPr>
        <w:t xml:space="preserve"> [29]</w:t>
      </w:r>
      <w:r w:rsidR="00372115" w:rsidRPr="006D4E15">
        <w:rPr>
          <w:rFonts w:ascii="Times New Roman" w:hAnsi="Times New Roman"/>
          <w:sz w:val="24"/>
        </w:rPr>
        <w:t>.</w:t>
      </w:r>
      <w:r w:rsidRPr="006D4E15">
        <w:rPr>
          <w:rFonts w:ascii="Times New Roman" w:hAnsi="Times New Roman"/>
          <w:sz w:val="24"/>
        </w:rPr>
        <w:t xml:space="preserve"> </w:t>
      </w:r>
    </w:p>
  </w:footnote>
  <w:footnote w:id="19">
    <w:p w14:paraId="7F5B1016" w14:textId="79D416E2" w:rsidR="000C66F4" w:rsidRPr="006D4E15" w:rsidRDefault="000C66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066FB" w:rsidRPr="006D4E15">
        <w:rPr>
          <w:rFonts w:ascii="Times New Roman" w:hAnsi="Times New Roman"/>
          <w:sz w:val="24"/>
          <w:szCs w:val="18"/>
        </w:rPr>
        <w:t>(1931) 46 CLR 41</w:t>
      </w:r>
      <w:r w:rsidR="00CF4D06" w:rsidRPr="006D4E15">
        <w:rPr>
          <w:rFonts w:ascii="Times New Roman" w:hAnsi="Times New Roman"/>
          <w:sz w:val="24"/>
          <w:szCs w:val="18"/>
        </w:rPr>
        <w:t xml:space="preserve"> at 48-50</w:t>
      </w:r>
      <w:r w:rsidR="001066FB" w:rsidRPr="006D4E15">
        <w:rPr>
          <w:rFonts w:ascii="Times New Roman" w:hAnsi="Times New Roman"/>
          <w:sz w:val="24"/>
          <w:szCs w:val="18"/>
        </w:rPr>
        <w:t>.</w:t>
      </w:r>
    </w:p>
  </w:footnote>
  <w:footnote w:id="20">
    <w:p w14:paraId="3CEE4A13" w14:textId="54138C07" w:rsidR="000C66F4" w:rsidRPr="006D4E15" w:rsidRDefault="000C66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(2000) 204 CLR 333</w:t>
      </w:r>
      <w:r w:rsidR="00EC7B85" w:rsidRPr="006D4E15">
        <w:rPr>
          <w:rFonts w:ascii="Times New Roman" w:hAnsi="Times New Roman"/>
          <w:sz w:val="24"/>
        </w:rPr>
        <w:t xml:space="preserve"> at 423 [268]</w:t>
      </w:r>
      <w:r w:rsidRPr="006D4E15">
        <w:rPr>
          <w:rFonts w:ascii="Times New Roman" w:hAnsi="Times New Roman"/>
          <w:sz w:val="24"/>
        </w:rPr>
        <w:t>.</w:t>
      </w:r>
    </w:p>
  </w:footnote>
  <w:footnote w:id="21">
    <w:p w14:paraId="49301F5E" w14:textId="4AF31A05" w:rsidR="00F07F72" w:rsidRPr="006D4E15" w:rsidRDefault="00F07F7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855A1" w:rsidRPr="006D4E15">
        <w:rPr>
          <w:rFonts w:ascii="Times New Roman" w:hAnsi="Times New Roman"/>
          <w:sz w:val="24"/>
        </w:rPr>
        <w:t>(2001) 207 CLR 21 at 40 [42]</w:t>
      </w:r>
      <w:r w:rsidR="0018415D" w:rsidRPr="006D4E15">
        <w:rPr>
          <w:rFonts w:ascii="Times New Roman" w:hAnsi="Times New Roman"/>
          <w:sz w:val="24"/>
        </w:rPr>
        <w:t>, 42-45 [48]-[</w:t>
      </w:r>
      <w:r w:rsidR="00D530ED" w:rsidRPr="006D4E15">
        <w:rPr>
          <w:rFonts w:ascii="Times New Roman" w:hAnsi="Times New Roman"/>
          <w:sz w:val="24"/>
        </w:rPr>
        <w:t>5</w:t>
      </w:r>
      <w:r w:rsidR="0018415D" w:rsidRPr="006D4E15">
        <w:rPr>
          <w:rFonts w:ascii="Times New Roman" w:hAnsi="Times New Roman"/>
          <w:sz w:val="24"/>
        </w:rPr>
        <w:t>7</w:t>
      </w:r>
      <w:r w:rsidR="007855A1" w:rsidRPr="006D4E15">
        <w:rPr>
          <w:rFonts w:ascii="Times New Roman" w:hAnsi="Times New Roman"/>
          <w:sz w:val="24"/>
        </w:rPr>
        <w:t>]</w:t>
      </w:r>
      <w:r w:rsidRPr="006D4E15">
        <w:rPr>
          <w:rFonts w:ascii="Times New Roman" w:hAnsi="Times New Roman"/>
          <w:sz w:val="24"/>
        </w:rPr>
        <w:t>.</w:t>
      </w:r>
    </w:p>
  </w:footnote>
  <w:footnote w:id="22">
    <w:p w14:paraId="0C75B6EA" w14:textId="08C70709" w:rsidR="00831328" w:rsidRPr="006D4E15" w:rsidRDefault="0083132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(2006) 226 CLR 161 at 172 [29]</w:t>
      </w:r>
      <w:r w:rsidR="0031122E"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iCs/>
          <w:sz w:val="24"/>
        </w:rPr>
        <w:t xml:space="preserve">Colonial Mutual Life </w:t>
      </w:r>
      <w:r w:rsidRPr="006D4E15">
        <w:rPr>
          <w:rFonts w:ascii="Times New Roman" w:hAnsi="Times New Roman"/>
          <w:sz w:val="24"/>
        </w:rPr>
        <w:t xml:space="preserve">(1931) 46 CLR </w:t>
      </w:r>
      <w:r w:rsidR="00A61088" w:rsidRPr="006D4E15">
        <w:rPr>
          <w:rFonts w:ascii="Times New Roman" w:hAnsi="Times New Roman"/>
          <w:sz w:val="24"/>
        </w:rPr>
        <w:t>4</w:t>
      </w:r>
      <w:r w:rsidRPr="006D4E15">
        <w:rPr>
          <w:rFonts w:ascii="Times New Roman" w:hAnsi="Times New Roman"/>
          <w:sz w:val="24"/>
        </w:rPr>
        <w:t>1 at 48-50</w:t>
      </w:r>
      <w:r w:rsidR="00AC64BF"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Scott</w:t>
      </w:r>
      <w:r w:rsidRPr="006D4E15">
        <w:rPr>
          <w:rFonts w:ascii="Times New Roman" w:hAnsi="Times New Roman"/>
          <w:sz w:val="24"/>
        </w:rPr>
        <w:t xml:space="preserve"> (2000) 204 CLR 333 at 423 [268]</w:t>
      </w:r>
      <w:r w:rsidR="00AC64BF" w:rsidRPr="006D4E15">
        <w:rPr>
          <w:rFonts w:ascii="Times New Roman" w:hAnsi="Times New Roman"/>
          <w:sz w:val="24"/>
        </w:rPr>
        <w:t>,</w:t>
      </w:r>
      <w:r w:rsidRPr="006D4E15">
        <w:rPr>
          <w:rFonts w:ascii="Times New Roman" w:hAnsi="Times New Roman"/>
          <w:sz w:val="24"/>
        </w:rPr>
        <w:t xml:space="preserve"> and </w:t>
      </w:r>
      <w:r w:rsidRPr="006D4E15">
        <w:rPr>
          <w:rFonts w:ascii="Times New Roman" w:hAnsi="Times New Roman"/>
          <w:i/>
          <w:iCs/>
          <w:sz w:val="24"/>
        </w:rPr>
        <w:t xml:space="preserve">Hollis </w:t>
      </w:r>
      <w:r w:rsidRPr="006D4E15">
        <w:rPr>
          <w:rFonts w:ascii="Times New Roman" w:hAnsi="Times New Roman"/>
          <w:sz w:val="24"/>
        </w:rPr>
        <w:t xml:space="preserve">(2001) 207 CLR 21 at </w:t>
      </w:r>
      <w:r w:rsidR="00F92374" w:rsidRPr="006D4E15">
        <w:rPr>
          <w:rFonts w:ascii="Times New Roman" w:hAnsi="Times New Roman"/>
          <w:sz w:val="24"/>
        </w:rPr>
        <w:t xml:space="preserve">40 [42], </w:t>
      </w:r>
      <w:r w:rsidRPr="006D4E15">
        <w:rPr>
          <w:rFonts w:ascii="Times New Roman" w:hAnsi="Times New Roman"/>
          <w:sz w:val="24"/>
        </w:rPr>
        <w:t>42</w:t>
      </w:r>
      <w:r w:rsidR="00E71EDC" w:rsidRPr="006D4E15">
        <w:rPr>
          <w:rFonts w:ascii="Times New Roman" w:hAnsi="Times New Roman"/>
          <w:sz w:val="24"/>
        </w:rPr>
        <w:noBreakHyphen/>
      </w:r>
      <w:r w:rsidRPr="006D4E15">
        <w:rPr>
          <w:rFonts w:ascii="Times New Roman" w:hAnsi="Times New Roman"/>
          <w:sz w:val="24"/>
        </w:rPr>
        <w:t xml:space="preserve">45 [48]-[57]. </w:t>
      </w:r>
    </w:p>
  </w:footnote>
  <w:footnote w:id="23">
    <w:p w14:paraId="0F6F5B89" w14:textId="151CC9AD" w:rsidR="000821CB" w:rsidRPr="006D4E15" w:rsidRDefault="000821C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Colonial Mutual Life </w:t>
      </w:r>
      <w:r w:rsidRPr="006D4E15">
        <w:rPr>
          <w:rFonts w:ascii="Times New Roman" w:hAnsi="Times New Roman"/>
          <w:sz w:val="24"/>
        </w:rPr>
        <w:t xml:space="preserve">(1931) 46 CLR 41 at </w:t>
      </w:r>
      <w:r w:rsidR="00CA2BF8" w:rsidRPr="006D4E15">
        <w:rPr>
          <w:rFonts w:ascii="Times New Roman" w:hAnsi="Times New Roman"/>
          <w:sz w:val="24"/>
        </w:rPr>
        <w:t xml:space="preserve">46, </w:t>
      </w:r>
      <w:r w:rsidR="00FA559C" w:rsidRPr="006D4E15">
        <w:rPr>
          <w:rFonts w:ascii="Times New Roman" w:hAnsi="Times New Roman"/>
          <w:sz w:val="24"/>
        </w:rPr>
        <w:t>50</w:t>
      </w:r>
      <w:r w:rsidR="00E45858" w:rsidRPr="006D4E15">
        <w:rPr>
          <w:rFonts w:ascii="Times New Roman" w:hAnsi="Times New Roman"/>
          <w:sz w:val="24"/>
        </w:rPr>
        <w:t xml:space="preserve">; </w:t>
      </w:r>
      <w:r w:rsidR="00E45858" w:rsidRPr="006D4E15">
        <w:rPr>
          <w:rFonts w:ascii="Times New Roman" w:hAnsi="Times New Roman"/>
          <w:i/>
          <w:iCs/>
          <w:sz w:val="24"/>
        </w:rPr>
        <w:t>Sweeney</w:t>
      </w:r>
      <w:r w:rsidR="00C75183" w:rsidRPr="006D4E15">
        <w:rPr>
          <w:rFonts w:ascii="Times New Roman" w:hAnsi="Times New Roman"/>
          <w:i/>
          <w:iCs/>
          <w:sz w:val="24"/>
        </w:rPr>
        <w:t> </w:t>
      </w:r>
      <w:r w:rsidR="00E45858" w:rsidRPr="006D4E15">
        <w:rPr>
          <w:rFonts w:ascii="Times New Roman" w:hAnsi="Times New Roman"/>
          <w:sz w:val="24"/>
        </w:rPr>
        <w:t>(2006) 226 CLR 161 at 171 [24].</w:t>
      </w:r>
    </w:p>
  </w:footnote>
  <w:footnote w:id="24">
    <w:p w14:paraId="6ECE7593" w14:textId="32032A67" w:rsidR="00163FAE" w:rsidRPr="006D4E15" w:rsidRDefault="00163FA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Colonial Mutual Life </w:t>
      </w:r>
      <w:r w:rsidRPr="006D4E15">
        <w:rPr>
          <w:rFonts w:ascii="Times New Roman" w:hAnsi="Times New Roman"/>
          <w:sz w:val="24"/>
        </w:rPr>
        <w:t>(1931) 46 CLR 41 at 50.</w:t>
      </w:r>
    </w:p>
  </w:footnote>
  <w:footnote w:id="25">
    <w:p w14:paraId="17C6F5E6" w14:textId="34064177" w:rsidR="00EB43E5" w:rsidRPr="006D4E15" w:rsidRDefault="00EB43E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000821CB" w:rsidRPr="006D4E15">
        <w:rPr>
          <w:rFonts w:ascii="Times New Roman" w:hAnsi="Times New Roman"/>
          <w:i/>
          <w:iCs/>
          <w:sz w:val="24"/>
        </w:rPr>
        <w:t xml:space="preserve"> </w:t>
      </w:r>
      <w:r w:rsidR="000821CB" w:rsidRPr="006D4E15">
        <w:rPr>
          <w:rFonts w:ascii="Times New Roman" w:hAnsi="Times New Roman"/>
          <w:sz w:val="24"/>
        </w:rPr>
        <w:t>(2006) 226 CLR 161</w:t>
      </w:r>
      <w:r w:rsidRPr="006D4E15">
        <w:rPr>
          <w:rFonts w:ascii="Times New Roman" w:hAnsi="Times New Roman"/>
          <w:i/>
          <w:iCs/>
          <w:sz w:val="24"/>
        </w:rPr>
        <w:t xml:space="preserve"> </w:t>
      </w:r>
      <w:r w:rsidRPr="006D4E15">
        <w:rPr>
          <w:rFonts w:ascii="Times New Roman" w:hAnsi="Times New Roman"/>
          <w:sz w:val="24"/>
        </w:rPr>
        <w:t xml:space="preserve">at </w:t>
      </w:r>
      <w:r w:rsidR="0032595F" w:rsidRPr="006D4E15">
        <w:rPr>
          <w:rFonts w:ascii="Times New Roman" w:hAnsi="Times New Roman"/>
          <w:sz w:val="24"/>
        </w:rPr>
        <w:t>171</w:t>
      </w:r>
      <w:r w:rsidRPr="006D4E15">
        <w:rPr>
          <w:rFonts w:ascii="Times New Roman" w:hAnsi="Times New Roman"/>
          <w:sz w:val="24"/>
        </w:rPr>
        <w:t xml:space="preserve"> [24].</w:t>
      </w:r>
    </w:p>
  </w:footnote>
  <w:footnote w:id="26">
    <w:p w14:paraId="5F8ED5D5" w14:textId="1EC361C4" w:rsidR="00AC4370" w:rsidRPr="006D4E15" w:rsidRDefault="00AC437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Sweeney</w:t>
      </w:r>
      <w:r w:rsidRPr="006D4E15">
        <w:rPr>
          <w:rFonts w:ascii="Times New Roman" w:hAnsi="Times New Roman"/>
          <w:sz w:val="24"/>
        </w:rPr>
        <w:t xml:space="preserve"> </w:t>
      </w:r>
      <w:r w:rsidR="000821CB" w:rsidRPr="006D4E15">
        <w:rPr>
          <w:rFonts w:ascii="Times New Roman" w:hAnsi="Times New Roman"/>
          <w:sz w:val="24"/>
        </w:rPr>
        <w:t xml:space="preserve">(2006) 226 CLR 161 </w:t>
      </w:r>
      <w:r w:rsidRPr="006D4E15">
        <w:rPr>
          <w:rFonts w:ascii="Times New Roman" w:hAnsi="Times New Roman"/>
          <w:sz w:val="24"/>
        </w:rPr>
        <w:t xml:space="preserve">at </w:t>
      </w:r>
      <w:r w:rsidR="008F4FF2" w:rsidRPr="006D4E15">
        <w:rPr>
          <w:rFonts w:ascii="Times New Roman" w:hAnsi="Times New Roman"/>
          <w:sz w:val="24"/>
        </w:rPr>
        <w:t xml:space="preserve">170 </w:t>
      </w:r>
      <w:r w:rsidRPr="006D4E15">
        <w:rPr>
          <w:rFonts w:ascii="Times New Roman" w:hAnsi="Times New Roman"/>
          <w:sz w:val="24"/>
        </w:rPr>
        <w:t>[22</w:t>
      </w:r>
      <w:r w:rsidR="00EB43E5" w:rsidRPr="006D4E15">
        <w:rPr>
          <w:rFonts w:ascii="Times New Roman" w:hAnsi="Times New Roman"/>
          <w:sz w:val="24"/>
        </w:rPr>
        <w:t>].</w:t>
      </w:r>
    </w:p>
  </w:footnote>
  <w:footnote w:id="27">
    <w:p w14:paraId="77EA76A2" w14:textId="0E98EC7E" w:rsidR="007C337E" w:rsidRPr="006D4E15" w:rsidRDefault="007C337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561E3" w:rsidRPr="006D4E15">
        <w:rPr>
          <w:rFonts w:ascii="Times New Roman" w:hAnsi="Times New Roman"/>
          <w:sz w:val="24"/>
        </w:rPr>
        <w:t>(1960) 103 CLR 215.</w:t>
      </w:r>
    </w:p>
  </w:footnote>
  <w:footnote w:id="28">
    <w:p w14:paraId="4A46A259" w14:textId="0A86E24E" w:rsidR="00D561E3" w:rsidRPr="006D4E15" w:rsidRDefault="00D561E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42488" w:rsidRPr="006D4E15">
        <w:rPr>
          <w:rFonts w:ascii="Times New Roman" w:hAnsi="Times New Roman"/>
          <w:sz w:val="24"/>
        </w:rPr>
        <w:t xml:space="preserve">(2000) 204 CLR </w:t>
      </w:r>
      <w:r w:rsidR="00D60858" w:rsidRPr="006D4E15">
        <w:rPr>
          <w:rFonts w:ascii="Times New Roman" w:hAnsi="Times New Roman"/>
          <w:sz w:val="24"/>
        </w:rPr>
        <w:t>3</w:t>
      </w:r>
      <w:r w:rsidR="00142488" w:rsidRPr="006D4E15">
        <w:rPr>
          <w:rFonts w:ascii="Times New Roman" w:hAnsi="Times New Roman"/>
          <w:sz w:val="24"/>
        </w:rPr>
        <w:t xml:space="preserve">33. </w:t>
      </w:r>
    </w:p>
  </w:footnote>
  <w:footnote w:id="29">
    <w:p w14:paraId="19B8C0B7" w14:textId="3A10590C" w:rsidR="001E1949" w:rsidRPr="006D4E15" w:rsidRDefault="000145A6"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also</w:t>
      </w:r>
      <w:r w:rsidR="001E1949" w:rsidRPr="006D4E15">
        <w:rPr>
          <w:rFonts w:ascii="Times New Roman" w:hAnsi="Times New Roman"/>
          <w:sz w:val="24"/>
        </w:rPr>
        <w:t xml:space="preserve"> </w:t>
      </w:r>
      <w:r w:rsidRPr="006D4E15">
        <w:rPr>
          <w:rFonts w:ascii="Times New Roman" w:hAnsi="Times New Roman"/>
          <w:i/>
          <w:iCs/>
          <w:sz w:val="24"/>
          <w:szCs w:val="18"/>
        </w:rPr>
        <w:t xml:space="preserve">Schokman </w:t>
      </w:r>
      <w:r w:rsidRPr="006D4E15">
        <w:rPr>
          <w:rFonts w:ascii="Times New Roman" w:hAnsi="Times New Roman"/>
          <w:sz w:val="24"/>
          <w:szCs w:val="18"/>
        </w:rPr>
        <w:t>(2023) 97 ALJR</w:t>
      </w:r>
      <w:r w:rsidRPr="006D4E15">
        <w:rPr>
          <w:rFonts w:ascii="Times New Roman" w:hAnsi="Times New Roman"/>
          <w:i/>
          <w:iCs/>
          <w:sz w:val="24"/>
          <w:szCs w:val="18"/>
        </w:rPr>
        <w:t xml:space="preserve"> </w:t>
      </w:r>
      <w:r w:rsidRPr="006D4E15">
        <w:rPr>
          <w:rFonts w:ascii="Times New Roman" w:hAnsi="Times New Roman"/>
          <w:sz w:val="24"/>
          <w:szCs w:val="18"/>
        </w:rPr>
        <w:t>551 at 56</w:t>
      </w:r>
      <w:r w:rsidR="00480632" w:rsidRPr="006D4E15">
        <w:rPr>
          <w:rFonts w:ascii="Times New Roman" w:hAnsi="Times New Roman"/>
          <w:sz w:val="24"/>
          <w:szCs w:val="18"/>
        </w:rPr>
        <w:t>3</w:t>
      </w:r>
      <w:r w:rsidRPr="006D4E15">
        <w:rPr>
          <w:rFonts w:ascii="Times New Roman" w:hAnsi="Times New Roman"/>
          <w:sz w:val="24"/>
          <w:szCs w:val="18"/>
        </w:rPr>
        <w:t xml:space="preserve"> [</w:t>
      </w:r>
      <w:r w:rsidR="00480632" w:rsidRPr="006D4E15">
        <w:rPr>
          <w:rFonts w:ascii="Times New Roman" w:hAnsi="Times New Roman"/>
          <w:sz w:val="24"/>
          <w:szCs w:val="18"/>
        </w:rPr>
        <w:t>56</w:t>
      </w:r>
      <w:r w:rsidRPr="006D4E15">
        <w:rPr>
          <w:rFonts w:ascii="Times New Roman" w:hAnsi="Times New Roman"/>
          <w:sz w:val="24"/>
          <w:szCs w:val="18"/>
        </w:rPr>
        <w:t xml:space="preserve">]; </w:t>
      </w:r>
      <w:r w:rsidRPr="006D4E15">
        <w:rPr>
          <w:rFonts w:ascii="Times New Roman" w:hAnsi="Times New Roman"/>
          <w:sz w:val="24"/>
        </w:rPr>
        <w:t xml:space="preserve">410 ALR 479 at </w:t>
      </w:r>
      <w:r w:rsidR="008578E3" w:rsidRPr="006D4E15">
        <w:rPr>
          <w:rFonts w:ascii="Times New Roman" w:hAnsi="Times New Roman"/>
          <w:sz w:val="24"/>
        </w:rPr>
        <w:t>492</w:t>
      </w:r>
      <w:r w:rsidRPr="006D4E15">
        <w:rPr>
          <w:rFonts w:ascii="Times New Roman" w:hAnsi="Times New Roman"/>
          <w:sz w:val="24"/>
          <w:szCs w:val="18"/>
        </w:rPr>
        <w:t>.</w:t>
      </w:r>
      <w:r w:rsidR="00896433" w:rsidRPr="006D4E15">
        <w:rPr>
          <w:rFonts w:ascii="Times New Roman" w:hAnsi="Times New Roman"/>
          <w:sz w:val="24"/>
          <w:szCs w:val="18"/>
        </w:rPr>
        <w:t xml:space="preserve"> </w:t>
      </w:r>
      <w:r w:rsidR="00D530ED" w:rsidRPr="006D4E15">
        <w:rPr>
          <w:rFonts w:ascii="Times New Roman" w:hAnsi="Times New Roman"/>
          <w:sz w:val="24"/>
          <w:szCs w:val="18"/>
        </w:rPr>
        <w:t>c</w:t>
      </w:r>
      <w:r w:rsidR="00896433" w:rsidRPr="006D4E15">
        <w:rPr>
          <w:rFonts w:ascii="Times New Roman" w:hAnsi="Times New Roman"/>
          <w:sz w:val="24"/>
          <w:szCs w:val="18"/>
        </w:rPr>
        <w:t>f</w:t>
      </w:r>
      <w:r w:rsidR="00CF7AF2" w:rsidRPr="006D4E15">
        <w:rPr>
          <w:rFonts w:ascii="Times New Roman" w:hAnsi="Times New Roman"/>
          <w:sz w:val="24"/>
          <w:szCs w:val="18"/>
        </w:rPr>
        <w:t xml:space="preserve"> </w:t>
      </w:r>
      <w:r w:rsidR="00CF7AF2" w:rsidRPr="006D4E15">
        <w:rPr>
          <w:rFonts w:ascii="Times New Roman" w:hAnsi="Times New Roman"/>
          <w:i/>
          <w:iCs/>
          <w:sz w:val="24"/>
          <w:szCs w:val="18"/>
        </w:rPr>
        <w:t xml:space="preserve">Scott </w:t>
      </w:r>
      <w:r w:rsidR="00CF7AF2" w:rsidRPr="006D4E15">
        <w:rPr>
          <w:rFonts w:ascii="Times New Roman" w:hAnsi="Times New Roman"/>
          <w:sz w:val="24"/>
        </w:rPr>
        <w:t>(2000) 204 CLR 333 at 385 [159],</w:t>
      </w:r>
      <w:r w:rsidR="00B1654B" w:rsidRPr="006D4E15">
        <w:rPr>
          <w:rFonts w:ascii="Times New Roman" w:hAnsi="Times New Roman"/>
          <w:sz w:val="24"/>
        </w:rPr>
        <w:t xml:space="preserve"> 437</w:t>
      </w:r>
      <w:r w:rsidR="007C52BC" w:rsidRPr="006D4E15">
        <w:rPr>
          <w:rFonts w:ascii="Times New Roman" w:hAnsi="Times New Roman"/>
          <w:sz w:val="24"/>
        </w:rPr>
        <w:noBreakHyphen/>
      </w:r>
      <w:r w:rsidR="00B1654B" w:rsidRPr="006D4E15">
        <w:rPr>
          <w:rFonts w:ascii="Times New Roman" w:hAnsi="Times New Roman"/>
          <w:sz w:val="24"/>
        </w:rPr>
        <w:t>438 [305]-[306]</w:t>
      </w:r>
      <w:r w:rsidR="00CF7AF2" w:rsidRPr="006D4E15">
        <w:rPr>
          <w:rFonts w:ascii="Times New Roman" w:hAnsi="Times New Roman"/>
          <w:sz w:val="24"/>
        </w:rPr>
        <w:t>.</w:t>
      </w:r>
    </w:p>
  </w:footnote>
  <w:footnote w:id="30">
    <w:p w14:paraId="75A03523" w14:textId="463F0D5C" w:rsidR="00E47A83" w:rsidRPr="006D4E15" w:rsidRDefault="00E47A8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(1960) 103 CLR 215 at 231.</w:t>
      </w:r>
    </w:p>
  </w:footnote>
  <w:footnote w:id="31">
    <w:p w14:paraId="3E84B92E" w14:textId="118DA35D" w:rsidR="00C749FD" w:rsidRPr="006D4E15" w:rsidRDefault="00C749F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(2000) 204 CLR 333</w:t>
      </w:r>
      <w:r w:rsidR="00706329" w:rsidRPr="006D4E15">
        <w:rPr>
          <w:rFonts w:ascii="Times New Roman" w:hAnsi="Times New Roman"/>
          <w:sz w:val="24"/>
        </w:rPr>
        <w:t xml:space="preserve"> at </w:t>
      </w:r>
      <w:r w:rsidR="00BA186C" w:rsidRPr="006D4E15">
        <w:rPr>
          <w:rFonts w:ascii="Times New Roman" w:hAnsi="Times New Roman"/>
          <w:sz w:val="24"/>
        </w:rPr>
        <w:t xml:space="preserve">341-342 [16], </w:t>
      </w:r>
      <w:r w:rsidR="00706329" w:rsidRPr="006D4E15">
        <w:rPr>
          <w:rFonts w:ascii="Times New Roman" w:hAnsi="Times New Roman"/>
          <w:sz w:val="24"/>
        </w:rPr>
        <w:t xml:space="preserve">415-416 </w:t>
      </w:r>
      <w:r w:rsidR="009A0F8D" w:rsidRPr="006D4E15">
        <w:rPr>
          <w:rFonts w:ascii="Times New Roman" w:hAnsi="Times New Roman"/>
          <w:sz w:val="24"/>
        </w:rPr>
        <w:t>[244]</w:t>
      </w:r>
      <w:r w:rsidR="0039057A" w:rsidRPr="006D4E15">
        <w:rPr>
          <w:rFonts w:ascii="Times New Roman" w:hAnsi="Times New Roman"/>
          <w:sz w:val="24"/>
        </w:rPr>
        <w:t xml:space="preserve">, 440 [311], </w:t>
      </w:r>
      <w:r w:rsidR="00141140" w:rsidRPr="006D4E15">
        <w:rPr>
          <w:rFonts w:ascii="Times New Roman" w:hAnsi="Times New Roman"/>
          <w:sz w:val="24"/>
        </w:rPr>
        <w:t>459-460 [357]-[358]</w:t>
      </w:r>
      <w:r w:rsidRPr="006D4E15">
        <w:rPr>
          <w:rFonts w:ascii="Times New Roman" w:hAnsi="Times New Roman"/>
          <w:sz w:val="24"/>
        </w:rPr>
        <w:t>.</w:t>
      </w:r>
    </w:p>
  </w:footnote>
  <w:footnote w:id="32">
    <w:p w14:paraId="35D6CFCF" w14:textId="2EF021CF" w:rsidR="005376D2" w:rsidRPr="006D4E15" w:rsidRDefault="005376D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F35787" w:rsidRPr="006D4E15">
        <w:rPr>
          <w:rFonts w:ascii="Times New Roman" w:hAnsi="Times New Roman"/>
          <w:i/>
          <w:iCs/>
          <w:sz w:val="24"/>
        </w:rPr>
        <w:t xml:space="preserve">Colonial Mutual </w:t>
      </w:r>
      <w:r w:rsidR="001974BF" w:rsidRPr="006D4E15">
        <w:rPr>
          <w:rFonts w:ascii="Times New Roman" w:hAnsi="Times New Roman"/>
          <w:i/>
          <w:iCs/>
          <w:sz w:val="24"/>
        </w:rPr>
        <w:t xml:space="preserve">Life </w:t>
      </w:r>
      <w:r w:rsidR="001974BF" w:rsidRPr="006D4E15">
        <w:rPr>
          <w:rFonts w:ascii="Times New Roman" w:hAnsi="Times New Roman"/>
          <w:sz w:val="24"/>
        </w:rPr>
        <w:t xml:space="preserve">(1931) 46 CLR 41 at </w:t>
      </w:r>
      <w:r w:rsidR="00B33F20" w:rsidRPr="006D4E15">
        <w:rPr>
          <w:rFonts w:ascii="Times New Roman" w:hAnsi="Times New Roman"/>
          <w:sz w:val="24"/>
        </w:rPr>
        <w:t>50</w:t>
      </w:r>
      <w:r w:rsidR="006F6F06" w:rsidRPr="006D4E15">
        <w:rPr>
          <w:rFonts w:ascii="Times New Roman" w:hAnsi="Times New Roman"/>
          <w:iCs/>
          <w:sz w:val="24"/>
        </w:rPr>
        <w:t>.</w:t>
      </w:r>
    </w:p>
  </w:footnote>
  <w:footnote w:id="33">
    <w:p w14:paraId="4BF801CE" w14:textId="13E22BC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F42C9B" w:rsidRPr="006D4E15">
        <w:rPr>
          <w:rFonts w:ascii="Times New Roman" w:hAnsi="Times New Roman"/>
          <w:i/>
          <w:iCs/>
          <w:sz w:val="24"/>
          <w:szCs w:val="18"/>
        </w:rPr>
        <w:t>Burnie Port Authority</w:t>
      </w:r>
      <w:r w:rsidR="00F42C9B" w:rsidRPr="006D4E15">
        <w:rPr>
          <w:rFonts w:ascii="Times New Roman" w:hAnsi="Times New Roman"/>
          <w:i/>
          <w:sz w:val="24"/>
          <w:szCs w:val="18"/>
        </w:rPr>
        <w:t xml:space="preserve"> </w:t>
      </w:r>
      <w:r w:rsidR="00FF13CD" w:rsidRPr="006D4E15">
        <w:rPr>
          <w:rFonts w:ascii="Times New Roman" w:hAnsi="Times New Roman"/>
          <w:i/>
          <w:iCs/>
          <w:sz w:val="24"/>
          <w:szCs w:val="18"/>
        </w:rPr>
        <w:t>v General Jones Pty Ltd</w:t>
      </w:r>
      <w:r w:rsidR="00F42C9B" w:rsidRPr="006D4E15">
        <w:rPr>
          <w:rFonts w:ascii="Times New Roman" w:hAnsi="Times New Roman"/>
          <w:sz w:val="24"/>
          <w:szCs w:val="18"/>
        </w:rPr>
        <w:t xml:space="preserve"> (1994) 179 CLR 520 at 550</w:t>
      </w:r>
      <w:r w:rsidR="006E0A02" w:rsidRPr="006D4E15">
        <w:rPr>
          <w:rFonts w:ascii="Times New Roman" w:hAnsi="Times New Roman"/>
          <w:sz w:val="24"/>
          <w:szCs w:val="18"/>
        </w:rPr>
        <w:t xml:space="preserve">, </w:t>
      </w:r>
      <w:r w:rsidR="00944A61" w:rsidRPr="006D4E15">
        <w:rPr>
          <w:rFonts w:ascii="Times New Roman" w:hAnsi="Times New Roman"/>
          <w:sz w:val="24"/>
          <w:szCs w:val="18"/>
        </w:rPr>
        <w:t>quoting</w:t>
      </w:r>
      <w:r w:rsidR="006E0A02" w:rsidRPr="006D4E15">
        <w:rPr>
          <w:rFonts w:ascii="Times New Roman" w:hAnsi="Times New Roman"/>
          <w:sz w:val="24"/>
          <w:szCs w:val="18"/>
        </w:rPr>
        <w:t xml:space="preserve"> </w:t>
      </w:r>
      <w:r w:rsidR="006E0A02" w:rsidRPr="006D4E15">
        <w:rPr>
          <w:rFonts w:ascii="Times New Roman" w:hAnsi="Times New Roman"/>
          <w:i/>
          <w:iCs/>
          <w:sz w:val="24"/>
          <w:szCs w:val="18"/>
        </w:rPr>
        <w:t>Kondis v State Transport Authority</w:t>
      </w:r>
      <w:r w:rsidR="006E0A02" w:rsidRPr="006D4E15">
        <w:rPr>
          <w:rFonts w:ascii="Times New Roman" w:hAnsi="Times New Roman"/>
          <w:sz w:val="24"/>
          <w:szCs w:val="18"/>
        </w:rPr>
        <w:t xml:space="preserve"> (1984) 154 CLR 672 at 686</w:t>
      </w:r>
      <w:r w:rsidR="00B9774F" w:rsidRPr="006D4E15">
        <w:rPr>
          <w:rFonts w:ascii="Times New Roman" w:hAnsi="Times New Roman"/>
          <w:sz w:val="24"/>
          <w:szCs w:val="18"/>
        </w:rPr>
        <w:t>. See also</w:t>
      </w:r>
      <w:r w:rsidR="00F42C9B" w:rsidRPr="006D4E15">
        <w:rPr>
          <w:rFonts w:ascii="Times New Roman" w:hAnsi="Times New Roman"/>
          <w:sz w:val="24"/>
          <w:szCs w:val="18"/>
        </w:rPr>
        <w:t xml:space="preserve"> </w:t>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7B1D20" w:rsidRPr="006D4E15">
        <w:rPr>
          <w:rFonts w:ascii="Times New Roman" w:hAnsi="Times New Roman"/>
          <w:sz w:val="24"/>
          <w:szCs w:val="18"/>
        </w:rPr>
        <w:t>530 [25],</w:t>
      </w:r>
      <w:r w:rsidR="007F380E" w:rsidRPr="006D4E15">
        <w:rPr>
          <w:rFonts w:ascii="Times New Roman" w:hAnsi="Times New Roman"/>
          <w:sz w:val="24"/>
          <w:szCs w:val="18"/>
        </w:rPr>
        <w:t xml:space="preserve"> 551</w:t>
      </w:r>
      <w:r w:rsidR="00522AC3" w:rsidRPr="006D4E15">
        <w:rPr>
          <w:rFonts w:ascii="Times New Roman" w:hAnsi="Times New Roman"/>
          <w:sz w:val="24"/>
          <w:szCs w:val="18"/>
        </w:rPr>
        <w:t>-552 [101]</w:t>
      </w:r>
      <w:r w:rsidR="00902118" w:rsidRPr="006D4E15">
        <w:rPr>
          <w:rFonts w:ascii="Times New Roman" w:hAnsi="Times New Roman"/>
          <w:sz w:val="24"/>
          <w:szCs w:val="18"/>
        </w:rPr>
        <w:t>,</w:t>
      </w:r>
      <w:r w:rsidR="007B1D20" w:rsidRPr="006D4E15">
        <w:rPr>
          <w:rFonts w:ascii="Times New Roman" w:hAnsi="Times New Roman"/>
          <w:sz w:val="24"/>
          <w:szCs w:val="18"/>
        </w:rPr>
        <w:t xml:space="preserve"> </w:t>
      </w:r>
      <w:r w:rsidR="00AD1DF1" w:rsidRPr="006D4E15">
        <w:rPr>
          <w:rFonts w:ascii="Times New Roman" w:hAnsi="Times New Roman"/>
          <w:sz w:val="24"/>
          <w:szCs w:val="18"/>
        </w:rPr>
        <w:t>598 [254</w:t>
      </w:r>
      <w:r w:rsidRPr="006D4E15" w:rsidDel="00AD1DF1">
        <w:rPr>
          <w:rFonts w:ascii="Times New Roman" w:hAnsi="Times New Roman"/>
          <w:sz w:val="24"/>
          <w:szCs w:val="18"/>
        </w:rPr>
        <w:t>]</w:t>
      </w:r>
      <w:r w:rsidRPr="006D4E15">
        <w:rPr>
          <w:rFonts w:ascii="Times New Roman" w:hAnsi="Times New Roman"/>
          <w:sz w:val="24"/>
          <w:szCs w:val="18"/>
        </w:rPr>
        <w:t xml:space="preserve">; </w:t>
      </w:r>
      <w:r w:rsidRPr="006D4E15">
        <w:rPr>
          <w:rFonts w:ascii="Times New Roman" w:hAnsi="Times New Roman"/>
          <w:i/>
          <w:iCs/>
          <w:sz w:val="24"/>
          <w:szCs w:val="18"/>
        </w:rPr>
        <w:t>Leich</w:t>
      </w:r>
      <w:r w:rsidR="00CA2B0F" w:rsidRPr="006D4E15">
        <w:rPr>
          <w:rFonts w:ascii="Times New Roman" w:hAnsi="Times New Roman"/>
          <w:i/>
          <w:iCs/>
          <w:sz w:val="24"/>
          <w:szCs w:val="18"/>
        </w:rPr>
        <w:t>h</w:t>
      </w:r>
      <w:r w:rsidRPr="006D4E15">
        <w:rPr>
          <w:rFonts w:ascii="Times New Roman" w:hAnsi="Times New Roman"/>
          <w:i/>
          <w:iCs/>
          <w:sz w:val="24"/>
          <w:szCs w:val="18"/>
        </w:rPr>
        <w:t xml:space="preserve">ardt Municipal Council v Montgomery </w:t>
      </w:r>
      <w:r w:rsidRPr="006D4E15">
        <w:rPr>
          <w:rFonts w:ascii="Times New Roman" w:hAnsi="Times New Roman"/>
          <w:sz w:val="24"/>
          <w:szCs w:val="18"/>
        </w:rPr>
        <w:t>(2007) 230 CLR 22 at 27 [6]</w:t>
      </w:r>
      <w:r w:rsidR="0086013C" w:rsidRPr="006D4E15">
        <w:rPr>
          <w:rFonts w:ascii="Times New Roman" w:hAnsi="Times New Roman"/>
          <w:sz w:val="24"/>
          <w:szCs w:val="18"/>
        </w:rPr>
        <w:t>.</w:t>
      </w:r>
    </w:p>
  </w:footnote>
  <w:footnote w:id="34">
    <w:p w14:paraId="7461246E" w14:textId="7CDB001D" w:rsidR="000D11A2" w:rsidRPr="006D4E15" w:rsidRDefault="000D11A2"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Kondis </w:t>
      </w:r>
      <w:r w:rsidRPr="006D4E15">
        <w:rPr>
          <w:rFonts w:ascii="Times New Roman" w:hAnsi="Times New Roman"/>
          <w:sz w:val="24"/>
          <w:szCs w:val="18"/>
        </w:rPr>
        <w:t>(1984) 154 CLR 672 at 686</w:t>
      </w:r>
      <w:r w:rsidR="00F31855" w:rsidRPr="006D4E15">
        <w:rPr>
          <w:rFonts w:ascii="Times New Roman" w:hAnsi="Times New Roman"/>
          <w:sz w:val="24"/>
          <w:szCs w:val="18"/>
        </w:rPr>
        <w:t xml:space="preserve"> (emphasis added)</w:t>
      </w:r>
      <w:r w:rsidR="0043240F" w:rsidRPr="006D4E15">
        <w:rPr>
          <w:rFonts w:ascii="Times New Roman" w:hAnsi="Times New Roman"/>
          <w:sz w:val="24"/>
          <w:szCs w:val="18"/>
        </w:rPr>
        <w:t>.</w:t>
      </w:r>
      <w:r w:rsidRPr="006D4E15">
        <w:rPr>
          <w:rFonts w:ascii="Times New Roman" w:hAnsi="Times New Roman"/>
          <w:sz w:val="24"/>
          <w:szCs w:val="18"/>
        </w:rPr>
        <w:t xml:space="preserve"> </w:t>
      </w:r>
      <w:r w:rsidR="0043240F" w:rsidRPr="006D4E15">
        <w:rPr>
          <w:rFonts w:ascii="Times New Roman" w:hAnsi="Times New Roman"/>
          <w:sz w:val="24"/>
          <w:szCs w:val="18"/>
        </w:rPr>
        <w:t>S</w:t>
      </w:r>
      <w:r w:rsidR="00EA38DC" w:rsidRPr="006D4E15">
        <w:rPr>
          <w:rFonts w:ascii="Times New Roman" w:hAnsi="Times New Roman"/>
          <w:sz w:val="24"/>
          <w:szCs w:val="18"/>
        </w:rPr>
        <w:t xml:space="preserve">ee also </w:t>
      </w:r>
      <w:r w:rsidR="009338DF" w:rsidRPr="006D4E15">
        <w:rPr>
          <w:rFonts w:ascii="Times New Roman" w:hAnsi="Times New Roman"/>
          <w:i/>
          <w:sz w:val="24"/>
          <w:szCs w:val="18"/>
        </w:rPr>
        <w:t xml:space="preserve">Introvigne </w:t>
      </w:r>
      <w:r w:rsidR="002B6F56" w:rsidRPr="006D4E15">
        <w:rPr>
          <w:rFonts w:ascii="Times New Roman" w:hAnsi="Times New Roman"/>
          <w:sz w:val="24"/>
          <w:szCs w:val="18"/>
        </w:rPr>
        <w:t xml:space="preserve">(1982) 150 CLR 258 at </w:t>
      </w:r>
      <w:r w:rsidR="00B24A6C" w:rsidRPr="006D4E15">
        <w:rPr>
          <w:rFonts w:ascii="Times New Roman" w:hAnsi="Times New Roman"/>
          <w:sz w:val="24"/>
          <w:szCs w:val="18"/>
        </w:rPr>
        <w:t xml:space="preserve">270-271; </w:t>
      </w:r>
      <w:r w:rsidR="00C64EF6" w:rsidRPr="006D4E15">
        <w:rPr>
          <w:rFonts w:ascii="Times New Roman" w:hAnsi="Times New Roman"/>
          <w:i/>
          <w:sz w:val="24"/>
          <w:szCs w:val="18"/>
        </w:rPr>
        <w:t xml:space="preserve">Burnie Port Authority </w:t>
      </w:r>
      <w:r w:rsidR="00C64EF6" w:rsidRPr="006D4E15">
        <w:rPr>
          <w:rFonts w:ascii="Times New Roman" w:hAnsi="Times New Roman"/>
          <w:sz w:val="24"/>
          <w:szCs w:val="18"/>
        </w:rPr>
        <w:t xml:space="preserve">(1994) 179 CLR 520 at 550; </w:t>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DA6C5D" w:rsidRPr="006D4E15">
        <w:rPr>
          <w:rFonts w:ascii="Times New Roman" w:hAnsi="Times New Roman"/>
          <w:sz w:val="24"/>
          <w:szCs w:val="18"/>
        </w:rPr>
        <w:t xml:space="preserve">551-552 </w:t>
      </w:r>
      <w:r w:rsidR="00C64EF6" w:rsidRPr="006D4E15">
        <w:rPr>
          <w:rFonts w:ascii="Times New Roman" w:hAnsi="Times New Roman"/>
          <w:sz w:val="24"/>
          <w:szCs w:val="18"/>
        </w:rPr>
        <w:t>[101]</w:t>
      </w:r>
      <w:r w:rsidR="007345AC" w:rsidRPr="006D4E15">
        <w:rPr>
          <w:rFonts w:ascii="Times New Roman" w:hAnsi="Times New Roman"/>
          <w:sz w:val="24"/>
          <w:szCs w:val="18"/>
        </w:rPr>
        <w:t>,</w:t>
      </w:r>
      <w:r w:rsidR="0013667E" w:rsidRPr="006D4E15">
        <w:rPr>
          <w:rFonts w:ascii="Times New Roman" w:hAnsi="Times New Roman"/>
          <w:sz w:val="24"/>
          <w:szCs w:val="18"/>
        </w:rPr>
        <w:t xml:space="preserve"> 598</w:t>
      </w:r>
      <w:r w:rsidR="00C64EF6" w:rsidRPr="006D4E15">
        <w:rPr>
          <w:rFonts w:ascii="Times New Roman" w:hAnsi="Times New Roman"/>
          <w:sz w:val="24"/>
          <w:szCs w:val="18"/>
        </w:rPr>
        <w:t xml:space="preserve"> </w:t>
      </w:r>
      <w:r w:rsidRPr="006D4E15">
        <w:rPr>
          <w:rFonts w:ascii="Times New Roman" w:hAnsi="Times New Roman"/>
          <w:sz w:val="24"/>
          <w:szCs w:val="18"/>
        </w:rPr>
        <w:t xml:space="preserve">[254]. </w:t>
      </w:r>
    </w:p>
  </w:footnote>
  <w:footnote w:id="35">
    <w:p w14:paraId="4DBF92DC" w14:textId="18AB8ED5"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Lepore</w:t>
      </w:r>
      <w:r w:rsidRPr="006D4E15">
        <w:rPr>
          <w:rFonts w:ascii="Times New Roman" w:hAnsi="Times New Roman"/>
          <w:sz w:val="24"/>
          <w:szCs w:val="18"/>
        </w:rPr>
        <w:t xml:space="preserve"> (2003) 212 CLR 511 at </w:t>
      </w:r>
      <w:r w:rsidR="00A53F7B" w:rsidRPr="006D4E15">
        <w:rPr>
          <w:rFonts w:ascii="Times New Roman" w:hAnsi="Times New Roman"/>
          <w:sz w:val="24"/>
          <w:szCs w:val="18"/>
        </w:rPr>
        <w:t xml:space="preserve">565 </w:t>
      </w:r>
      <w:r w:rsidRPr="006D4E15">
        <w:rPr>
          <w:rFonts w:ascii="Times New Roman" w:hAnsi="Times New Roman"/>
          <w:sz w:val="24"/>
          <w:szCs w:val="18"/>
        </w:rPr>
        <w:t>[144].</w:t>
      </w:r>
    </w:p>
  </w:footnote>
  <w:footnote w:id="36">
    <w:p w14:paraId="4971E859" w14:textId="7AD83E7E"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00EC5EC8" w:rsidRPr="006D4E15">
        <w:rPr>
          <w:rFonts w:ascii="Times New Roman" w:hAnsi="Times New Roman"/>
          <w:sz w:val="24"/>
          <w:szCs w:val="18"/>
        </w:rPr>
        <w:tab/>
      </w:r>
      <w:r w:rsidRPr="006D4E15">
        <w:rPr>
          <w:rFonts w:ascii="Times New Roman" w:hAnsi="Times New Roman"/>
          <w:i/>
          <w:iCs/>
          <w:sz w:val="24"/>
          <w:szCs w:val="18"/>
        </w:rPr>
        <w:t xml:space="preserve">Woodland </w:t>
      </w:r>
      <w:r w:rsidR="001F7289" w:rsidRPr="006D4E15">
        <w:rPr>
          <w:rFonts w:ascii="Times New Roman" w:hAnsi="Times New Roman"/>
          <w:i/>
          <w:iCs/>
          <w:sz w:val="24"/>
          <w:szCs w:val="18"/>
        </w:rPr>
        <w:t>v Swimming Teachers Association</w:t>
      </w:r>
      <w:r w:rsidRPr="006D4E15">
        <w:rPr>
          <w:rFonts w:ascii="Times New Roman" w:hAnsi="Times New Roman"/>
          <w:i/>
          <w:iCs/>
          <w:sz w:val="24"/>
          <w:szCs w:val="18"/>
        </w:rPr>
        <w:t xml:space="preserve"> </w:t>
      </w:r>
      <w:r w:rsidRPr="006D4E15">
        <w:rPr>
          <w:rFonts w:ascii="Times New Roman" w:hAnsi="Times New Roman"/>
          <w:sz w:val="24"/>
          <w:szCs w:val="18"/>
        </w:rPr>
        <w:t>[2014] AC 537 at</w:t>
      </w:r>
      <w:r w:rsidR="00201CED" w:rsidRPr="006D4E15">
        <w:rPr>
          <w:rFonts w:ascii="Times New Roman" w:hAnsi="Times New Roman"/>
          <w:sz w:val="24"/>
          <w:szCs w:val="18"/>
        </w:rPr>
        <w:t xml:space="preserve"> 573</w:t>
      </w:r>
      <w:r w:rsidRPr="006D4E15">
        <w:rPr>
          <w:rFonts w:ascii="Times New Roman" w:hAnsi="Times New Roman"/>
          <w:sz w:val="24"/>
          <w:szCs w:val="18"/>
        </w:rPr>
        <w:t xml:space="preserve"> [5].</w:t>
      </w:r>
    </w:p>
  </w:footnote>
  <w:footnote w:id="37">
    <w:p w14:paraId="612183E3" w14:textId="271C860D"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ED53D3" w:rsidRPr="006D4E15">
        <w:rPr>
          <w:rFonts w:ascii="Times New Roman" w:hAnsi="Times New Roman"/>
          <w:i/>
          <w:sz w:val="24"/>
          <w:szCs w:val="18"/>
        </w:rPr>
        <w:t xml:space="preserve">Introvigne </w:t>
      </w:r>
      <w:r w:rsidR="00ED53D3" w:rsidRPr="006D4E15">
        <w:rPr>
          <w:rFonts w:ascii="Times New Roman" w:hAnsi="Times New Roman"/>
          <w:sz w:val="24"/>
          <w:szCs w:val="18"/>
        </w:rPr>
        <w:t>(1982) 150 CLR 258 at 271</w:t>
      </w:r>
      <w:r w:rsidR="009112C5" w:rsidRPr="006D4E15">
        <w:rPr>
          <w:rFonts w:ascii="Times New Roman" w:hAnsi="Times New Roman"/>
          <w:sz w:val="24"/>
          <w:szCs w:val="18"/>
        </w:rPr>
        <w:t xml:space="preserve">, </w:t>
      </w:r>
      <w:r w:rsidR="006D1301" w:rsidRPr="006D4E15">
        <w:rPr>
          <w:rFonts w:ascii="Times New Roman" w:hAnsi="Times New Roman"/>
          <w:sz w:val="24"/>
          <w:szCs w:val="18"/>
        </w:rPr>
        <w:t>275,</w:t>
      </w:r>
      <w:r w:rsidR="009112C5" w:rsidRPr="006D4E15">
        <w:rPr>
          <w:rFonts w:ascii="Times New Roman" w:hAnsi="Times New Roman"/>
          <w:sz w:val="24"/>
          <w:szCs w:val="18"/>
        </w:rPr>
        <w:t xml:space="preserve"> 279</w:t>
      </w:r>
      <w:r w:rsidR="00ED53D3" w:rsidRPr="006D4E15">
        <w:rPr>
          <w:rFonts w:ascii="Times New Roman" w:hAnsi="Times New Roman"/>
          <w:sz w:val="24"/>
          <w:szCs w:val="18"/>
        </w:rPr>
        <w:t xml:space="preserve">; </w:t>
      </w:r>
      <w:r w:rsidR="00C206DB" w:rsidRPr="006D4E15">
        <w:rPr>
          <w:rFonts w:ascii="Times New Roman" w:hAnsi="Times New Roman"/>
          <w:i/>
          <w:sz w:val="24"/>
          <w:szCs w:val="18"/>
        </w:rPr>
        <w:t>Northern</w:t>
      </w:r>
      <w:r w:rsidR="00A0523D" w:rsidRPr="006D4E15">
        <w:rPr>
          <w:rFonts w:ascii="Times New Roman" w:hAnsi="Times New Roman"/>
          <w:i/>
          <w:sz w:val="24"/>
          <w:szCs w:val="18"/>
        </w:rPr>
        <w:t> </w:t>
      </w:r>
      <w:r w:rsidR="00C206DB" w:rsidRPr="006D4E15">
        <w:rPr>
          <w:rFonts w:ascii="Times New Roman" w:hAnsi="Times New Roman"/>
          <w:i/>
          <w:sz w:val="24"/>
          <w:szCs w:val="18"/>
        </w:rPr>
        <w:t xml:space="preserve">Sandblasting Pty Ltd v Harris </w:t>
      </w:r>
      <w:r w:rsidR="00C206DB" w:rsidRPr="006D4E15">
        <w:rPr>
          <w:rFonts w:ascii="Times New Roman" w:hAnsi="Times New Roman"/>
          <w:sz w:val="24"/>
          <w:szCs w:val="18"/>
        </w:rPr>
        <w:t xml:space="preserve">(1997) 188 CLR 313 at </w:t>
      </w:r>
      <w:r w:rsidR="007264F9" w:rsidRPr="006D4E15">
        <w:rPr>
          <w:rFonts w:ascii="Times New Roman" w:hAnsi="Times New Roman"/>
          <w:sz w:val="24"/>
          <w:szCs w:val="18"/>
        </w:rPr>
        <w:t>329-</w:t>
      </w:r>
      <w:r w:rsidR="00C206DB" w:rsidRPr="006D4E15">
        <w:rPr>
          <w:rFonts w:ascii="Times New Roman" w:hAnsi="Times New Roman"/>
          <w:sz w:val="24"/>
          <w:szCs w:val="18"/>
        </w:rPr>
        <w:t xml:space="preserve">330; </w:t>
      </w:r>
      <w:r w:rsidRPr="006D4E15">
        <w:rPr>
          <w:rFonts w:ascii="Times New Roman" w:hAnsi="Times New Roman"/>
          <w:i/>
          <w:iCs/>
          <w:sz w:val="24"/>
          <w:szCs w:val="18"/>
        </w:rPr>
        <w:t xml:space="preserve">Schokman </w:t>
      </w:r>
      <w:r w:rsidRPr="006D4E15">
        <w:rPr>
          <w:rFonts w:ascii="Times New Roman" w:hAnsi="Times New Roman"/>
          <w:sz w:val="24"/>
          <w:szCs w:val="18"/>
        </w:rPr>
        <w:t>(2023) 97 ALJR</w:t>
      </w:r>
      <w:r w:rsidRPr="006D4E15">
        <w:rPr>
          <w:rFonts w:ascii="Times New Roman" w:hAnsi="Times New Roman"/>
          <w:i/>
          <w:iCs/>
          <w:sz w:val="24"/>
          <w:szCs w:val="18"/>
        </w:rPr>
        <w:t xml:space="preserve"> </w:t>
      </w:r>
      <w:r w:rsidRPr="006D4E15">
        <w:rPr>
          <w:rFonts w:ascii="Times New Roman" w:hAnsi="Times New Roman"/>
          <w:sz w:val="24"/>
          <w:szCs w:val="18"/>
        </w:rPr>
        <w:t xml:space="preserve">551 at </w:t>
      </w:r>
      <w:r w:rsidR="00197831" w:rsidRPr="006D4E15">
        <w:rPr>
          <w:rFonts w:ascii="Times New Roman" w:hAnsi="Times New Roman"/>
          <w:sz w:val="24"/>
          <w:szCs w:val="18"/>
        </w:rPr>
        <w:t>567</w:t>
      </w:r>
      <w:r w:rsidR="00F76955" w:rsidRPr="006D4E15">
        <w:rPr>
          <w:rFonts w:ascii="Times New Roman" w:hAnsi="Times New Roman"/>
          <w:sz w:val="24"/>
          <w:szCs w:val="18"/>
        </w:rPr>
        <w:t>-</w:t>
      </w:r>
      <w:r w:rsidR="00904234" w:rsidRPr="006D4E15">
        <w:rPr>
          <w:rFonts w:ascii="Times New Roman" w:hAnsi="Times New Roman"/>
          <w:sz w:val="24"/>
          <w:szCs w:val="18"/>
        </w:rPr>
        <w:t>568</w:t>
      </w:r>
      <w:r w:rsidR="00197831" w:rsidRPr="006D4E15">
        <w:rPr>
          <w:rFonts w:ascii="Times New Roman" w:hAnsi="Times New Roman"/>
          <w:sz w:val="24"/>
          <w:szCs w:val="18"/>
        </w:rPr>
        <w:t xml:space="preserve"> [70]-[</w:t>
      </w:r>
      <w:r w:rsidRPr="006D4E15">
        <w:rPr>
          <w:rFonts w:ascii="Times New Roman" w:hAnsi="Times New Roman"/>
          <w:sz w:val="24"/>
          <w:szCs w:val="18"/>
        </w:rPr>
        <w:t>7</w:t>
      </w:r>
      <w:r w:rsidR="00A367E6" w:rsidRPr="006D4E15">
        <w:rPr>
          <w:rFonts w:ascii="Times New Roman" w:hAnsi="Times New Roman"/>
          <w:sz w:val="24"/>
          <w:szCs w:val="18"/>
        </w:rPr>
        <w:t>3</w:t>
      </w:r>
      <w:r w:rsidRPr="006D4E15">
        <w:rPr>
          <w:rFonts w:ascii="Times New Roman" w:hAnsi="Times New Roman"/>
          <w:sz w:val="24"/>
          <w:szCs w:val="18"/>
        </w:rPr>
        <w:t>]</w:t>
      </w:r>
      <w:r w:rsidR="003E783B" w:rsidRPr="006D4E15">
        <w:rPr>
          <w:rFonts w:ascii="Times New Roman" w:hAnsi="Times New Roman"/>
          <w:sz w:val="24"/>
          <w:szCs w:val="18"/>
        </w:rPr>
        <w:t>;</w:t>
      </w:r>
      <w:r w:rsidR="008D484C" w:rsidRPr="006D4E15">
        <w:rPr>
          <w:rFonts w:ascii="Times New Roman" w:hAnsi="Times New Roman"/>
          <w:sz w:val="24"/>
          <w:szCs w:val="18"/>
        </w:rPr>
        <w:t xml:space="preserve"> </w:t>
      </w:r>
      <w:r w:rsidR="003E783B" w:rsidRPr="006D4E15">
        <w:rPr>
          <w:rFonts w:ascii="Times New Roman" w:hAnsi="Times New Roman"/>
          <w:sz w:val="24"/>
        </w:rPr>
        <w:t>410 ALR 479</w:t>
      </w:r>
      <w:r w:rsidR="008D484C" w:rsidRPr="006D4E15">
        <w:rPr>
          <w:rFonts w:ascii="Times New Roman" w:hAnsi="Times New Roman"/>
          <w:sz w:val="24"/>
        </w:rPr>
        <w:t xml:space="preserve"> at</w:t>
      </w:r>
      <w:r w:rsidR="00745F4F" w:rsidRPr="006D4E15">
        <w:rPr>
          <w:rFonts w:ascii="Times New Roman" w:hAnsi="Times New Roman"/>
          <w:sz w:val="24"/>
        </w:rPr>
        <w:t xml:space="preserve"> 497-49</w:t>
      </w:r>
      <w:r w:rsidR="00BB6A13" w:rsidRPr="006D4E15">
        <w:rPr>
          <w:rFonts w:ascii="Times New Roman" w:hAnsi="Times New Roman"/>
          <w:sz w:val="24"/>
        </w:rPr>
        <w:t>9</w:t>
      </w:r>
      <w:r w:rsidRPr="006D4E15">
        <w:rPr>
          <w:rFonts w:ascii="Times New Roman" w:hAnsi="Times New Roman"/>
          <w:sz w:val="24"/>
          <w:szCs w:val="18"/>
        </w:rPr>
        <w:t>.</w:t>
      </w:r>
      <w:r w:rsidR="005B537B" w:rsidRPr="006D4E15">
        <w:rPr>
          <w:rFonts w:ascii="Times New Roman" w:hAnsi="Times New Roman"/>
          <w:sz w:val="24"/>
          <w:szCs w:val="18"/>
        </w:rPr>
        <w:t xml:space="preserve"> </w:t>
      </w:r>
      <w:r w:rsidR="00ED22D7" w:rsidRPr="006D4E15">
        <w:rPr>
          <w:rFonts w:ascii="Times New Roman" w:hAnsi="Times New Roman"/>
          <w:sz w:val="24"/>
          <w:szCs w:val="18"/>
        </w:rPr>
        <w:t xml:space="preserve">See also </w:t>
      </w:r>
      <w:r w:rsidR="00ED22D7" w:rsidRPr="006D4E15">
        <w:rPr>
          <w:rFonts w:ascii="Times New Roman" w:hAnsi="Times New Roman"/>
          <w:i/>
          <w:iCs/>
          <w:sz w:val="24"/>
          <w:szCs w:val="18"/>
        </w:rPr>
        <w:t xml:space="preserve">Lepore </w:t>
      </w:r>
      <w:r w:rsidR="00ED22D7" w:rsidRPr="006D4E15">
        <w:rPr>
          <w:rFonts w:ascii="Times New Roman" w:hAnsi="Times New Roman"/>
          <w:sz w:val="24"/>
          <w:szCs w:val="18"/>
        </w:rPr>
        <w:t>(2003) 212 CLR 511 at 562 [136].</w:t>
      </w:r>
    </w:p>
  </w:footnote>
  <w:footnote w:id="38">
    <w:p w14:paraId="30D45019" w14:textId="026CE09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BF6AC8" w:rsidRPr="006D4E15">
        <w:rPr>
          <w:rFonts w:ascii="Times New Roman" w:hAnsi="Times New Roman"/>
          <w:sz w:val="24"/>
          <w:szCs w:val="18"/>
        </w:rPr>
        <w:t xml:space="preserve">See, eg, </w:t>
      </w:r>
      <w:r w:rsidRPr="006D4E15">
        <w:rPr>
          <w:rFonts w:ascii="Times New Roman" w:hAnsi="Times New Roman"/>
          <w:i/>
          <w:iCs/>
          <w:sz w:val="24"/>
          <w:szCs w:val="18"/>
        </w:rPr>
        <w:t xml:space="preserve">Kondis </w:t>
      </w:r>
      <w:r w:rsidRPr="006D4E15">
        <w:rPr>
          <w:rFonts w:ascii="Times New Roman" w:hAnsi="Times New Roman"/>
          <w:sz w:val="24"/>
          <w:szCs w:val="18"/>
        </w:rPr>
        <w:t>(1984) 154 CLR 672</w:t>
      </w:r>
      <w:r w:rsidR="00C17A03" w:rsidRPr="006D4E15">
        <w:rPr>
          <w:rFonts w:ascii="Times New Roman" w:hAnsi="Times New Roman"/>
          <w:sz w:val="24"/>
          <w:szCs w:val="18"/>
        </w:rPr>
        <w:t>.</w:t>
      </w:r>
    </w:p>
  </w:footnote>
  <w:footnote w:id="39">
    <w:p w14:paraId="5C119AC2" w14:textId="2691EC8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00D269C4" w:rsidRPr="006D4E15">
        <w:rPr>
          <w:rFonts w:ascii="Times New Roman" w:hAnsi="Times New Roman"/>
          <w:sz w:val="24"/>
          <w:szCs w:val="18"/>
        </w:rPr>
        <w:t xml:space="preserve">See, eg, </w:t>
      </w:r>
      <w:r w:rsidRPr="006D4E15">
        <w:rPr>
          <w:rFonts w:ascii="Times New Roman" w:hAnsi="Times New Roman"/>
          <w:i/>
          <w:iCs/>
          <w:sz w:val="24"/>
          <w:szCs w:val="18"/>
        </w:rPr>
        <w:t>Introvigne</w:t>
      </w:r>
      <w:r w:rsidRPr="006D4E15">
        <w:rPr>
          <w:rFonts w:ascii="Times New Roman" w:hAnsi="Times New Roman"/>
          <w:sz w:val="24"/>
          <w:szCs w:val="18"/>
        </w:rPr>
        <w:t xml:space="preserve"> (1982) 150 CLR 258.</w:t>
      </w:r>
    </w:p>
  </w:footnote>
  <w:footnote w:id="40">
    <w:p w14:paraId="2A6AEFDA" w14:textId="16B8FE47" w:rsidR="00111FB0" w:rsidRPr="006D4E15" w:rsidRDefault="00111FB0"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0E712D" w:rsidRPr="006D4E15">
        <w:rPr>
          <w:rFonts w:ascii="Times New Roman" w:hAnsi="Times New Roman"/>
          <w:sz w:val="24"/>
          <w:szCs w:val="18"/>
        </w:rPr>
        <w:t xml:space="preserve">See, eg, </w:t>
      </w:r>
      <w:r w:rsidRPr="006D4E15">
        <w:rPr>
          <w:rFonts w:ascii="Times New Roman" w:hAnsi="Times New Roman"/>
          <w:i/>
          <w:iCs/>
          <w:sz w:val="24"/>
          <w:szCs w:val="18"/>
        </w:rPr>
        <w:t>Albrighton v Royal Prince Alfred Hospital</w:t>
      </w:r>
      <w:r w:rsidRPr="006D4E15">
        <w:rPr>
          <w:rFonts w:ascii="Times New Roman" w:hAnsi="Times New Roman"/>
          <w:sz w:val="24"/>
          <w:szCs w:val="18"/>
        </w:rPr>
        <w:t xml:space="preserve"> [1980] 2 NSWLR 542</w:t>
      </w:r>
      <w:r w:rsidR="001E5D50" w:rsidRPr="006D4E15">
        <w:rPr>
          <w:rFonts w:ascii="Times New Roman" w:hAnsi="Times New Roman"/>
          <w:sz w:val="24"/>
          <w:szCs w:val="18"/>
        </w:rPr>
        <w:t xml:space="preserve"> at 561-562 [59]</w:t>
      </w:r>
      <w:r w:rsidRPr="006D4E15">
        <w:rPr>
          <w:rFonts w:ascii="Times New Roman" w:hAnsi="Times New Roman"/>
          <w:sz w:val="24"/>
          <w:szCs w:val="18"/>
        </w:rPr>
        <w:t xml:space="preserve">; </w:t>
      </w:r>
      <w:r w:rsidRPr="006D4E15">
        <w:rPr>
          <w:rFonts w:ascii="Times New Roman" w:hAnsi="Times New Roman"/>
          <w:i/>
          <w:iCs/>
          <w:sz w:val="24"/>
          <w:szCs w:val="18"/>
        </w:rPr>
        <w:t xml:space="preserve">Introvigne </w:t>
      </w:r>
      <w:r w:rsidRPr="006D4E15">
        <w:rPr>
          <w:rFonts w:ascii="Times New Roman" w:hAnsi="Times New Roman"/>
          <w:sz w:val="24"/>
          <w:szCs w:val="18"/>
        </w:rPr>
        <w:t>(1982) 150 CLR 258</w:t>
      </w:r>
      <w:r w:rsidR="00320866" w:rsidRPr="006D4E15">
        <w:rPr>
          <w:rFonts w:ascii="Times New Roman" w:hAnsi="Times New Roman"/>
          <w:sz w:val="24"/>
          <w:szCs w:val="18"/>
        </w:rPr>
        <w:t xml:space="preserve"> at</w:t>
      </w:r>
      <w:r w:rsidRPr="006D4E15">
        <w:rPr>
          <w:rFonts w:ascii="Times New Roman" w:hAnsi="Times New Roman"/>
          <w:sz w:val="24"/>
          <w:szCs w:val="18"/>
        </w:rPr>
        <w:t xml:space="preserve"> 270</w:t>
      </w:r>
      <w:r w:rsidR="001E4161" w:rsidRPr="006D4E15">
        <w:rPr>
          <w:rFonts w:ascii="Times New Roman" w:hAnsi="Times New Roman"/>
          <w:sz w:val="24"/>
          <w:szCs w:val="18"/>
        </w:rPr>
        <w:t>, 275</w:t>
      </w:r>
      <w:r w:rsidRPr="006D4E15">
        <w:rPr>
          <w:rFonts w:ascii="Times New Roman" w:hAnsi="Times New Roman"/>
          <w:sz w:val="24"/>
          <w:szCs w:val="18"/>
        </w:rPr>
        <w:t xml:space="preserve">; </w:t>
      </w:r>
      <w:r w:rsidRPr="006D4E15">
        <w:rPr>
          <w:rFonts w:ascii="Times New Roman" w:hAnsi="Times New Roman"/>
          <w:i/>
          <w:iCs/>
          <w:sz w:val="24"/>
          <w:szCs w:val="18"/>
        </w:rPr>
        <w:t>Ellis v Wallsend District Hospital</w:t>
      </w:r>
      <w:r w:rsidRPr="006D4E15">
        <w:rPr>
          <w:rFonts w:ascii="Times New Roman" w:hAnsi="Times New Roman"/>
          <w:sz w:val="24"/>
          <w:szCs w:val="18"/>
        </w:rPr>
        <w:t xml:space="preserve"> (1989) 17 NSWLR 553</w:t>
      </w:r>
      <w:r w:rsidR="003E6B34" w:rsidRPr="006D4E15">
        <w:rPr>
          <w:rFonts w:ascii="Times New Roman" w:hAnsi="Times New Roman"/>
          <w:sz w:val="24"/>
          <w:szCs w:val="18"/>
        </w:rPr>
        <w:t xml:space="preserve"> at 601-604</w:t>
      </w:r>
      <w:r w:rsidRPr="006D4E15">
        <w:rPr>
          <w:rFonts w:ascii="Times New Roman" w:hAnsi="Times New Roman"/>
          <w:sz w:val="24"/>
          <w:szCs w:val="18"/>
        </w:rPr>
        <w:t xml:space="preserve">. </w:t>
      </w:r>
    </w:p>
  </w:footnote>
  <w:footnote w:id="41">
    <w:p w14:paraId="3D0BC1A7" w14:textId="4121D6EE" w:rsidR="00A90D85" w:rsidRPr="006D4E15" w:rsidRDefault="00A90D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Lepore</w:t>
      </w:r>
      <w:r w:rsidRPr="006D4E15">
        <w:rPr>
          <w:rFonts w:ascii="Times New Roman" w:hAnsi="Times New Roman"/>
          <w:sz w:val="24"/>
        </w:rPr>
        <w:t xml:space="preserve"> (2003) 212 CLR 511 at 533-534 [35]</w:t>
      </w:r>
      <w:r w:rsidR="00E111F8" w:rsidRPr="006D4E15">
        <w:rPr>
          <w:rFonts w:ascii="Times New Roman" w:hAnsi="Times New Roman"/>
          <w:sz w:val="24"/>
        </w:rPr>
        <w:t>,</w:t>
      </w:r>
      <w:r w:rsidRPr="006D4E15">
        <w:rPr>
          <w:rFonts w:ascii="Times New Roman" w:hAnsi="Times New Roman"/>
          <w:sz w:val="24"/>
        </w:rPr>
        <w:t xml:space="preserve"> quoting </w:t>
      </w:r>
      <w:r w:rsidRPr="006D4E15">
        <w:rPr>
          <w:rFonts w:ascii="Times New Roman" w:hAnsi="Times New Roman"/>
          <w:i/>
          <w:iCs/>
          <w:sz w:val="24"/>
        </w:rPr>
        <w:t xml:space="preserve">Kondis </w:t>
      </w:r>
      <w:r w:rsidRPr="006D4E15">
        <w:rPr>
          <w:rFonts w:ascii="Times New Roman" w:hAnsi="Times New Roman"/>
          <w:sz w:val="24"/>
        </w:rPr>
        <w:t>(1984) 154 CLR 672 at 687. See also</w:t>
      </w:r>
      <w:r w:rsidR="000323EA" w:rsidRPr="006D4E15">
        <w:rPr>
          <w:rFonts w:ascii="Times New Roman" w:hAnsi="Times New Roman"/>
          <w:sz w:val="24"/>
        </w:rPr>
        <w:t>, eg,</w:t>
      </w:r>
      <w:r w:rsidRPr="006D4E15">
        <w:rPr>
          <w:rFonts w:ascii="Times New Roman" w:hAnsi="Times New Roman"/>
          <w:sz w:val="24"/>
        </w:rPr>
        <w:t xml:space="preserve"> </w:t>
      </w:r>
      <w:r w:rsidRPr="006D4E15">
        <w:rPr>
          <w:rFonts w:ascii="Times New Roman" w:hAnsi="Times New Roman"/>
          <w:i/>
          <w:iCs/>
          <w:sz w:val="24"/>
        </w:rPr>
        <w:t xml:space="preserve">Burnie Port Authority </w:t>
      </w:r>
      <w:r w:rsidRPr="006D4E15">
        <w:rPr>
          <w:rFonts w:ascii="Times New Roman" w:hAnsi="Times New Roman"/>
          <w:sz w:val="24"/>
        </w:rPr>
        <w:t xml:space="preserve">(1994) 179 CLR 520 at 550-551; </w:t>
      </w:r>
      <w:r w:rsidRPr="006D4E15">
        <w:rPr>
          <w:rFonts w:ascii="Times New Roman" w:hAnsi="Times New Roman"/>
          <w:i/>
          <w:sz w:val="24"/>
        </w:rPr>
        <w:t xml:space="preserve">Schokman </w:t>
      </w:r>
      <w:r w:rsidRPr="006D4E15">
        <w:rPr>
          <w:rFonts w:ascii="Times New Roman" w:hAnsi="Times New Roman"/>
          <w:sz w:val="24"/>
        </w:rPr>
        <w:t>(2023) 97 ALJR 551 at 567 [70];</w:t>
      </w:r>
      <w:r w:rsidRPr="006D4E15" w:rsidDel="007B221A">
        <w:rPr>
          <w:rFonts w:ascii="Times New Roman" w:hAnsi="Times New Roman"/>
          <w:i/>
          <w:sz w:val="24"/>
        </w:rPr>
        <w:t xml:space="preserve"> </w:t>
      </w:r>
      <w:r w:rsidRPr="006D4E15">
        <w:rPr>
          <w:rFonts w:ascii="Times New Roman" w:hAnsi="Times New Roman"/>
          <w:sz w:val="24"/>
        </w:rPr>
        <w:t>410 ALR 479 at 497-498.</w:t>
      </w:r>
    </w:p>
  </w:footnote>
  <w:footnote w:id="42">
    <w:p w14:paraId="38C269CB" w14:textId="7BD66FB7" w:rsidR="00FD7BCC" w:rsidRPr="006D4E15" w:rsidRDefault="00FD7B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Schokman</w:t>
      </w:r>
      <w:r w:rsidRPr="006D4E15">
        <w:rPr>
          <w:rFonts w:ascii="Times New Roman" w:hAnsi="Times New Roman"/>
          <w:sz w:val="24"/>
        </w:rPr>
        <w:t xml:space="preserve"> </w:t>
      </w:r>
      <w:r w:rsidR="00A7648B" w:rsidRPr="006D4E15">
        <w:rPr>
          <w:rFonts w:ascii="Times New Roman" w:hAnsi="Times New Roman"/>
          <w:sz w:val="24"/>
        </w:rPr>
        <w:t>(2023) 97 ALJR 551</w:t>
      </w:r>
      <w:r w:rsidRPr="006D4E15">
        <w:rPr>
          <w:rFonts w:ascii="Times New Roman" w:hAnsi="Times New Roman"/>
          <w:sz w:val="24"/>
        </w:rPr>
        <w:t xml:space="preserve">at </w:t>
      </w:r>
      <w:r w:rsidR="00A965E0" w:rsidRPr="006D4E15">
        <w:rPr>
          <w:rFonts w:ascii="Times New Roman" w:hAnsi="Times New Roman"/>
          <w:sz w:val="24"/>
        </w:rPr>
        <w:t>567 [70]</w:t>
      </w:r>
      <w:r w:rsidR="00907F55" w:rsidRPr="006D4E15">
        <w:rPr>
          <w:rFonts w:ascii="Times New Roman" w:hAnsi="Times New Roman"/>
          <w:sz w:val="24"/>
        </w:rPr>
        <w:t>; 410 ALR 479 at 497-498</w:t>
      </w:r>
      <w:r w:rsidR="00BD7297" w:rsidRPr="006D4E15">
        <w:rPr>
          <w:rFonts w:ascii="Times New Roman" w:hAnsi="Times New Roman"/>
          <w:sz w:val="24"/>
        </w:rPr>
        <w:t>,</w:t>
      </w:r>
      <w:r w:rsidR="00BD37DB" w:rsidRPr="006D4E15">
        <w:rPr>
          <w:rFonts w:ascii="Times New Roman" w:hAnsi="Times New Roman"/>
          <w:sz w:val="24"/>
        </w:rPr>
        <w:t xml:space="preserve"> </w:t>
      </w:r>
      <w:r w:rsidR="00662BAF" w:rsidRPr="006D4E15">
        <w:rPr>
          <w:rFonts w:ascii="Times New Roman" w:hAnsi="Times New Roman"/>
          <w:sz w:val="24"/>
        </w:rPr>
        <w:t xml:space="preserve">citing </w:t>
      </w:r>
      <w:r w:rsidR="00544AB7" w:rsidRPr="006D4E15">
        <w:rPr>
          <w:rFonts w:ascii="Times New Roman" w:hAnsi="Times New Roman"/>
          <w:i/>
          <w:iCs/>
          <w:sz w:val="24"/>
        </w:rPr>
        <w:t>Kondis</w:t>
      </w:r>
      <w:r w:rsidR="00544AB7" w:rsidRPr="006D4E15">
        <w:rPr>
          <w:rFonts w:ascii="Times New Roman" w:hAnsi="Times New Roman"/>
          <w:sz w:val="24"/>
        </w:rPr>
        <w:t xml:space="preserve"> </w:t>
      </w:r>
      <w:r w:rsidR="00E31793" w:rsidRPr="006D4E15">
        <w:rPr>
          <w:rFonts w:ascii="Times New Roman" w:hAnsi="Times New Roman"/>
          <w:sz w:val="24"/>
        </w:rPr>
        <w:t xml:space="preserve">(1984) 154 CLR 672 </w:t>
      </w:r>
      <w:r w:rsidR="00544AB7" w:rsidRPr="006D4E15">
        <w:rPr>
          <w:rFonts w:ascii="Times New Roman" w:hAnsi="Times New Roman"/>
          <w:sz w:val="24"/>
        </w:rPr>
        <w:t>at 688</w:t>
      </w:r>
      <w:r w:rsidR="00A965E0" w:rsidRPr="006D4E15">
        <w:rPr>
          <w:rFonts w:ascii="Times New Roman" w:hAnsi="Times New Roman"/>
          <w:sz w:val="24"/>
        </w:rPr>
        <w:t>.</w:t>
      </w:r>
    </w:p>
  </w:footnote>
  <w:footnote w:id="43">
    <w:p w14:paraId="65C7DFD9" w14:textId="08C714D6" w:rsidR="008B0C2B" w:rsidRPr="006D4E15" w:rsidRDefault="008B0C2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Kondis</w:t>
      </w:r>
      <w:r w:rsidR="007D2D73" w:rsidRPr="006D4E15">
        <w:rPr>
          <w:rFonts w:ascii="Times New Roman" w:hAnsi="Times New Roman"/>
          <w:sz w:val="24"/>
        </w:rPr>
        <w:t xml:space="preserve"> </w:t>
      </w:r>
      <w:r w:rsidR="00A7648B" w:rsidRPr="006D4E15">
        <w:rPr>
          <w:rFonts w:ascii="Times New Roman" w:hAnsi="Times New Roman"/>
          <w:sz w:val="24"/>
        </w:rPr>
        <w:t xml:space="preserve">(1984) 154 CLR 672 </w:t>
      </w:r>
      <w:r w:rsidR="007D2D73" w:rsidRPr="006D4E15">
        <w:rPr>
          <w:rFonts w:ascii="Times New Roman" w:hAnsi="Times New Roman"/>
          <w:sz w:val="24"/>
        </w:rPr>
        <w:t>at 688.</w:t>
      </w:r>
    </w:p>
  </w:footnote>
  <w:footnote w:id="44">
    <w:p w14:paraId="0AAD9329" w14:textId="6ABBFD04"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r>
      <w:r w:rsidRPr="006D4E15">
        <w:rPr>
          <w:rFonts w:ascii="Times New Roman" w:hAnsi="Times New Roman"/>
          <w:i/>
          <w:iCs/>
          <w:sz w:val="24"/>
        </w:rPr>
        <w:t>Coulton v Holcombe</w:t>
      </w:r>
      <w:r w:rsidRPr="006D4E15">
        <w:rPr>
          <w:rFonts w:ascii="Times New Roman" w:hAnsi="Times New Roman"/>
          <w:sz w:val="24"/>
        </w:rPr>
        <w:t xml:space="preserve"> (1986) 162 CLR 1 at 7-8. See also </w:t>
      </w:r>
      <w:r w:rsidRPr="006D4E15">
        <w:rPr>
          <w:rFonts w:ascii="Times New Roman" w:hAnsi="Times New Roman"/>
          <w:i/>
          <w:iCs/>
          <w:sz w:val="24"/>
        </w:rPr>
        <w:t>Suttor v Gundowda Pty Ltd</w:t>
      </w:r>
      <w:r w:rsidRPr="006D4E15">
        <w:rPr>
          <w:rFonts w:ascii="Times New Roman" w:hAnsi="Times New Roman"/>
          <w:sz w:val="24"/>
        </w:rPr>
        <w:t xml:space="preserve"> (1950) 81 CLR 418 at 438; </w:t>
      </w:r>
      <w:r w:rsidRPr="006D4E15">
        <w:rPr>
          <w:rFonts w:ascii="Times New Roman" w:hAnsi="Times New Roman"/>
          <w:i/>
          <w:iCs/>
          <w:sz w:val="24"/>
        </w:rPr>
        <w:t>D'Orta</w:t>
      </w:r>
      <w:r w:rsidR="001973C2" w:rsidRPr="006D4E15">
        <w:rPr>
          <w:rFonts w:ascii="Times New Roman" w:hAnsi="Times New Roman"/>
          <w:i/>
          <w:iCs/>
          <w:sz w:val="24"/>
        </w:rPr>
        <w:noBreakHyphen/>
      </w:r>
      <w:r w:rsidRPr="006D4E15">
        <w:rPr>
          <w:rFonts w:ascii="Times New Roman" w:hAnsi="Times New Roman"/>
          <w:i/>
          <w:iCs/>
          <w:sz w:val="24"/>
        </w:rPr>
        <w:t>Ekenaike</w:t>
      </w:r>
      <w:r w:rsidR="001973C2" w:rsidRPr="006D4E15">
        <w:rPr>
          <w:rFonts w:ascii="Times New Roman" w:hAnsi="Times New Roman"/>
          <w:i/>
          <w:iCs/>
          <w:sz w:val="24"/>
        </w:rPr>
        <w:t> </w:t>
      </w:r>
      <w:r w:rsidRPr="006D4E15">
        <w:rPr>
          <w:rFonts w:ascii="Times New Roman" w:hAnsi="Times New Roman"/>
          <w:i/>
          <w:iCs/>
          <w:sz w:val="24"/>
        </w:rPr>
        <w:t>v Victoria Legal Aid</w:t>
      </w:r>
      <w:r w:rsidRPr="006D4E15">
        <w:rPr>
          <w:rFonts w:ascii="Times New Roman" w:hAnsi="Times New Roman"/>
          <w:sz w:val="24"/>
        </w:rPr>
        <w:t xml:space="preserve"> (2005) 223 CLR 1 at </w:t>
      </w:r>
      <w:r w:rsidR="00622B77" w:rsidRPr="006D4E15">
        <w:rPr>
          <w:rFonts w:ascii="Times New Roman" w:hAnsi="Times New Roman"/>
          <w:sz w:val="24"/>
        </w:rPr>
        <w:t>17-</w:t>
      </w:r>
      <w:r w:rsidRPr="006D4E15">
        <w:rPr>
          <w:rFonts w:ascii="Times New Roman" w:hAnsi="Times New Roman"/>
          <w:sz w:val="24"/>
        </w:rPr>
        <w:t>18 [3</w:t>
      </w:r>
      <w:r w:rsidR="005B3699" w:rsidRPr="006D4E15">
        <w:rPr>
          <w:rFonts w:ascii="Times New Roman" w:hAnsi="Times New Roman"/>
          <w:sz w:val="24"/>
        </w:rPr>
        <w:t>4</w:t>
      </w:r>
      <w:r w:rsidRPr="006D4E15">
        <w:rPr>
          <w:rFonts w:ascii="Times New Roman" w:hAnsi="Times New Roman"/>
          <w:sz w:val="24"/>
        </w:rPr>
        <w:t xml:space="preserve">]-[36]; </w:t>
      </w:r>
      <w:r w:rsidRPr="006D4E15">
        <w:rPr>
          <w:rFonts w:ascii="Times New Roman" w:hAnsi="Times New Roman"/>
          <w:i/>
          <w:sz w:val="24"/>
        </w:rPr>
        <w:t xml:space="preserve">Burrell v </w:t>
      </w:r>
      <w:r w:rsidR="00B75C96" w:rsidRPr="006D4E15">
        <w:rPr>
          <w:rFonts w:ascii="Times New Roman" w:hAnsi="Times New Roman"/>
          <w:i/>
          <w:sz w:val="24"/>
        </w:rPr>
        <w:t>The Queen</w:t>
      </w:r>
      <w:r w:rsidRPr="006D4E15">
        <w:rPr>
          <w:rFonts w:ascii="Times New Roman" w:hAnsi="Times New Roman"/>
          <w:sz w:val="24"/>
        </w:rPr>
        <w:t xml:space="preserve"> (2008) 238 CLR 218 at </w:t>
      </w:r>
      <w:r w:rsidR="00805293" w:rsidRPr="006D4E15">
        <w:rPr>
          <w:rFonts w:ascii="Times New Roman" w:hAnsi="Times New Roman"/>
          <w:sz w:val="24"/>
        </w:rPr>
        <w:t xml:space="preserve">223 </w:t>
      </w:r>
      <w:r w:rsidRPr="006D4E15">
        <w:rPr>
          <w:rFonts w:ascii="Times New Roman" w:hAnsi="Times New Roman"/>
          <w:sz w:val="24"/>
        </w:rPr>
        <w:t>[15]-[16].</w:t>
      </w:r>
    </w:p>
  </w:footnote>
  <w:footnote w:id="45">
    <w:p w14:paraId="3FF33063" w14:textId="2E5948D3"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Coulton </w:t>
      </w:r>
      <w:r w:rsidRPr="006D4E15">
        <w:rPr>
          <w:rFonts w:ascii="Times New Roman" w:hAnsi="Times New Roman"/>
          <w:sz w:val="24"/>
        </w:rPr>
        <w:t xml:space="preserve">(1986) 162 CLR 1 at </w:t>
      </w:r>
      <w:r w:rsidR="00F46A20" w:rsidRPr="006D4E15">
        <w:rPr>
          <w:rFonts w:ascii="Times New Roman" w:hAnsi="Times New Roman"/>
          <w:sz w:val="24"/>
        </w:rPr>
        <w:t>8</w:t>
      </w:r>
      <w:r w:rsidRPr="006D4E15">
        <w:rPr>
          <w:rFonts w:ascii="Times New Roman" w:hAnsi="Times New Roman"/>
          <w:sz w:val="24"/>
        </w:rPr>
        <w:t>-9</w:t>
      </w:r>
      <w:r w:rsidR="00CF05F0" w:rsidRPr="006D4E15">
        <w:rPr>
          <w:rFonts w:ascii="Times New Roman" w:hAnsi="Times New Roman"/>
          <w:sz w:val="24"/>
        </w:rPr>
        <w:t>,</w:t>
      </w:r>
      <w:r w:rsidR="00DD3E61" w:rsidRPr="006D4E15">
        <w:rPr>
          <w:rFonts w:ascii="Times New Roman" w:hAnsi="Times New Roman"/>
          <w:sz w:val="24"/>
        </w:rPr>
        <w:t xml:space="preserve"> </w:t>
      </w:r>
      <w:r w:rsidR="00CF05F0" w:rsidRPr="006D4E15">
        <w:rPr>
          <w:rFonts w:ascii="Times New Roman" w:hAnsi="Times New Roman"/>
          <w:sz w:val="24"/>
        </w:rPr>
        <w:t>quoting</w:t>
      </w:r>
      <w:r w:rsidR="00DD3E61" w:rsidRPr="006D4E15">
        <w:rPr>
          <w:rFonts w:ascii="Times New Roman" w:hAnsi="Times New Roman"/>
          <w:sz w:val="24"/>
        </w:rPr>
        <w:t xml:space="preserve"> </w:t>
      </w:r>
      <w:r w:rsidR="00DD3E61" w:rsidRPr="006D4E15">
        <w:rPr>
          <w:rFonts w:ascii="Times New Roman" w:hAnsi="Times New Roman"/>
          <w:i/>
          <w:sz w:val="24"/>
        </w:rPr>
        <w:t xml:space="preserve">O'Brien v Komesaroff </w:t>
      </w:r>
      <w:r w:rsidR="00AF6F5E" w:rsidRPr="006D4E15">
        <w:rPr>
          <w:rFonts w:ascii="Times New Roman" w:hAnsi="Times New Roman"/>
          <w:sz w:val="24"/>
        </w:rPr>
        <w:t xml:space="preserve">(1982) 150 </w:t>
      </w:r>
      <w:r w:rsidR="00F3353F" w:rsidRPr="006D4E15">
        <w:rPr>
          <w:rFonts w:ascii="Times New Roman" w:hAnsi="Times New Roman"/>
          <w:sz w:val="24"/>
        </w:rPr>
        <w:t xml:space="preserve">CLR </w:t>
      </w:r>
      <w:r w:rsidR="00AF6F5E" w:rsidRPr="006D4E15">
        <w:rPr>
          <w:rFonts w:ascii="Times New Roman" w:hAnsi="Times New Roman"/>
          <w:sz w:val="24"/>
        </w:rPr>
        <w:t>310</w:t>
      </w:r>
      <w:r w:rsidR="00F3353F" w:rsidRPr="006D4E15">
        <w:rPr>
          <w:rFonts w:ascii="Times New Roman" w:hAnsi="Times New Roman"/>
          <w:sz w:val="24"/>
        </w:rPr>
        <w:t xml:space="preserve"> at</w:t>
      </w:r>
      <w:r w:rsidR="00AF6F5E" w:rsidRPr="006D4E15">
        <w:rPr>
          <w:rFonts w:ascii="Times New Roman" w:hAnsi="Times New Roman"/>
          <w:sz w:val="24"/>
        </w:rPr>
        <w:t xml:space="preserve"> 319</w:t>
      </w:r>
      <w:r w:rsidR="0043240F" w:rsidRPr="006D4E15">
        <w:rPr>
          <w:rFonts w:ascii="Times New Roman" w:hAnsi="Times New Roman"/>
          <w:sz w:val="24"/>
        </w:rPr>
        <w:t>.</w:t>
      </w:r>
      <w:r w:rsidRPr="006D4E15">
        <w:rPr>
          <w:rFonts w:ascii="Times New Roman" w:hAnsi="Times New Roman"/>
          <w:sz w:val="24"/>
        </w:rPr>
        <w:t xml:space="preserve"> </w:t>
      </w:r>
      <w:r w:rsidR="0043240F" w:rsidRPr="006D4E15">
        <w:rPr>
          <w:rFonts w:ascii="Times New Roman" w:hAnsi="Times New Roman"/>
          <w:sz w:val="24"/>
        </w:rPr>
        <w:t>S</w:t>
      </w:r>
      <w:r w:rsidR="008D30F0" w:rsidRPr="006D4E15">
        <w:rPr>
          <w:rFonts w:ascii="Times New Roman" w:hAnsi="Times New Roman"/>
          <w:sz w:val="24"/>
        </w:rPr>
        <w:t xml:space="preserve">ee also </w:t>
      </w:r>
      <w:r w:rsidRPr="006D4E15">
        <w:rPr>
          <w:rFonts w:ascii="Times New Roman" w:hAnsi="Times New Roman"/>
          <w:i/>
          <w:iCs/>
          <w:sz w:val="24"/>
        </w:rPr>
        <w:t xml:space="preserve">Suttor </w:t>
      </w:r>
      <w:r w:rsidRPr="006D4E15">
        <w:rPr>
          <w:rFonts w:ascii="Times New Roman" w:hAnsi="Times New Roman"/>
          <w:sz w:val="24"/>
        </w:rPr>
        <w:t>(1950) 81 CLR 418 at 438;</w:t>
      </w:r>
      <w:r w:rsidRPr="006D4E15" w:rsidDel="002D46F6">
        <w:rPr>
          <w:rFonts w:ascii="Times New Roman" w:hAnsi="Times New Roman"/>
          <w:i/>
          <w:sz w:val="24"/>
        </w:rPr>
        <w:t xml:space="preserve"> </w:t>
      </w:r>
      <w:r w:rsidR="004A1775" w:rsidRPr="006D4E15">
        <w:rPr>
          <w:rFonts w:ascii="Times New Roman" w:hAnsi="Times New Roman"/>
          <w:i/>
          <w:sz w:val="24"/>
        </w:rPr>
        <w:t xml:space="preserve">Water Board v Moustakas </w:t>
      </w:r>
      <w:r w:rsidR="004A1775" w:rsidRPr="006D4E15">
        <w:rPr>
          <w:rFonts w:ascii="Times New Roman" w:hAnsi="Times New Roman"/>
          <w:sz w:val="24"/>
        </w:rPr>
        <w:t xml:space="preserve">(1988) 180 CLR 491 at 497; </w:t>
      </w:r>
      <w:r w:rsidRPr="006D4E15">
        <w:rPr>
          <w:rFonts w:ascii="Times New Roman" w:hAnsi="Times New Roman"/>
          <w:i/>
          <w:iCs/>
          <w:sz w:val="24"/>
        </w:rPr>
        <w:t>Dovuro</w:t>
      </w:r>
      <w:r w:rsidR="001973C2" w:rsidRPr="006D4E15">
        <w:rPr>
          <w:rFonts w:ascii="Times New Roman" w:hAnsi="Times New Roman"/>
          <w:i/>
          <w:iCs/>
          <w:sz w:val="24"/>
        </w:rPr>
        <w:t> </w:t>
      </w:r>
      <w:r w:rsidRPr="006D4E15">
        <w:rPr>
          <w:rFonts w:ascii="Times New Roman" w:hAnsi="Times New Roman"/>
          <w:i/>
          <w:iCs/>
          <w:sz w:val="24"/>
        </w:rPr>
        <w:t>Pty Ltd v Wilkins</w:t>
      </w:r>
      <w:r w:rsidRPr="006D4E15">
        <w:rPr>
          <w:rFonts w:ascii="Times New Roman" w:hAnsi="Times New Roman"/>
          <w:sz w:val="24"/>
        </w:rPr>
        <w:t xml:space="preserve"> (2003) 215 CLR 317 at 365-366 [151].</w:t>
      </w:r>
    </w:p>
  </w:footnote>
  <w:footnote w:id="46">
    <w:p w14:paraId="6F940B0C" w14:textId="77777777"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Saffron v Société Minière Cafrika</w:t>
      </w:r>
      <w:r w:rsidRPr="006D4E15">
        <w:rPr>
          <w:rFonts w:ascii="Times New Roman" w:hAnsi="Times New Roman"/>
          <w:sz w:val="24"/>
        </w:rPr>
        <w:t xml:space="preserve"> (1958) 100 CLR 231 at 240.</w:t>
      </w:r>
    </w:p>
  </w:footnote>
  <w:footnote w:id="47">
    <w:p w14:paraId="1D78B755" w14:textId="3839A745"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C73B7" w:rsidRPr="006D4E15">
        <w:rPr>
          <w:rFonts w:ascii="Times New Roman" w:hAnsi="Times New Roman"/>
          <w:sz w:val="24"/>
        </w:rPr>
        <w:t xml:space="preserve">See, eg, </w:t>
      </w:r>
      <w:r w:rsidRPr="006D4E15">
        <w:rPr>
          <w:rFonts w:ascii="Times New Roman" w:hAnsi="Times New Roman"/>
          <w:i/>
          <w:iCs/>
          <w:sz w:val="24"/>
        </w:rPr>
        <w:t xml:space="preserve">Suttor </w:t>
      </w:r>
      <w:r w:rsidRPr="006D4E15">
        <w:rPr>
          <w:rFonts w:ascii="Times New Roman" w:hAnsi="Times New Roman"/>
          <w:sz w:val="24"/>
        </w:rPr>
        <w:t xml:space="preserve">(1950) 81 CLR 418 at 438; </w:t>
      </w:r>
      <w:r w:rsidRPr="006D4E15">
        <w:rPr>
          <w:rFonts w:ascii="Times New Roman" w:hAnsi="Times New Roman"/>
          <w:i/>
          <w:iCs/>
          <w:sz w:val="24"/>
        </w:rPr>
        <w:t xml:space="preserve">Coulton </w:t>
      </w:r>
      <w:r w:rsidRPr="006D4E15">
        <w:rPr>
          <w:rFonts w:ascii="Times New Roman" w:hAnsi="Times New Roman"/>
          <w:sz w:val="24"/>
        </w:rPr>
        <w:t>(1986) 162</w:t>
      </w:r>
      <w:r w:rsidR="00F3315F" w:rsidRPr="006D4E15">
        <w:rPr>
          <w:rFonts w:ascii="Times New Roman" w:hAnsi="Times New Roman"/>
          <w:sz w:val="24"/>
        </w:rPr>
        <w:t> </w:t>
      </w:r>
      <w:r w:rsidRPr="006D4E15">
        <w:rPr>
          <w:rFonts w:ascii="Times New Roman" w:hAnsi="Times New Roman"/>
          <w:sz w:val="24"/>
        </w:rPr>
        <w:t>CLR 1 at 7-</w:t>
      </w:r>
      <w:r w:rsidR="00EA4E2D" w:rsidRPr="006D4E15">
        <w:rPr>
          <w:rFonts w:ascii="Times New Roman" w:hAnsi="Times New Roman"/>
          <w:sz w:val="24"/>
        </w:rPr>
        <w:t>8</w:t>
      </w:r>
      <w:r w:rsidRPr="006D4E15">
        <w:rPr>
          <w:rFonts w:ascii="Times New Roman" w:hAnsi="Times New Roman"/>
          <w:sz w:val="24"/>
        </w:rPr>
        <w:t xml:space="preserve">; </w:t>
      </w:r>
      <w:r w:rsidRPr="006D4E15">
        <w:rPr>
          <w:rFonts w:ascii="Times New Roman" w:hAnsi="Times New Roman"/>
          <w:i/>
          <w:sz w:val="24"/>
        </w:rPr>
        <w:t xml:space="preserve">Moustakas </w:t>
      </w:r>
      <w:r w:rsidRPr="006D4E15">
        <w:rPr>
          <w:rFonts w:ascii="Times New Roman" w:hAnsi="Times New Roman"/>
          <w:sz w:val="24"/>
        </w:rPr>
        <w:t xml:space="preserve">(1988) 180 CLR 491 at 497; </w:t>
      </w:r>
      <w:r w:rsidRPr="006D4E15">
        <w:rPr>
          <w:rFonts w:ascii="Times New Roman" w:hAnsi="Times New Roman"/>
          <w:i/>
          <w:sz w:val="24"/>
        </w:rPr>
        <w:t xml:space="preserve">Whisprun Pty Ltd v Dixon </w:t>
      </w:r>
      <w:r w:rsidRPr="006D4E15">
        <w:rPr>
          <w:rFonts w:ascii="Times New Roman" w:hAnsi="Times New Roman"/>
          <w:sz w:val="24"/>
        </w:rPr>
        <w:t>(2003) 77 ALJR 1598 at 1608 [51]; 200 ALR 447 at 461.</w:t>
      </w:r>
    </w:p>
  </w:footnote>
  <w:footnote w:id="48">
    <w:p w14:paraId="3B1E07FA" w14:textId="31C40B08"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Coulton </w:t>
      </w:r>
      <w:r w:rsidRPr="006D4E15">
        <w:rPr>
          <w:rFonts w:ascii="Times New Roman" w:hAnsi="Times New Roman"/>
          <w:sz w:val="24"/>
        </w:rPr>
        <w:t>(1986) 162 CLR 1 at 8</w:t>
      </w:r>
      <w:r w:rsidR="003E034C" w:rsidRPr="006D4E15">
        <w:rPr>
          <w:rFonts w:ascii="Times New Roman" w:hAnsi="Times New Roman"/>
          <w:sz w:val="24"/>
        </w:rPr>
        <w:t>,</w:t>
      </w:r>
      <w:r w:rsidR="00300B2F" w:rsidRPr="006D4E15">
        <w:rPr>
          <w:rFonts w:ascii="Times New Roman" w:hAnsi="Times New Roman"/>
          <w:sz w:val="24"/>
        </w:rPr>
        <w:t xml:space="preserve"> quoting </w:t>
      </w:r>
      <w:r w:rsidR="00300B2F" w:rsidRPr="006D4E15">
        <w:rPr>
          <w:rFonts w:ascii="Times New Roman" w:hAnsi="Times New Roman"/>
          <w:i/>
          <w:sz w:val="24"/>
        </w:rPr>
        <w:t xml:space="preserve">Komesaroff </w:t>
      </w:r>
      <w:r w:rsidR="00300B2F" w:rsidRPr="006D4E15">
        <w:rPr>
          <w:rFonts w:ascii="Times New Roman" w:hAnsi="Times New Roman"/>
          <w:sz w:val="24"/>
        </w:rPr>
        <w:t>(1982) 150</w:t>
      </w:r>
      <w:r w:rsidR="00F3315F" w:rsidRPr="006D4E15">
        <w:rPr>
          <w:rFonts w:ascii="Times New Roman" w:hAnsi="Times New Roman"/>
          <w:sz w:val="24"/>
        </w:rPr>
        <w:t> </w:t>
      </w:r>
      <w:r w:rsidR="00300B2F" w:rsidRPr="006D4E15">
        <w:rPr>
          <w:rFonts w:ascii="Times New Roman" w:hAnsi="Times New Roman"/>
          <w:sz w:val="24"/>
        </w:rPr>
        <w:t>CLR 310 at 319</w:t>
      </w:r>
      <w:r w:rsidRPr="006D4E15">
        <w:rPr>
          <w:rFonts w:ascii="Times New Roman" w:hAnsi="Times New Roman"/>
          <w:sz w:val="24"/>
        </w:rPr>
        <w:t>.</w:t>
      </w:r>
    </w:p>
  </w:footnote>
  <w:footnote w:id="49">
    <w:p w14:paraId="0A24E255" w14:textId="77777777"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R &amp; R Fazzolari Pty Ltd v Parramatta City Council</w:t>
      </w:r>
      <w:r w:rsidRPr="006D4E15">
        <w:rPr>
          <w:rFonts w:ascii="Times New Roman" w:hAnsi="Times New Roman"/>
          <w:sz w:val="24"/>
        </w:rPr>
        <w:t xml:space="preserve"> (2009) 237 CLR 603 at 634 [108].</w:t>
      </w:r>
    </w:p>
  </w:footnote>
  <w:footnote w:id="50">
    <w:p w14:paraId="440B888E" w14:textId="68CA4C2A"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Suttor </w:t>
      </w:r>
      <w:r w:rsidRPr="006D4E15">
        <w:rPr>
          <w:rFonts w:ascii="Times New Roman" w:hAnsi="Times New Roman"/>
          <w:sz w:val="24"/>
        </w:rPr>
        <w:t>(1950) 81 CLR 418 at 438</w:t>
      </w:r>
      <w:r w:rsidR="00447CFE" w:rsidRPr="006D4E15">
        <w:rPr>
          <w:rFonts w:ascii="Times New Roman" w:hAnsi="Times New Roman"/>
          <w:sz w:val="24"/>
        </w:rPr>
        <w:t>,</w:t>
      </w:r>
      <w:r w:rsidRPr="006D4E15">
        <w:rPr>
          <w:rFonts w:ascii="Times New Roman" w:hAnsi="Times New Roman"/>
          <w:sz w:val="24"/>
        </w:rPr>
        <w:t xml:space="preserve"> quoting </w:t>
      </w:r>
      <w:r w:rsidRPr="006D4E15">
        <w:rPr>
          <w:rFonts w:ascii="Times New Roman" w:hAnsi="Times New Roman"/>
          <w:i/>
          <w:iCs/>
          <w:sz w:val="24"/>
        </w:rPr>
        <w:t xml:space="preserve">Grey v Manitoba and North Western Railway Co of Canada </w:t>
      </w:r>
      <w:r w:rsidR="00522211" w:rsidRPr="006D4E15">
        <w:rPr>
          <w:rFonts w:ascii="Times New Roman" w:hAnsi="Times New Roman"/>
          <w:sz w:val="24"/>
        </w:rPr>
        <w:t>[</w:t>
      </w:r>
      <w:r w:rsidRPr="006D4E15">
        <w:rPr>
          <w:rFonts w:ascii="Times New Roman" w:hAnsi="Times New Roman"/>
          <w:sz w:val="24"/>
        </w:rPr>
        <w:t>1897</w:t>
      </w:r>
      <w:r w:rsidR="00522211" w:rsidRPr="006D4E15">
        <w:rPr>
          <w:rFonts w:ascii="Times New Roman" w:hAnsi="Times New Roman"/>
          <w:sz w:val="24"/>
        </w:rPr>
        <w:t xml:space="preserve">] </w:t>
      </w:r>
      <w:r w:rsidRPr="006D4E15">
        <w:rPr>
          <w:rFonts w:ascii="Times New Roman" w:hAnsi="Times New Roman"/>
          <w:sz w:val="24"/>
        </w:rPr>
        <w:t>AC 254</w:t>
      </w:r>
      <w:r w:rsidR="00606A66" w:rsidRPr="006D4E15">
        <w:rPr>
          <w:rFonts w:ascii="Times New Roman" w:hAnsi="Times New Roman"/>
          <w:sz w:val="24"/>
        </w:rPr>
        <w:t xml:space="preserve"> at 267</w:t>
      </w:r>
      <w:r w:rsidRPr="006D4E15">
        <w:rPr>
          <w:rFonts w:ascii="Times New Roman" w:hAnsi="Times New Roman"/>
          <w:sz w:val="24"/>
        </w:rPr>
        <w:t>.</w:t>
      </w:r>
    </w:p>
  </w:footnote>
  <w:footnote w:id="51">
    <w:p w14:paraId="2E5A8F74" w14:textId="0A508048" w:rsidR="008E7071" w:rsidRPr="006D4E15" w:rsidRDefault="008E707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w:t>
      </w:r>
      <w:r w:rsidR="00173E02">
        <w:rPr>
          <w:rFonts w:ascii="Times New Roman" w:hAnsi="Times New Roman"/>
          <w:sz w:val="24"/>
        </w:rPr>
        <w:t>3</w:t>
      </w:r>
      <w:r w:rsidR="001B58BB" w:rsidRPr="006D4E15">
        <w:rPr>
          <w:rFonts w:ascii="Times New Roman" w:hAnsi="Times New Roman"/>
          <w:sz w:val="24"/>
        </w:rPr>
        <w:t>] above.</w:t>
      </w:r>
    </w:p>
  </w:footnote>
  <w:footnote w:id="52">
    <w:p w14:paraId="72546FF2" w14:textId="70A03C88"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Lepore</w:t>
      </w:r>
      <w:r w:rsidRPr="006D4E15">
        <w:rPr>
          <w:rFonts w:ascii="Times New Roman" w:hAnsi="Times New Roman"/>
          <w:sz w:val="24"/>
        </w:rPr>
        <w:t xml:space="preserve"> (2003) 212 CLR 511 at 533-534 [35]</w:t>
      </w:r>
      <w:r w:rsidR="00D85245" w:rsidRPr="006D4E15">
        <w:rPr>
          <w:rFonts w:ascii="Times New Roman" w:hAnsi="Times New Roman"/>
          <w:sz w:val="24"/>
        </w:rPr>
        <w:t>,</w:t>
      </w:r>
      <w:r w:rsidRPr="006D4E15">
        <w:rPr>
          <w:rFonts w:ascii="Times New Roman" w:hAnsi="Times New Roman"/>
          <w:sz w:val="24"/>
        </w:rPr>
        <w:t xml:space="preserve"> quoting</w:t>
      </w:r>
      <w:r w:rsidR="00903791" w:rsidRPr="006D4E15">
        <w:rPr>
          <w:rFonts w:ascii="Times New Roman" w:hAnsi="Times New Roman"/>
          <w:sz w:val="24"/>
        </w:rPr>
        <w:t> </w:t>
      </w:r>
      <w:r w:rsidRPr="006D4E15">
        <w:rPr>
          <w:rFonts w:ascii="Times New Roman" w:hAnsi="Times New Roman"/>
          <w:i/>
          <w:iCs/>
          <w:sz w:val="24"/>
        </w:rPr>
        <w:t xml:space="preserve">Kondis </w:t>
      </w:r>
      <w:r w:rsidRPr="006D4E15">
        <w:rPr>
          <w:rFonts w:ascii="Times New Roman" w:hAnsi="Times New Roman"/>
          <w:sz w:val="24"/>
        </w:rPr>
        <w:t xml:space="preserve">(1984) 154 CLR 672 at 687. See also </w:t>
      </w:r>
      <w:r w:rsidRPr="006D4E15">
        <w:rPr>
          <w:rFonts w:ascii="Times New Roman" w:hAnsi="Times New Roman"/>
          <w:i/>
          <w:sz w:val="24"/>
        </w:rPr>
        <w:t xml:space="preserve">Burnie Port Authority </w:t>
      </w:r>
      <w:r w:rsidRPr="006D4E15">
        <w:rPr>
          <w:rFonts w:ascii="Times New Roman" w:hAnsi="Times New Roman"/>
          <w:sz w:val="24"/>
        </w:rPr>
        <w:t xml:space="preserve">(1994) 179 CLR 520 at 550-551; </w:t>
      </w:r>
      <w:r w:rsidRPr="006D4E15">
        <w:rPr>
          <w:rFonts w:ascii="Times New Roman" w:hAnsi="Times New Roman"/>
          <w:i/>
          <w:sz w:val="24"/>
        </w:rPr>
        <w:t>Schokman</w:t>
      </w:r>
      <w:r w:rsidR="00903791" w:rsidRPr="006D4E15">
        <w:rPr>
          <w:rFonts w:ascii="Times New Roman" w:hAnsi="Times New Roman"/>
          <w:i/>
          <w:sz w:val="24"/>
        </w:rPr>
        <w:t> </w:t>
      </w:r>
      <w:r w:rsidRPr="006D4E15">
        <w:rPr>
          <w:rFonts w:ascii="Times New Roman" w:hAnsi="Times New Roman"/>
          <w:sz w:val="24"/>
        </w:rPr>
        <w:t>(2023) 97 ALJR 551 at 567 [70]; 410 ALR 479 at 497-498.</w:t>
      </w:r>
    </w:p>
  </w:footnote>
  <w:footnote w:id="53">
    <w:p w14:paraId="2C578283" w14:textId="39FB051A" w:rsidR="00D21610" w:rsidRPr="006D4E15" w:rsidRDefault="00D2161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Lepore</w:t>
      </w:r>
      <w:r w:rsidRPr="006D4E15">
        <w:rPr>
          <w:rFonts w:ascii="Times New Roman" w:hAnsi="Times New Roman"/>
          <w:sz w:val="24"/>
        </w:rPr>
        <w:t xml:space="preserve"> (2003) 212 CLR 511 at 533 [34], 535 [38]</w:t>
      </w:r>
      <w:r w:rsidR="006C1604" w:rsidRPr="006D4E15">
        <w:rPr>
          <w:rFonts w:ascii="Times New Roman" w:hAnsi="Times New Roman"/>
          <w:sz w:val="24"/>
        </w:rPr>
        <w:t>,</w:t>
      </w:r>
      <w:r w:rsidRPr="006D4E15">
        <w:rPr>
          <w:rFonts w:ascii="Times New Roman" w:hAnsi="Times New Roman"/>
          <w:sz w:val="24"/>
        </w:rPr>
        <w:t xml:space="preserve"> 601 [265], 624 [339].</w:t>
      </w:r>
    </w:p>
  </w:footnote>
  <w:footnote w:id="54">
    <w:p w14:paraId="76579F19" w14:textId="4DD4EE83" w:rsidR="00300102" w:rsidRPr="006D4E15" w:rsidRDefault="0030010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133A48" w:rsidRPr="006D4E15">
        <w:rPr>
          <w:rFonts w:ascii="Times New Roman" w:hAnsi="Times New Roman"/>
          <w:i/>
          <w:iCs/>
          <w:sz w:val="24"/>
        </w:rPr>
        <w:t>Lepore</w:t>
      </w:r>
      <w:r w:rsidR="00133A48" w:rsidRPr="006D4E15">
        <w:rPr>
          <w:rFonts w:ascii="Times New Roman" w:hAnsi="Times New Roman"/>
          <w:sz w:val="24"/>
        </w:rPr>
        <w:t xml:space="preserve"> (2003) 212 CLR 511 at </w:t>
      </w:r>
      <w:r w:rsidR="00E826AD" w:rsidRPr="006D4E15">
        <w:rPr>
          <w:rFonts w:ascii="Times New Roman" w:hAnsi="Times New Roman"/>
          <w:sz w:val="24"/>
        </w:rPr>
        <w:t>572 [162]</w:t>
      </w:r>
      <w:r w:rsidR="00CD77A4" w:rsidRPr="006D4E15">
        <w:rPr>
          <w:rFonts w:ascii="Times New Roman" w:hAnsi="Times New Roman"/>
          <w:sz w:val="24"/>
        </w:rPr>
        <w:t>.</w:t>
      </w:r>
      <w:r w:rsidR="00133A48" w:rsidRPr="006D4E15">
        <w:rPr>
          <w:rFonts w:ascii="Times New Roman" w:hAnsi="Times New Roman"/>
          <w:sz w:val="24"/>
        </w:rPr>
        <w:t xml:space="preserve"> </w:t>
      </w:r>
      <w:r w:rsidRPr="006D4E15">
        <w:rPr>
          <w:rFonts w:ascii="Times New Roman" w:hAnsi="Times New Roman"/>
          <w:sz w:val="24"/>
        </w:rPr>
        <w:t xml:space="preserve">See </w:t>
      </w:r>
      <w:r w:rsidR="00133A48" w:rsidRPr="006D4E15">
        <w:rPr>
          <w:rFonts w:ascii="Times New Roman" w:hAnsi="Times New Roman"/>
          <w:sz w:val="24"/>
        </w:rPr>
        <w:t xml:space="preserve">also </w:t>
      </w:r>
      <w:r w:rsidR="002A57F0" w:rsidRPr="006D4E15">
        <w:rPr>
          <w:rFonts w:ascii="Times New Roman" w:hAnsi="Times New Roman"/>
          <w:i/>
          <w:iCs/>
          <w:sz w:val="24"/>
        </w:rPr>
        <w:t xml:space="preserve">Williams v Milotin </w:t>
      </w:r>
      <w:r w:rsidR="002A57F0" w:rsidRPr="006D4E15">
        <w:rPr>
          <w:rFonts w:ascii="Times New Roman" w:hAnsi="Times New Roman"/>
          <w:sz w:val="24"/>
        </w:rPr>
        <w:t xml:space="preserve">(1957) 97 CLR </w:t>
      </w:r>
      <w:r w:rsidR="00680A33" w:rsidRPr="006D4E15">
        <w:rPr>
          <w:rFonts w:ascii="Times New Roman" w:hAnsi="Times New Roman"/>
          <w:sz w:val="24"/>
        </w:rPr>
        <w:t>465 at 474</w:t>
      </w:r>
      <w:r w:rsidR="00B63A6E" w:rsidRPr="006D4E15">
        <w:rPr>
          <w:rFonts w:ascii="Times New Roman" w:hAnsi="Times New Roman"/>
          <w:sz w:val="24"/>
        </w:rPr>
        <w:t xml:space="preserve">; </w:t>
      </w:r>
      <w:r w:rsidR="000E5F53" w:rsidRPr="006D4E15">
        <w:rPr>
          <w:rFonts w:ascii="Times New Roman" w:hAnsi="Times New Roman"/>
          <w:i/>
          <w:iCs/>
          <w:sz w:val="24"/>
        </w:rPr>
        <w:t xml:space="preserve">Gray v Motor Accident Commission </w:t>
      </w:r>
      <w:r w:rsidR="007426F6" w:rsidRPr="006D4E15">
        <w:rPr>
          <w:rFonts w:ascii="Times New Roman" w:hAnsi="Times New Roman"/>
          <w:sz w:val="24"/>
        </w:rPr>
        <w:t xml:space="preserve">(1998) 196 CLR 1 at </w:t>
      </w:r>
      <w:r w:rsidR="00667506" w:rsidRPr="006D4E15">
        <w:rPr>
          <w:rFonts w:ascii="Times New Roman" w:hAnsi="Times New Roman"/>
          <w:sz w:val="24"/>
        </w:rPr>
        <w:t xml:space="preserve">9-10 </w:t>
      </w:r>
      <w:r w:rsidR="007426F6" w:rsidRPr="006D4E15">
        <w:rPr>
          <w:rFonts w:ascii="Times New Roman" w:hAnsi="Times New Roman"/>
          <w:sz w:val="24"/>
        </w:rPr>
        <w:t>[22]</w:t>
      </w:r>
      <w:r w:rsidR="00D37534" w:rsidRPr="006D4E15">
        <w:rPr>
          <w:rFonts w:ascii="Times New Roman" w:hAnsi="Times New Roman"/>
          <w:sz w:val="24"/>
        </w:rPr>
        <w:t xml:space="preserve">; </w:t>
      </w:r>
      <w:r w:rsidR="004F74E2" w:rsidRPr="006D4E15">
        <w:rPr>
          <w:rFonts w:ascii="Times New Roman" w:hAnsi="Times New Roman"/>
          <w:i/>
          <w:iCs/>
          <w:sz w:val="24"/>
        </w:rPr>
        <w:t>Australian</w:t>
      </w:r>
      <w:r w:rsidR="00903791" w:rsidRPr="006D4E15">
        <w:rPr>
          <w:rFonts w:ascii="Times New Roman" w:hAnsi="Times New Roman"/>
          <w:i/>
          <w:iCs/>
          <w:sz w:val="24"/>
        </w:rPr>
        <w:t> </w:t>
      </w:r>
      <w:r w:rsidR="004F74E2" w:rsidRPr="006D4E15">
        <w:rPr>
          <w:rFonts w:ascii="Times New Roman" w:hAnsi="Times New Roman"/>
          <w:i/>
          <w:iCs/>
          <w:sz w:val="24"/>
        </w:rPr>
        <w:t xml:space="preserve">Securities and Investments Commission v Cassimatis </w:t>
      </w:r>
      <w:r w:rsidR="003F4305" w:rsidRPr="006D4E15">
        <w:rPr>
          <w:rFonts w:ascii="Times New Roman" w:hAnsi="Times New Roman"/>
          <w:i/>
          <w:iCs/>
          <w:sz w:val="24"/>
        </w:rPr>
        <w:t>[</w:t>
      </w:r>
      <w:r w:rsidR="004F74E2" w:rsidRPr="006D4E15">
        <w:rPr>
          <w:rFonts w:ascii="Times New Roman" w:hAnsi="Times New Roman"/>
          <w:i/>
          <w:iCs/>
          <w:sz w:val="24"/>
        </w:rPr>
        <w:t>No 8</w:t>
      </w:r>
      <w:r w:rsidR="003F4305" w:rsidRPr="006D4E15">
        <w:rPr>
          <w:rFonts w:ascii="Times New Roman" w:hAnsi="Times New Roman"/>
          <w:i/>
          <w:iCs/>
          <w:sz w:val="24"/>
        </w:rPr>
        <w:t>]</w:t>
      </w:r>
      <w:r w:rsidR="00BC617B" w:rsidRPr="006D4E15">
        <w:rPr>
          <w:rFonts w:ascii="Times New Roman" w:hAnsi="Times New Roman"/>
          <w:i/>
          <w:iCs/>
          <w:sz w:val="24"/>
        </w:rPr>
        <w:t xml:space="preserve"> </w:t>
      </w:r>
      <w:r w:rsidR="003F4305" w:rsidRPr="006D4E15">
        <w:rPr>
          <w:rFonts w:ascii="Times New Roman" w:hAnsi="Times New Roman"/>
          <w:sz w:val="24"/>
        </w:rPr>
        <w:t xml:space="preserve">(2016) 336 ALR </w:t>
      </w:r>
      <w:r w:rsidR="00761612" w:rsidRPr="006D4E15">
        <w:rPr>
          <w:rFonts w:ascii="Times New Roman" w:hAnsi="Times New Roman"/>
          <w:sz w:val="24"/>
        </w:rPr>
        <w:t xml:space="preserve">209 </w:t>
      </w:r>
      <w:r w:rsidR="00A0505D" w:rsidRPr="006D4E15">
        <w:rPr>
          <w:rFonts w:ascii="Times New Roman" w:hAnsi="Times New Roman"/>
          <w:sz w:val="24"/>
        </w:rPr>
        <w:t>at</w:t>
      </w:r>
      <w:r w:rsidR="00761612" w:rsidRPr="006D4E15">
        <w:rPr>
          <w:rFonts w:ascii="Times New Roman" w:hAnsi="Times New Roman"/>
          <w:sz w:val="24"/>
        </w:rPr>
        <w:t xml:space="preserve"> 306</w:t>
      </w:r>
      <w:r w:rsidR="00A0505D" w:rsidRPr="006D4E15">
        <w:rPr>
          <w:rFonts w:ascii="Times New Roman" w:hAnsi="Times New Roman"/>
          <w:sz w:val="24"/>
        </w:rPr>
        <w:t xml:space="preserve"> [504]-[505]</w:t>
      </w:r>
      <w:r w:rsidR="007426F6" w:rsidRPr="006D4E15">
        <w:rPr>
          <w:rFonts w:ascii="Times New Roman" w:hAnsi="Times New Roman"/>
          <w:sz w:val="24"/>
        </w:rPr>
        <w:t xml:space="preserve">. </w:t>
      </w:r>
    </w:p>
  </w:footnote>
  <w:footnote w:id="55">
    <w:p w14:paraId="6981D3EB" w14:textId="61F8BA89" w:rsidR="00ED5D9D" w:rsidRPr="006D4E15" w:rsidRDefault="00ED5D9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563AA7" w:rsidRPr="006D4E15">
        <w:rPr>
          <w:rFonts w:ascii="Times New Roman" w:hAnsi="Times New Roman"/>
          <w:sz w:val="24"/>
        </w:rPr>
        <w:tab/>
      </w:r>
      <w:r w:rsidR="00563AA7" w:rsidRPr="006D4E15">
        <w:rPr>
          <w:rFonts w:ascii="Times New Roman" w:hAnsi="Times New Roman"/>
          <w:i/>
          <w:iCs/>
          <w:sz w:val="24"/>
        </w:rPr>
        <w:t>Schokman</w:t>
      </w:r>
      <w:r w:rsidR="00563AA7" w:rsidRPr="006D4E15">
        <w:rPr>
          <w:rFonts w:ascii="Times New Roman" w:hAnsi="Times New Roman"/>
          <w:sz w:val="24"/>
        </w:rPr>
        <w:t xml:space="preserve"> (2023) 97 ALJR 551</w:t>
      </w:r>
      <w:r w:rsidR="000E721F" w:rsidRPr="006D4E15">
        <w:rPr>
          <w:rFonts w:ascii="Times New Roman" w:hAnsi="Times New Roman"/>
          <w:sz w:val="24"/>
        </w:rPr>
        <w:t xml:space="preserve"> at 561-562 [51]</w:t>
      </w:r>
      <w:r w:rsidR="002A4F5D" w:rsidRPr="006D4E15">
        <w:rPr>
          <w:rFonts w:ascii="Times New Roman" w:hAnsi="Times New Roman"/>
          <w:sz w:val="24"/>
        </w:rPr>
        <w:t xml:space="preserve">; </w:t>
      </w:r>
      <w:r w:rsidR="00453688" w:rsidRPr="006D4E15">
        <w:rPr>
          <w:rFonts w:ascii="Times New Roman" w:hAnsi="Times New Roman"/>
          <w:sz w:val="24"/>
        </w:rPr>
        <w:t xml:space="preserve">410 ALR 479 </w:t>
      </w:r>
      <w:r w:rsidR="00DF0F4F" w:rsidRPr="006D4E15">
        <w:rPr>
          <w:rFonts w:ascii="Times New Roman" w:hAnsi="Times New Roman"/>
          <w:sz w:val="24"/>
        </w:rPr>
        <w:t>at 491</w:t>
      </w:r>
      <w:r w:rsidR="000E721F" w:rsidRPr="006D4E15">
        <w:rPr>
          <w:rFonts w:ascii="Times New Roman" w:hAnsi="Times New Roman"/>
          <w:sz w:val="24"/>
        </w:rPr>
        <w:t>.</w:t>
      </w:r>
      <w:r w:rsidR="00563AA7" w:rsidRPr="006D4E15">
        <w:rPr>
          <w:rFonts w:ascii="Times New Roman" w:hAnsi="Times New Roman"/>
          <w:sz w:val="24"/>
        </w:rPr>
        <w:t xml:space="preserve"> </w:t>
      </w:r>
      <w:r w:rsidR="00B75344" w:rsidRPr="006D4E15">
        <w:rPr>
          <w:rFonts w:ascii="Times New Roman" w:hAnsi="Times New Roman"/>
          <w:sz w:val="24"/>
        </w:rPr>
        <w:t>See also</w:t>
      </w:r>
      <w:r w:rsidR="005875EA" w:rsidRPr="006D4E15">
        <w:rPr>
          <w:rFonts w:ascii="Times New Roman" w:hAnsi="Times New Roman"/>
          <w:sz w:val="24"/>
        </w:rPr>
        <w:t xml:space="preserve"> </w:t>
      </w:r>
      <w:r w:rsidR="005875EA" w:rsidRPr="006D4E15">
        <w:rPr>
          <w:rFonts w:ascii="Times New Roman" w:hAnsi="Times New Roman"/>
          <w:i/>
          <w:iCs/>
          <w:sz w:val="24"/>
        </w:rPr>
        <w:t xml:space="preserve">Darling Island Stevedoring </w:t>
      </w:r>
      <w:r w:rsidR="002F23F0" w:rsidRPr="006D4E15">
        <w:rPr>
          <w:rFonts w:ascii="Times New Roman" w:hAnsi="Times New Roman"/>
          <w:sz w:val="24"/>
        </w:rPr>
        <w:t>(1957) 97 CLR 36 at 57.</w:t>
      </w:r>
    </w:p>
  </w:footnote>
  <w:footnote w:id="56">
    <w:p w14:paraId="251D7DEC" w14:textId="28D76BDE" w:rsidR="00246E58" w:rsidRPr="006D4E15" w:rsidRDefault="00246E58" w:rsidP="006D4E15">
      <w:pPr>
        <w:pStyle w:val="FootnoteText"/>
        <w:spacing w:line="280" w:lineRule="exact"/>
        <w:ind w:right="0"/>
        <w:jc w:val="both"/>
        <w:rPr>
          <w:rFonts w:ascii="Times New Roman" w:hAnsi="Times New Roman"/>
          <w:i/>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B2A3A" w:rsidRPr="006D4E15">
        <w:rPr>
          <w:rFonts w:ascii="Times New Roman" w:hAnsi="Times New Roman"/>
          <w:i/>
          <w:iCs/>
          <w:sz w:val="24"/>
        </w:rPr>
        <w:t xml:space="preserve">Prince Alfred College </w:t>
      </w:r>
      <w:r w:rsidR="004B2A3A" w:rsidRPr="006D4E15">
        <w:rPr>
          <w:rFonts w:ascii="Times New Roman" w:hAnsi="Times New Roman"/>
          <w:sz w:val="24"/>
        </w:rPr>
        <w:t xml:space="preserve">(2016) 258 CLR 134 at 148 [39]. </w:t>
      </w:r>
      <w:r w:rsidR="00C93C3C" w:rsidRPr="006D4E15">
        <w:rPr>
          <w:rFonts w:ascii="Times New Roman" w:hAnsi="Times New Roman"/>
          <w:sz w:val="24"/>
        </w:rPr>
        <w:t>See also</w:t>
      </w:r>
      <w:r w:rsidR="004B2A3A" w:rsidRPr="006D4E15">
        <w:rPr>
          <w:rFonts w:ascii="Times New Roman" w:hAnsi="Times New Roman"/>
          <w:sz w:val="24"/>
        </w:rPr>
        <w:t xml:space="preserve"> </w:t>
      </w:r>
      <w:r w:rsidR="00866ED8" w:rsidRPr="006D4E15">
        <w:rPr>
          <w:rFonts w:ascii="Times New Roman" w:hAnsi="Times New Roman"/>
          <w:sz w:val="24"/>
          <w:szCs w:val="18"/>
        </w:rPr>
        <w:t>Sappideen and Vines</w:t>
      </w:r>
      <w:r w:rsidR="00B44121" w:rsidRPr="006D4E15">
        <w:rPr>
          <w:rFonts w:ascii="Times New Roman" w:hAnsi="Times New Roman"/>
          <w:sz w:val="24"/>
          <w:szCs w:val="18"/>
        </w:rPr>
        <w:t xml:space="preserve"> (eds)</w:t>
      </w:r>
      <w:r w:rsidR="00866ED8" w:rsidRPr="006D4E15">
        <w:rPr>
          <w:rFonts w:ascii="Times New Roman" w:hAnsi="Times New Roman"/>
          <w:sz w:val="24"/>
          <w:szCs w:val="18"/>
        </w:rPr>
        <w:t xml:space="preserve">, </w:t>
      </w:r>
      <w:r w:rsidR="00866ED8" w:rsidRPr="006D4E15">
        <w:rPr>
          <w:rFonts w:ascii="Times New Roman" w:hAnsi="Times New Roman"/>
          <w:i/>
          <w:iCs/>
          <w:sz w:val="24"/>
          <w:szCs w:val="18"/>
        </w:rPr>
        <w:t xml:space="preserve">Fleming's </w:t>
      </w:r>
      <w:r w:rsidR="00CD7FC7">
        <w:rPr>
          <w:rFonts w:ascii="Times New Roman" w:hAnsi="Times New Roman"/>
          <w:i/>
          <w:iCs/>
          <w:sz w:val="24"/>
          <w:szCs w:val="18"/>
        </w:rPr>
        <w:t>T</w:t>
      </w:r>
      <w:r w:rsidR="00866ED8" w:rsidRPr="006D4E15">
        <w:rPr>
          <w:rFonts w:ascii="Times New Roman" w:hAnsi="Times New Roman"/>
          <w:i/>
          <w:iCs/>
          <w:sz w:val="24"/>
          <w:szCs w:val="18"/>
        </w:rPr>
        <w:t>he Law of Torts</w:t>
      </w:r>
      <w:r w:rsidR="00866ED8" w:rsidRPr="006D4E15">
        <w:rPr>
          <w:rFonts w:ascii="Times New Roman" w:hAnsi="Times New Roman"/>
          <w:sz w:val="24"/>
          <w:szCs w:val="18"/>
        </w:rPr>
        <w:t>, 1</w:t>
      </w:r>
      <w:r w:rsidR="003A29F2" w:rsidRPr="006D4E15">
        <w:rPr>
          <w:rFonts w:ascii="Times New Roman" w:hAnsi="Times New Roman"/>
          <w:sz w:val="24"/>
          <w:szCs w:val="18"/>
        </w:rPr>
        <w:t xml:space="preserve">1th ed (2024) </w:t>
      </w:r>
      <w:r w:rsidR="00866ED8" w:rsidRPr="006D4E15">
        <w:rPr>
          <w:rFonts w:ascii="Times New Roman" w:hAnsi="Times New Roman"/>
          <w:sz w:val="24"/>
          <w:szCs w:val="18"/>
        </w:rPr>
        <w:t>at 4</w:t>
      </w:r>
      <w:r w:rsidR="009E57E5" w:rsidRPr="006D4E15">
        <w:rPr>
          <w:rFonts w:ascii="Times New Roman" w:hAnsi="Times New Roman"/>
          <w:sz w:val="24"/>
          <w:szCs w:val="18"/>
        </w:rPr>
        <w:t>93</w:t>
      </w:r>
      <w:r w:rsidR="00866ED8" w:rsidRPr="006D4E15">
        <w:rPr>
          <w:rFonts w:ascii="Times New Roman" w:hAnsi="Times New Roman"/>
          <w:sz w:val="24"/>
          <w:szCs w:val="18"/>
        </w:rPr>
        <w:t xml:space="preserve"> [1</w:t>
      </w:r>
      <w:r w:rsidR="009E57E5" w:rsidRPr="006D4E15">
        <w:rPr>
          <w:rFonts w:ascii="Times New Roman" w:hAnsi="Times New Roman"/>
          <w:sz w:val="24"/>
          <w:szCs w:val="18"/>
        </w:rPr>
        <w:t>7</w:t>
      </w:r>
      <w:r w:rsidR="00866ED8" w:rsidRPr="006D4E15">
        <w:rPr>
          <w:rFonts w:ascii="Times New Roman" w:hAnsi="Times New Roman"/>
          <w:sz w:val="24"/>
          <w:szCs w:val="18"/>
        </w:rPr>
        <w:t>.10].</w:t>
      </w:r>
      <w:r w:rsidR="004B2A3A" w:rsidRPr="006D4E15">
        <w:rPr>
          <w:rFonts w:ascii="Times New Roman" w:hAnsi="Times New Roman"/>
          <w:sz w:val="24"/>
          <w:szCs w:val="18"/>
        </w:rPr>
        <w:t xml:space="preserve"> </w:t>
      </w:r>
    </w:p>
  </w:footnote>
  <w:footnote w:id="57">
    <w:p w14:paraId="7E9A291D" w14:textId="2C7ADED4" w:rsidR="005A2760" w:rsidRPr="006D4E15" w:rsidRDefault="005A276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Schokman </w:t>
      </w:r>
      <w:r w:rsidRPr="006D4E15">
        <w:rPr>
          <w:rFonts w:ascii="Times New Roman" w:hAnsi="Times New Roman"/>
          <w:sz w:val="24"/>
        </w:rPr>
        <w:t>(2023) 97 ALJR 551 at</w:t>
      </w:r>
      <w:r w:rsidR="00944A1F" w:rsidRPr="006D4E15">
        <w:rPr>
          <w:rFonts w:ascii="Times New Roman" w:hAnsi="Times New Roman"/>
          <w:sz w:val="24"/>
        </w:rPr>
        <w:t xml:space="preserve"> </w:t>
      </w:r>
      <w:r w:rsidR="001146D2" w:rsidRPr="006D4E15">
        <w:rPr>
          <w:rFonts w:ascii="Times New Roman" w:hAnsi="Times New Roman"/>
          <w:sz w:val="24"/>
        </w:rPr>
        <w:t>555-</w:t>
      </w:r>
      <w:r w:rsidR="002B372B" w:rsidRPr="006D4E15">
        <w:rPr>
          <w:rFonts w:ascii="Times New Roman" w:hAnsi="Times New Roman"/>
          <w:sz w:val="24"/>
        </w:rPr>
        <w:t>556</w:t>
      </w:r>
      <w:r w:rsidRPr="006D4E15">
        <w:rPr>
          <w:rFonts w:ascii="Times New Roman" w:hAnsi="Times New Roman"/>
          <w:sz w:val="24"/>
        </w:rPr>
        <w:t xml:space="preserve"> [12]-[14], </w:t>
      </w:r>
      <w:r w:rsidR="00E86599" w:rsidRPr="006D4E15">
        <w:rPr>
          <w:rFonts w:ascii="Times New Roman" w:hAnsi="Times New Roman"/>
          <w:sz w:val="24"/>
        </w:rPr>
        <w:t>565</w:t>
      </w:r>
      <w:r w:rsidR="00903791" w:rsidRPr="006D4E15">
        <w:rPr>
          <w:rFonts w:ascii="Times New Roman" w:hAnsi="Times New Roman"/>
          <w:sz w:val="24"/>
        </w:rPr>
        <w:t> </w:t>
      </w:r>
      <w:r w:rsidRPr="006D4E15">
        <w:rPr>
          <w:rFonts w:ascii="Times New Roman" w:hAnsi="Times New Roman"/>
          <w:sz w:val="24"/>
        </w:rPr>
        <w:t>[64]</w:t>
      </w:r>
      <w:r w:rsidR="00903791" w:rsidRPr="006D4E15">
        <w:rPr>
          <w:rFonts w:ascii="Times New Roman" w:hAnsi="Times New Roman"/>
          <w:sz w:val="24"/>
        </w:rPr>
        <w:noBreakHyphen/>
      </w:r>
      <w:r w:rsidRPr="006D4E15">
        <w:rPr>
          <w:rFonts w:ascii="Times New Roman" w:hAnsi="Times New Roman"/>
          <w:sz w:val="24"/>
        </w:rPr>
        <w:t xml:space="preserve">[66]; 410 ALR 479 at </w:t>
      </w:r>
      <w:r w:rsidR="00376580" w:rsidRPr="006D4E15">
        <w:rPr>
          <w:rFonts w:ascii="Times New Roman" w:hAnsi="Times New Roman"/>
          <w:sz w:val="24"/>
        </w:rPr>
        <w:t>482-</w:t>
      </w:r>
      <w:r w:rsidRPr="006D4E15">
        <w:rPr>
          <w:rFonts w:ascii="Times New Roman" w:hAnsi="Times New Roman"/>
          <w:sz w:val="24"/>
        </w:rPr>
        <w:t>483</w:t>
      </w:r>
      <w:r w:rsidR="00376580" w:rsidRPr="006D4E15">
        <w:rPr>
          <w:rFonts w:ascii="Times New Roman" w:hAnsi="Times New Roman"/>
          <w:sz w:val="24"/>
        </w:rPr>
        <w:t xml:space="preserve">, </w:t>
      </w:r>
      <w:r w:rsidR="004755F9" w:rsidRPr="006D4E15">
        <w:rPr>
          <w:rFonts w:ascii="Times New Roman" w:hAnsi="Times New Roman"/>
          <w:sz w:val="24"/>
        </w:rPr>
        <w:t>495-496</w:t>
      </w:r>
      <w:r w:rsidRPr="006D4E15">
        <w:rPr>
          <w:rFonts w:ascii="Times New Roman" w:hAnsi="Times New Roman"/>
          <w:sz w:val="24"/>
        </w:rPr>
        <w:t>.</w:t>
      </w:r>
      <w:r w:rsidR="00E21DAF" w:rsidRPr="006D4E15">
        <w:rPr>
          <w:rFonts w:ascii="Times New Roman" w:hAnsi="Times New Roman"/>
          <w:sz w:val="24"/>
        </w:rPr>
        <w:t xml:space="preserve"> </w:t>
      </w:r>
      <w:r w:rsidRPr="006D4E15">
        <w:rPr>
          <w:rFonts w:ascii="Times New Roman" w:hAnsi="Times New Roman"/>
          <w:sz w:val="24"/>
        </w:rPr>
        <w:t xml:space="preserve">See also </w:t>
      </w:r>
      <w:r w:rsidRPr="006D4E15">
        <w:rPr>
          <w:rFonts w:ascii="Times New Roman" w:hAnsi="Times New Roman"/>
          <w:i/>
          <w:sz w:val="24"/>
        </w:rPr>
        <w:t xml:space="preserve">Burnie Port Authority </w:t>
      </w:r>
      <w:r w:rsidRPr="006D4E15">
        <w:rPr>
          <w:rFonts w:ascii="Times New Roman" w:hAnsi="Times New Roman"/>
          <w:sz w:val="24"/>
        </w:rPr>
        <w:t xml:space="preserve">(1994) 179 CLR 520 at 575; </w:t>
      </w:r>
      <w:r w:rsidRPr="006D4E15">
        <w:rPr>
          <w:rFonts w:ascii="Times New Roman" w:hAnsi="Times New Roman"/>
          <w:i/>
          <w:sz w:val="24"/>
        </w:rPr>
        <w:t xml:space="preserve">Scott </w:t>
      </w:r>
      <w:r w:rsidRPr="006D4E15">
        <w:rPr>
          <w:rFonts w:ascii="Times New Roman" w:hAnsi="Times New Roman"/>
          <w:sz w:val="24"/>
        </w:rPr>
        <w:t xml:space="preserve">(2000) 204 CLR 333 at </w:t>
      </w:r>
      <w:r w:rsidR="00A96335" w:rsidRPr="006D4E15">
        <w:rPr>
          <w:rFonts w:ascii="Times New Roman" w:hAnsi="Times New Roman"/>
          <w:sz w:val="24"/>
        </w:rPr>
        <w:t xml:space="preserve">380 </w:t>
      </w:r>
      <w:r w:rsidRPr="006D4E15">
        <w:rPr>
          <w:rFonts w:ascii="Times New Roman" w:hAnsi="Times New Roman"/>
          <w:sz w:val="24"/>
        </w:rPr>
        <w:t xml:space="preserve">[139], 436 [301]; </w:t>
      </w:r>
      <w:r w:rsidRPr="006D4E15">
        <w:rPr>
          <w:rFonts w:ascii="Times New Roman" w:hAnsi="Times New Roman"/>
          <w:i/>
          <w:sz w:val="24"/>
        </w:rPr>
        <w:t>Hollis</w:t>
      </w:r>
      <w:r w:rsidRPr="006D4E15">
        <w:rPr>
          <w:rFonts w:ascii="Times New Roman" w:hAnsi="Times New Roman"/>
          <w:sz w:val="24"/>
        </w:rPr>
        <w:t xml:space="preserve"> (2001) 207 CLR 21 at 36 [32]; </w:t>
      </w:r>
      <w:r w:rsidRPr="006D4E15">
        <w:rPr>
          <w:rFonts w:ascii="Times New Roman" w:hAnsi="Times New Roman"/>
          <w:i/>
          <w:sz w:val="24"/>
        </w:rPr>
        <w:t xml:space="preserve">Lepore </w:t>
      </w:r>
      <w:r w:rsidRPr="006D4E15">
        <w:rPr>
          <w:rFonts w:ascii="Times New Roman" w:hAnsi="Times New Roman"/>
          <w:sz w:val="24"/>
        </w:rPr>
        <w:t>(2003) 212 CLR 511 at 535 [40], 580</w:t>
      </w:r>
      <w:r w:rsidRPr="006D4E15">
        <w:rPr>
          <w:rFonts w:ascii="Times New Roman" w:hAnsi="Times New Roman"/>
          <w:sz w:val="24"/>
        </w:rPr>
        <w:noBreakHyphen/>
        <w:t>581 [</w:t>
      </w:r>
      <w:r w:rsidR="008610EC" w:rsidRPr="006D4E15">
        <w:rPr>
          <w:rFonts w:ascii="Times New Roman" w:hAnsi="Times New Roman"/>
          <w:sz w:val="24"/>
        </w:rPr>
        <w:t>196</w:t>
      </w:r>
      <w:r w:rsidRPr="006D4E15">
        <w:rPr>
          <w:rFonts w:ascii="Times New Roman" w:hAnsi="Times New Roman"/>
          <w:sz w:val="24"/>
        </w:rPr>
        <w:t>]-[</w:t>
      </w:r>
      <w:r w:rsidR="008610EC" w:rsidRPr="006D4E15">
        <w:rPr>
          <w:rFonts w:ascii="Times New Roman" w:hAnsi="Times New Roman"/>
          <w:sz w:val="24"/>
        </w:rPr>
        <w:t>197</w:t>
      </w:r>
      <w:r w:rsidRPr="006D4E15">
        <w:rPr>
          <w:rFonts w:ascii="Times New Roman" w:hAnsi="Times New Roman"/>
          <w:sz w:val="24"/>
        </w:rPr>
        <w:t xml:space="preserve">]; </w:t>
      </w:r>
      <w:r w:rsidRPr="006D4E15">
        <w:rPr>
          <w:rFonts w:ascii="Times New Roman" w:hAnsi="Times New Roman"/>
          <w:i/>
          <w:sz w:val="24"/>
        </w:rPr>
        <w:t xml:space="preserve">Sweeney </w:t>
      </w:r>
      <w:r w:rsidRPr="006D4E15">
        <w:rPr>
          <w:rFonts w:ascii="Times New Roman" w:hAnsi="Times New Roman"/>
          <w:sz w:val="24"/>
        </w:rPr>
        <w:t xml:space="preserve">(2006) 226 CLR 161 at 167 [12], 173 [33]; </w:t>
      </w:r>
      <w:r w:rsidRPr="006D4E15">
        <w:rPr>
          <w:rFonts w:ascii="Times New Roman" w:hAnsi="Times New Roman"/>
          <w:i/>
          <w:sz w:val="24"/>
        </w:rPr>
        <w:t xml:space="preserve">Prince Alfred College </w:t>
      </w:r>
      <w:r w:rsidRPr="006D4E15">
        <w:rPr>
          <w:rFonts w:ascii="Times New Roman" w:hAnsi="Times New Roman"/>
          <w:sz w:val="24"/>
        </w:rPr>
        <w:t>(2016) 258 CLR 134 at 148 [39]-[40], 149</w:t>
      </w:r>
      <w:r w:rsidR="00A2405C" w:rsidRPr="006D4E15">
        <w:rPr>
          <w:rFonts w:ascii="Times New Roman" w:hAnsi="Times New Roman"/>
          <w:sz w:val="24"/>
        </w:rPr>
        <w:t>-150 [45],</w:t>
      </w:r>
      <w:r w:rsidRPr="006D4E15">
        <w:rPr>
          <w:rFonts w:ascii="Times New Roman" w:hAnsi="Times New Roman"/>
          <w:sz w:val="24"/>
        </w:rPr>
        <w:t xml:space="preserve"> [49]; </w:t>
      </w:r>
      <w:r w:rsidRPr="006D4E15">
        <w:rPr>
          <w:rFonts w:ascii="Times New Roman" w:hAnsi="Times New Roman"/>
          <w:i/>
          <w:sz w:val="24"/>
        </w:rPr>
        <w:t>CFMMEU</w:t>
      </w:r>
      <w:r w:rsidRPr="006D4E15">
        <w:rPr>
          <w:rFonts w:ascii="Times New Roman" w:hAnsi="Times New Roman"/>
          <w:sz w:val="24"/>
        </w:rPr>
        <w:t xml:space="preserve"> (2022) </w:t>
      </w:r>
      <w:r w:rsidR="00CD4680" w:rsidRPr="006D4E15">
        <w:rPr>
          <w:rFonts w:ascii="Times New Roman" w:hAnsi="Times New Roman"/>
          <w:sz w:val="24"/>
        </w:rPr>
        <w:t>275 CLR 165</w:t>
      </w:r>
      <w:r w:rsidRPr="006D4E15">
        <w:rPr>
          <w:rFonts w:ascii="Times New Roman" w:hAnsi="Times New Roman"/>
          <w:sz w:val="24"/>
        </w:rPr>
        <w:t xml:space="preserve"> at 199-200 [82], 239 [191].</w:t>
      </w:r>
    </w:p>
  </w:footnote>
  <w:footnote w:id="58">
    <w:p w14:paraId="7D802C97" w14:textId="17ABF5A8" w:rsidR="00B43ABE" w:rsidRPr="006D4E15" w:rsidRDefault="00B43A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00913F02" w:rsidRPr="006D4E15">
        <w:rPr>
          <w:rFonts w:ascii="Times New Roman" w:hAnsi="Times New Roman"/>
          <w:i/>
          <w:iCs/>
          <w:sz w:val="24"/>
        </w:rPr>
        <w:t xml:space="preserve">CFMMEU </w:t>
      </w:r>
      <w:r w:rsidR="00913F02" w:rsidRPr="006D4E15">
        <w:rPr>
          <w:rFonts w:ascii="Times New Roman" w:hAnsi="Times New Roman"/>
          <w:sz w:val="24"/>
        </w:rPr>
        <w:t>(</w:t>
      </w:r>
      <w:r w:rsidR="00953574" w:rsidRPr="006D4E15">
        <w:rPr>
          <w:rFonts w:ascii="Times New Roman" w:hAnsi="Times New Roman"/>
          <w:sz w:val="24"/>
        </w:rPr>
        <w:t xml:space="preserve">2022) 275 CLR 165 </w:t>
      </w:r>
      <w:r w:rsidRPr="006D4E15">
        <w:rPr>
          <w:rFonts w:ascii="Times New Roman" w:hAnsi="Times New Roman"/>
          <w:sz w:val="24"/>
        </w:rPr>
        <w:t>at 225 [161].</w:t>
      </w:r>
      <w:r w:rsidRPr="006D4E15" w:rsidDel="00F444C8">
        <w:rPr>
          <w:rFonts w:ascii="Times New Roman" w:hAnsi="Times New Roman"/>
          <w:sz w:val="24"/>
        </w:rPr>
        <w:t xml:space="preserve"> </w:t>
      </w:r>
    </w:p>
  </w:footnote>
  <w:footnote w:id="59">
    <w:p w14:paraId="393B8BAD" w14:textId="5D9A1E36" w:rsidR="00B43ABE" w:rsidRPr="006D4E15" w:rsidRDefault="00B43A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40ECE" w:rsidRPr="006D4E15">
        <w:rPr>
          <w:rFonts w:ascii="Times New Roman" w:hAnsi="Times New Roman"/>
          <w:i/>
          <w:iCs/>
          <w:sz w:val="24"/>
        </w:rPr>
        <w:t xml:space="preserve">WorkPac </w:t>
      </w:r>
      <w:r w:rsidRPr="006D4E15">
        <w:rPr>
          <w:rFonts w:ascii="Times New Roman" w:hAnsi="Times New Roman"/>
          <w:i/>
          <w:iCs/>
          <w:sz w:val="24"/>
        </w:rPr>
        <w:t>Pty Ltd v Rossato</w:t>
      </w:r>
      <w:r w:rsidRPr="006D4E15">
        <w:rPr>
          <w:rFonts w:ascii="Times New Roman" w:hAnsi="Times New Roman"/>
          <w:i/>
          <w:sz w:val="24"/>
        </w:rPr>
        <w:t xml:space="preserve"> </w:t>
      </w:r>
      <w:r w:rsidR="009455DD" w:rsidRPr="006D4E15">
        <w:rPr>
          <w:rFonts w:ascii="Times New Roman" w:hAnsi="Times New Roman"/>
          <w:sz w:val="24"/>
        </w:rPr>
        <w:t>(2021) 271 CLR 456</w:t>
      </w:r>
      <w:r w:rsidRPr="006D4E15">
        <w:rPr>
          <w:rFonts w:ascii="Times New Roman" w:hAnsi="Times New Roman"/>
          <w:sz w:val="24"/>
        </w:rPr>
        <w:t xml:space="preserve"> at </w:t>
      </w:r>
      <w:r w:rsidR="009455DD" w:rsidRPr="006D4E15">
        <w:rPr>
          <w:rFonts w:ascii="Times New Roman" w:hAnsi="Times New Roman"/>
          <w:sz w:val="24"/>
        </w:rPr>
        <w:t>477</w:t>
      </w:r>
      <w:r w:rsidRPr="006D4E15">
        <w:rPr>
          <w:rFonts w:ascii="Times New Roman" w:hAnsi="Times New Roman"/>
          <w:sz w:val="24"/>
        </w:rPr>
        <w:t xml:space="preserve"> [56]</w:t>
      </w:r>
      <w:r w:rsidR="00903791" w:rsidRPr="006D4E15">
        <w:rPr>
          <w:rFonts w:ascii="Times New Roman" w:hAnsi="Times New Roman"/>
          <w:sz w:val="24"/>
        </w:rPr>
        <w:noBreakHyphen/>
      </w:r>
      <w:r w:rsidRPr="006D4E15">
        <w:rPr>
          <w:rFonts w:ascii="Times New Roman" w:hAnsi="Times New Roman"/>
          <w:sz w:val="24"/>
        </w:rPr>
        <w:t xml:space="preserve">[58], </w:t>
      </w:r>
      <w:r w:rsidR="009455DD" w:rsidRPr="006D4E15">
        <w:rPr>
          <w:rFonts w:ascii="Times New Roman" w:hAnsi="Times New Roman"/>
          <w:sz w:val="24"/>
        </w:rPr>
        <w:t xml:space="preserve">478-479 </w:t>
      </w:r>
      <w:r w:rsidRPr="006D4E15">
        <w:rPr>
          <w:rFonts w:ascii="Times New Roman" w:hAnsi="Times New Roman"/>
          <w:sz w:val="24"/>
        </w:rPr>
        <w:t xml:space="preserve">[62]; </w:t>
      </w:r>
      <w:r w:rsidR="0077111B" w:rsidRPr="006D4E15">
        <w:rPr>
          <w:rFonts w:ascii="Times New Roman" w:hAnsi="Times New Roman"/>
          <w:i/>
          <w:iCs/>
          <w:sz w:val="24"/>
        </w:rPr>
        <w:t xml:space="preserve">CFMMEU </w:t>
      </w:r>
      <w:r w:rsidR="0077111B" w:rsidRPr="006D4E15">
        <w:rPr>
          <w:rFonts w:ascii="Times New Roman" w:hAnsi="Times New Roman"/>
          <w:sz w:val="24"/>
        </w:rPr>
        <w:t xml:space="preserve">(2022) 275 CLR 165 </w:t>
      </w:r>
      <w:r w:rsidRPr="006D4E15">
        <w:rPr>
          <w:rFonts w:ascii="Times New Roman" w:hAnsi="Times New Roman"/>
          <w:sz w:val="24"/>
        </w:rPr>
        <w:t>at 226 [162], 228 [172].</w:t>
      </w:r>
    </w:p>
  </w:footnote>
  <w:footnote w:id="60">
    <w:p w14:paraId="02C685BB" w14:textId="2C7D0D2E" w:rsidR="00752C20" w:rsidRPr="006D4E15" w:rsidRDefault="00752C2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F2E8F" w:rsidRPr="006D4E15">
        <w:rPr>
          <w:rFonts w:ascii="Times New Roman" w:hAnsi="Times New Roman"/>
          <w:sz w:val="24"/>
        </w:rPr>
        <w:t xml:space="preserve">See, </w:t>
      </w:r>
      <w:r w:rsidR="0041728E" w:rsidRPr="006D4E15">
        <w:rPr>
          <w:rFonts w:ascii="Times New Roman" w:hAnsi="Times New Roman"/>
          <w:sz w:val="24"/>
        </w:rPr>
        <w:t xml:space="preserve">eg, </w:t>
      </w:r>
      <w:r w:rsidR="00B71F57" w:rsidRPr="006D4E15">
        <w:rPr>
          <w:rFonts w:ascii="Times New Roman" w:hAnsi="Times New Roman"/>
          <w:sz w:val="24"/>
        </w:rPr>
        <w:t>a non-delegable duty</w:t>
      </w:r>
      <w:r w:rsidR="00D7310D" w:rsidRPr="006D4E15">
        <w:rPr>
          <w:rFonts w:ascii="Times New Roman" w:hAnsi="Times New Roman"/>
          <w:sz w:val="24"/>
        </w:rPr>
        <w:t xml:space="preserve"> and statutory duties such as s 91 of the </w:t>
      </w:r>
      <w:r w:rsidR="00D7310D" w:rsidRPr="006D4E15">
        <w:rPr>
          <w:rFonts w:ascii="Times New Roman" w:hAnsi="Times New Roman"/>
          <w:i/>
          <w:iCs/>
          <w:sz w:val="24"/>
        </w:rPr>
        <w:t>Wrong</w:t>
      </w:r>
      <w:r w:rsidR="0092619F" w:rsidRPr="006D4E15">
        <w:rPr>
          <w:rFonts w:ascii="Times New Roman" w:hAnsi="Times New Roman"/>
          <w:i/>
          <w:iCs/>
          <w:sz w:val="24"/>
        </w:rPr>
        <w:t>s</w:t>
      </w:r>
      <w:r w:rsidR="00D7310D" w:rsidRPr="006D4E15">
        <w:rPr>
          <w:rFonts w:ascii="Times New Roman" w:hAnsi="Times New Roman"/>
          <w:i/>
          <w:iCs/>
          <w:sz w:val="24"/>
        </w:rPr>
        <w:t xml:space="preserve"> Act</w:t>
      </w:r>
      <w:r w:rsidR="00D7310D" w:rsidRPr="006D4E15">
        <w:rPr>
          <w:rFonts w:ascii="Times New Roman" w:hAnsi="Times New Roman"/>
          <w:i/>
          <w:sz w:val="24"/>
        </w:rPr>
        <w:t xml:space="preserve"> </w:t>
      </w:r>
      <w:r w:rsidR="006A4F0B" w:rsidRPr="006D4E15">
        <w:rPr>
          <w:rFonts w:ascii="Times New Roman" w:hAnsi="Times New Roman"/>
          <w:i/>
          <w:iCs/>
          <w:sz w:val="24"/>
        </w:rPr>
        <w:t>1958</w:t>
      </w:r>
      <w:r w:rsidR="00D7310D" w:rsidRPr="006D4E15">
        <w:rPr>
          <w:rFonts w:ascii="Times New Roman" w:hAnsi="Times New Roman"/>
          <w:sz w:val="24"/>
        </w:rPr>
        <w:t xml:space="preserve"> (V</w:t>
      </w:r>
      <w:r w:rsidR="006A4F0B" w:rsidRPr="006D4E15">
        <w:rPr>
          <w:rFonts w:ascii="Times New Roman" w:hAnsi="Times New Roman"/>
          <w:sz w:val="24"/>
        </w:rPr>
        <w:t>ic</w:t>
      </w:r>
      <w:r w:rsidR="00D7310D" w:rsidRPr="006D4E15">
        <w:rPr>
          <w:rFonts w:ascii="Times New Roman" w:hAnsi="Times New Roman"/>
          <w:sz w:val="24"/>
        </w:rPr>
        <w:t>).</w:t>
      </w:r>
    </w:p>
  </w:footnote>
  <w:footnote w:id="61">
    <w:p w14:paraId="619F9BFC" w14:textId="50F168EC" w:rsidR="009421CD" w:rsidRPr="006D4E15" w:rsidRDefault="009421C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F6581" w:rsidRPr="006D4E15">
        <w:rPr>
          <w:rFonts w:ascii="Times New Roman" w:hAnsi="Times New Roman"/>
          <w:sz w:val="24"/>
        </w:rPr>
        <w:t>(2023) 97 ALJR 551 at</w:t>
      </w:r>
      <w:r w:rsidR="0045146E" w:rsidRPr="006D4E15">
        <w:rPr>
          <w:rFonts w:ascii="Times New Roman" w:hAnsi="Times New Roman"/>
          <w:sz w:val="24"/>
        </w:rPr>
        <w:t xml:space="preserve"> 555</w:t>
      </w:r>
      <w:r w:rsidR="009F1B90" w:rsidRPr="006D4E15">
        <w:rPr>
          <w:rFonts w:ascii="Times New Roman" w:hAnsi="Times New Roman"/>
          <w:sz w:val="24"/>
        </w:rPr>
        <w:t>-556</w:t>
      </w:r>
      <w:r w:rsidR="004F6581" w:rsidRPr="006D4E15">
        <w:rPr>
          <w:rFonts w:ascii="Times New Roman" w:hAnsi="Times New Roman"/>
          <w:sz w:val="24"/>
        </w:rPr>
        <w:t xml:space="preserve"> [12]-[14], </w:t>
      </w:r>
      <w:r w:rsidR="001B25C0" w:rsidRPr="006D4E15">
        <w:rPr>
          <w:rFonts w:ascii="Times New Roman" w:hAnsi="Times New Roman"/>
          <w:sz w:val="24"/>
        </w:rPr>
        <w:t xml:space="preserve">565 </w:t>
      </w:r>
      <w:r w:rsidR="004F6581" w:rsidRPr="006D4E15">
        <w:rPr>
          <w:rFonts w:ascii="Times New Roman" w:hAnsi="Times New Roman"/>
          <w:sz w:val="24"/>
        </w:rPr>
        <w:t>[64</w:t>
      </w:r>
      <w:r w:rsidR="004F6581" w:rsidRPr="006D4E15" w:rsidDel="00334398">
        <w:rPr>
          <w:rFonts w:ascii="Times New Roman" w:hAnsi="Times New Roman"/>
          <w:sz w:val="24"/>
        </w:rPr>
        <w:t>]</w:t>
      </w:r>
      <w:r w:rsidR="004F6581" w:rsidRPr="006D4E15">
        <w:rPr>
          <w:rFonts w:ascii="Times New Roman" w:hAnsi="Times New Roman"/>
          <w:sz w:val="24"/>
        </w:rPr>
        <w:t>; 410 ALR 479 at</w:t>
      </w:r>
      <w:r w:rsidR="004D49B6" w:rsidRPr="006D4E15">
        <w:rPr>
          <w:rFonts w:ascii="Times New Roman" w:hAnsi="Times New Roman"/>
          <w:sz w:val="24"/>
        </w:rPr>
        <w:t xml:space="preserve"> 482-</w:t>
      </w:r>
      <w:r w:rsidR="004F6581" w:rsidRPr="006D4E15">
        <w:rPr>
          <w:rFonts w:ascii="Times New Roman" w:hAnsi="Times New Roman"/>
          <w:sz w:val="24"/>
        </w:rPr>
        <w:t>483</w:t>
      </w:r>
      <w:r w:rsidR="001D26F1" w:rsidRPr="006D4E15">
        <w:rPr>
          <w:rFonts w:ascii="Times New Roman" w:hAnsi="Times New Roman"/>
          <w:sz w:val="24"/>
        </w:rPr>
        <w:t xml:space="preserve">, </w:t>
      </w:r>
      <w:r w:rsidR="00BB2019" w:rsidRPr="006D4E15">
        <w:rPr>
          <w:rFonts w:ascii="Times New Roman" w:hAnsi="Times New Roman"/>
          <w:sz w:val="24"/>
        </w:rPr>
        <w:t>495</w:t>
      </w:r>
      <w:r w:rsidR="000C2B6B" w:rsidRPr="006D4E15">
        <w:rPr>
          <w:rFonts w:ascii="Times New Roman" w:hAnsi="Times New Roman"/>
          <w:sz w:val="24"/>
        </w:rPr>
        <w:t>.</w:t>
      </w:r>
      <w:r w:rsidRPr="006D4E15">
        <w:rPr>
          <w:rFonts w:ascii="Times New Roman" w:hAnsi="Times New Roman"/>
          <w:sz w:val="24"/>
        </w:rPr>
        <w:t xml:space="preserve"> See also </w:t>
      </w:r>
      <w:r w:rsidR="00FA40EC" w:rsidRPr="006D4E15">
        <w:rPr>
          <w:rFonts w:ascii="Times New Roman" w:hAnsi="Times New Roman"/>
          <w:i/>
          <w:sz w:val="24"/>
        </w:rPr>
        <w:t>Lepore</w:t>
      </w:r>
      <w:r w:rsidR="00FA40EC" w:rsidRPr="006D4E15">
        <w:rPr>
          <w:rFonts w:ascii="Times New Roman" w:hAnsi="Times New Roman"/>
          <w:sz w:val="24"/>
        </w:rPr>
        <w:t xml:space="preserve"> (2003) 212</w:t>
      </w:r>
      <w:r w:rsidR="0002030F" w:rsidRPr="006D4E15">
        <w:rPr>
          <w:rFonts w:ascii="Times New Roman" w:hAnsi="Times New Roman"/>
          <w:sz w:val="24"/>
        </w:rPr>
        <w:t> </w:t>
      </w:r>
      <w:r w:rsidR="00FA40EC" w:rsidRPr="006D4E15">
        <w:rPr>
          <w:rFonts w:ascii="Times New Roman" w:hAnsi="Times New Roman"/>
          <w:sz w:val="24"/>
        </w:rPr>
        <w:t>CLR 511 at 535 [40]</w:t>
      </w:r>
      <w:r w:rsidR="00660480" w:rsidRPr="006D4E15">
        <w:rPr>
          <w:rFonts w:ascii="Times New Roman" w:hAnsi="Times New Roman"/>
          <w:sz w:val="24"/>
        </w:rPr>
        <w:t>, 582 [202], 588 [221], 594 [242</w:t>
      </w:r>
      <w:r w:rsidR="00FA40EC" w:rsidRPr="006D4E15">
        <w:rPr>
          <w:rFonts w:ascii="Times New Roman" w:hAnsi="Times New Roman"/>
          <w:sz w:val="24"/>
        </w:rPr>
        <w:t xml:space="preserve">]; </w:t>
      </w:r>
      <w:r w:rsidR="008455CB" w:rsidRPr="006D4E15">
        <w:rPr>
          <w:rFonts w:ascii="Times New Roman" w:hAnsi="Times New Roman"/>
          <w:i/>
          <w:sz w:val="24"/>
        </w:rPr>
        <w:t xml:space="preserve">Sweeney </w:t>
      </w:r>
      <w:r w:rsidR="008455CB" w:rsidRPr="006D4E15">
        <w:rPr>
          <w:rFonts w:ascii="Times New Roman" w:hAnsi="Times New Roman"/>
          <w:sz w:val="24"/>
        </w:rPr>
        <w:t>(2006) 226 CLR 161 at 167 [12],</w:t>
      </w:r>
      <w:r w:rsidRPr="006D4E15">
        <w:rPr>
          <w:rFonts w:ascii="Times New Roman" w:hAnsi="Times New Roman"/>
          <w:sz w:val="24"/>
        </w:rPr>
        <w:t xml:space="preserve"> </w:t>
      </w:r>
      <w:r w:rsidR="00A9783F" w:rsidRPr="006D4E15">
        <w:rPr>
          <w:rFonts w:ascii="Times New Roman" w:hAnsi="Times New Roman"/>
          <w:sz w:val="24"/>
        </w:rPr>
        <w:t xml:space="preserve">171 </w:t>
      </w:r>
      <w:r w:rsidRPr="006D4E15">
        <w:rPr>
          <w:rFonts w:ascii="Times New Roman" w:hAnsi="Times New Roman"/>
          <w:sz w:val="24"/>
        </w:rPr>
        <w:t>[23]</w:t>
      </w:r>
      <w:r w:rsidR="00BA7160" w:rsidRPr="006D4E15">
        <w:rPr>
          <w:rFonts w:ascii="Times New Roman" w:hAnsi="Times New Roman"/>
          <w:sz w:val="24"/>
        </w:rPr>
        <w:t>,</w:t>
      </w:r>
      <w:r w:rsidRPr="006D4E15">
        <w:rPr>
          <w:rFonts w:ascii="Times New Roman" w:hAnsi="Times New Roman"/>
          <w:sz w:val="24"/>
        </w:rPr>
        <w:t xml:space="preserve"> citing Pollock</w:t>
      </w:r>
      <w:r w:rsidR="00D63C0C"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sz w:val="24"/>
        </w:rPr>
        <w:t>Essays in Jurisprudence and Ethics</w:t>
      </w:r>
      <w:r w:rsidR="00A937E5" w:rsidRPr="006D4E15">
        <w:rPr>
          <w:rFonts w:ascii="Times New Roman" w:hAnsi="Times New Roman"/>
          <w:sz w:val="24"/>
        </w:rPr>
        <w:t xml:space="preserve"> </w:t>
      </w:r>
      <w:r w:rsidR="0084767C" w:rsidRPr="006D4E15">
        <w:rPr>
          <w:rFonts w:ascii="Times New Roman" w:hAnsi="Times New Roman"/>
          <w:sz w:val="24"/>
        </w:rPr>
        <w:t xml:space="preserve">(1882) </w:t>
      </w:r>
      <w:r w:rsidR="00A937E5" w:rsidRPr="006D4E15">
        <w:rPr>
          <w:rFonts w:ascii="Times New Roman" w:hAnsi="Times New Roman"/>
          <w:sz w:val="24"/>
        </w:rPr>
        <w:t>at</w:t>
      </w:r>
      <w:r w:rsidRPr="006D4E15">
        <w:rPr>
          <w:rFonts w:ascii="Times New Roman" w:hAnsi="Times New Roman"/>
          <w:sz w:val="24"/>
        </w:rPr>
        <w:t> 126;</w:t>
      </w:r>
      <w:r w:rsidR="00555416" w:rsidRPr="006D4E15">
        <w:rPr>
          <w:rFonts w:ascii="Times New Roman" w:hAnsi="Times New Roman"/>
          <w:sz w:val="24"/>
        </w:rPr>
        <w:t xml:space="preserve"> </w:t>
      </w:r>
      <w:r w:rsidR="00201717" w:rsidRPr="006D4E15">
        <w:rPr>
          <w:rFonts w:ascii="Times New Roman" w:hAnsi="Times New Roman"/>
          <w:i/>
          <w:iCs/>
          <w:sz w:val="24"/>
        </w:rPr>
        <w:t xml:space="preserve">Prince Alfred College </w:t>
      </w:r>
      <w:r w:rsidR="00201717" w:rsidRPr="006D4E15">
        <w:rPr>
          <w:rFonts w:ascii="Times New Roman" w:hAnsi="Times New Roman"/>
          <w:sz w:val="24"/>
        </w:rPr>
        <w:t>(2016) 258 CLR 134 at 159-160 [80]</w:t>
      </w:r>
      <w:r w:rsidR="0002030F" w:rsidRPr="006D4E15">
        <w:rPr>
          <w:rFonts w:ascii="Times New Roman" w:hAnsi="Times New Roman"/>
          <w:sz w:val="24"/>
        </w:rPr>
        <w:noBreakHyphen/>
      </w:r>
      <w:r w:rsidR="00201717" w:rsidRPr="006D4E15">
        <w:rPr>
          <w:rFonts w:ascii="Times New Roman" w:hAnsi="Times New Roman"/>
          <w:sz w:val="24"/>
        </w:rPr>
        <w:t xml:space="preserve">[81]; </w:t>
      </w:r>
      <w:r w:rsidR="001D07E4" w:rsidRPr="006D4E15">
        <w:rPr>
          <w:rFonts w:ascii="Times New Roman" w:hAnsi="Times New Roman"/>
          <w:i/>
          <w:sz w:val="24"/>
        </w:rPr>
        <w:t xml:space="preserve">CFMMEU </w:t>
      </w:r>
      <w:r w:rsidR="004132FD" w:rsidRPr="006D4E15">
        <w:rPr>
          <w:rFonts w:ascii="Times New Roman" w:hAnsi="Times New Roman"/>
          <w:sz w:val="24"/>
        </w:rPr>
        <w:t>(2022) 275 CLR 165</w:t>
      </w:r>
      <w:r w:rsidR="00730204" w:rsidRPr="006D4E15">
        <w:rPr>
          <w:rFonts w:ascii="Times New Roman" w:hAnsi="Times New Roman"/>
          <w:sz w:val="24"/>
        </w:rPr>
        <w:t xml:space="preserve"> </w:t>
      </w:r>
      <w:r w:rsidR="001D07E4" w:rsidRPr="006D4E15">
        <w:rPr>
          <w:rFonts w:ascii="Times New Roman" w:hAnsi="Times New Roman"/>
          <w:sz w:val="24"/>
        </w:rPr>
        <w:t xml:space="preserve">at </w:t>
      </w:r>
      <w:r w:rsidR="00420F25" w:rsidRPr="006D4E15">
        <w:rPr>
          <w:rFonts w:ascii="Times New Roman" w:hAnsi="Times New Roman"/>
          <w:sz w:val="24"/>
        </w:rPr>
        <w:t xml:space="preserve">239 </w:t>
      </w:r>
      <w:r w:rsidR="001D07E4" w:rsidRPr="006D4E15">
        <w:rPr>
          <w:rFonts w:ascii="Times New Roman" w:hAnsi="Times New Roman"/>
          <w:sz w:val="24"/>
        </w:rPr>
        <w:t>[191].</w:t>
      </w:r>
    </w:p>
  </w:footnote>
  <w:footnote w:id="62">
    <w:p w14:paraId="373F74D9" w14:textId="3992F84C" w:rsidR="00076FA8" w:rsidRPr="006D4E15" w:rsidRDefault="00076FA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sz w:val="24"/>
        </w:rPr>
        <w:t xml:space="preserve">Schokman </w:t>
      </w:r>
      <w:r w:rsidRPr="006D4E15">
        <w:rPr>
          <w:rFonts w:ascii="Times New Roman" w:hAnsi="Times New Roman"/>
          <w:sz w:val="24"/>
        </w:rPr>
        <w:t>(2023) 97 ALJR 551 at 555 [13], 565 [64]; 410 ALR 479 at 482, 495.</w:t>
      </w:r>
    </w:p>
  </w:footnote>
  <w:footnote w:id="63">
    <w:p w14:paraId="193E5B5D" w14:textId="6F3ECFB0" w:rsidR="00FC2E99" w:rsidRPr="006D4E15" w:rsidRDefault="00FC2E9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DC47AD" w:rsidRPr="006D4E15">
        <w:rPr>
          <w:rFonts w:ascii="Times New Roman" w:hAnsi="Times New Roman"/>
          <w:sz w:val="24"/>
        </w:rPr>
        <w:tab/>
      </w:r>
      <w:r w:rsidRPr="006D4E15">
        <w:rPr>
          <w:rFonts w:ascii="Times New Roman" w:hAnsi="Times New Roman"/>
          <w:i/>
          <w:sz w:val="24"/>
        </w:rPr>
        <w:t xml:space="preserve">Schokman </w:t>
      </w:r>
      <w:r w:rsidRPr="006D4E15">
        <w:rPr>
          <w:rFonts w:ascii="Times New Roman" w:hAnsi="Times New Roman"/>
          <w:sz w:val="24"/>
        </w:rPr>
        <w:t>(2023) 97 ALJR 551 at 555 [12]</w:t>
      </w:r>
      <w:r w:rsidR="007A411A" w:rsidRPr="006D4E15">
        <w:rPr>
          <w:rFonts w:ascii="Times New Roman" w:hAnsi="Times New Roman"/>
          <w:sz w:val="24"/>
        </w:rPr>
        <w:t>;</w:t>
      </w:r>
      <w:r w:rsidR="007A411A" w:rsidRPr="006D4E15">
        <w:rPr>
          <w:rFonts w:ascii="Times New Roman" w:hAnsi="Times New Roman"/>
          <w:i/>
          <w:sz w:val="24"/>
        </w:rPr>
        <w:t xml:space="preserve"> </w:t>
      </w:r>
      <w:r w:rsidR="007A411A" w:rsidRPr="006D4E15">
        <w:rPr>
          <w:rFonts w:ascii="Times New Roman" w:hAnsi="Times New Roman"/>
          <w:sz w:val="24"/>
        </w:rPr>
        <w:t>410 ALR 479 at 482</w:t>
      </w:r>
      <w:r w:rsidR="00695BFF" w:rsidRPr="006D4E15">
        <w:rPr>
          <w:rFonts w:ascii="Times New Roman" w:hAnsi="Times New Roman"/>
          <w:sz w:val="24"/>
        </w:rPr>
        <w:t>,</w:t>
      </w:r>
      <w:r w:rsidRPr="006D4E15">
        <w:rPr>
          <w:rFonts w:ascii="Times New Roman" w:hAnsi="Times New Roman"/>
          <w:sz w:val="24"/>
        </w:rPr>
        <w:t xml:space="preserve"> citing </w:t>
      </w:r>
      <w:r w:rsidRPr="006D4E15">
        <w:rPr>
          <w:rFonts w:ascii="Times New Roman" w:hAnsi="Times New Roman"/>
          <w:i/>
          <w:sz w:val="24"/>
        </w:rPr>
        <w:t xml:space="preserve">Prince Alfred College </w:t>
      </w:r>
      <w:r w:rsidRPr="006D4E15">
        <w:rPr>
          <w:rFonts w:ascii="Times New Roman" w:hAnsi="Times New Roman"/>
          <w:sz w:val="24"/>
        </w:rPr>
        <w:t xml:space="preserve">(2016) 258 CLR 134 at </w:t>
      </w:r>
      <w:r w:rsidR="00FC551A" w:rsidRPr="006D4E15">
        <w:rPr>
          <w:rFonts w:ascii="Times New Roman" w:hAnsi="Times New Roman"/>
          <w:sz w:val="24"/>
        </w:rPr>
        <w:t>148-149</w:t>
      </w:r>
      <w:r w:rsidRPr="006D4E15">
        <w:rPr>
          <w:rFonts w:ascii="Times New Roman" w:hAnsi="Times New Roman"/>
          <w:sz w:val="24"/>
        </w:rPr>
        <w:t xml:space="preserve"> [40]-[41].</w:t>
      </w:r>
    </w:p>
  </w:footnote>
  <w:footnote w:id="64">
    <w:p w14:paraId="1F17B9E6" w14:textId="57B28F18" w:rsidR="00314988" w:rsidRPr="006D4E15" w:rsidRDefault="0031498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631EC" w:rsidRPr="006D4E15">
        <w:rPr>
          <w:rFonts w:ascii="Times New Roman" w:hAnsi="Times New Roman"/>
          <w:i/>
          <w:sz w:val="24"/>
        </w:rPr>
        <w:t xml:space="preserve">Schokman </w:t>
      </w:r>
      <w:r w:rsidR="002631EC" w:rsidRPr="006D4E15">
        <w:rPr>
          <w:rFonts w:ascii="Times New Roman" w:hAnsi="Times New Roman"/>
          <w:sz w:val="24"/>
        </w:rPr>
        <w:t>(2023) 97 ALJR 551 at 555 [12]</w:t>
      </w:r>
      <w:r w:rsidR="007A411A" w:rsidRPr="006D4E15">
        <w:rPr>
          <w:rFonts w:ascii="Times New Roman" w:hAnsi="Times New Roman"/>
          <w:sz w:val="24"/>
        </w:rPr>
        <w:t>; 410 ALR 479 at 482</w:t>
      </w:r>
      <w:r w:rsidR="000714D7" w:rsidRPr="006D4E15">
        <w:rPr>
          <w:rFonts w:ascii="Times New Roman" w:hAnsi="Times New Roman"/>
          <w:sz w:val="24"/>
        </w:rPr>
        <w:t>,</w:t>
      </w:r>
      <w:r w:rsidR="002631EC" w:rsidRPr="006D4E15">
        <w:rPr>
          <w:rFonts w:ascii="Times New Roman" w:hAnsi="Times New Roman"/>
          <w:sz w:val="24"/>
        </w:rPr>
        <w:t xml:space="preserve"> citing </w:t>
      </w:r>
      <w:r w:rsidR="002631EC" w:rsidRPr="006D4E15">
        <w:rPr>
          <w:rFonts w:ascii="Times New Roman" w:hAnsi="Times New Roman"/>
          <w:i/>
          <w:iCs/>
          <w:sz w:val="24"/>
        </w:rPr>
        <w:t>Bugge v Brown</w:t>
      </w:r>
      <w:r w:rsidR="002631EC" w:rsidRPr="006D4E15">
        <w:rPr>
          <w:rFonts w:ascii="Times New Roman" w:hAnsi="Times New Roman"/>
          <w:sz w:val="24"/>
        </w:rPr>
        <w:t xml:space="preserve"> (1919) 26 CLR 110 at 117</w:t>
      </w:r>
      <w:r w:rsidR="00593B5D" w:rsidRPr="006D4E15">
        <w:rPr>
          <w:rFonts w:ascii="Times New Roman" w:hAnsi="Times New Roman"/>
          <w:sz w:val="24"/>
        </w:rPr>
        <w:t>.</w:t>
      </w:r>
    </w:p>
  </w:footnote>
  <w:footnote w:id="65">
    <w:p w14:paraId="7B946263" w14:textId="7391D7A9" w:rsidR="00B657A4" w:rsidRPr="006D4E15" w:rsidRDefault="00B657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Schokman </w:t>
      </w:r>
      <w:r w:rsidRPr="006D4E15">
        <w:rPr>
          <w:rFonts w:ascii="Times New Roman" w:hAnsi="Times New Roman"/>
          <w:sz w:val="24"/>
        </w:rPr>
        <w:t>(2023) 97 ALJR 551 at 555</w:t>
      </w:r>
      <w:r w:rsidR="00720568" w:rsidRPr="006D4E15">
        <w:rPr>
          <w:rFonts w:ascii="Times New Roman" w:hAnsi="Times New Roman"/>
          <w:sz w:val="24"/>
        </w:rPr>
        <w:t xml:space="preserve"> [13], 565 [64]; 410 ALR 479 at 482-483, 495.</w:t>
      </w:r>
      <w:r w:rsidR="008F2BD7" w:rsidRPr="006D4E15">
        <w:rPr>
          <w:rFonts w:ascii="Times New Roman" w:hAnsi="Times New Roman"/>
          <w:sz w:val="24"/>
        </w:rPr>
        <w:t xml:space="preserve"> </w:t>
      </w:r>
    </w:p>
  </w:footnote>
  <w:footnote w:id="66">
    <w:p w14:paraId="2B310C44" w14:textId="302C70B4" w:rsidR="00DD6F88" w:rsidRPr="006D4E15" w:rsidRDefault="00DD6F8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17155" w:rsidRPr="006D4E15">
        <w:rPr>
          <w:rFonts w:ascii="Times New Roman" w:hAnsi="Times New Roman"/>
          <w:i/>
          <w:iCs/>
          <w:sz w:val="24"/>
        </w:rPr>
        <w:t xml:space="preserve">CFMMEU </w:t>
      </w:r>
      <w:r w:rsidR="00317155" w:rsidRPr="006D4E15">
        <w:rPr>
          <w:rFonts w:ascii="Times New Roman" w:hAnsi="Times New Roman"/>
          <w:sz w:val="24"/>
        </w:rPr>
        <w:t>(2022) 275 CLR 165</w:t>
      </w:r>
      <w:r w:rsidRPr="006D4E15">
        <w:rPr>
          <w:rFonts w:ascii="Times New Roman" w:hAnsi="Times New Roman"/>
          <w:i/>
          <w:iCs/>
          <w:sz w:val="24"/>
        </w:rPr>
        <w:t xml:space="preserve"> </w:t>
      </w:r>
      <w:r w:rsidRPr="006D4E15">
        <w:rPr>
          <w:rFonts w:ascii="Times New Roman" w:hAnsi="Times New Roman"/>
          <w:sz w:val="24"/>
        </w:rPr>
        <w:t>at 239 [191].</w:t>
      </w:r>
    </w:p>
  </w:footnote>
  <w:footnote w:id="67">
    <w:p w14:paraId="0A7C5747" w14:textId="40B031EA" w:rsidR="008455CB" w:rsidRPr="006D4E15" w:rsidRDefault="008455C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A9783F" w:rsidRPr="006D4E15">
        <w:rPr>
          <w:rFonts w:ascii="Times New Roman" w:hAnsi="Times New Roman"/>
          <w:sz w:val="24"/>
        </w:rPr>
        <w:tab/>
      </w:r>
      <w:r w:rsidR="00A9783F" w:rsidRPr="006D4E15">
        <w:rPr>
          <w:rFonts w:ascii="Times New Roman" w:hAnsi="Times New Roman"/>
          <w:i/>
          <w:iCs/>
          <w:sz w:val="24"/>
        </w:rPr>
        <w:t>Sweeney</w:t>
      </w:r>
      <w:r w:rsidR="00A9783F" w:rsidRPr="006D4E15">
        <w:rPr>
          <w:rFonts w:ascii="Times New Roman" w:hAnsi="Times New Roman"/>
          <w:sz w:val="24"/>
        </w:rPr>
        <w:t xml:space="preserve"> (2006) 226 CLR 161 at 167 [12]; see also 171 [23]. </w:t>
      </w:r>
      <w:r w:rsidR="00894384" w:rsidRPr="006D4E15">
        <w:rPr>
          <w:rFonts w:ascii="Times New Roman" w:hAnsi="Times New Roman"/>
          <w:sz w:val="24"/>
        </w:rPr>
        <w:t xml:space="preserve">See, eg, </w:t>
      </w:r>
      <w:r w:rsidR="00894384" w:rsidRPr="006D4E15">
        <w:rPr>
          <w:rFonts w:ascii="Times New Roman" w:hAnsi="Times New Roman"/>
          <w:i/>
          <w:sz w:val="24"/>
        </w:rPr>
        <w:t xml:space="preserve">Hollis </w:t>
      </w:r>
      <w:r w:rsidR="00894384" w:rsidRPr="006D4E15">
        <w:rPr>
          <w:rFonts w:ascii="Times New Roman" w:hAnsi="Times New Roman"/>
          <w:sz w:val="24"/>
        </w:rPr>
        <w:t>(2001) 207 CLR 21 at 4</w:t>
      </w:r>
      <w:r w:rsidR="001F3520" w:rsidRPr="006D4E15">
        <w:rPr>
          <w:rFonts w:ascii="Times New Roman" w:hAnsi="Times New Roman"/>
          <w:sz w:val="24"/>
        </w:rPr>
        <w:t>1</w:t>
      </w:r>
      <w:r w:rsidR="00894384" w:rsidRPr="006D4E15">
        <w:rPr>
          <w:rFonts w:ascii="Times New Roman" w:hAnsi="Times New Roman"/>
          <w:sz w:val="24"/>
        </w:rPr>
        <w:t>-</w:t>
      </w:r>
      <w:r w:rsidR="006B33CA" w:rsidRPr="006D4E15">
        <w:rPr>
          <w:rFonts w:ascii="Times New Roman" w:hAnsi="Times New Roman"/>
          <w:sz w:val="24"/>
        </w:rPr>
        <w:t xml:space="preserve">46 </w:t>
      </w:r>
      <w:r w:rsidR="009A1AF4" w:rsidRPr="006D4E15">
        <w:rPr>
          <w:rFonts w:ascii="Times New Roman" w:hAnsi="Times New Roman"/>
          <w:sz w:val="24"/>
        </w:rPr>
        <w:t>[4</w:t>
      </w:r>
      <w:r w:rsidR="007C5FA6" w:rsidRPr="006D4E15">
        <w:rPr>
          <w:rFonts w:ascii="Times New Roman" w:hAnsi="Times New Roman"/>
          <w:sz w:val="24"/>
        </w:rPr>
        <w:t>6</w:t>
      </w:r>
      <w:r w:rsidR="009A1AF4" w:rsidRPr="006D4E15">
        <w:rPr>
          <w:rFonts w:ascii="Times New Roman" w:hAnsi="Times New Roman"/>
          <w:sz w:val="24"/>
        </w:rPr>
        <w:t>]-</w:t>
      </w:r>
      <w:r w:rsidR="006B33CA" w:rsidRPr="006D4E15">
        <w:rPr>
          <w:rFonts w:ascii="Times New Roman" w:hAnsi="Times New Roman"/>
          <w:sz w:val="24"/>
        </w:rPr>
        <w:t>[</w:t>
      </w:r>
      <w:r w:rsidR="009A1AF4" w:rsidRPr="006D4E15">
        <w:rPr>
          <w:rFonts w:ascii="Times New Roman" w:hAnsi="Times New Roman"/>
          <w:sz w:val="24"/>
        </w:rPr>
        <w:t>6</w:t>
      </w:r>
      <w:r w:rsidR="007C5FA6" w:rsidRPr="006D4E15">
        <w:rPr>
          <w:rFonts w:ascii="Times New Roman" w:hAnsi="Times New Roman"/>
          <w:sz w:val="24"/>
        </w:rPr>
        <w:t>0</w:t>
      </w:r>
      <w:r w:rsidR="009A1AF4" w:rsidRPr="006D4E15">
        <w:rPr>
          <w:rFonts w:ascii="Times New Roman" w:hAnsi="Times New Roman"/>
          <w:sz w:val="24"/>
        </w:rPr>
        <w:t>].</w:t>
      </w:r>
    </w:p>
  </w:footnote>
  <w:footnote w:id="68">
    <w:p w14:paraId="365C43C1" w14:textId="18122A47" w:rsidR="00492342" w:rsidRPr="006D4E15" w:rsidRDefault="0049234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59064D" w:rsidRPr="006D4E15">
        <w:rPr>
          <w:rFonts w:ascii="Times New Roman" w:hAnsi="Times New Roman"/>
          <w:sz w:val="24"/>
        </w:rPr>
        <w:t xml:space="preserve">See, eg, </w:t>
      </w:r>
      <w:r w:rsidR="000C658F" w:rsidRPr="006D4E15">
        <w:rPr>
          <w:rFonts w:ascii="Times New Roman" w:hAnsi="Times New Roman"/>
          <w:i/>
          <w:iCs/>
          <w:sz w:val="24"/>
        </w:rPr>
        <w:t xml:space="preserve">Deatons </w:t>
      </w:r>
      <w:r w:rsidR="000C658F" w:rsidRPr="006D4E15">
        <w:rPr>
          <w:rFonts w:ascii="Times New Roman" w:hAnsi="Times New Roman"/>
          <w:sz w:val="24"/>
        </w:rPr>
        <w:t>(1949) 79 CLR 370 at 379</w:t>
      </w:r>
      <w:r w:rsidR="00AA3991" w:rsidRPr="006D4E15">
        <w:rPr>
          <w:rFonts w:ascii="Times New Roman" w:hAnsi="Times New Roman"/>
          <w:sz w:val="24"/>
        </w:rPr>
        <w:noBreakHyphen/>
      </w:r>
      <w:r w:rsidR="000C658F" w:rsidRPr="006D4E15">
        <w:rPr>
          <w:rFonts w:ascii="Times New Roman" w:hAnsi="Times New Roman"/>
          <w:sz w:val="24"/>
        </w:rPr>
        <w:t xml:space="preserve">382, </w:t>
      </w:r>
      <w:r w:rsidR="001940B0" w:rsidRPr="006D4E15">
        <w:rPr>
          <w:rFonts w:ascii="Times New Roman" w:hAnsi="Times New Roman"/>
          <w:sz w:val="24"/>
        </w:rPr>
        <w:t xml:space="preserve">383, </w:t>
      </w:r>
      <w:r w:rsidR="00274C47" w:rsidRPr="006D4E15">
        <w:rPr>
          <w:rFonts w:ascii="Times New Roman" w:hAnsi="Times New Roman"/>
          <w:sz w:val="24"/>
        </w:rPr>
        <w:t>386;</w:t>
      </w:r>
      <w:r w:rsidR="00274C47" w:rsidRPr="006D4E15">
        <w:rPr>
          <w:rFonts w:ascii="Times New Roman" w:hAnsi="Times New Roman"/>
          <w:i/>
          <w:sz w:val="24"/>
        </w:rPr>
        <w:t xml:space="preserve"> </w:t>
      </w:r>
      <w:r w:rsidR="002F1C4C" w:rsidRPr="006D4E15">
        <w:rPr>
          <w:rFonts w:ascii="Times New Roman" w:hAnsi="Times New Roman"/>
          <w:i/>
          <w:sz w:val="24"/>
        </w:rPr>
        <w:t xml:space="preserve">Prince Alfred College </w:t>
      </w:r>
      <w:r w:rsidR="002F1C4C" w:rsidRPr="006D4E15">
        <w:rPr>
          <w:rFonts w:ascii="Times New Roman" w:hAnsi="Times New Roman"/>
          <w:sz w:val="24"/>
        </w:rPr>
        <w:t>(2016) 258 CLR 134 at 149 [41]-[42], 159-160 [80]-[81];</w:t>
      </w:r>
      <w:r w:rsidR="00274C47" w:rsidRPr="006D4E15">
        <w:rPr>
          <w:rFonts w:ascii="Times New Roman" w:hAnsi="Times New Roman"/>
          <w:sz w:val="24"/>
        </w:rPr>
        <w:t xml:space="preserve"> </w:t>
      </w:r>
      <w:r w:rsidR="00594452" w:rsidRPr="006D4E15">
        <w:rPr>
          <w:rFonts w:ascii="Times New Roman" w:hAnsi="Times New Roman"/>
          <w:i/>
          <w:sz w:val="24"/>
        </w:rPr>
        <w:t xml:space="preserve">Schokman </w:t>
      </w:r>
      <w:r w:rsidR="00594452" w:rsidRPr="006D4E15">
        <w:rPr>
          <w:rFonts w:ascii="Times New Roman" w:hAnsi="Times New Roman"/>
          <w:sz w:val="24"/>
        </w:rPr>
        <w:t>(2023) 97 ALJR 551 at</w:t>
      </w:r>
      <w:r w:rsidR="0059064D" w:rsidRPr="006D4E15">
        <w:rPr>
          <w:rFonts w:ascii="Times New Roman" w:hAnsi="Times New Roman"/>
          <w:sz w:val="24"/>
        </w:rPr>
        <w:t xml:space="preserve"> 556-559</w:t>
      </w:r>
      <w:r w:rsidR="00D61AD9" w:rsidRPr="006D4E15">
        <w:rPr>
          <w:rFonts w:ascii="Times New Roman" w:hAnsi="Times New Roman"/>
          <w:sz w:val="24"/>
        </w:rPr>
        <w:t xml:space="preserve"> </w:t>
      </w:r>
      <w:r w:rsidR="0059064D" w:rsidRPr="006D4E15">
        <w:rPr>
          <w:rFonts w:ascii="Times New Roman" w:hAnsi="Times New Roman"/>
          <w:sz w:val="24"/>
        </w:rPr>
        <w:t>[14]-[34]</w:t>
      </w:r>
      <w:r w:rsidR="002E6B3E" w:rsidRPr="006D4E15">
        <w:rPr>
          <w:rFonts w:ascii="Times New Roman" w:hAnsi="Times New Roman"/>
          <w:sz w:val="24"/>
        </w:rPr>
        <w:t>;</w:t>
      </w:r>
      <w:r w:rsidR="000428DB" w:rsidRPr="006D4E15">
        <w:rPr>
          <w:rFonts w:ascii="Times New Roman" w:hAnsi="Times New Roman"/>
          <w:sz w:val="24"/>
        </w:rPr>
        <w:t xml:space="preserve"> </w:t>
      </w:r>
      <w:r w:rsidR="002E6B3E" w:rsidRPr="006D4E15">
        <w:rPr>
          <w:rFonts w:ascii="Times New Roman" w:hAnsi="Times New Roman"/>
          <w:sz w:val="24"/>
        </w:rPr>
        <w:t>410 ALR 479 at 483-487</w:t>
      </w:r>
      <w:r w:rsidR="008455CB" w:rsidRPr="006D4E15">
        <w:rPr>
          <w:rFonts w:ascii="Times New Roman" w:hAnsi="Times New Roman"/>
          <w:sz w:val="24"/>
        </w:rPr>
        <w:t>.</w:t>
      </w:r>
      <w:r w:rsidR="00DD6F88" w:rsidRPr="006D4E15">
        <w:rPr>
          <w:rFonts w:ascii="Times New Roman" w:hAnsi="Times New Roman"/>
          <w:sz w:val="24"/>
        </w:rPr>
        <w:t xml:space="preserve"> See also </w:t>
      </w:r>
      <w:r w:rsidR="00DD6F88" w:rsidRPr="006D4E15">
        <w:rPr>
          <w:rFonts w:ascii="Times New Roman" w:hAnsi="Times New Roman"/>
          <w:i/>
          <w:sz w:val="24"/>
        </w:rPr>
        <w:t xml:space="preserve">Colonial Mutual </w:t>
      </w:r>
      <w:r w:rsidR="00B4769F" w:rsidRPr="006D4E15">
        <w:rPr>
          <w:rFonts w:ascii="Times New Roman" w:hAnsi="Times New Roman"/>
          <w:i/>
          <w:sz w:val="24"/>
        </w:rPr>
        <w:t>Life</w:t>
      </w:r>
      <w:r w:rsidR="00B4769F" w:rsidRPr="006D4E15">
        <w:rPr>
          <w:rFonts w:ascii="Times New Roman" w:hAnsi="Times New Roman"/>
          <w:sz w:val="24"/>
        </w:rPr>
        <w:t xml:space="preserve"> </w:t>
      </w:r>
      <w:r w:rsidR="00DD6F88" w:rsidRPr="006D4E15">
        <w:rPr>
          <w:rFonts w:ascii="Times New Roman" w:hAnsi="Times New Roman"/>
          <w:sz w:val="24"/>
        </w:rPr>
        <w:t>(1931) 46 CLR 41 at 49</w:t>
      </w:r>
      <w:r w:rsidR="00FA40EC" w:rsidRPr="006D4E15">
        <w:rPr>
          <w:rFonts w:ascii="Times New Roman" w:hAnsi="Times New Roman"/>
          <w:sz w:val="24"/>
        </w:rPr>
        <w:t>.</w:t>
      </w:r>
    </w:p>
  </w:footnote>
  <w:footnote w:id="69">
    <w:p w14:paraId="696D26A6" w14:textId="194357C2"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[38]</w:t>
      </w:r>
      <w:r w:rsidRPr="006D4E15">
        <w:rPr>
          <w:rFonts w:ascii="Times New Roman" w:hAnsi="Times New Roman"/>
          <w:sz w:val="24"/>
        </w:rPr>
        <w:noBreakHyphen/>
        <w:t>[39], 149</w:t>
      </w:r>
      <w:r w:rsidR="005D7C58" w:rsidRPr="006D4E15">
        <w:rPr>
          <w:rFonts w:ascii="Times New Roman" w:hAnsi="Times New Roman"/>
          <w:sz w:val="24"/>
        </w:rPr>
        <w:t xml:space="preserve"> [41],</w:t>
      </w:r>
      <w:r w:rsidRPr="006D4E15">
        <w:rPr>
          <w:rFonts w:ascii="Times New Roman" w:hAnsi="Times New Roman"/>
          <w:sz w:val="24"/>
        </w:rPr>
        <w:t xml:space="preserve"> [44], 150 [46]. See also </w:t>
      </w:r>
      <w:r w:rsidRPr="006D4E15">
        <w:rPr>
          <w:rFonts w:ascii="Times New Roman" w:hAnsi="Times New Roman"/>
          <w:i/>
          <w:iCs/>
          <w:sz w:val="24"/>
        </w:rPr>
        <w:t xml:space="preserve">Darling Island Stevedoring </w:t>
      </w:r>
      <w:r w:rsidRPr="006D4E15">
        <w:rPr>
          <w:rFonts w:ascii="Times New Roman" w:hAnsi="Times New Roman"/>
          <w:sz w:val="24"/>
        </w:rPr>
        <w:t xml:space="preserve">(1957) 97 CLR 36 at 56-57; </w:t>
      </w:r>
      <w:r w:rsidRPr="006D4E15">
        <w:rPr>
          <w:rFonts w:ascii="Times New Roman" w:hAnsi="Times New Roman"/>
          <w:i/>
          <w:iCs/>
          <w:sz w:val="24"/>
        </w:rPr>
        <w:t xml:space="preserve">Scott </w:t>
      </w:r>
      <w:r w:rsidRPr="006D4E15">
        <w:rPr>
          <w:rFonts w:ascii="Times New Roman" w:hAnsi="Times New Roman"/>
          <w:sz w:val="24"/>
        </w:rPr>
        <w:t xml:space="preserve">(2000) 204 CLR 333 at </w:t>
      </w:r>
      <w:r w:rsidR="00487183" w:rsidRPr="006D4E15">
        <w:rPr>
          <w:rFonts w:ascii="Times New Roman" w:hAnsi="Times New Roman"/>
          <w:sz w:val="24"/>
        </w:rPr>
        <w:t xml:space="preserve">424 </w:t>
      </w:r>
      <w:r w:rsidRPr="006D4E15">
        <w:rPr>
          <w:rFonts w:ascii="Times New Roman" w:hAnsi="Times New Roman"/>
          <w:sz w:val="24"/>
        </w:rPr>
        <w:t xml:space="preserve">[277]; </w:t>
      </w:r>
      <w:r w:rsidR="00DE49E3" w:rsidRPr="006D4E15">
        <w:rPr>
          <w:rFonts w:ascii="Times New Roman" w:hAnsi="Times New Roman"/>
          <w:i/>
          <w:sz w:val="24"/>
        </w:rPr>
        <w:t xml:space="preserve">Hollis </w:t>
      </w:r>
      <w:r w:rsidR="00DE49E3" w:rsidRPr="006D4E15">
        <w:rPr>
          <w:rFonts w:ascii="Times New Roman" w:hAnsi="Times New Roman"/>
          <w:sz w:val="24"/>
        </w:rPr>
        <w:t xml:space="preserve">(2001) 207 CLR 21 at 37 [35]; </w:t>
      </w:r>
      <w:r w:rsidRPr="006D4E15">
        <w:rPr>
          <w:rFonts w:ascii="Times New Roman" w:hAnsi="Times New Roman"/>
          <w:i/>
          <w:iCs/>
          <w:sz w:val="24"/>
        </w:rPr>
        <w:t>Lepore</w:t>
      </w:r>
      <w:r w:rsidR="0002030F" w:rsidRPr="006D4E15">
        <w:rPr>
          <w:rFonts w:ascii="Times New Roman" w:hAnsi="Times New Roman"/>
          <w:i/>
          <w:iCs/>
          <w:sz w:val="24"/>
        </w:rPr>
        <w:t> </w:t>
      </w:r>
      <w:r w:rsidRPr="006D4E15">
        <w:rPr>
          <w:rFonts w:ascii="Times New Roman" w:hAnsi="Times New Roman"/>
          <w:sz w:val="24"/>
        </w:rPr>
        <w:t xml:space="preserve">(2003) 212 CLR 511 at </w:t>
      </w:r>
      <w:r w:rsidR="0009388F" w:rsidRPr="006D4E15">
        <w:rPr>
          <w:rFonts w:ascii="Times New Roman" w:hAnsi="Times New Roman"/>
          <w:sz w:val="24"/>
        </w:rPr>
        <w:t xml:space="preserve">580 </w:t>
      </w:r>
      <w:r w:rsidRPr="006D4E15">
        <w:rPr>
          <w:rFonts w:ascii="Times New Roman" w:hAnsi="Times New Roman"/>
          <w:sz w:val="24"/>
        </w:rPr>
        <w:t xml:space="preserve">[196]; </w:t>
      </w:r>
      <w:r w:rsidRPr="006D4E15">
        <w:rPr>
          <w:rFonts w:ascii="Times New Roman" w:hAnsi="Times New Roman"/>
          <w:i/>
          <w:sz w:val="24"/>
        </w:rPr>
        <w:t xml:space="preserve">Sweeney </w:t>
      </w:r>
      <w:r w:rsidRPr="006D4E15">
        <w:rPr>
          <w:rFonts w:ascii="Times New Roman" w:hAnsi="Times New Roman"/>
          <w:sz w:val="24"/>
        </w:rPr>
        <w:t>(2006) 226 CLR 16</w:t>
      </w:r>
      <w:r w:rsidR="00582308" w:rsidRPr="006D4E15">
        <w:rPr>
          <w:rFonts w:ascii="Times New Roman" w:hAnsi="Times New Roman"/>
          <w:sz w:val="24"/>
        </w:rPr>
        <w:t>1</w:t>
      </w:r>
      <w:r w:rsidRPr="006D4E15">
        <w:rPr>
          <w:rFonts w:ascii="Times New Roman" w:hAnsi="Times New Roman"/>
          <w:sz w:val="24"/>
        </w:rPr>
        <w:t xml:space="preserve"> at 166-167 [11</w:t>
      </w:r>
      <w:r w:rsidRPr="006D4E15" w:rsidDel="006023A3">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sz w:val="24"/>
        </w:rPr>
        <w:t xml:space="preserve">Schokman </w:t>
      </w:r>
      <w:r w:rsidRPr="006D4E15">
        <w:rPr>
          <w:rFonts w:ascii="Times New Roman" w:hAnsi="Times New Roman"/>
          <w:sz w:val="24"/>
        </w:rPr>
        <w:t>(2023) 97 ALJR 551 at 561</w:t>
      </w:r>
      <w:r w:rsidR="00C63221" w:rsidRPr="006D4E15">
        <w:rPr>
          <w:rFonts w:ascii="Times New Roman" w:hAnsi="Times New Roman"/>
          <w:sz w:val="24"/>
        </w:rPr>
        <w:noBreakHyphen/>
      </w:r>
      <w:r w:rsidRPr="006D4E15">
        <w:rPr>
          <w:rFonts w:ascii="Times New Roman" w:hAnsi="Times New Roman"/>
          <w:sz w:val="24"/>
        </w:rPr>
        <w:t>562 [48]-[53], 566 [69]</w:t>
      </w:r>
      <w:r w:rsidR="00C91B70" w:rsidRPr="006D4E15">
        <w:rPr>
          <w:rFonts w:ascii="Times New Roman" w:hAnsi="Times New Roman"/>
          <w:sz w:val="24"/>
        </w:rPr>
        <w:t xml:space="preserve">; 410 ALR </w:t>
      </w:r>
      <w:r w:rsidR="00C0073B" w:rsidRPr="006D4E15">
        <w:rPr>
          <w:rFonts w:ascii="Times New Roman" w:hAnsi="Times New Roman"/>
          <w:sz w:val="24"/>
        </w:rPr>
        <w:t xml:space="preserve">479 at </w:t>
      </w:r>
      <w:r w:rsidR="001A4D7C" w:rsidRPr="006D4E15">
        <w:rPr>
          <w:rFonts w:ascii="Times New Roman" w:hAnsi="Times New Roman"/>
          <w:sz w:val="24"/>
        </w:rPr>
        <w:t>490-491</w:t>
      </w:r>
      <w:r w:rsidR="006E755C" w:rsidRPr="006D4E15">
        <w:rPr>
          <w:rFonts w:ascii="Times New Roman" w:hAnsi="Times New Roman"/>
          <w:sz w:val="24"/>
        </w:rPr>
        <w:t xml:space="preserve">, </w:t>
      </w:r>
      <w:r w:rsidR="00C0073B" w:rsidRPr="006D4E15">
        <w:rPr>
          <w:rFonts w:ascii="Times New Roman" w:hAnsi="Times New Roman"/>
          <w:sz w:val="24"/>
        </w:rPr>
        <w:t>497</w:t>
      </w:r>
      <w:r w:rsidRPr="006D4E15">
        <w:rPr>
          <w:rFonts w:ascii="Times New Roman" w:hAnsi="Times New Roman"/>
          <w:sz w:val="24"/>
        </w:rPr>
        <w:t>.</w:t>
      </w:r>
    </w:p>
  </w:footnote>
  <w:footnote w:id="70">
    <w:p w14:paraId="1B709688" w14:textId="4EF3D6D2"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 xml:space="preserve">Bazley </w:t>
      </w:r>
      <w:r w:rsidRPr="006D4E15">
        <w:rPr>
          <w:rFonts w:ascii="Times New Roman" w:hAnsi="Times New Roman"/>
          <w:sz w:val="24"/>
        </w:rPr>
        <w:t>[1999] 2 SCR 534</w:t>
      </w:r>
      <w:r w:rsidRPr="006D4E15">
        <w:rPr>
          <w:rFonts w:ascii="Times New Roman" w:hAnsi="Times New Roman"/>
          <w:i/>
          <w:iCs/>
          <w:sz w:val="24"/>
        </w:rPr>
        <w:t xml:space="preserve"> </w:t>
      </w:r>
      <w:r w:rsidRPr="006D4E15">
        <w:rPr>
          <w:rFonts w:ascii="Times New Roman" w:hAnsi="Times New Roman"/>
          <w:sz w:val="24"/>
        </w:rPr>
        <w:t xml:space="preserve">at 543-545 [10]-[14], [16]; </w:t>
      </w:r>
      <w:r w:rsidRPr="006D4E15">
        <w:rPr>
          <w:rFonts w:ascii="Times New Roman" w:hAnsi="Times New Roman"/>
          <w:i/>
          <w:sz w:val="24"/>
        </w:rPr>
        <w:t xml:space="preserve">Jacobi v Griffiths </w:t>
      </w:r>
      <w:r w:rsidRPr="006D4E15">
        <w:rPr>
          <w:rFonts w:ascii="Times New Roman" w:hAnsi="Times New Roman"/>
          <w:sz w:val="24"/>
        </w:rPr>
        <w:t>[1999] 2 SCR 570</w:t>
      </w:r>
      <w:r w:rsidR="00F17580" w:rsidRPr="006D4E15">
        <w:rPr>
          <w:rFonts w:ascii="Times New Roman" w:hAnsi="Times New Roman"/>
          <w:sz w:val="24"/>
        </w:rPr>
        <w:t xml:space="preserve"> at 581 [11]</w:t>
      </w:r>
      <w:r w:rsidRPr="006D4E15">
        <w:rPr>
          <w:rFonts w:ascii="Times New Roman" w:hAnsi="Times New Roman"/>
          <w:sz w:val="24"/>
        </w:rPr>
        <w:t>. See</w:t>
      </w:r>
      <w:r w:rsidR="0002030F" w:rsidRPr="006D4E15">
        <w:rPr>
          <w:rFonts w:ascii="Times New Roman" w:hAnsi="Times New Roman"/>
          <w:sz w:val="24"/>
        </w:rPr>
        <w:t> </w:t>
      </w:r>
      <w:r w:rsidRPr="006D4E15">
        <w:rPr>
          <w:rFonts w:ascii="Times New Roman" w:hAnsi="Times New Roman"/>
          <w:sz w:val="24"/>
        </w:rPr>
        <w:t xml:space="preserve">also </w:t>
      </w:r>
      <w:r w:rsidRPr="006D4E15">
        <w:rPr>
          <w:rFonts w:ascii="Times New Roman" w:hAnsi="Times New Roman"/>
          <w:i/>
          <w:sz w:val="24"/>
        </w:rPr>
        <w:t xml:space="preserve">Lister v Hesley Hall Ltd </w:t>
      </w:r>
      <w:r w:rsidRPr="006D4E15">
        <w:rPr>
          <w:rFonts w:ascii="Times New Roman" w:hAnsi="Times New Roman"/>
          <w:sz w:val="24"/>
        </w:rPr>
        <w:t>[2002] 1 AC 215</w:t>
      </w:r>
      <w:r w:rsidR="00EC759E" w:rsidRPr="006D4E15">
        <w:rPr>
          <w:rFonts w:ascii="Times New Roman" w:hAnsi="Times New Roman"/>
          <w:sz w:val="24"/>
        </w:rPr>
        <w:t xml:space="preserve"> at </w:t>
      </w:r>
      <w:r w:rsidR="00B839F6" w:rsidRPr="006D4E15">
        <w:rPr>
          <w:rFonts w:ascii="Times New Roman" w:hAnsi="Times New Roman"/>
          <w:sz w:val="24"/>
        </w:rPr>
        <w:t>223-224</w:t>
      </w:r>
      <w:r w:rsidR="00246952" w:rsidRPr="006D4E15">
        <w:rPr>
          <w:rFonts w:ascii="Times New Roman" w:hAnsi="Times New Roman"/>
          <w:sz w:val="24"/>
        </w:rPr>
        <w:t xml:space="preserve"> [15], 226 [20],</w:t>
      </w:r>
      <w:r w:rsidR="00B839F6" w:rsidRPr="006D4E15">
        <w:rPr>
          <w:rFonts w:ascii="Times New Roman" w:hAnsi="Times New Roman"/>
          <w:sz w:val="24"/>
        </w:rPr>
        <w:t xml:space="preserve"> </w:t>
      </w:r>
      <w:r w:rsidR="00EC759E" w:rsidRPr="006D4E15">
        <w:rPr>
          <w:rFonts w:ascii="Times New Roman" w:hAnsi="Times New Roman"/>
          <w:sz w:val="24"/>
        </w:rPr>
        <w:t>231</w:t>
      </w:r>
      <w:r w:rsidR="001C279F" w:rsidRPr="006D4E15">
        <w:rPr>
          <w:rFonts w:ascii="Times New Roman" w:hAnsi="Times New Roman"/>
          <w:sz w:val="24"/>
        </w:rPr>
        <w:t>-232</w:t>
      </w:r>
      <w:r w:rsidR="00EC759E" w:rsidRPr="006D4E15">
        <w:rPr>
          <w:rFonts w:ascii="Times New Roman" w:hAnsi="Times New Roman"/>
          <w:sz w:val="24"/>
        </w:rPr>
        <w:t xml:space="preserve"> [34]</w:t>
      </w:r>
      <w:r w:rsidR="001C279F" w:rsidRPr="006D4E15">
        <w:rPr>
          <w:rFonts w:ascii="Times New Roman" w:hAnsi="Times New Roman"/>
          <w:sz w:val="24"/>
        </w:rPr>
        <w:t>-[</w:t>
      </w:r>
      <w:r w:rsidR="00403CF0" w:rsidRPr="006D4E15">
        <w:rPr>
          <w:rFonts w:ascii="Times New Roman" w:hAnsi="Times New Roman"/>
          <w:sz w:val="24"/>
        </w:rPr>
        <w:t>35]</w:t>
      </w:r>
      <w:r w:rsidRPr="006D4E15">
        <w:rPr>
          <w:rFonts w:ascii="Times New Roman" w:hAnsi="Times New Roman"/>
          <w:sz w:val="24"/>
        </w:rPr>
        <w:t xml:space="preserve">; </w:t>
      </w:r>
      <w:r w:rsidRPr="006D4E15">
        <w:rPr>
          <w:rFonts w:ascii="Times New Roman" w:hAnsi="Times New Roman"/>
          <w:i/>
          <w:sz w:val="24"/>
        </w:rPr>
        <w:t xml:space="preserve">English </w:t>
      </w:r>
      <w:r w:rsidR="00E00F26" w:rsidRPr="006D4E15">
        <w:rPr>
          <w:rFonts w:ascii="Times New Roman" w:hAnsi="Times New Roman"/>
          <w:i/>
          <w:sz w:val="24"/>
        </w:rPr>
        <w:t>P</w:t>
      </w:r>
      <w:r w:rsidRPr="006D4E15">
        <w:rPr>
          <w:rFonts w:ascii="Times New Roman" w:hAnsi="Times New Roman"/>
          <w:i/>
          <w:sz w:val="24"/>
        </w:rPr>
        <w:t xml:space="preserve">rovince of Our Lady of Charity </w:t>
      </w:r>
      <w:r w:rsidRPr="006D4E15">
        <w:rPr>
          <w:rFonts w:ascii="Times New Roman" w:hAnsi="Times New Roman"/>
          <w:sz w:val="24"/>
        </w:rPr>
        <w:t>[2013] QB 722 at 728-731</w:t>
      </w:r>
      <w:r w:rsidR="00E768E5" w:rsidRPr="006D4E15">
        <w:rPr>
          <w:rFonts w:ascii="Times New Roman" w:hAnsi="Times New Roman"/>
          <w:sz w:val="24"/>
        </w:rPr>
        <w:t xml:space="preserve"> [12]-</w:t>
      </w:r>
      <w:r w:rsidR="009938BC" w:rsidRPr="006D4E15">
        <w:rPr>
          <w:rFonts w:ascii="Times New Roman" w:hAnsi="Times New Roman"/>
          <w:sz w:val="24"/>
        </w:rPr>
        <w:t>[25]</w:t>
      </w:r>
      <w:r w:rsidRPr="006D4E15">
        <w:rPr>
          <w:rFonts w:ascii="Times New Roman" w:hAnsi="Times New Roman"/>
          <w:sz w:val="24"/>
        </w:rPr>
        <w:t xml:space="preserve">; </w:t>
      </w:r>
      <w:r w:rsidR="00783E16" w:rsidRPr="006D4E15">
        <w:rPr>
          <w:rFonts w:ascii="Times New Roman" w:hAnsi="Times New Roman"/>
          <w:i/>
          <w:sz w:val="24"/>
        </w:rPr>
        <w:t>Christian Brothers</w:t>
      </w:r>
      <w:r w:rsidRPr="006D4E15">
        <w:rPr>
          <w:rFonts w:ascii="Times New Roman" w:hAnsi="Times New Roman"/>
          <w:i/>
          <w:sz w:val="24"/>
        </w:rPr>
        <w:t xml:space="preserve"> </w:t>
      </w:r>
      <w:r w:rsidRPr="006D4E15">
        <w:rPr>
          <w:rFonts w:ascii="Times New Roman" w:hAnsi="Times New Roman"/>
          <w:sz w:val="24"/>
        </w:rPr>
        <w:t xml:space="preserve">[2013] 2 AC 1 at 11 [19]; </w:t>
      </w:r>
      <w:r w:rsidRPr="006D4E15">
        <w:rPr>
          <w:rFonts w:ascii="Times New Roman" w:hAnsi="Times New Roman"/>
          <w:i/>
          <w:sz w:val="24"/>
        </w:rPr>
        <w:t xml:space="preserve">Various Claimants v Barclays Bank plc </w:t>
      </w:r>
      <w:r w:rsidRPr="006D4E15">
        <w:rPr>
          <w:rFonts w:ascii="Times New Roman" w:hAnsi="Times New Roman"/>
          <w:sz w:val="24"/>
        </w:rPr>
        <w:t>[2020] AC 973 at 981-98</w:t>
      </w:r>
      <w:r w:rsidR="00BD02A8" w:rsidRPr="006D4E15">
        <w:rPr>
          <w:rFonts w:ascii="Times New Roman" w:hAnsi="Times New Roman"/>
          <w:sz w:val="24"/>
        </w:rPr>
        <w:t>7</w:t>
      </w:r>
      <w:r w:rsidRPr="006D4E15">
        <w:rPr>
          <w:rFonts w:ascii="Times New Roman" w:hAnsi="Times New Roman"/>
          <w:sz w:val="24"/>
        </w:rPr>
        <w:t xml:space="preserve">; </w:t>
      </w:r>
      <w:r w:rsidRPr="006D4E15">
        <w:rPr>
          <w:rFonts w:ascii="Times New Roman" w:hAnsi="Times New Roman"/>
          <w:i/>
          <w:sz w:val="24"/>
        </w:rPr>
        <w:t>BXB</w:t>
      </w:r>
      <w:r w:rsidR="00535614" w:rsidRPr="006D4E15">
        <w:rPr>
          <w:rFonts w:ascii="Times New Roman" w:hAnsi="Times New Roman"/>
          <w:i/>
          <w:sz w:val="24"/>
        </w:rPr>
        <w:t xml:space="preserve"> </w:t>
      </w:r>
      <w:r w:rsidR="00535614" w:rsidRPr="006D4E15">
        <w:rPr>
          <w:rFonts w:ascii="Times New Roman" w:hAnsi="Times New Roman"/>
          <w:iCs/>
          <w:sz w:val="24"/>
        </w:rPr>
        <w:t>[2024] AC 567 at 572-573</w:t>
      </w:r>
      <w:r w:rsidRPr="006D4E15">
        <w:rPr>
          <w:rFonts w:ascii="Times New Roman" w:hAnsi="Times New Roman"/>
          <w:i/>
          <w:sz w:val="24"/>
        </w:rPr>
        <w:t xml:space="preserve"> </w:t>
      </w:r>
      <w:r w:rsidRPr="006D4E15">
        <w:rPr>
          <w:rFonts w:ascii="Times New Roman" w:hAnsi="Times New Roman"/>
          <w:sz w:val="24"/>
        </w:rPr>
        <w:t>[2]</w:t>
      </w:r>
      <w:r w:rsidR="00C933B5" w:rsidRPr="006D4E15">
        <w:rPr>
          <w:rFonts w:ascii="Times New Roman" w:hAnsi="Times New Roman"/>
          <w:sz w:val="24"/>
        </w:rPr>
        <w:noBreakHyphen/>
      </w:r>
      <w:r w:rsidRPr="006D4E15">
        <w:rPr>
          <w:rFonts w:ascii="Times New Roman" w:hAnsi="Times New Roman"/>
          <w:sz w:val="24"/>
        </w:rPr>
        <w:t>[3].</w:t>
      </w:r>
    </w:p>
  </w:footnote>
  <w:footnote w:id="71">
    <w:p w14:paraId="494BAC48" w14:textId="11AC60A3"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t xml:space="preserve">(2001) 207 </w:t>
      </w:r>
      <w:r w:rsidRPr="006D4E15">
        <w:rPr>
          <w:rFonts w:ascii="Times New Roman" w:hAnsi="Times New Roman"/>
          <w:sz w:val="24"/>
        </w:rPr>
        <w:t>CLR</w:t>
      </w:r>
      <w:r w:rsidRPr="006D4E15">
        <w:rPr>
          <w:rFonts w:ascii="Times New Roman" w:hAnsi="Times New Roman"/>
          <w:sz w:val="24"/>
          <w:szCs w:val="18"/>
        </w:rPr>
        <w:t xml:space="preserve"> 21.</w:t>
      </w:r>
    </w:p>
  </w:footnote>
  <w:footnote w:id="72">
    <w:p w14:paraId="771D2DEE" w14:textId="0B4FC569"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(2001) 207 CLR 21 at 37 [34]</w:t>
      </w:r>
      <w:r w:rsidR="00CD585B" w:rsidRPr="006D4E15">
        <w:rPr>
          <w:rFonts w:ascii="Times New Roman" w:hAnsi="Times New Roman"/>
          <w:sz w:val="24"/>
          <w:szCs w:val="18"/>
        </w:rPr>
        <w:t>,</w:t>
      </w:r>
      <w:r w:rsidRPr="006D4E15">
        <w:rPr>
          <w:rFonts w:ascii="Times New Roman" w:hAnsi="Times New Roman"/>
          <w:sz w:val="24"/>
          <w:szCs w:val="18"/>
        </w:rPr>
        <w:t xml:space="preserve"> </w:t>
      </w:r>
      <w:r w:rsidR="00FA70D9" w:rsidRPr="006D4E15">
        <w:rPr>
          <w:rFonts w:ascii="Times New Roman" w:hAnsi="Times New Roman"/>
          <w:sz w:val="24"/>
          <w:szCs w:val="18"/>
        </w:rPr>
        <w:t xml:space="preserve">citing </w:t>
      </w:r>
      <w:r w:rsidRPr="006D4E15">
        <w:rPr>
          <w:rFonts w:ascii="Times New Roman" w:hAnsi="Times New Roman"/>
          <w:i/>
          <w:iCs/>
          <w:sz w:val="24"/>
          <w:szCs w:val="18"/>
        </w:rPr>
        <w:t xml:space="preserve">Darling Island Stevedoring </w:t>
      </w:r>
      <w:r w:rsidRPr="006D4E15">
        <w:rPr>
          <w:rFonts w:ascii="Times New Roman" w:hAnsi="Times New Roman"/>
          <w:sz w:val="24"/>
          <w:szCs w:val="18"/>
        </w:rPr>
        <w:t>(1957) 97 CLR 36</w:t>
      </w:r>
      <w:r w:rsidR="00AB6E88" w:rsidRPr="006D4E15">
        <w:rPr>
          <w:rFonts w:ascii="Times New Roman" w:hAnsi="Times New Roman"/>
          <w:sz w:val="24"/>
          <w:szCs w:val="18"/>
        </w:rPr>
        <w:t xml:space="preserve"> at 56-57</w:t>
      </w:r>
      <w:r w:rsidRPr="006D4E15">
        <w:rPr>
          <w:rFonts w:ascii="Times New Roman" w:hAnsi="Times New Roman"/>
          <w:sz w:val="24"/>
          <w:szCs w:val="18"/>
        </w:rPr>
        <w:t xml:space="preserve">. See also </w:t>
      </w:r>
      <w:r w:rsidRPr="006D4E15">
        <w:rPr>
          <w:rFonts w:ascii="Times New Roman" w:hAnsi="Times New Roman"/>
          <w:i/>
          <w:sz w:val="24"/>
        </w:rPr>
        <w:t>Lepore</w:t>
      </w:r>
      <w:r w:rsidRPr="006D4E15">
        <w:rPr>
          <w:rFonts w:ascii="Times New Roman" w:hAnsi="Times New Roman"/>
          <w:sz w:val="24"/>
        </w:rPr>
        <w:t xml:space="preserve"> (2003) 212 CLR 511 at 580 [196]; </w:t>
      </w:r>
      <w:r w:rsidRPr="006D4E15">
        <w:rPr>
          <w:rFonts w:ascii="Times New Roman" w:hAnsi="Times New Roman"/>
          <w:i/>
          <w:sz w:val="24"/>
        </w:rPr>
        <w:t xml:space="preserve">Sweeney </w:t>
      </w:r>
      <w:r w:rsidRPr="006D4E15">
        <w:rPr>
          <w:rFonts w:ascii="Times New Roman" w:hAnsi="Times New Roman"/>
          <w:sz w:val="24"/>
        </w:rPr>
        <w:t>(2006) 226 CLR 161 at 166</w:t>
      </w:r>
      <w:r w:rsidR="006600CD" w:rsidRPr="006D4E15">
        <w:rPr>
          <w:rFonts w:ascii="Times New Roman" w:hAnsi="Times New Roman"/>
          <w:sz w:val="24"/>
        </w:rPr>
        <w:t>-167</w:t>
      </w:r>
      <w:r w:rsidRPr="006D4E15">
        <w:rPr>
          <w:rFonts w:ascii="Times New Roman" w:hAnsi="Times New Roman"/>
          <w:sz w:val="24"/>
        </w:rPr>
        <w:t xml:space="preserve"> [11]; </w:t>
      </w:r>
      <w:r w:rsidRPr="006D4E15">
        <w:rPr>
          <w:rFonts w:ascii="Times New Roman" w:hAnsi="Times New Roman"/>
          <w:i/>
          <w:sz w:val="24"/>
        </w:rPr>
        <w:t xml:space="preserve">Schokman </w:t>
      </w:r>
      <w:r w:rsidRPr="006D4E15">
        <w:rPr>
          <w:rFonts w:ascii="Times New Roman" w:hAnsi="Times New Roman"/>
          <w:sz w:val="24"/>
        </w:rPr>
        <w:t>(2023) 97 ALJR 551</w:t>
      </w:r>
      <w:r w:rsidR="00C66DC5" w:rsidRPr="006D4E15">
        <w:rPr>
          <w:rFonts w:ascii="Times New Roman" w:hAnsi="Times New Roman"/>
          <w:sz w:val="24"/>
        </w:rPr>
        <w:t xml:space="preserve"> </w:t>
      </w:r>
      <w:r w:rsidRPr="006D4E15">
        <w:rPr>
          <w:rFonts w:ascii="Times New Roman" w:hAnsi="Times New Roman"/>
          <w:sz w:val="24"/>
        </w:rPr>
        <w:t>at</w:t>
      </w:r>
      <w:r w:rsidRPr="006D4E15">
        <w:rPr>
          <w:rFonts w:ascii="Times New Roman" w:hAnsi="Times New Roman"/>
          <w:i/>
          <w:sz w:val="24"/>
        </w:rPr>
        <w:t xml:space="preserve"> </w:t>
      </w:r>
      <w:r w:rsidRPr="006D4E15">
        <w:rPr>
          <w:rFonts w:ascii="Times New Roman" w:hAnsi="Times New Roman"/>
          <w:sz w:val="24"/>
        </w:rPr>
        <w:t>566</w:t>
      </w:r>
      <w:r w:rsidR="00011FD9" w:rsidRPr="006D4E15">
        <w:rPr>
          <w:rFonts w:ascii="Times New Roman" w:hAnsi="Times New Roman"/>
          <w:sz w:val="24"/>
        </w:rPr>
        <w:noBreakHyphen/>
      </w:r>
      <w:r w:rsidR="00EE400D" w:rsidRPr="006D4E15">
        <w:rPr>
          <w:rFonts w:ascii="Times New Roman" w:hAnsi="Times New Roman"/>
          <w:sz w:val="24"/>
        </w:rPr>
        <w:t>5</w:t>
      </w:r>
      <w:r w:rsidRPr="006D4E15">
        <w:rPr>
          <w:rFonts w:ascii="Times New Roman" w:hAnsi="Times New Roman"/>
          <w:sz w:val="24"/>
        </w:rPr>
        <w:t>67 [69]</w:t>
      </w:r>
      <w:r w:rsidR="00D73A95" w:rsidRPr="006D4E15">
        <w:rPr>
          <w:rFonts w:ascii="Times New Roman" w:hAnsi="Times New Roman"/>
          <w:sz w:val="24"/>
        </w:rPr>
        <w:t xml:space="preserve">; 410 ALR 479 </w:t>
      </w:r>
      <w:r w:rsidR="00195503" w:rsidRPr="006D4E15">
        <w:rPr>
          <w:rFonts w:ascii="Times New Roman" w:hAnsi="Times New Roman"/>
          <w:sz w:val="24"/>
        </w:rPr>
        <w:t>at 497</w:t>
      </w:r>
      <w:r w:rsidRPr="006D4E15">
        <w:rPr>
          <w:rFonts w:ascii="Times New Roman" w:hAnsi="Times New Roman"/>
          <w:sz w:val="24"/>
        </w:rPr>
        <w:t>.</w:t>
      </w:r>
    </w:p>
  </w:footnote>
  <w:footnote w:id="73">
    <w:p w14:paraId="3577F341" w14:textId="46B70177" w:rsidR="00DA75A4" w:rsidRPr="006D4E15" w:rsidRDefault="00DA75A4"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Hollis </w:t>
      </w:r>
      <w:r w:rsidRPr="006D4E15">
        <w:rPr>
          <w:rFonts w:ascii="Times New Roman" w:hAnsi="Times New Roman"/>
          <w:sz w:val="24"/>
          <w:szCs w:val="18"/>
        </w:rPr>
        <w:t xml:space="preserve">(2001) 207 CLR 21 at 37 [35]. See also </w:t>
      </w:r>
      <w:r w:rsidR="00E951AB" w:rsidRPr="006D4E15">
        <w:rPr>
          <w:rFonts w:ascii="Times New Roman" w:hAnsi="Times New Roman"/>
          <w:i/>
          <w:iCs/>
          <w:sz w:val="24"/>
          <w:szCs w:val="18"/>
        </w:rPr>
        <w:t>Lepore</w:t>
      </w:r>
      <w:r w:rsidR="00E951AB" w:rsidRPr="006D4E15">
        <w:rPr>
          <w:rFonts w:ascii="Times New Roman" w:hAnsi="Times New Roman"/>
          <w:sz w:val="24"/>
          <w:szCs w:val="18"/>
        </w:rPr>
        <w:t xml:space="preserve"> (2003) 212 CLR 511 at 580 [196]; </w:t>
      </w:r>
      <w:r w:rsidRPr="006D4E15">
        <w:rPr>
          <w:rFonts w:ascii="Times New Roman" w:hAnsi="Times New Roman"/>
          <w:i/>
          <w:sz w:val="24"/>
          <w:szCs w:val="18"/>
        </w:rPr>
        <w:t>Sweeney</w:t>
      </w:r>
      <w:r w:rsidRPr="006D4E15">
        <w:rPr>
          <w:rFonts w:ascii="Times New Roman" w:hAnsi="Times New Roman"/>
          <w:sz w:val="24"/>
          <w:szCs w:val="18"/>
        </w:rPr>
        <w:t xml:space="preserve"> (2006) 226 CLR 161 at 166</w:t>
      </w:r>
      <w:r w:rsidR="006600CD" w:rsidRPr="006D4E15">
        <w:rPr>
          <w:rFonts w:ascii="Times New Roman" w:hAnsi="Times New Roman"/>
          <w:sz w:val="24"/>
          <w:szCs w:val="18"/>
        </w:rPr>
        <w:t>-167</w:t>
      </w:r>
      <w:r w:rsidRPr="006D4E15">
        <w:rPr>
          <w:rFonts w:ascii="Times New Roman" w:hAnsi="Times New Roman"/>
          <w:sz w:val="24"/>
          <w:szCs w:val="18"/>
        </w:rPr>
        <w:t xml:space="preserve"> [11]; </w:t>
      </w:r>
      <w:r w:rsidRPr="006D4E15">
        <w:rPr>
          <w:rFonts w:ascii="Times New Roman" w:hAnsi="Times New Roman"/>
          <w:i/>
          <w:sz w:val="24"/>
          <w:szCs w:val="18"/>
        </w:rPr>
        <w:t xml:space="preserve">Prince Alfred College </w:t>
      </w:r>
      <w:r w:rsidRPr="006D4E15">
        <w:rPr>
          <w:rFonts w:ascii="Times New Roman" w:hAnsi="Times New Roman"/>
          <w:sz w:val="24"/>
        </w:rPr>
        <w:t xml:space="preserve">(2016) 258 CLR 134 at </w:t>
      </w:r>
      <w:r w:rsidRPr="006D4E15">
        <w:rPr>
          <w:rFonts w:ascii="Times New Roman" w:hAnsi="Times New Roman"/>
          <w:sz w:val="24"/>
          <w:szCs w:val="18"/>
        </w:rPr>
        <w:t>149 [44]</w:t>
      </w:r>
      <w:r w:rsidR="008A2C85" w:rsidRPr="006D4E15">
        <w:rPr>
          <w:rFonts w:ascii="Times New Roman" w:hAnsi="Times New Roman"/>
          <w:sz w:val="24"/>
          <w:szCs w:val="18"/>
        </w:rPr>
        <w:t>, 150 [46]</w:t>
      </w:r>
      <w:r w:rsidR="006B3C56" w:rsidRPr="006D4E15">
        <w:rPr>
          <w:rFonts w:ascii="Times New Roman" w:hAnsi="Times New Roman"/>
          <w:sz w:val="24"/>
          <w:szCs w:val="18"/>
        </w:rPr>
        <w:t xml:space="preserve">; </w:t>
      </w:r>
      <w:r w:rsidR="001932E7" w:rsidRPr="006D4E15">
        <w:rPr>
          <w:rFonts w:ascii="Times New Roman" w:hAnsi="Times New Roman"/>
          <w:i/>
          <w:iCs/>
          <w:sz w:val="24"/>
          <w:szCs w:val="18"/>
        </w:rPr>
        <w:t>Bird v DP</w:t>
      </w:r>
      <w:r w:rsidR="00E9664F" w:rsidRPr="006D4E15">
        <w:rPr>
          <w:rFonts w:ascii="Times New Roman" w:hAnsi="Times New Roman"/>
          <w:i/>
          <w:iCs/>
          <w:sz w:val="24"/>
          <w:szCs w:val="18"/>
        </w:rPr>
        <w:t xml:space="preserve"> (a pseudonym)</w:t>
      </w:r>
      <w:r w:rsidR="001932E7" w:rsidRPr="006D4E15">
        <w:rPr>
          <w:rFonts w:ascii="Times New Roman" w:hAnsi="Times New Roman"/>
          <w:i/>
          <w:iCs/>
          <w:sz w:val="24"/>
          <w:szCs w:val="18"/>
        </w:rPr>
        <w:t xml:space="preserve"> </w:t>
      </w:r>
      <w:r w:rsidR="001932E7" w:rsidRPr="006D4E15">
        <w:rPr>
          <w:rFonts w:ascii="Times New Roman" w:hAnsi="Times New Roman"/>
          <w:sz w:val="24"/>
          <w:szCs w:val="18"/>
        </w:rPr>
        <w:t xml:space="preserve">(2023) 69 VR 408 at </w:t>
      </w:r>
      <w:r w:rsidR="00A529F3" w:rsidRPr="006D4E15">
        <w:rPr>
          <w:rFonts w:ascii="Times New Roman" w:hAnsi="Times New Roman"/>
          <w:sz w:val="24"/>
          <w:szCs w:val="18"/>
        </w:rPr>
        <w:t>428 [81]</w:t>
      </w:r>
      <w:r w:rsidRPr="006D4E15">
        <w:rPr>
          <w:rFonts w:ascii="Times New Roman" w:hAnsi="Times New Roman"/>
          <w:sz w:val="24"/>
          <w:szCs w:val="18"/>
        </w:rPr>
        <w:t>.</w:t>
      </w:r>
    </w:p>
  </w:footnote>
  <w:footnote w:id="74">
    <w:p w14:paraId="55BBDEC0" w14:textId="32D30089"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 xml:space="preserve">(2016) 258 CLR 134 at 148 [39]. See also </w:t>
      </w:r>
      <w:r w:rsidRPr="006D4E15">
        <w:rPr>
          <w:rFonts w:ascii="Times New Roman" w:hAnsi="Times New Roman"/>
          <w:i/>
          <w:sz w:val="24"/>
        </w:rPr>
        <w:t xml:space="preserve">Sweeney </w:t>
      </w:r>
      <w:r w:rsidRPr="006D4E15">
        <w:rPr>
          <w:rFonts w:ascii="Times New Roman" w:hAnsi="Times New Roman"/>
          <w:sz w:val="24"/>
        </w:rPr>
        <w:t>(2006) 226 CLR 16</w:t>
      </w:r>
      <w:r w:rsidR="00766EB4" w:rsidRPr="006D4E15">
        <w:rPr>
          <w:rFonts w:ascii="Times New Roman" w:hAnsi="Times New Roman"/>
          <w:sz w:val="24"/>
        </w:rPr>
        <w:t>1</w:t>
      </w:r>
      <w:r w:rsidRPr="006D4E15">
        <w:rPr>
          <w:rFonts w:ascii="Times New Roman" w:hAnsi="Times New Roman"/>
          <w:sz w:val="24"/>
        </w:rPr>
        <w:t xml:space="preserve"> at 166-167 [11].</w:t>
      </w:r>
    </w:p>
  </w:footnote>
  <w:footnote w:id="75">
    <w:p w14:paraId="235D594C" w14:textId="77777777"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[39].</w:t>
      </w:r>
    </w:p>
  </w:footnote>
  <w:footnote w:id="76">
    <w:p w14:paraId="4F378184" w14:textId="2814C383" w:rsidR="00DA75A4" w:rsidRPr="006D4E15" w:rsidRDefault="00DA75A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Prince Alfred College </w:t>
      </w:r>
      <w:r w:rsidRPr="006D4E15">
        <w:rPr>
          <w:rFonts w:ascii="Times New Roman" w:hAnsi="Times New Roman"/>
          <w:sz w:val="24"/>
        </w:rPr>
        <w:t>(2016) 258 CLR 134 at 148 [39]</w:t>
      </w:r>
      <w:r w:rsidR="002B7E7D" w:rsidRPr="006D4E15">
        <w:rPr>
          <w:rFonts w:ascii="Times New Roman" w:hAnsi="Times New Roman"/>
          <w:sz w:val="24"/>
        </w:rPr>
        <w:t>,</w:t>
      </w:r>
      <w:r w:rsidRPr="006D4E15">
        <w:rPr>
          <w:rFonts w:ascii="Times New Roman" w:hAnsi="Times New Roman"/>
          <w:sz w:val="24"/>
        </w:rPr>
        <w:t xml:space="preserve"> quoting </w:t>
      </w:r>
      <w:r w:rsidRPr="006D4E15">
        <w:rPr>
          <w:rFonts w:ascii="Times New Roman" w:hAnsi="Times New Roman"/>
          <w:i/>
          <w:sz w:val="24"/>
        </w:rPr>
        <w:t>Hollis</w:t>
      </w:r>
      <w:r w:rsidRPr="006D4E15">
        <w:rPr>
          <w:rFonts w:ascii="Times New Roman" w:hAnsi="Times New Roman"/>
          <w:sz w:val="24"/>
        </w:rPr>
        <w:t xml:space="preserve"> </w:t>
      </w:r>
      <w:r w:rsidR="002B7E7D" w:rsidRPr="006D4E15">
        <w:rPr>
          <w:rFonts w:ascii="Times New Roman" w:hAnsi="Times New Roman"/>
          <w:sz w:val="24"/>
          <w:szCs w:val="18"/>
        </w:rPr>
        <w:t xml:space="preserve">(2001) 207 CLR 21 </w:t>
      </w:r>
      <w:r w:rsidRPr="006D4E15">
        <w:rPr>
          <w:rFonts w:ascii="Times New Roman" w:hAnsi="Times New Roman"/>
          <w:sz w:val="24"/>
        </w:rPr>
        <w:t xml:space="preserve">at 37 [35]; </w:t>
      </w:r>
      <w:r w:rsidR="00D35E10" w:rsidRPr="006D4E15">
        <w:rPr>
          <w:rFonts w:ascii="Times New Roman" w:hAnsi="Times New Roman"/>
          <w:sz w:val="24"/>
        </w:rPr>
        <w:t>see also</w:t>
      </w:r>
      <w:r w:rsidRPr="006D4E15">
        <w:rPr>
          <w:rFonts w:ascii="Times New Roman" w:hAnsi="Times New Roman"/>
          <w:sz w:val="24"/>
        </w:rPr>
        <w:t xml:space="preserve"> 149</w:t>
      </w:r>
      <w:r w:rsidR="00661510" w:rsidRPr="006D4E15">
        <w:rPr>
          <w:rFonts w:ascii="Times New Roman" w:hAnsi="Times New Roman"/>
          <w:sz w:val="24"/>
        </w:rPr>
        <w:t>-150</w:t>
      </w:r>
      <w:r w:rsidRPr="006D4E15">
        <w:rPr>
          <w:rFonts w:ascii="Times New Roman" w:hAnsi="Times New Roman"/>
          <w:sz w:val="24"/>
        </w:rPr>
        <w:t xml:space="preserve"> [44]-[46]. See also </w:t>
      </w:r>
      <w:r w:rsidRPr="006D4E15">
        <w:rPr>
          <w:rFonts w:ascii="Times New Roman" w:hAnsi="Times New Roman"/>
          <w:i/>
          <w:sz w:val="24"/>
        </w:rPr>
        <w:t>Sweeney</w:t>
      </w:r>
      <w:r w:rsidRPr="006D4E15">
        <w:rPr>
          <w:rFonts w:ascii="Times New Roman" w:hAnsi="Times New Roman"/>
          <w:sz w:val="24"/>
        </w:rPr>
        <w:t xml:space="preserve"> (2006) 226 CLR 16</w:t>
      </w:r>
      <w:r w:rsidR="00F62CFA" w:rsidRPr="006D4E15">
        <w:rPr>
          <w:rFonts w:ascii="Times New Roman" w:hAnsi="Times New Roman"/>
          <w:sz w:val="24"/>
        </w:rPr>
        <w:t>1</w:t>
      </w:r>
      <w:r w:rsidRPr="006D4E15">
        <w:rPr>
          <w:rFonts w:ascii="Times New Roman" w:hAnsi="Times New Roman"/>
          <w:sz w:val="24"/>
        </w:rPr>
        <w:t xml:space="preserve"> at 166</w:t>
      </w:r>
      <w:r w:rsidR="00203706" w:rsidRPr="006D4E15">
        <w:rPr>
          <w:rFonts w:ascii="Times New Roman" w:hAnsi="Times New Roman"/>
          <w:sz w:val="24"/>
        </w:rPr>
        <w:t>-167</w:t>
      </w:r>
      <w:r w:rsidRPr="006D4E15">
        <w:rPr>
          <w:rFonts w:ascii="Times New Roman" w:hAnsi="Times New Roman"/>
          <w:sz w:val="24"/>
        </w:rPr>
        <w:t xml:space="preserve"> [11]; </w:t>
      </w:r>
      <w:r w:rsidRPr="006D4E15">
        <w:rPr>
          <w:rFonts w:ascii="Times New Roman" w:hAnsi="Times New Roman"/>
          <w:i/>
          <w:sz w:val="24"/>
        </w:rPr>
        <w:t>Schokman</w:t>
      </w:r>
      <w:r w:rsidRPr="006D4E15">
        <w:rPr>
          <w:rFonts w:ascii="Times New Roman" w:hAnsi="Times New Roman"/>
          <w:sz w:val="24"/>
        </w:rPr>
        <w:t xml:space="preserve"> (2023) 97 ALJR 551</w:t>
      </w:r>
      <w:r w:rsidR="00903B34" w:rsidRPr="006D4E15">
        <w:rPr>
          <w:rFonts w:ascii="Times New Roman" w:hAnsi="Times New Roman"/>
          <w:sz w:val="24"/>
        </w:rPr>
        <w:t xml:space="preserve"> </w:t>
      </w:r>
      <w:r w:rsidRPr="006D4E15">
        <w:rPr>
          <w:rFonts w:ascii="Times New Roman" w:hAnsi="Times New Roman"/>
          <w:sz w:val="24"/>
        </w:rPr>
        <w:t>at 561 [48], 566 [69]</w:t>
      </w:r>
      <w:r w:rsidR="00903B34" w:rsidRPr="006D4E15">
        <w:rPr>
          <w:rFonts w:ascii="Times New Roman" w:hAnsi="Times New Roman"/>
          <w:sz w:val="24"/>
        </w:rPr>
        <w:t xml:space="preserve">; </w:t>
      </w:r>
      <w:r w:rsidR="00762D6E" w:rsidRPr="006D4E15">
        <w:rPr>
          <w:rFonts w:ascii="Times New Roman" w:hAnsi="Times New Roman"/>
          <w:sz w:val="24"/>
        </w:rPr>
        <w:t xml:space="preserve">410 ALR 479 at </w:t>
      </w:r>
      <w:r w:rsidR="00021B9A" w:rsidRPr="006D4E15">
        <w:rPr>
          <w:rFonts w:ascii="Times New Roman" w:hAnsi="Times New Roman"/>
          <w:sz w:val="24"/>
        </w:rPr>
        <w:t>490,</w:t>
      </w:r>
      <w:r w:rsidR="00762D6E" w:rsidRPr="006D4E15">
        <w:rPr>
          <w:rFonts w:ascii="Times New Roman" w:hAnsi="Times New Roman"/>
          <w:sz w:val="24"/>
        </w:rPr>
        <w:t xml:space="preserve"> 497</w:t>
      </w:r>
      <w:r w:rsidRPr="006D4E15">
        <w:rPr>
          <w:rFonts w:ascii="Times New Roman" w:hAnsi="Times New Roman"/>
          <w:sz w:val="24"/>
        </w:rPr>
        <w:t xml:space="preserve">. See also </w:t>
      </w:r>
      <w:r w:rsidR="003416AC" w:rsidRPr="006D4E15">
        <w:rPr>
          <w:rFonts w:ascii="Times New Roman" w:hAnsi="Times New Roman"/>
          <w:sz w:val="24"/>
        </w:rPr>
        <w:t>Rolph</w:t>
      </w:r>
      <w:r w:rsidR="009F187E" w:rsidRPr="006D4E15">
        <w:rPr>
          <w:rFonts w:ascii="Times New Roman" w:hAnsi="Times New Roman"/>
          <w:sz w:val="24"/>
        </w:rPr>
        <w:t xml:space="preserve"> et al</w:t>
      </w:r>
      <w:r w:rsidR="003416AC" w:rsidRPr="006D4E15">
        <w:rPr>
          <w:rFonts w:ascii="Times New Roman" w:hAnsi="Times New Roman"/>
          <w:sz w:val="24"/>
        </w:rPr>
        <w:t>,</w:t>
      </w:r>
      <w:r w:rsidRPr="006D4E15">
        <w:rPr>
          <w:rFonts w:ascii="Times New Roman" w:hAnsi="Times New Roman"/>
          <w:sz w:val="24"/>
        </w:rPr>
        <w:t xml:space="preserve"> </w:t>
      </w:r>
      <w:r w:rsidRPr="006D4E15">
        <w:rPr>
          <w:rFonts w:ascii="Times New Roman" w:hAnsi="Times New Roman"/>
          <w:i/>
          <w:iCs/>
          <w:sz w:val="24"/>
        </w:rPr>
        <w:t>Balkin &amp; Davis</w:t>
      </w:r>
      <w:r w:rsidRPr="006D4E15">
        <w:rPr>
          <w:rFonts w:ascii="Times New Roman" w:hAnsi="Times New Roman"/>
          <w:sz w:val="24"/>
        </w:rPr>
        <w:t xml:space="preserve"> </w:t>
      </w:r>
      <w:r w:rsidRPr="006D4E15">
        <w:rPr>
          <w:rFonts w:ascii="Times New Roman" w:hAnsi="Times New Roman"/>
          <w:i/>
          <w:sz w:val="24"/>
        </w:rPr>
        <w:t>Law of Torts</w:t>
      </w:r>
      <w:r w:rsidRPr="006D4E15">
        <w:rPr>
          <w:rFonts w:ascii="Times New Roman" w:hAnsi="Times New Roman"/>
          <w:sz w:val="24"/>
        </w:rPr>
        <w:t>, 6th ed</w:t>
      </w:r>
      <w:r w:rsidR="00EA4733" w:rsidRPr="006D4E15">
        <w:rPr>
          <w:rFonts w:ascii="Times New Roman" w:hAnsi="Times New Roman"/>
          <w:sz w:val="24"/>
        </w:rPr>
        <w:t xml:space="preserve"> (2021)</w:t>
      </w:r>
      <w:r w:rsidRPr="006D4E15">
        <w:rPr>
          <w:rFonts w:ascii="Times New Roman" w:hAnsi="Times New Roman"/>
          <w:sz w:val="24"/>
        </w:rPr>
        <w:t>, ch 26</w:t>
      </w:r>
      <w:r w:rsidR="00334039" w:rsidRPr="006D4E15">
        <w:rPr>
          <w:rFonts w:ascii="Times New Roman" w:hAnsi="Times New Roman"/>
          <w:sz w:val="24"/>
        </w:rPr>
        <w:t xml:space="preserve"> at</w:t>
      </w:r>
      <w:r w:rsidRPr="006D4E15">
        <w:rPr>
          <w:rFonts w:ascii="Times New Roman" w:hAnsi="Times New Roman"/>
          <w:sz w:val="24"/>
        </w:rPr>
        <w:t xml:space="preserve"> </w:t>
      </w:r>
      <w:r w:rsidR="005C15DA" w:rsidRPr="006D4E15">
        <w:rPr>
          <w:rFonts w:ascii="Times New Roman" w:hAnsi="Times New Roman"/>
          <w:sz w:val="24"/>
        </w:rPr>
        <w:t>861-862</w:t>
      </w:r>
      <w:r w:rsidRPr="006D4E15">
        <w:rPr>
          <w:rFonts w:ascii="Times New Roman" w:hAnsi="Times New Roman"/>
          <w:sz w:val="24"/>
        </w:rPr>
        <w:t xml:space="preserve"> [26.1].</w:t>
      </w:r>
    </w:p>
  </w:footnote>
  <w:footnote w:id="77">
    <w:p w14:paraId="1C2B1106" w14:textId="2984BCFF" w:rsidR="00F02898" w:rsidRPr="006D4E15" w:rsidRDefault="00F0289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44E6E" w:rsidRPr="006D4E15">
        <w:rPr>
          <w:rFonts w:ascii="Times New Roman" w:hAnsi="Times New Roman"/>
          <w:i/>
          <w:iCs/>
          <w:sz w:val="24"/>
        </w:rPr>
        <w:t>Prince Alfred College</w:t>
      </w:r>
      <w:r w:rsidR="00E44E6E" w:rsidRPr="006D4E15">
        <w:rPr>
          <w:rFonts w:ascii="Times New Roman" w:hAnsi="Times New Roman"/>
          <w:sz w:val="24"/>
        </w:rPr>
        <w:t xml:space="preserve"> (2016) 258 CLR 134 at </w:t>
      </w:r>
      <w:r w:rsidR="00F12E9A" w:rsidRPr="006D4E15">
        <w:rPr>
          <w:rFonts w:ascii="Times New Roman" w:hAnsi="Times New Roman"/>
          <w:sz w:val="24"/>
        </w:rPr>
        <w:t>153</w:t>
      </w:r>
      <w:r w:rsidR="00397684" w:rsidRPr="006D4E15">
        <w:rPr>
          <w:rFonts w:ascii="Times New Roman" w:hAnsi="Times New Roman"/>
          <w:sz w:val="24"/>
        </w:rPr>
        <w:t xml:space="preserve"> [59], </w:t>
      </w:r>
      <w:r w:rsidR="00490871" w:rsidRPr="006D4E15">
        <w:rPr>
          <w:rFonts w:ascii="Times New Roman" w:hAnsi="Times New Roman"/>
          <w:sz w:val="24"/>
        </w:rPr>
        <w:t>158</w:t>
      </w:r>
      <w:r w:rsidR="007F137B" w:rsidRPr="006D4E15">
        <w:rPr>
          <w:rFonts w:ascii="Times New Roman" w:hAnsi="Times New Roman"/>
          <w:sz w:val="24"/>
        </w:rPr>
        <w:t> </w:t>
      </w:r>
      <w:r w:rsidR="00397684" w:rsidRPr="006D4E15">
        <w:rPr>
          <w:rFonts w:ascii="Times New Roman" w:hAnsi="Times New Roman"/>
          <w:sz w:val="24"/>
        </w:rPr>
        <w:t>[74]</w:t>
      </w:r>
      <w:r w:rsidR="00E44E6E" w:rsidRPr="006D4E15">
        <w:rPr>
          <w:rFonts w:ascii="Times New Roman" w:hAnsi="Times New Roman"/>
          <w:sz w:val="24"/>
        </w:rPr>
        <w:t xml:space="preserve">; </w:t>
      </w:r>
      <w:r w:rsidRPr="006D4E15">
        <w:rPr>
          <w:rFonts w:ascii="Times New Roman" w:hAnsi="Times New Roman"/>
          <w:i/>
          <w:iCs/>
          <w:sz w:val="24"/>
        </w:rPr>
        <w:t xml:space="preserve">Schokman </w:t>
      </w:r>
      <w:r w:rsidRPr="006D4E15">
        <w:rPr>
          <w:rFonts w:ascii="Times New Roman" w:hAnsi="Times New Roman"/>
          <w:sz w:val="24"/>
        </w:rPr>
        <w:t>(2023) 97 ALJR 551 at 555</w:t>
      </w:r>
      <w:r w:rsidR="00D14555" w:rsidRPr="006D4E15">
        <w:rPr>
          <w:rFonts w:ascii="Times New Roman" w:hAnsi="Times New Roman"/>
          <w:sz w:val="24"/>
        </w:rPr>
        <w:t>-556</w:t>
      </w:r>
      <w:r w:rsidRPr="006D4E15">
        <w:rPr>
          <w:rFonts w:ascii="Times New Roman" w:hAnsi="Times New Roman"/>
          <w:sz w:val="24"/>
        </w:rPr>
        <w:t xml:space="preserve"> [1</w:t>
      </w:r>
      <w:r w:rsidR="00D14555" w:rsidRPr="006D4E15">
        <w:rPr>
          <w:rFonts w:ascii="Times New Roman" w:hAnsi="Times New Roman"/>
          <w:sz w:val="24"/>
        </w:rPr>
        <w:t>3</w:t>
      </w:r>
      <w:r w:rsidRPr="006D4E15">
        <w:rPr>
          <w:rFonts w:ascii="Times New Roman" w:hAnsi="Times New Roman"/>
          <w:sz w:val="24"/>
        </w:rPr>
        <w:t>]</w:t>
      </w:r>
      <w:r w:rsidR="00C1139C" w:rsidRPr="006D4E15">
        <w:rPr>
          <w:rFonts w:ascii="Times New Roman" w:hAnsi="Times New Roman"/>
          <w:sz w:val="24"/>
        </w:rPr>
        <w:t>; 410</w:t>
      </w:r>
      <w:r w:rsidR="007F137B" w:rsidRPr="006D4E15">
        <w:rPr>
          <w:rFonts w:ascii="Times New Roman" w:hAnsi="Times New Roman"/>
          <w:sz w:val="24"/>
        </w:rPr>
        <w:t> </w:t>
      </w:r>
      <w:r w:rsidR="00C1139C" w:rsidRPr="006D4E15">
        <w:rPr>
          <w:rFonts w:ascii="Times New Roman" w:hAnsi="Times New Roman"/>
          <w:sz w:val="24"/>
        </w:rPr>
        <w:t>ALR 479 at 482-483</w:t>
      </w:r>
      <w:r w:rsidRPr="006D4E15">
        <w:rPr>
          <w:rFonts w:ascii="Times New Roman" w:hAnsi="Times New Roman"/>
          <w:sz w:val="24"/>
        </w:rPr>
        <w:t>.</w:t>
      </w:r>
      <w:r w:rsidR="00A324BC" w:rsidRPr="006D4E15">
        <w:rPr>
          <w:rFonts w:ascii="Times New Roman" w:hAnsi="Times New Roman"/>
          <w:sz w:val="24"/>
        </w:rPr>
        <w:t xml:space="preserve"> See also Stevens,</w:t>
      </w:r>
      <w:r w:rsidR="000B2062" w:rsidRPr="006D4E15">
        <w:rPr>
          <w:rFonts w:ascii="Times New Roman" w:hAnsi="Times New Roman"/>
          <w:sz w:val="24"/>
        </w:rPr>
        <w:t xml:space="preserve"> </w:t>
      </w:r>
      <w:r w:rsidR="000B2062" w:rsidRPr="006D4E15">
        <w:rPr>
          <w:rFonts w:ascii="Times New Roman" w:hAnsi="Times New Roman"/>
          <w:i/>
          <w:iCs/>
          <w:sz w:val="24"/>
        </w:rPr>
        <w:t xml:space="preserve">Torts and Rights </w:t>
      </w:r>
      <w:r w:rsidR="000B2062" w:rsidRPr="006D4E15">
        <w:rPr>
          <w:rFonts w:ascii="Times New Roman" w:hAnsi="Times New Roman"/>
          <w:sz w:val="24"/>
        </w:rPr>
        <w:t>(2007) at 258-259.</w:t>
      </w:r>
    </w:p>
  </w:footnote>
  <w:footnote w:id="78">
    <w:p w14:paraId="335276AC" w14:textId="5D39F1F0" w:rsidR="00DD3AED" w:rsidRPr="006D4E15" w:rsidRDefault="00DD3AE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17367" w:rsidRPr="006D4E15">
        <w:rPr>
          <w:rFonts w:ascii="Times New Roman" w:hAnsi="Times New Roman"/>
          <w:sz w:val="24"/>
        </w:rPr>
        <w:t>See</w:t>
      </w:r>
      <w:r w:rsidR="0030458E" w:rsidRPr="006D4E15">
        <w:rPr>
          <w:rFonts w:ascii="Times New Roman" w:hAnsi="Times New Roman"/>
          <w:sz w:val="24"/>
        </w:rPr>
        <w:t xml:space="preserve"> </w:t>
      </w:r>
      <w:r w:rsidR="0030458E" w:rsidRPr="006D4E15">
        <w:rPr>
          <w:rFonts w:ascii="Times New Roman" w:hAnsi="Times New Roman"/>
          <w:i/>
          <w:iCs/>
          <w:sz w:val="24"/>
        </w:rPr>
        <w:t>Sween</w:t>
      </w:r>
      <w:r w:rsidR="002446E0" w:rsidRPr="006D4E15">
        <w:rPr>
          <w:rFonts w:ascii="Times New Roman" w:hAnsi="Times New Roman"/>
          <w:i/>
          <w:iCs/>
          <w:sz w:val="24"/>
        </w:rPr>
        <w:t xml:space="preserve">ey v Boylan Nominees Pty Ltd </w:t>
      </w:r>
      <w:r w:rsidR="002446E0" w:rsidRPr="006D4E15">
        <w:rPr>
          <w:rFonts w:ascii="Times New Roman" w:hAnsi="Times New Roman"/>
          <w:sz w:val="24"/>
        </w:rPr>
        <w:t xml:space="preserve">(2006) 226 CLR 161 at </w:t>
      </w:r>
      <w:r w:rsidR="00C000AF" w:rsidRPr="006D4E15">
        <w:rPr>
          <w:rFonts w:ascii="Times New Roman" w:hAnsi="Times New Roman"/>
          <w:sz w:val="24"/>
        </w:rPr>
        <w:t>167 [12]</w:t>
      </w:r>
      <w:r w:rsidR="00387404" w:rsidRPr="006D4E15">
        <w:rPr>
          <w:rFonts w:ascii="Times New Roman" w:hAnsi="Times New Roman"/>
          <w:sz w:val="24"/>
        </w:rPr>
        <w:t>,</w:t>
      </w:r>
      <w:r w:rsidR="00C000AF" w:rsidRPr="006D4E15">
        <w:rPr>
          <w:rFonts w:ascii="Times New Roman" w:hAnsi="Times New Roman"/>
          <w:sz w:val="24"/>
        </w:rPr>
        <w:t xml:space="preserve"> referring to</w:t>
      </w:r>
      <w:r w:rsidRPr="006D4E15">
        <w:rPr>
          <w:rFonts w:ascii="Times New Roman" w:hAnsi="Times New Roman"/>
          <w:sz w:val="24"/>
        </w:rPr>
        <w:t xml:space="preserve"> Neyers,</w:t>
      </w:r>
      <w:r w:rsidR="00C000AF" w:rsidRPr="006D4E15">
        <w:rPr>
          <w:rFonts w:ascii="Times New Roman" w:hAnsi="Times New Roman"/>
          <w:sz w:val="24"/>
        </w:rPr>
        <w:t xml:space="preserve"> "A Theory of Vicarious Liability</w:t>
      </w:r>
      <w:r w:rsidR="00535F22" w:rsidRPr="006D4E15">
        <w:rPr>
          <w:rFonts w:ascii="Times New Roman" w:hAnsi="Times New Roman"/>
          <w:sz w:val="24"/>
        </w:rPr>
        <w:t xml:space="preserve">" (2005) 43 </w:t>
      </w:r>
      <w:r w:rsidR="00535F22" w:rsidRPr="006D4E15">
        <w:rPr>
          <w:rFonts w:ascii="Times New Roman" w:hAnsi="Times New Roman"/>
          <w:i/>
          <w:iCs/>
          <w:sz w:val="24"/>
        </w:rPr>
        <w:t xml:space="preserve">Alberta Law Review </w:t>
      </w:r>
      <w:r w:rsidR="00535F22" w:rsidRPr="006D4E15">
        <w:rPr>
          <w:rFonts w:ascii="Times New Roman" w:hAnsi="Times New Roman"/>
          <w:sz w:val="24"/>
        </w:rPr>
        <w:t>287.</w:t>
      </w:r>
      <w:r w:rsidRPr="006D4E15">
        <w:rPr>
          <w:rFonts w:ascii="Times New Roman" w:hAnsi="Times New Roman"/>
          <w:sz w:val="24"/>
        </w:rPr>
        <w:t xml:space="preserve"> </w:t>
      </w:r>
    </w:p>
  </w:footnote>
  <w:footnote w:id="79">
    <w:p w14:paraId="736D4434" w14:textId="77777777" w:rsidR="006F26EF" w:rsidRPr="006D4E15" w:rsidRDefault="006F26E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Schokman </w:t>
      </w:r>
      <w:r w:rsidRPr="006D4E15">
        <w:rPr>
          <w:rFonts w:ascii="Times New Roman" w:hAnsi="Times New Roman"/>
          <w:sz w:val="24"/>
        </w:rPr>
        <w:t xml:space="preserve">(2023) 97 ALJR 551 at 555 [13], 565 [64]; 410 ALR 479 at 482-483, 495. </w:t>
      </w:r>
    </w:p>
  </w:footnote>
  <w:footnote w:id="80">
    <w:p w14:paraId="47AC6822" w14:textId="14ED26E6" w:rsidR="00E13020" w:rsidRPr="006D4E15" w:rsidRDefault="00E1302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14890" w:rsidRPr="006D4E15">
        <w:rPr>
          <w:rFonts w:ascii="Times New Roman" w:hAnsi="Times New Roman"/>
          <w:sz w:val="24"/>
        </w:rPr>
        <w:t>See</w:t>
      </w:r>
      <w:r w:rsidR="007C5D0C" w:rsidRPr="006D4E15">
        <w:rPr>
          <w:rFonts w:ascii="Times New Roman" w:hAnsi="Times New Roman"/>
          <w:sz w:val="24"/>
        </w:rPr>
        <w:t>, eg,</w:t>
      </w:r>
      <w:r w:rsidR="00C14890" w:rsidRPr="006D4E15">
        <w:rPr>
          <w:rFonts w:ascii="Times New Roman" w:hAnsi="Times New Roman"/>
          <w:sz w:val="24"/>
        </w:rPr>
        <w:t xml:space="preserve"> </w:t>
      </w:r>
      <w:r w:rsidRPr="006D4E15">
        <w:rPr>
          <w:rFonts w:ascii="Times New Roman" w:hAnsi="Times New Roman"/>
          <w:i/>
          <w:sz w:val="24"/>
        </w:rPr>
        <w:t xml:space="preserve">Scott </w:t>
      </w:r>
      <w:r w:rsidRPr="006D4E15">
        <w:rPr>
          <w:rFonts w:ascii="Times New Roman" w:hAnsi="Times New Roman"/>
          <w:sz w:val="24"/>
        </w:rPr>
        <w:t>(2000) 204 CLR 333 at 342 [18], 343 [20], 422</w:t>
      </w:r>
      <w:r w:rsidR="007F137B" w:rsidRPr="006D4E15">
        <w:rPr>
          <w:rFonts w:ascii="Times New Roman" w:hAnsi="Times New Roman"/>
          <w:sz w:val="24"/>
        </w:rPr>
        <w:noBreakHyphen/>
      </w:r>
      <w:r w:rsidRPr="006D4E15">
        <w:rPr>
          <w:rFonts w:ascii="Times New Roman" w:hAnsi="Times New Roman"/>
          <w:sz w:val="24"/>
        </w:rPr>
        <w:t>42</w:t>
      </w:r>
      <w:r w:rsidR="006A4A41" w:rsidRPr="006D4E15">
        <w:rPr>
          <w:rFonts w:ascii="Times New Roman" w:hAnsi="Times New Roman"/>
          <w:sz w:val="24"/>
        </w:rPr>
        <w:t>4</w:t>
      </w:r>
      <w:r w:rsidRPr="006D4E15">
        <w:rPr>
          <w:rFonts w:ascii="Times New Roman" w:hAnsi="Times New Roman"/>
          <w:sz w:val="24"/>
        </w:rPr>
        <w:t xml:space="preserve"> [268]-[273], [276]-[277], 440 [311], 459</w:t>
      </w:r>
      <w:r w:rsidR="007F137B" w:rsidRPr="006D4E15">
        <w:rPr>
          <w:rFonts w:ascii="Times New Roman" w:hAnsi="Times New Roman"/>
          <w:sz w:val="24"/>
        </w:rPr>
        <w:noBreakHyphen/>
      </w:r>
      <w:r w:rsidRPr="006D4E15">
        <w:rPr>
          <w:rFonts w:ascii="Times New Roman" w:hAnsi="Times New Roman"/>
          <w:sz w:val="24"/>
        </w:rPr>
        <w:t>460</w:t>
      </w:r>
      <w:r w:rsidR="007F137B" w:rsidRPr="006D4E15">
        <w:rPr>
          <w:rFonts w:ascii="Times New Roman" w:hAnsi="Times New Roman"/>
          <w:sz w:val="24"/>
        </w:rPr>
        <w:t> </w:t>
      </w:r>
      <w:r w:rsidRPr="006D4E15">
        <w:rPr>
          <w:rFonts w:ascii="Times New Roman" w:hAnsi="Times New Roman"/>
          <w:sz w:val="24"/>
        </w:rPr>
        <w:t xml:space="preserve">[357]-[358]; </w:t>
      </w:r>
      <w:r w:rsidRPr="006D4E15">
        <w:rPr>
          <w:rFonts w:ascii="Times New Roman" w:hAnsi="Times New Roman"/>
          <w:i/>
          <w:sz w:val="24"/>
        </w:rPr>
        <w:t>Hollis</w:t>
      </w:r>
      <w:r w:rsidRPr="006D4E15">
        <w:rPr>
          <w:rFonts w:ascii="Times New Roman" w:hAnsi="Times New Roman"/>
          <w:sz w:val="24"/>
        </w:rPr>
        <w:t xml:space="preserve"> (2001) 207 CLR 21 at 36 [32]; </w:t>
      </w:r>
      <w:r w:rsidRPr="006D4E15">
        <w:rPr>
          <w:rFonts w:ascii="Times New Roman" w:hAnsi="Times New Roman"/>
          <w:i/>
          <w:sz w:val="24"/>
        </w:rPr>
        <w:t xml:space="preserve">Sweeney </w:t>
      </w:r>
      <w:r w:rsidRPr="006D4E15">
        <w:rPr>
          <w:rFonts w:ascii="Times New Roman" w:hAnsi="Times New Roman"/>
          <w:sz w:val="24"/>
        </w:rPr>
        <w:t xml:space="preserve">(2006) 226 CLR 161 at 171 [26], 172 [29]; </w:t>
      </w:r>
      <w:r w:rsidRPr="006D4E15">
        <w:rPr>
          <w:rFonts w:ascii="Times New Roman" w:hAnsi="Times New Roman"/>
          <w:i/>
          <w:iCs/>
          <w:sz w:val="24"/>
        </w:rPr>
        <w:t xml:space="preserve">Schokman </w:t>
      </w:r>
      <w:r w:rsidRPr="006D4E15">
        <w:rPr>
          <w:rFonts w:ascii="Times New Roman" w:hAnsi="Times New Roman"/>
          <w:sz w:val="24"/>
        </w:rPr>
        <w:t xml:space="preserve">(2023) 97 ALJR 551 at 562 [51]; 410 ALR 479 at </w:t>
      </w:r>
      <w:r w:rsidR="00CB2862" w:rsidRPr="006D4E15">
        <w:rPr>
          <w:rFonts w:ascii="Times New Roman" w:hAnsi="Times New Roman"/>
          <w:sz w:val="24"/>
        </w:rPr>
        <w:t>491</w:t>
      </w:r>
      <w:r w:rsidRPr="006D4E15">
        <w:rPr>
          <w:rFonts w:ascii="Times New Roman" w:hAnsi="Times New Roman"/>
          <w:sz w:val="24"/>
        </w:rPr>
        <w:t>.</w:t>
      </w:r>
    </w:p>
  </w:footnote>
  <w:footnote w:id="81">
    <w:p w14:paraId="33BE05D4" w14:textId="7B741EF8"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16A52" w:rsidRPr="006D4E15">
        <w:rPr>
          <w:rFonts w:ascii="Times New Roman" w:hAnsi="Times New Roman"/>
          <w:sz w:val="24"/>
        </w:rPr>
        <w:tab/>
        <w:t>(2001) 207 CLR 21.</w:t>
      </w:r>
      <w:r w:rsidR="008F40C9" w:rsidRPr="006D4E15">
        <w:rPr>
          <w:rFonts w:ascii="Times New Roman" w:hAnsi="Times New Roman"/>
          <w:sz w:val="24"/>
        </w:rPr>
        <w:t xml:space="preserve"> </w:t>
      </w:r>
    </w:p>
  </w:footnote>
  <w:footnote w:id="82">
    <w:p w14:paraId="5E32CB6A" w14:textId="30D51086"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16A52" w:rsidRPr="006D4E15">
        <w:rPr>
          <w:rFonts w:ascii="Times New Roman" w:hAnsi="Times New Roman"/>
          <w:sz w:val="24"/>
        </w:rPr>
        <w:tab/>
      </w:r>
      <w:r w:rsidR="006D28B3" w:rsidRPr="006D4E15">
        <w:rPr>
          <w:rFonts w:ascii="Times New Roman" w:hAnsi="Times New Roman"/>
          <w:sz w:val="24"/>
        </w:rPr>
        <w:t>(2006) 226 CLR 161.</w:t>
      </w:r>
      <w:r w:rsidR="008F40C9" w:rsidRPr="006D4E15">
        <w:rPr>
          <w:rFonts w:ascii="Times New Roman" w:hAnsi="Times New Roman"/>
          <w:sz w:val="24"/>
        </w:rPr>
        <w:t xml:space="preserve"> See [</w:t>
      </w:r>
      <w:r w:rsidR="00090310" w:rsidRPr="006D4E15">
        <w:rPr>
          <w:rFonts w:ascii="Times New Roman" w:hAnsi="Times New Roman"/>
          <w:sz w:val="24"/>
        </w:rPr>
        <w:t>6</w:t>
      </w:r>
      <w:r w:rsidR="0076729F">
        <w:rPr>
          <w:rFonts w:ascii="Times New Roman" w:hAnsi="Times New Roman"/>
          <w:sz w:val="24"/>
        </w:rPr>
        <w:t>3</w:t>
      </w:r>
      <w:r w:rsidR="008F40C9" w:rsidRPr="006D4E15">
        <w:rPr>
          <w:rFonts w:ascii="Times New Roman" w:hAnsi="Times New Roman"/>
          <w:sz w:val="24"/>
        </w:rPr>
        <w:t>] below.</w:t>
      </w:r>
    </w:p>
  </w:footnote>
  <w:footnote w:id="83">
    <w:p w14:paraId="75C11047" w14:textId="43922213"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B53BD8" w:rsidRPr="006D4E15">
        <w:rPr>
          <w:rFonts w:ascii="Times New Roman" w:hAnsi="Times New Roman"/>
          <w:sz w:val="24"/>
        </w:rPr>
        <w:tab/>
        <w:t>(2000) 204 CLR 333.</w:t>
      </w:r>
      <w:r w:rsidR="008F40C9" w:rsidRPr="006D4E15">
        <w:rPr>
          <w:rFonts w:ascii="Times New Roman" w:hAnsi="Times New Roman"/>
          <w:sz w:val="24"/>
        </w:rPr>
        <w:t xml:space="preserve"> </w:t>
      </w:r>
    </w:p>
  </w:footnote>
  <w:footnote w:id="84">
    <w:p w14:paraId="59D2DDC4" w14:textId="6D821FD2" w:rsidR="008E0D46" w:rsidRPr="006D4E15" w:rsidRDefault="008E0D4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98581D" w:rsidRPr="006D4E15">
        <w:rPr>
          <w:rFonts w:ascii="Times New Roman" w:hAnsi="Times New Roman"/>
          <w:sz w:val="24"/>
        </w:rPr>
        <w:tab/>
      </w:r>
      <w:r w:rsidR="0098581D" w:rsidRPr="006D4E15">
        <w:rPr>
          <w:rFonts w:ascii="Times New Roman" w:hAnsi="Times New Roman"/>
          <w:sz w:val="24"/>
          <w:szCs w:val="18"/>
        </w:rPr>
        <w:t>(2003) 212 CLR 511.</w:t>
      </w:r>
      <w:r w:rsidR="008F40C9" w:rsidRPr="006D4E15">
        <w:rPr>
          <w:rFonts w:ascii="Times New Roman" w:hAnsi="Times New Roman"/>
          <w:sz w:val="24"/>
          <w:szCs w:val="18"/>
        </w:rPr>
        <w:t xml:space="preserve"> </w:t>
      </w:r>
    </w:p>
  </w:footnote>
  <w:footnote w:id="85">
    <w:p w14:paraId="643BE9F6" w14:textId="6DD38309"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t>[1999] 2 SCR 534 at 567-568 [57]-[58].</w:t>
      </w:r>
    </w:p>
  </w:footnote>
  <w:footnote w:id="86">
    <w:p w14:paraId="698B6CB0" w14:textId="2EC9819A"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sz w:val="24"/>
        </w:rPr>
        <w:t xml:space="preserve">Bazley </w:t>
      </w:r>
      <w:r w:rsidRPr="006D4E15">
        <w:rPr>
          <w:rFonts w:ascii="Times New Roman" w:hAnsi="Times New Roman"/>
          <w:sz w:val="24"/>
        </w:rPr>
        <w:t xml:space="preserve">[1999] 2 SCR 534 at 555 [35]. </w:t>
      </w:r>
    </w:p>
  </w:footnote>
  <w:footnote w:id="87">
    <w:p w14:paraId="24D5927A" w14:textId="67916C14"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Bazley </w:t>
      </w:r>
      <w:r w:rsidRPr="006D4E15">
        <w:rPr>
          <w:rFonts w:ascii="Times New Roman" w:hAnsi="Times New Roman"/>
          <w:sz w:val="24"/>
        </w:rPr>
        <w:t>[1999] 2 SCR 534 at 546-547 [19], 548-549 [22], 553</w:t>
      </w:r>
      <w:r w:rsidR="009E15EB" w:rsidRPr="006D4E15">
        <w:rPr>
          <w:rFonts w:ascii="Times New Roman" w:hAnsi="Times New Roman"/>
          <w:sz w:val="24"/>
        </w:rPr>
        <w:t> </w:t>
      </w:r>
      <w:r w:rsidRPr="006D4E15">
        <w:rPr>
          <w:rFonts w:ascii="Times New Roman" w:hAnsi="Times New Roman"/>
          <w:sz w:val="24"/>
        </w:rPr>
        <w:t>[30], 554 [31].</w:t>
      </w:r>
    </w:p>
  </w:footnote>
  <w:footnote w:id="88">
    <w:p w14:paraId="3061136F" w14:textId="70869034"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Bazley </w:t>
      </w:r>
      <w:r w:rsidRPr="006D4E15">
        <w:rPr>
          <w:rFonts w:ascii="Times New Roman" w:hAnsi="Times New Roman"/>
          <w:sz w:val="24"/>
        </w:rPr>
        <w:t xml:space="preserve">[1999] 2 SCR 534 at 554-555 [32]. </w:t>
      </w:r>
      <w:r w:rsidR="008C0B52" w:rsidRPr="006D4E15">
        <w:rPr>
          <w:rFonts w:ascii="Times New Roman" w:hAnsi="Times New Roman"/>
          <w:sz w:val="24"/>
        </w:rPr>
        <w:t xml:space="preserve">See also </w:t>
      </w:r>
      <w:r w:rsidR="008C0B52" w:rsidRPr="006D4E15">
        <w:rPr>
          <w:rFonts w:ascii="Times New Roman" w:hAnsi="Times New Roman"/>
          <w:i/>
          <w:sz w:val="24"/>
        </w:rPr>
        <w:t xml:space="preserve">John Doe v Bennett </w:t>
      </w:r>
      <w:r w:rsidR="008C0B52" w:rsidRPr="006D4E15">
        <w:rPr>
          <w:rFonts w:ascii="Times New Roman" w:hAnsi="Times New Roman"/>
          <w:sz w:val="24"/>
        </w:rPr>
        <w:t xml:space="preserve">[2004] 1 SCR </w:t>
      </w:r>
      <w:r w:rsidR="00FE0B39" w:rsidRPr="006D4E15">
        <w:rPr>
          <w:rFonts w:ascii="Times New Roman" w:hAnsi="Times New Roman"/>
          <w:sz w:val="24"/>
        </w:rPr>
        <w:t xml:space="preserve">436 at </w:t>
      </w:r>
      <w:r w:rsidR="003F0DBD" w:rsidRPr="006D4E15">
        <w:rPr>
          <w:rFonts w:ascii="Times New Roman" w:hAnsi="Times New Roman"/>
          <w:sz w:val="24"/>
        </w:rPr>
        <w:t xml:space="preserve">445-446 </w:t>
      </w:r>
      <w:r w:rsidR="00FE0B39" w:rsidRPr="006D4E15">
        <w:rPr>
          <w:rFonts w:ascii="Times New Roman" w:hAnsi="Times New Roman"/>
          <w:sz w:val="24"/>
        </w:rPr>
        <w:t>[20].</w:t>
      </w:r>
    </w:p>
  </w:footnote>
  <w:footnote w:id="89">
    <w:p w14:paraId="17335D3F" w14:textId="77777777"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w:t>
      </w:r>
    </w:p>
  </w:footnote>
  <w:footnote w:id="90">
    <w:p w14:paraId="683590E2" w14:textId="77777777" w:rsidR="001C1A3B" w:rsidRPr="006D4E15" w:rsidRDefault="001C1A3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sz w:val="24"/>
        </w:rPr>
        <w:t xml:space="preserve">Lister </w:t>
      </w:r>
      <w:r w:rsidRPr="006D4E15">
        <w:rPr>
          <w:rFonts w:ascii="Times New Roman" w:hAnsi="Times New Roman"/>
          <w:sz w:val="24"/>
        </w:rPr>
        <w:t>[2002] 1 AC 215 at 222-223 [10], 229 [23], 230 [27], 237 [48].</w:t>
      </w:r>
    </w:p>
  </w:footnote>
  <w:footnote w:id="91">
    <w:p w14:paraId="1EF8373F" w14:textId="3F9D44CB" w:rsidR="001C1A3B" w:rsidRPr="006D4E15" w:rsidDel="00165CCB" w:rsidRDefault="005833F4" w:rsidP="006D4E15">
      <w:pPr>
        <w:pStyle w:val="FootnoteText"/>
        <w:tabs>
          <w:tab w:val="left" w:pos="4536"/>
        </w:tabs>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 at 229, 238.</w:t>
      </w:r>
    </w:p>
  </w:footnote>
  <w:footnote w:id="92">
    <w:p w14:paraId="193D39F0" w14:textId="10DD85D7" w:rsidR="00E724D5" w:rsidRPr="006D4E15" w:rsidRDefault="001C1A3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Lister </w:t>
      </w:r>
      <w:r w:rsidRPr="006D4E15">
        <w:rPr>
          <w:rFonts w:ascii="Times New Roman" w:hAnsi="Times New Roman"/>
          <w:sz w:val="24"/>
        </w:rPr>
        <w:t xml:space="preserve">[2002] 1 AC 215 at </w:t>
      </w:r>
      <w:r w:rsidR="00B4540D" w:rsidRPr="006D4E15">
        <w:rPr>
          <w:rFonts w:ascii="Times New Roman" w:hAnsi="Times New Roman"/>
          <w:sz w:val="24"/>
        </w:rPr>
        <w:t xml:space="preserve">223-224 [15], </w:t>
      </w:r>
      <w:r w:rsidRPr="006D4E15">
        <w:rPr>
          <w:rFonts w:ascii="Times New Roman" w:hAnsi="Times New Roman"/>
          <w:sz w:val="24"/>
          <w:szCs w:val="18"/>
        </w:rPr>
        <w:t>226-227 [20], 229</w:t>
      </w:r>
      <w:r w:rsidR="009E15EB" w:rsidRPr="006D4E15">
        <w:rPr>
          <w:rFonts w:ascii="Times New Roman" w:hAnsi="Times New Roman"/>
          <w:sz w:val="24"/>
          <w:szCs w:val="18"/>
        </w:rPr>
        <w:noBreakHyphen/>
      </w:r>
      <w:r w:rsidRPr="006D4E15">
        <w:rPr>
          <w:rFonts w:ascii="Times New Roman" w:hAnsi="Times New Roman"/>
          <w:sz w:val="24"/>
          <w:szCs w:val="18"/>
        </w:rPr>
        <w:t>230 [24]-[25], 230 [28], 232 [37], 245 [69]-[70].</w:t>
      </w:r>
    </w:p>
  </w:footnote>
  <w:footnote w:id="93">
    <w:p w14:paraId="3F6961F9" w14:textId="77777777" w:rsidR="00DB46A8" w:rsidRPr="006D4E15" w:rsidRDefault="00E512A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Lister </w:t>
      </w:r>
      <w:r w:rsidRPr="006D4E15">
        <w:rPr>
          <w:rFonts w:ascii="Times New Roman" w:hAnsi="Times New Roman"/>
          <w:sz w:val="24"/>
        </w:rPr>
        <w:t>[2002] 1 AC 215 at 237.</w:t>
      </w:r>
    </w:p>
  </w:footnote>
  <w:footnote w:id="94">
    <w:p w14:paraId="03C44E45" w14:textId="0F64EF2C" w:rsidR="00DB46A8" w:rsidRPr="006D4E15" w:rsidRDefault="00B74A9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[2002] 1 AC 215 at 229, 238.</w:t>
      </w:r>
    </w:p>
  </w:footnote>
  <w:footnote w:id="95">
    <w:p w14:paraId="1EB83B67" w14:textId="5CE595E1" w:rsidR="003F55CC" w:rsidRPr="006D4E15" w:rsidRDefault="003F55C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sz w:val="24"/>
        </w:rPr>
        <w:t xml:space="preserve">Lister </w:t>
      </w:r>
      <w:r w:rsidRPr="006D4E15">
        <w:rPr>
          <w:rFonts w:ascii="Times New Roman" w:hAnsi="Times New Roman"/>
          <w:sz w:val="24"/>
        </w:rPr>
        <w:t>[2002] 1 AC 215 at 223-224 [15], 226</w:t>
      </w:r>
      <w:r w:rsidR="009E15EB" w:rsidRPr="006D4E15">
        <w:rPr>
          <w:rFonts w:ascii="Times New Roman" w:hAnsi="Times New Roman"/>
          <w:sz w:val="24"/>
        </w:rPr>
        <w:noBreakHyphen/>
      </w:r>
      <w:r w:rsidRPr="006D4E15">
        <w:rPr>
          <w:rFonts w:ascii="Times New Roman" w:hAnsi="Times New Roman"/>
          <w:sz w:val="24"/>
        </w:rPr>
        <w:t>227</w:t>
      </w:r>
      <w:r w:rsidR="009E15EB" w:rsidRPr="006D4E15">
        <w:rPr>
          <w:rFonts w:ascii="Times New Roman" w:hAnsi="Times New Roman"/>
          <w:sz w:val="24"/>
        </w:rPr>
        <w:t> </w:t>
      </w:r>
      <w:r w:rsidRPr="006D4E15">
        <w:rPr>
          <w:rFonts w:ascii="Times New Roman" w:hAnsi="Times New Roman"/>
          <w:sz w:val="24"/>
        </w:rPr>
        <w:t>[20], 230 [27]-[28], 232</w:t>
      </w:r>
      <w:r w:rsidR="00A27861" w:rsidRPr="006D4E15">
        <w:rPr>
          <w:rFonts w:ascii="Times New Roman" w:hAnsi="Times New Roman"/>
          <w:sz w:val="24"/>
        </w:rPr>
        <w:t>-233</w:t>
      </w:r>
      <w:r w:rsidRPr="006D4E15">
        <w:rPr>
          <w:rFonts w:ascii="Times New Roman" w:hAnsi="Times New Roman"/>
          <w:sz w:val="24"/>
        </w:rPr>
        <w:t xml:space="preserve"> [36]-[3</w:t>
      </w:r>
      <w:r w:rsidR="00CB1F67" w:rsidRPr="006D4E15">
        <w:rPr>
          <w:rFonts w:ascii="Times New Roman" w:hAnsi="Times New Roman"/>
          <w:sz w:val="24"/>
        </w:rPr>
        <w:t>8</w:t>
      </w:r>
      <w:r w:rsidRPr="006D4E15">
        <w:rPr>
          <w:rFonts w:ascii="Times New Roman" w:hAnsi="Times New Roman"/>
          <w:sz w:val="24"/>
        </w:rPr>
        <w:t>], 237 [48], 241</w:t>
      </w:r>
      <w:r w:rsidR="00916BD6" w:rsidRPr="006D4E15">
        <w:rPr>
          <w:rFonts w:ascii="Times New Roman" w:hAnsi="Times New Roman"/>
          <w:sz w:val="24"/>
        </w:rPr>
        <w:t> </w:t>
      </w:r>
      <w:r w:rsidRPr="006D4E15">
        <w:rPr>
          <w:rFonts w:ascii="Times New Roman" w:hAnsi="Times New Roman"/>
          <w:sz w:val="24"/>
        </w:rPr>
        <w:t>[59], 250 [82]-[83].</w:t>
      </w:r>
    </w:p>
  </w:footnote>
  <w:footnote w:id="96">
    <w:p w14:paraId="1BE8705A" w14:textId="3C92761E" w:rsidR="009A1645" w:rsidRPr="006D4E15" w:rsidRDefault="009A164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065386" w:rsidRPr="006D4E15">
        <w:rPr>
          <w:rFonts w:ascii="Times New Roman" w:hAnsi="Times New Roman"/>
          <w:sz w:val="24"/>
        </w:rPr>
        <w:t>[</w:t>
      </w:r>
      <w:r w:rsidR="00C04AC9" w:rsidRPr="006D4E15">
        <w:rPr>
          <w:rFonts w:ascii="Times New Roman" w:hAnsi="Times New Roman"/>
          <w:sz w:val="24"/>
        </w:rPr>
        <w:t>1966] 1 QB 716.</w:t>
      </w:r>
    </w:p>
  </w:footnote>
  <w:footnote w:id="97">
    <w:p w14:paraId="5A8C2C18" w14:textId="1BA74A09" w:rsidR="0031438E" w:rsidRPr="006D4E15" w:rsidRDefault="0031438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1215B" w:rsidRPr="006D4E15">
        <w:rPr>
          <w:rFonts w:ascii="Times New Roman" w:hAnsi="Times New Roman"/>
          <w:i/>
          <w:iCs/>
          <w:sz w:val="24"/>
        </w:rPr>
        <w:t>Lister</w:t>
      </w:r>
      <w:r w:rsidR="00A907E5" w:rsidRPr="006D4E15">
        <w:rPr>
          <w:rFonts w:ascii="Times New Roman" w:hAnsi="Times New Roman"/>
          <w:i/>
          <w:sz w:val="24"/>
        </w:rPr>
        <w:t xml:space="preserve"> </w:t>
      </w:r>
      <w:r w:rsidR="00A907E5" w:rsidRPr="006D4E15">
        <w:rPr>
          <w:rFonts w:ascii="Times New Roman" w:hAnsi="Times New Roman"/>
          <w:sz w:val="24"/>
        </w:rPr>
        <w:t>[20</w:t>
      </w:r>
      <w:r w:rsidR="0091215B" w:rsidRPr="006D4E15">
        <w:rPr>
          <w:rFonts w:ascii="Times New Roman" w:hAnsi="Times New Roman"/>
          <w:sz w:val="24"/>
        </w:rPr>
        <w:t>0</w:t>
      </w:r>
      <w:r w:rsidR="00A907E5" w:rsidRPr="006D4E15">
        <w:rPr>
          <w:rFonts w:ascii="Times New Roman" w:hAnsi="Times New Roman"/>
          <w:sz w:val="24"/>
        </w:rPr>
        <w:t>2] 1 AC 215 at 225</w:t>
      </w:r>
      <w:r w:rsidR="00833636" w:rsidRPr="006D4E15">
        <w:rPr>
          <w:rFonts w:ascii="Times New Roman" w:hAnsi="Times New Roman"/>
          <w:sz w:val="24"/>
        </w:rPr>
        <w:noBreakHyphen/>
        <w:t>226</w:t>
      </w:r>
      <w:r w:rsidR="00A907E5" w:rsidRPr="006D4E15">
        <w:rPr>
          <w:rFonts w:ascii="Times New Roman" w:hAnsi="Times New Roman"/>
          <w:sz w:val="24"/>
        </w:rPr>
        <w:t xml:space="preserve"> [19]. </w:t>
      </w:r>
      <w:r w:rsidRPr="006D4E15">
        <w:rPr>
          <w:rFonts w:ascii="Times New Roman" w:hAnsi="Times New Roman"/>
          <w:sz w:val="24"/>
        </w:rPr>
        <w:t xml:space="preserve">See </w:t>
      </w:r>
      <w:r w:rsidR="00A907E5" w:rsidRPr="006D4E15">
        <w:rPr>
          <w:rFonts w:ascii="Times New Roman" w:hAnsi="Times New Roman"/>
          <w:sz w:val="24"/>
        </w:rPr>
        <w:t xml:space="preserve">also </w:t>
      </w:r>
      <w:r w:rsidRPr="006D4E15">
        <w:rPr>
          <w:rFonts w:ascii="Times New Roman" w:hAnsi="Times New Roman"/>
          <w:i/>
          <w:sz w:val="24"/>
        </w:rPr>
        <w:t>Schokman</w:t>
      </w:r>
      <w:r w:rsidRPr="006D4E15">
        <w:rPr>
          <w:rFonts w:ascii="Times New Roman" w:hAnsi="Times New Roman"/>
          <w:sz w:val="24"/>
        </w:rPr>
        <w:t xml:space="preserve"> (2023) 97 ALJR 551 at 567-568 [71]-[76]</w:t>
      </w:r>
      <w:r w:rsidR="000851EB" w:rsidRPr="006D4E15">
        <w:rPr>
          <w:rFonts w:ascii="Times New Roman" w:hAnsi="Times New Roman"/>
          <w:sz w:val="24"/>
        </w:rPr>
        <w:t>;</w:t>
      </w:r>
      <w:r w:rsidRPr="006D4E15">
        <w:rPr>
          <w:rFonts w:ascii="Times New Roman" w:hAnsi="Times New Roman"/>
          <w:sz w:val="24"/>
        </w:rPr>
        <w:t xml:space="preserve"> 410 ALR 479 at 498-500</w:t>
      </w:r>
      <w:r w:rsidR="00A907E5" w:rsidRPr="006D4E15">
        <w:rPr>
          <w:rFonts w:ascii="Times New Roman" w:hAnsi="Times New Roman"/>
          <w:sz w:val="24"/>
        </w:rPr>
        <w:t>.</w:t>
      </w:r>
    </w:p>
  </w:footnote>
  <w:footnote w:id="98">
    <w:p w14:paraId="353A15AA" w14:textId="624E1881" w:rsidR="00D8457F" w:rsidRPr="006D4E15" w:rsidRDefault="00D8457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Morris </w:t>
      </w:r>
      <w:r w:rsidRPr="006D4E15">
        <w:rPr>
          <w:rFonts w:ascii="Times New Roman" w:hAnsi="Times New Roman"/>
          <w:sz w:val="24"/>
        </w:rPr>
        <w:t xml:space="preserve">[1966] 1 QB 716 </w:t>
      </w:r>
      <w:r w:rsidR="006A5B87" w:rsidRPr="006D4E15">
        <w:rPr>
          <w:rFonts w:ascii="Times New Roman" w:hAnsi="Times New Roman"/>
          <w:sz w:val="24"/>
        </w:rPr>
        <w:t>at 725</w:t>
      </w:r>
      <w:r w:rsidR="00F42807" w:rsidRPr="006D4E15">
        <w:rPr>
          <w:rFonts w:ascii="Times New Roman" w:hAnsi="Times New Roman"/>
          <w:sz w:val="24"/>
        </w:rPr>
        <w:t>, 728</w:t>
      </w:r>
      <w:r w:rsidR="000876AB" w:rsidRPr="006D4E15">
        <w:rPr>
          <w:rFonts w:ascii="Times New Roman" w:hAnsi="Times New Roman"/>
          <w:sz w:val="24"/>
        </w:rPr>
        <w:t xml:space="preserve">, </w:t>
      </w:r>
      <w:r w:rsidR="00C712DB" w:rsidRPr="006D4E15">
        <w:rPr>
          <w:rFonts w:ascii="Times New Roman" w:hAnsi="Times New Roman"/>
          <w:sz w:val="24"/>
        </w:rPr>
        <w:t>736-738</w:t>
      </w:r>
      <w:r w:rsidR="00BD50C3" w:rsidRPr="006D4E15">
        <w:rPr>
          <w:rFonts w:ascii="Times New Roman" w:hAnsi="Times New Roman"/>
          <w:sz w:val="24"/>
        </w:rPr>
        <w:t>.</w:t>
      </w:r>
    </w:p>
  </w:footnote>
  <w:footnote w:id="99">
    <w:p w14:paraId="6C7D1DED" w14:textId="520C2D75" w:rsidR="00927105" w:rsidRPr="006D4E15" w:rsidRDefault="0092710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w:t>
      </w:r>
      <w:r w:rsidR="00C26836" w:rsidRPr="006D4E15">
        <w:rPr>
          <w:rFonts w:ascii="Times New Roman" w:hAnsi="Times New Roman"/>
          <w:sz w:val="24"/>
        </w:rPr>
        <w:t>[3</w:t>
      </w:r>
      <w:r w:rsidR="00E47CD7">
        <w:rPr>
          <w:rFonts w:ascii="Times New Roman" w:hAnsi="Times New Roman"/>
          <w:sz w:val="24"/>
        </w:rPr>
        <w:t>6</w:t>
      </w:r>
      <w:r w:rsidR="00C26836" w:rsidRPr="006D4E15">
        <w:rPr>
          <w:rFonts w:ascii="Times New Roman" w:hAnsi="Times New Roman"/>
          <w:sz w:val="24"/>
        </w:rPr>
        <w:t xml:space="preserve">] </w:t>
      </w:r>
      <w:r w:rsidRPr="006D4E15">
        <w:rPr>
          <w:rFonts w:ascii="Times New Roman" w:hAnsi="Times New Roman"/>
          <w:sz w:val="24"/>
        </w:rPr>
        <w:t>above.</w:t>
      </w:r>
    </w:p>
  </w:footnote>
  <w:footnote w:id="100">
    <w:p w14:paraId="4E20070B" w14:textId="21D6709C" w:rsidR="00005568" w:rsidRPr="006D4E15" w:rsidRDefault="0000556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B1C71" w:rsidRPr="006D4E15">
        <w:rPr>
          <w:rFonts w:ascii="Times New Roman" w:hAnsi="Times New Roman"/>
          <w:sz w:val="24"/>
        </w:rPr>
        <w:t>(2016) 25</w:t>
      </w:r>
      <w:r w:rsidR="00855876" w:rsidRPr="006D4E15">
        <w:rPr>
          <w:rFonts w:ascii="Times New Roman" w:hAnsi="Times New Roman"/>
          <w:sz w:val="24"/>
        </w:rPr>
        <w:t>8</w:t>
      </w:r>
      <w:r w:rsidR="003B1C71" w:rsidRPr="006D4E15">
        <w:rPr>
          <w:rFonts w:ascii="Times New Roman" w:hAnsi="Times New Roman"/>
          <w:sz w:val="24"/>
        </w:rPr>
        <w:t xml:space="preserve"> CLR 134 at 149-150 [45</w:t>
      </w:r>
      <w:r w:rsidRPr="006D4E15">
        <w:rPr>
          <w:rFonts w:ascii="Times New Roman" w:hAnsi="Times New Roman"/>
          <w:sz w:val="24"/>
        </w:rPr>
        <w:t>].</w:t>
      </w:r>
    </w:p>
  </w:footnote>
  <w:footnote w:id="101">
    <w:p w14:paraId="1C59CA42" w14:textId="5A8114F3" w:rsidR="001B105A" w:rsidRPr="006D4E15" w:rsidRDefault="001B105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Lepore </w:t>
      </w:r>
      <w:r w:rsidR="00F53EE8" w:rsidRPr="006D4E15">
        <w:rPr>
          <w:rFonts w:ascii="Times New Roman" w:hAnsi="Times New Roman"/>
          <w:sz w:val="24"/>
        </w:rPr>
        <w:t xml:space="preserve">(2003) 212 CLR 511 </w:t>
      </w:r>
      <w:r w:rsidR="002C0A51" w:rsidRPr="006D4E15">
        <w:rPr>
          <w:rFonts w:ascii="Times New Roman" w:hAnsi="Times New Roman"/>
          <w:sz w:val="24"/>
        </w:rPr>
        <w:t>at 584-586 [210]-[213]</w:t>
      </w:r>
      <w:r w:rsidR="00F53EE8" w:rsidRPr="006D4E15">
        <w:rPr>
          <w:rFonts w:ascii="Times New Roman" w:hAnsi="Times New Roman"/>
          <w:sz w:val="24"/>
        </w:rPr>
        <w:t xml:space="preserve"> </w:t>
      </w:r>
      <w:r w:rsidR="00F81698" w:rsidRPr="006D4E15">
        <w:rPr>
          <w:rFonts w:ascii="Times New Roman" w:hAnsi="Times New Roman"/>
          <w:sz w:val="24"/>
        </w:rPr>
        <w:t>and 587 [218].</w:t>
      </w:r>
    </w:p>
  </w:footnote>
  <w:footnote w:id="102">
    <w:p w14:paraId="01C0A7A9" w14:textId="3439CB2A" w:rsidR="00E775E6" w:rsidRPr="006D4E15" w:rsidRDefault="00E775E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sz w:val="24"/>
          <w:szCs w:val="18"/>
        </w:rPr>
        <w:t>[2013] 2 AC 1.</w:t>
      </w:r>
    </w:p>
  </w:footnote>
  <w:footnote w:id="103">
    <w:p w14:paraId="0B96096A" w14:textId="2A373729" w:rsidR="004463BE" w:rsidRPr="006D4E15" w:rsidRDefault="004463B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 xml:space="preserve">[2013] 2 AC 1 </w:t>
      </w:r>
      <w:r w:rsidRPr="006D4E15">
        <w:rPr>
          <w:rFonts w:ascii="Times New Roman" w:hAnsi="Times New Roman"/>
          <w:sz w:val="24"/>
        </w:rPr>
        <w:t>at 7-8 [1]-[4].</w:t>
      </w:r>
    </w:p>
  </w:footnote>
  <w:footnote w:id="104">
    <w:p w14:paraId="75358923" w14:textId="77777777" w:rsidR="00875BCF" w:rsidRPr="006D4E15" w:rsidRDefault="00875BC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Christian Brothers </w:t>
      </w:r>
      <w:r w:rsidRPr="006D4E15">
        <w:rPr>
          <w:rFonts w:ascii="Times New Roman" w:hAnsi="Times New Roman"/>
          <w:sz w:val="24"/>
          <w:szCs w:val="18"/>
        </w:rPr>
        <w:t xml:space="preserve">[2013] 2 AC 1 </w:t>
      </w:r>
      <w:r w:rsidRPr="006D4E15">
        <w:rPr>
          <w:rFonts w:ascii="Times New Roman" w:hAnsi="Times New Roman"/>
          <w:sz w:val="24"/>
        </w:rPr>
        <w:t>at 20 [57].</w:t>
      </w:r>
    </w:p>
  </w:footnote>
  <w:footnote w:id="105">
    <w:p w14:paraId="7F04AE2F" w14:textId="52D0FDD3" w:rsidR="000715A7" w:rsidRPr="006D4E15" w:rsidRDefault="000715A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 xml:space="preserve">[2013] 2 AC 1 </w:t>
      </w:r>
      <w:r w:rsidRPr="006D4E15">
        <w:rPr>
          <w:rFonts w:ascii="Times New Roman" w:hAnsi="Times New Roman"/>
          <w:sz w:val="24"/>
        </w:rPr>
        <w:t>at 20 [59].</w:t>
      </w:r>
    </w:p>
  </w:footnote>
  <w:footnote w:id="106">
    <w:p w14:paraId="3F53077B" w14:textId="22B451A4" w:rsidR="005A6C7F" w:rsidRPr="006D4E15" w:rsidRDefault="005A6C7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361D96" w:rsidRPr="006D4E15">
        <w:rPr>
          <w:rFonts w:ascii="Times New Roman" w:hAnsi="Times New Roman"/>
          <w:sz w:val="24"/>
        </w:rPr>
        <w:tab/>
      </w:r>
      <w:r w:rsidR="00B87BE1" w:rsidRPr="006D4E15">
        <w:rPr>
          <w:rFonts w:ascii="Times New Roman" w:hAnsi="Times New Roman"/>
          <w:i/>
          <w:iCs/>
          <w:sz w:val="24"/>
        </w:rPr>
        <w:t xml:space="preserve">Christian Brothers </w:t>
      </w:r>
      <w:r w:rsidR="00361D96" w:rsidRPr="006D4E15">
        <w:rPr>
          <w:rFonts w:ascii="Times New Roman" w:hAnsi="Times New Roman"/>
          <w:sz w:val="24"/>
          <w:szCs w:val="18"/>
        </w:rPr>
        <w:t>[2013] 2 AC 1 at 8 [2].</w:t>
      </w:r>
    </w:p>
  </w:footnote>
  <w:footnote w:id="107">
    <w:p w14:paraId="24733E57" w14:textId="5C11B3F0" w:rsidR="00E775E6" w:rsidRPr="006D4E15" w:rsidRDefault="00E775E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485A01" w:rsidRPr="006D4E15">
        <w:rPr>
          <w:rFonts w:ascii="Times New Roman" w:hAnsi="Times New Roman"/>
          <w:i/>
          <w:iCs/>
          <w:sz w:val="24"/>
        </w:rPr>
        <w:t>Christian Brothers</w:t>
      </w:r>
      <w:r w:rsidRPr="006D4E15">
        <w:rPr>
          <w:rFonts w:ascii="Times New Roman" w:hAnsi="Times New Roman"/>
          <w:sz w:val="24"/>
          <w:szCs w:val="18"/>
        </w:rPr>
        <w:t xml:space="preserve"> [2013] 2 AC 1 at </w:t>
      </w:r>
      <w:r w:rsidR="00537638" w:rsidRPr="006D4E15">
        <w:rPr>
          <w:rFonts w:ascii="Times New Roman" w:hAnsi="Times New Roman"/>
          <w:sz w:val="24"/>
          <w:szCs w:val="18"/>
        </w:rPr>
        <w:t xml:space="preserve">11 </w:t>
      </w:r>
      <w:r w:rsidRPr="006D4E15">
        <w:rPr>
          <w:rFonts w:ascii="Times New Roman" w:hAnsi="Times New Roman"/>
          <w:sz w:val="24"/>
          <w:szCs w:val="18"/>
        </w:rPr>
        <w:t>[19].</w:t>
      </w:r>
    </w:p>
  </w:footnote>
  <w:footnote w:id="108">
    <w:p w14:paraId="44F7EC81" w14:textId="2F6987A2" w:rsidR="00AA05A8" w:rsidRPr="006D4E15" w:rsidRDefault="00AA05A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B87BE1" w:rsidRPr="006D4E15">
        <w:rPr>
          <w:rFonts w:ascii="Times New Roman" w:hAnsi="Times New Roman"/>
          <w:i/>
          <w:iCs/>
          <w:sz w:val="24"/>
        </w:rPr>
        <w:t xml:space="preserve">Christian Brothers </w:t>
      </w:r>
      <w:r w:rsidRPr="006D4E15">
        <w:rPr>
          <w:rFonts w:ascii="Times New Roman" w:hAnsi="Times New Roman"/>
          <w:sz w:val="24"/>
          <w:szCs w:val="18"/>
        </w:rPr>
        <w:t xml:space="preserve">[2013] 2 AC 1 at </w:t>
      </w:r>
      <w:r w:rsidRPr="006D4E15">
        <w:rPr>
          <w:rFonts w:ascii="Times New Roman" w:hAnsi="Times New Roman"/>
          <w:sz w:val="24"/>
        </w:rPr>
        <w:t>11 [20].</w:t>
      </w:r>
    </w:p>
  </w:footnote>
  <w:footnote w:id="109">
    <w:p w14:paraId="6491AEDF" w14:textId="677B0EBD" w:rsidR="00F74326" w:rsidRPr="006D4E15" w:rsidRDefault="00F7432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0319E" w:rsidRPr="006D4E15">
        <w:rPr>
          <w:rFonts w:ascii="Times New Roman" w:hAnsi="Times New Roman"/>
          <w:i/>
          <w:iCs/>
          <w:sz w:val="24"/>
        </w:rPr>
        <w:t>Christian Brothers</w:t>
      </w:r>
      <w:r w:rsidR="00537638" w:rsidRPr="006D4E15">
        <w:rPr>
          <w:rFonts w:ascii="Times New Roman" w:hAnsi="Times New Roman"/>
          <w:i/>
          <w:iCs/>
          <w:sz w:val="24"/>
        </w:rPr>
        <w:t xml:space="preserve"> </w:t>
      </w:r>
      <w:r w:rsidR="00537638" w:rsidRPr="006D4E15">
        <w:rPr>
          <w:rFonts w:ascii="Times New Roman" w:hAnsi="Times New Roman"/>
          <w:sz w:val="24"/>
          <w:szCs w:val="18"/>
        </w:rPr>
        <w:t>[2013] 2 AC 1 at 11-12 [20].</w:t>
      </w:r>
    </w:p>
  </w:footnote>
  <w:footnote w:id="110">
    <w:p w14:paraId="4AE1CEFC" w14:textId="6BFB4021" w:rsidR="00905A85" w:rsidRPr="006D4E15" w:rsidRDefault="00905A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546D2" w:rsidRPr="006D4E15">
        <w:rPr>
          <w:rFonts w:ascii="Times New Roman" w:hAnsi="Times New Roman"/>
          <w:sz w:val="24"/>
        </w:rPr>
        <w:t>See</w:t>
      </w:r>
      <w:r w:rsidR="00F15DEC" w:rsidRPr="006D4E15">
        <w:rPr>
          <w:rFonts w:ascii="Times New Roman" w:hAnsi="Times New Roman"/>
          <w:sz w:val="24"/>
        </w:rPr>
        <w:t>,</w:t>
      </w:r>
      <w:r w:rsidR="00451A6B" w:rsidRPr="006D4E15">
        <w:rPr>
          <w:rFonts w:ascii="Times New Roman" w:hAnsi="Times New Roman"/>
          <w:sz w:val="24"/>
        </w:rPr>
        <w:t xml:space="preserve"> </w:t>
      </w:r>
      <w:r w:rsidR="00F15DEC" w:rsidRPr="006D4E15">
        <w:rPr>
          <w:rFonts w:ascii="Times New Roman" w:hAnsi="Times New Roman"/>
          <w:sz w:val="24"/>
        </w:rPr>
        <w:t>eg,</w:t>
      </w:r>
      <w:r w:rsidR="00E546D2" w:rsidRPr="006D4E15">
        <w:rPr>
          <w:rFonts w:ascii="Times New Roman" w:hAnsi="Times New Roman"/>
          <w:sz w:val="24"/>
        </w:rPr>
        <w:t xml:space="preserve"> </w:t>
      </w:r>
      <w:r w:rsidR="00805A2A" w:rsidRPr="006D4E15">
        <w:rPr>
          <w:rFonts w:ascii="Times New Roman" w:hAnsi="Times New Roman"/>
          <w:i/>
          <w:iCs/>
          <w:sz w:val="24"/>
          <w:szCs w:val="18"/>
        </w:rPr>
        <w:t xml:space="preserve">Trustees of </w:t>
      </w:r>
      <w:r w:rsidR="00C50067" w:rsidRPr="006D4E15">
        <w:rPr>
          <w:rFonts w:ascii="Times New Roman" w:hAnsi="Times New Roman"/>
          <w:i/>
          <w:iCs/>
          <w:sz w:val="24"/>
          <w:szCs w:val="18"/>
        </w:rPr>
        <w:t>t</w:t>
      </w:r>
      <w:r w:rsidR="00805A2A" w:rsidRPr="006D4E15">
        <w:rPr>
          <w:rFonts w:ascii="Times New Roman" w:hAnsi="Times New Roman"/>
          <w:i/>
          <w:iCs/>
          <w:sz w:val="24"/>
          <w:szCs w:val="18"/>
        </w:rPr>
        <w:t xml:space="preserve">he Roman Catholic Church </w:t>
      </w:r>
      <w:r w:rsidR="00A81269" w:rsidRPr="006D4E15">
        <w:rPr>
          <w:rFonts w:ascii="Times New Roman" w:hAnsi="Times New Roman"/>
          <w:i/>
          <w:iCs/>
          <w:sz w:val="24"/>
          <w:szCs w:val="18"/>
        </w:rPr>
        <w:t xml:space="preserve">for the Archdiocese of Sydney </w:t>
      </w:r>
      <w:r w:rsidR="00805A2A" w:rsidRPr="006D4E15">
        <w:rPr>
          <w:rFonts w:ascii="Times New Roman" w:hAnsi="Times New Roman"/>
          <w:i/>
          <w:iCs/>
          <w:sz w:val="24"/>
          <w:szCs w:val="18"/>
        </w:rPr>
        <w:t>v Ellis</w:t>
      </w:r>
      <w:r w:rsidR="00805A2A" w:rsidRPr="006D4E15">
        <w:rPr>
          <w:rFonts w:ascii="Times New Roman" w:hAnsi="Times New Roman"/>
          <w:sz w:val="24"/>
          <w:szCs w:val="18"/>
        </w:rPr>
        <w:t xml:space="preserve"> (2007) 70 NSWLR 565 at 577 [52]. </w:t>
      </w:r>
    </w:p>
  </w:footnote>
  <w:footnote w:id="111">
    <w:p w14:paraId="3D2ABC01" w14:textId="692FBC83" w:rsidR="00905A85" w:rsidRPr="006D4E15" w:rsidRDefault="00905A8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34F6C" w:rsidRPr="006D4E15">
        <w:rPr>
          <w:rFonts w:ascii="Times New Roman" w:hAnsi="Times New Roman"/>
          <w:sz w:val="24"/>
        </w:rPr>
        <w:t xml:space="preserve">See </w:t>
      </w:r>
      <w:r w:rsidR="00A34F6C" w:rsidRPr="006D4E15">
        <w:rPr>
          <w:rFonts w:ascii="Times New Roman" w:hAnsi="Times New Roman"/>
          <w:i/>
          <w:iCs/>
          <w:sz w:val="24"/>
        </w:rPr>
        <w:t xml:space="preserve">Lepore </w:t>
      </w:r>
      <w:r w:rsidR="00A34F6C" w:rsidRPr="006D4E15">
        <w:rPr>
          <w:rFonts w:ascii="Times New Roman" w:hAnsi="Times New Roman"/>
          <w:sz w:val="24"/>
        </w:rPr>
        <w:t>(2003) 212 CLR 511 at 594 [240]</w:t>
      </w:r>
      <w:r w:rsidR="007754EF" w:rsidRPr="006D4E15">
        <w:rPr>
          <w:rFonts w:ascii="Times New Roman" w:hAnsi="Times New Roman"/>
          <w:sz w:val="24"/>
        </w:rPr>
        <w:t xml:space="preserve">; </w:t>
      </w:r>
      <w:r w:rsidRPr="006D4E15">
        <w:rPr>
          <w:rFonts w:ascii="Times New Roman" w:hAnsi="Times New Roman"/>
          <w:sz w:val="24"/>
        </w:rPr>
        <w:t xml:space="preserve">cf </w:t>
      </w:r>
      <w:r w:rsidR="0031403F" w:rsidRPr="006D4E15">
        <w:rPr>
          <w:rFonts w:ascii="Times New Roman" w:hAnsi="Times New Roman"/>
          <w:sz w:val="24"/>
        </w:rPr>
        <w:t>544 [67].</w:t>
      </w:r>
    </w:p>
  </w:footnote>
  <w:footnote w:id="112">
    <w:p w14:paraId="0F4BFD9F" w14:textId="33A8B2A4" w:rsidR="0063318A" w:rsidRPr="006D4E15" w:rsidRDefault="0063318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AE2027" w:rsidRPr="006D4E15">
        <w:rPr>
          <w:rFonts w:ascii="Times New Roman" w:hAnsi="Times New Roman"/>
          <w:i/>
          <w:iCs/>
          <w:sz w:val="24"/>
        </w:rPr>
        <w:t xml:space="preserve">Christian Brothers </w:t>
      </w:r>
      <w:r w:rsidRPr="006D4E15">
        <w:rPr>
          <w:rFonts w:ascii="Times New Roman" w:hAnsi="Times New Roman"/>
          <w:sz w:val="24"/>
          <w:szCs w:val="18"/>
        </w:rPr>
        <w:t>[2013] 2 AC 1 at</w:t>
      </w:r>
      <w:r w:rsidR="008222D9" w:rsidRPr="006D4E15">
        <w:rPr>
          <w:rFonts w:ascii="Times New Roman" w:hAnsi="Times New Roman"/>
          <w:sz w:val="24"/>
          <w:szCs w:val="18"/>
        </w:rPr>
        <w:t xml:space="preserve"> 1</w:t>
      </w:r>
      <w:r w:rsidR="0059220D" w:rsidRPr="006D4E15">
        <w:rPr>
          <w:rFonts w:ascii="Times New Roman" w:hAnsi="Times New Roman"/>
          <w:sz w:val="24"/>
          <w:szCs w:val="18"/>
        </w:rPr>
        <w:t>2</w:t>
      </w:r>
      <w:r w:rsidRPr="006D4E15">
        <w:rPr>
          <w:rFonts w:ascii="Times New Roman" w:hAnsi="Times New Roman"/>
          <w:sz w:val="24"/>
          <w:szCs w:val="18"/>
        </w:rPr>
        <w:t xml:space="preserve"> [</w:t>
      </w:r>
      <w:r w:rsidR="0059220D" w:rsidRPr="006D4E15">
        <w:rPr>
          <w:rFonts w:ascii="Times New Roman" w:hAnsi="Times New Roman"/>
          <w:sz w:val="24"/>
          <w:szCs w:val="18"/>
        </w:rPr>
        <w:t>21</w:t>
      </w:r>
      <w:r w:rsidRPr="006D4E15">
        <w:rPr>
          <w:rFonts w:ascii="Times New Roman" w:hAnsi="Times New Roman"/>
          <w:sz w:val="24"/>
          <w:szCs w:val="18"/>
        </w:rPr>
        <w:t>].</w:t>
      </w:r>
    </w:p>
  </w:footnote>
  <w:footnote w:id="113">
    <w:p w14:paraId="27BA8E66" w14:textId="7C5C81A8" w:rsidR="004A7956" w:rsidRPr="006D4E15" w:rsidRDefault="004A795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20 [60].</w:t>
      </w:r>
    </w:p>
  </w:footnote>
  <w:footnote w:id="114">
    <w:p w14:paraId="310A1C25" w14:textId="1533247B" w:rsidR="00F03857" w:rsidRPr="006D4E15" w:rsidRDefault="00F0385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00AC6656" w:rsidRPr="006D4E15">
        <w:rPr>
          <w:rFonts w:ascii="Times New Roman" w:hAnsi="Times New Roman"/>
          <w:sz w:val="24"/>
        </w:rPr>
        <w:t>at 20 [56].</w:t>
      </w:r>
    </w:p>
  </w:footnote>
  <w:footnote w:id="115">
    <w:p w14:paraId="7F74824E" w14:textId="2FB31DE0" w:rsidR="00E45859" w:rsidRPr="006D4E15" w:rsidRDefault="00E4585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 xml:space="preserve">at </w:t>
      </w:r>
      <w:r w:rsidR="007E4906" w:rsidRPr="006D4E15">
        <w:rPr>
          <w:rFonts w:ascii="Times New Roman" w:hAnsi="Times New Roman"/>
          <w:sz w:val="24"/>
        </w:rPr>
        <w:t>15 [34]</w:t>
      </w:r>
      <w:r w:rsidR="00061AF7" w:rsidRPr="006D4E15">
        <w:rPr>
          <w:rFonts w:ascii="Times New Roman" w:hAnsi="Times New Roman"/>
          <w:sz w:val="24"/>
        </w:rPr>
        <w:t xml:space="preserve"> (emphasis added)</w:t>
      </w:r>
      <w:r w:rsidR="007E4906" w:rsidRPr="006D4E15">
        <w:rPr>
          <w:rFonts w:ascii="Times New Roman" w:hAnsi="Times New Roman"/>
          <w:sz w:val="24"/>
        </w:rPr>
        <w:t>.</w:t>
      </w:r>
    </w:p>
  </w:footnote>
  <w:footnote w:id="116">
    <w:p w14:paraId="33B7F8A0" w14:textId="77777777" w:rsidR="007C79F9" w:rsidRPr="006D4E15" w:rsidRDefault="007C79F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w:t>
      </w:r>
      <w:r w:rsidR="003D6233" w:rsidRPr="006D4E15">
        <w:rPr>
          <w:rFonts w:ascii="Times New Roman" w:hAnsi="Times New Roman"/>
          <w:sz w:val="24"/>
        </w:rPr>
        <w:t>4</w:t>
      </w:r>
      <w:r w:rsidRPr="006D4E15">
        <w:rPr>
          <w:rFonts w:ascii="Times New Roman" w:hAnsi="Times New Roman"/>
          <w:sz w:val="24"/>
        </w:rPr>
        <w:t>]</w:t>
      </w:r>
      <w:r w:rsidR="002D1660" w:rsidRPr="006D4E15">
        <w:rPr>
          <w:rFonts w:ascii="Times New Roman" w:hAnsi="Times New Roman"/>
          <w:sz w:val="24"/>
        </w:rPr>
        <w:t>.</w:t>
      </w:r>
    </w:p>
  </w:footnote>
  <w:footnote w:id="117">
    <w:p w14:paraId="33C9E991" w14:textId="77777777" w:rsidR="00A4181A" w:rsidRPr="006D4E15" w:rsidRDefault="00A4181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[35]</w:t>
      </w:r>
      <w:r w:rsidR="002D1660" w:rsidRPr="006D4E15">
        <w:rPr>
          <w:rFonts w:ascii="Times New Roman" w:hAnsi="Times New Roman"/>
          <w:sz w:val="24"/>
        </w:rPr>
        <w:t>.</w:t>
      </w:r>
    </w:p>
  </w:footnote>
  <w:footnote w:id="118">
    <w:p w14:paraId="6412388A" w14:textId="3E8A34E3" w:rsidR="002D1660" w:rsidRPr="006D4E15" w:rsidRDefault="002D166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15 [35].</w:t>
      </w:r>
      <w:r w:rsidR="00734F97" w:rsidRPr="006D4E15">
        <w:rPr>
          <w:rFonts w:ascii="Times New Roman" w:hAnsi="Times New Roman"/>
          <w:sz w:val="24"/>
        </w:rPr>
        <w:t xml:space="preserve"> cf </w:t>
      </w:r>
      <w:r w:rsidR="00734F97" w:rsidRPr="006D4E15">
        <w:rPr>
          <w:rFonts w:ascii="Times New Roman" w:hAnsi="Times New Roman"/>
          <w:i/>
          <w:iCs/>
          <w:sz w:val="24"/>
        </w:rPr>
        <w:t xml:space="preserve">Cox </w:t>
      </w:r>
      <w:r w:rsidR="00734F97" w:rsidRPr="006D4E15">
        <w:rPr>
          <w:rFonts w:ascii="Times New Roman" w:hAnsi="Times New Roman"/>
          <w:sz w:val="24"/>
        </w:rPr>
        <w:t>[2016] AC</w:t>
      </w:r>
      <w:r w:rsidR="00BB5CE8" w:rsidRPr="006D4E15">
        <w:rPr>
          <w:rFonts w:ascii="Times New Roman" w:hAnsi="Times New Roman"/>
          <w:sz w:val="24"/>
        </w:rPr>
        <w:t> </w:t>
      </w:r>
      <w:r w:rsidR="00734F97" w:rsidRPr="006D4E15">
        <w:rPr>
          <w:rFonts w:ascii="Times New Roman" w:hAnsi="Times New Roman"/>
          <w:sz w:val="24"/>
        </w:rPr>
        <w:t>660 at 669 [20]</w:t>
      </w:r>
      <w:r w:rsidR="00133108" w:rsidRPr="006D4E15">
        <w:rPr>
          <w:rFonts w:ascii="Times New Roman" w:hAnsi="Times New Roman"/>
          <w:sz w:val="24"/>
        </w:rPr>
        <w:t>-</w:t>
      </w:r>
      <w:r w:rsidR="00734F97" w:rsidRPr="006D4E15">
        <w:rPr>
          <w:rFonts w:ascii="Times New Roman" w:hAnsi="Times New Roman"/>
          <w:sz w:val="24"/>
        </w:rPr>
        <w:t>[21].</w:t>
      </w:r>
    </w:p>
  </w:footnote>
  <w:footnote w:id="119">
    <w:p w14:paraId="2A0FF04F" w14:textId="77777777" w:rsidR="00250C96" w:rsidRPr="006D4E15" w:rsidRDefault="00250C9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61974" w:rsidRPr="006D4E15">
        <w:rPr>
          <w:rFonts w:ascii="Times New Roman" w:hAnsi="Times New Roman"/>
          <w:i/>
          <w:iCs/>
          <w:sz w:val="24"/>
        </w:rPr>
        <w:t xml:space="preserve">Christian Brothers </w:t>
      </w:r>
      <w:r w:rsidR="00861974" w:rsidRPr="006D4E15">
        <w:rPr>
          <w:rFonts w:ascii="Times New Roman" w:hAnsi="Times New Roman"/>
          <w:sz w:val="24"/>
          <w:szCs w:val="18"/>
        </w:rPr>
        <w:t xml:space="preserve">[2013] 2 AC 1 </w:t>
      </w:r>
      <w:r w:rsidRPr="006D4E15">
        <w:rPr>
          <w:rFonts w:ascii="Times New Roman" w:hAnsi="Times New Roman"/>
          <w:sz w:val="24"/>
        </w:rPr>
        <w:t>at 18 [47].</w:t>
      </w:r>
    </w:p>
  </w:footnote>
  <w:footnote w:id="120">
    <w:p w14:paraId="51B4A524" w14:textId="28F2D75E" w:rsidR="007B4595" w:rsidRPr="006D4E15" w:rsidRDefault="007B459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Morgan, "Case and </w:t>
      </w:r>
      <w:r w:rsidR="006D2B15" w:rsidRPr="006D4E15">
        <w:rPr>
          <w:rFonts w:ascii="Times New Roman" w:hAnsi="Times New Roman"/>
          <w:sz w:val="24"/>
        </w:rPr>
        <w:t>c</w:t>
      </w:r>
      <w:r w:rsidRPr="006D4E15">
        <w:rPr>
          <w:rFonts w:ascii="Times New Roman" w:hAnsi="Times New Roman"/>
          <w:sz w:val="24"/>
        </w:rPr>
        <w:t xml:space="preserve">omment </w:t>
      </w:r>
      <w:r w:rsidR="00C5657F" w:rsidRPr="006D4E15">
        <w:rPr>
          <w:rFonts w:ascii="Times New Roman" w:hAnsi="Times New Roman"/>
          <w:sz w:val="24"/>
        </w:rPr>
        <w:t>–</w:t>
      </w:r>
      <w:r w:rsidRPr="006D4E15" w:rsidDel="00C5657F">
        <w:rPr>
          <w:rFonts w:ascii="Times New Roman" w:hAnsi="Times New Roman"/>
          <w:sz w:val="24"/>
        </w:rPr>
        <w:t xml:space="preserve"> </w:t>
      </w:r>
      <w:r w:rsidRPr="006D4E15">
        <w:rPr>
          <w:rFonts w:ascii="Times New Roman" w:hAnsi="Times New Roman"/>
          <w:sz w:val="24"/>
        </w:rPr>
        <w:t xml:space="preserve">Revising </w:t>
      </w:r>
      <w:r w:rsidR="00412509" w:rsidRPr="006D4E15">
        <w:rPr>
          <w:rFonts w:ascii="Times New Roman" w:hAnsi="Times New Roman"/>
          <w:sz w:val="24"/>
        </w:rPr>
        <w:t>v</w:t>
      </w:r>
      <w:r w:rsidRPr="006D4E15">
        <w:rPr>
          <w:rFonts w:ascii="Times New Roman" w:hAnsi="Times New Roman"/>
          <w:sz w:val="24"/>
        </w:rPr>
        <w:t xml:space="preserve">icarious </w:t>
      </w:r>
      <w:r w:rsidR="00412509" w:rsidRPr="006D4E15">
        <w:rPr>
          <w:rFonts w:ascii="Times New Roman" w:hAnsi="Times New Roman"/>
          <w:sz w:val="24"/>
        </w:rPr>
        <w:t>l</w:t>
      </w:r>
      <w:r w:rsidRPr="006D4E15">
        <w:rPr>
          <w:rFonts w:ascii="Times New Roman" w:hAnsi="Times New Roman"/>
          <w:sz w:val="24"/>
        </w:rPr>
        <w:t xml:space="preserve">iability: </w:t>
      </w:r>
      <w:r w:rsidR="00412509" w:rsidRPr="006D4E15">
        <w:rPr>
          <w:rFonts w:ascii="Times New Roman" w:hAnsi="Times New Roman"/>
          <w:sz w:val="24"/>
        </w:rPr>
        <w:t>a</w:t>
      </w:r>
      <w:r w:rsidRPr="006D4E15">
        <w:rPr>
          <w:rFonts w:ascii="Times New Roman" w:hAnsi="Times New Roman"/>
          <w:sz w:val="24"/>
        </w:rPr>
        <w:t xml:space="preserve"> </w:t>
      </w:r>
      <w:r w:rsidR="00412509" w:rsidRPr="006D4E15">
        <w:rPr>
          <w:rFonts w:ascii="Times New Roman" w:hAnsi="Times New Roman"/>
          <w:sz w:val="24"/>
        </w:rPr>
        <w:t>c</w:t>
      </w:r>
      <w:r w:rsidRPr="006D4E15">
        <w:rPr>
          <w:rFonts w:ascii="Times New Roman" w:hAnsi="Times New Roman"/>
          <w:sz w:val="24"/>
        </w:rPr>
        <w:t xml:space="preserve">ommercial </w:t>
      </w:r>
      <w:r w:rsidR="00412509" w:rsidRPr="006D4E15">
        <w:rPr>
          <w:rFonts w:ascii="Times New Roman" w:hAnsi="Times New Roman"/>
          <w:sz w:val="24"/>
        </w:rPr>
        <w:t>p</w:t>
      </w:r>
      <w:r w:rsidRPr="006D4E15">
        <w:rPr>
          <w:rFonts w:ascii="Times New Roman" w:hAnsi="Times New Roman"/>
          <w:sz w:val="24"/>
        </w:rPr>
        <w:t xml:space="preserve">erspective" [2012] </w:t>
      </w:r>
      <w:r w:rsidRPr="006D4E15">
        <w:rPr>
          <w:rFonts w:ascii="Times New Roman" w:hAnsi="Times New Roman"/>
          <w:i/>
          <w:sz w:val="24"/>
        </w:rPr>
        <w:t>Lloyd</w:t>
      </w:r>
      <w:r w:rsidR="00412509" w:rsidRPr="006D4E15">
        <w:rPr>
          <w:rFonts w:ascii="Times New Roman" w:hAnsi="Times New Roman"/>
          <w:i/>
          <w:sz w:val="24"/>
        </w:rPr>
        <w:t>'</w:t>
      </w:r>
      <w:r w:rsidRPr="006D4E15">
        <w:rPr>
          <w:rFonts w:ascii="Times New Roman" w:hAnsi="Times New Roman"/>
          <w:i/>
          <w:sz w:val="24"/>
        </w:rPr>
        <w:t xml:space="preserve">s Maritime </w:t>
      </w:r>
      <w:r w:rsidR="00412509" w:rsidRPr="006D4E15">
        <w:rPr>
          <w:rFonts w:ascii="Times New Roman" w:hAnsi="Times New Roman"/>
          <w:i/>
          <w:sz w:val="24"/>
        </w:rPr>
        <w:t>and</w:t>
      </w:r>
      <w:r w:rsidRPr="006D4E15">
        <w:rPr>
          <w:rFonts w:ascii="Times New Roman" w:hAnsi="Times New Roman"/>
          <w:i/>
          <w:sz w:val="24"/>
        </w:rPr>
        <w:t xml:space="preserve"> Commercial Law Quarterly</w:t>
      </w:r>
      <w:r w:rsidRPr="006D4E15">
        <w:rPr>
          <w:rFonts w:ascii="Times New Roman" w:hAnsi="Times New Roman"/>
          <w:sz w:val="24"/>
        </w:rPr>
        <w:t xml:space="preserve"> 17</w:t>
      </w:r>
      <w:r w:rsidR="008A28C8" w:rsidRPr="006D4E15">
        <w:rPr>
          <w:rFonts w:ascii="Times New Roman" w:hAnsi="Times New Roman"/>
          <w:sz w:val="24"/>
        </w:rPr>
        <w:t>5</w:t>
      </w:r>
      <w:r w:rsidRPr="006D4E15">
        <w:rPr>
          <w:rFonts w:ascii="Times New Roman" w:hAnsi="Times New Roman"/>
          <w:sz w:val="24"/>
        </w:rPr>
        <w:t xml:space="preserve">; Morgan, "Recasting Vicarious Liability" (2012) 71 </w:t>
      </w:r>
      <w:r w:rsidRPr="006D4E15">
        <w:rPr>
          <w:rFonts w:ascii="Times New Roman" w:hAnsi="Times New Roman"/>
          <w:i/>
          <w:sz w:val="24"/>
        </w:rPr>
        <w:t>Cambridge L</w:t>
      </w:r>
      <w:r w:rsidR="0072060B" w:rsidRPr="006D4E15">
        <w:rPr>
          <w:rFonts w:ascii="Times New Roman" w:hAnsi="Times New Roman"/>
          <w:i/>
          <w:sz w:val="24"/>
        </w:rPr>
        <w:t xml:space="preserve">aw </w:t>
      </w:r>
      <w:r w:rsidRPr="006D4E15">
        <w:rPr>
          <w:rFonts w:ascii="Times New Roman" w:hAnsi="Times New Roman"/>
          <w:i/>
          <w:sz w:val="24"/>
        </w:rPr>
        <w:t>J</w:t>
      </w:r>
      <w:r w:rsidR="0072060B" w:rsidRPr="006D4E15">
        <w:rPr>
          <w:rFonts w:ascii="Times New Roman" w:hAnsi="Times New Roman"/>
          <w:i/>
          <w:sz w:val="24"/>
        </w:rPr>
        <w:t>ournal</w:t>
      </w:r>
      <w:r w:rsidRPr="006D4E15">
        <w:rPr>
          <w:rFonts w:ascii="Times New Roman" w:hAnsi="Times New Roman"/>
          <w:sz w:val="24"/>
        </w:rPr>
        <w:t xml:space="preserve"> 615; O’Sullivan, </w:t>
      </w:r>
      <w:r w:rsidR="001F74DD" w:rsidRPr="006D4E15">
        <w:rPr>
          <w:rFonts w:ascii="Times New Roman" w:hAnsi="Times New Roman"/>
          <w:sz w:val="24"/>
        </w:rPr>
        <w:t>"</w:t>
      </w:r>
      <w:r w:rsidRPr="006D4E15">
        <w:rPr>
          <w:rFonts w:ascii="Times New Roman" w:hAnsi="Times New Roman"/>
          <w:sz w:val="24"/>
        </w:rPr>
        <w:t xml:space="preserve">Case and Comment </w:t>
      </w:r>
      <w:r w:rsidR="00154570" w:rsidRPr="006D4E15">
        <w:rPr>
          <w:rFonts w:ascii="Times New Roman" w:hAnsi="Times New Roman"/>
          <w:sz w:val="24"/>
        </w:rPr>
        <w:t>–</w:t>
      </w:r>
      <w:r w:rsidRPr="006D4E15">
        <w:rPr>
          <w:rFonts w:ascii="Times New Roman" w:hAnsi="Times New Roman"/>
          <w:sz w:val="24"/>
        </w:rPr>
        <w:t xml:space="preserve"> The Sins of the Father: Vicarious Liability Extended" (2012) 71 </w:t>
      </w:r>
      <w:r w:rsidRPr="006D4E15">
        <w:rPr>
          <w:rFonts w:ascii="Times New Roman" w:hAnsi="Times New Roman"/>
          <w:i/>
          <w:sz w:val="24"/>
        </w:rPr>
        <w:t xml:space="preserve">Cambridge </w:t>
      </w:r>
      <w:r w:rsidR="004C2C90" w:rsidRPr="006D4E15">
        <w:rPr>
          <w:rFonts w:ascii="Times New Roman" w:hAnsi="Times New Roman"/>
          <w:i/>
          <w:sz w:val="24"/>
        </w:rPr>
        <w:t>Law Journal</w:t>
      </w:r>
      <w:r w:rsidRPr="006D4E15">
        <w:rPr>
          <w:rFonts w:ascii="Times New Roman" w:hAnsi="Times New Roman"/>
          <w:i/>
          <w:sz w:val="24"/>
        </w:rPr>
        <w:t xml:space="preserve"> </w:t>
      </w:r>
      <w:r w:rsidRPr="006D4E15">
        <w:rPr>
          <w:rFonts w:ascii="Times New Roman" w:hAnsi="Times New Roman"/>
          <w:sz w:val="24"/>
        </w:rPr>
        <w:t>485; Tan, "A</w:t>
      </w:r>
      <w:r w:rsidR="007243B7" w:rsidRPr="006D4E15">
        <w:rPr>
          <w:rFonts w:ascii="Times New Roman" w:hAnsi="Times New Roman"/>
          <w:sz w:val="24"/>
        </w:rPr>
        <w:t> </w:t>
      </w:r>
      <w:r w:rsidR="00633BBB" w:rsidRPr="006D4E15">
        <w:rPr>
          <w:rFonts w:ascii="Times New Roman" w:hAnsi="Times New Roman"/>
          <w:sz w:val="24"/>
        </w:rPr>
        <w:t>s</w:t>
      </w:r>
      <w:r w:rsidRPr="006D4E15">
        <w:rPr>
          <w:rFonts w:ascii="Times New Roman" w:hAnsi="Times New Roman"/>
          <w:sz w:val="24"/>
        </w:rPr>
        <w:t xml:space="preserve">ufficiently </w:t>
      </w:r>
      <w:r w:rsidR="00633BBB" w:rsidRPr="006D4E15">
        <w:rPr>
          <w:rFonts w:ascii="Times New Roman" w:hAnsi="Times New Roman"/>
          <w:sz w:val="24"/>
        </w:rPr>
        <w:t>c</w:t>
      </w:r>
      <w:r w:rsidRPr="006D4E15">
        <w:rPr>
          <w:rFonts w:ascii="Times New Roman" w:hAnsi="Times New Roman"/>
          <w:sz w:val="24"/>
        </w:rPr>
        <w:t xml:space="preserve">lose </w:t>
      </w:r>
      <w:r w:rsidR="00633BBB" w:rsidRPr="006D4E15">
        <w:rPr>
          <w:rFonts w:ascii="Times New Roman" w:hAnsi="Times New Roman"/>
          <w:sz w:val="24"/>
        </w:rPr>
        <w:t>r</w:t>
      </w:r>
      <w:r w:rsidRPr="006D4E15">
        <w:rPr>
          <w:rFonts w:ascii="Times New Roman" w:hAnsi="Times New Roman"/>
          <w:sz w:val="24"/>
        </w:rPr>
        <w:t xml:space="preserve">elationship </w:t>
      </w:r>
      <w:r w:rsidR="00633BBB" w:rsidRPr="006D4E15">
        <w:rPr>
          <w:rFonts w:ascii="Times New Roman" w:hAnsi="Times New Roman"/>
          <w:sz w:val="24"/>
        </w:rPr>
        <w:t>a</w:t>
      </w:r>
      <w:r w:rsidRPr="006D4E15">
        <w:rPr>
          <w:rFonts w:ascii="Times New Roman" w:hAnsi="Times New Roman"/>
          <w:sz w:val="24"/>
        </w:rPr>
        <w:t xml:space="preserve">kin to </w:t>
      </w:r>
      <w:r w:rsidR="00633BBB" w:rsidRPr="006D4E15">
        <w:rPr>
          <w:rFonts w:ascii="Times New Roman" w:hAnsi="Times New Roman"/>
          <w:sz w:val="24"/>
        </w:rPr>
        <w:t>e</w:t>
      </w:r>
      <w:r w:rsidRPr="006D4E15">
        <w:rPr>
          <w:rFonts w:ascii="Times New Roman" w:hAnsi="Times New Roman"/>
          <w:sz w:val="24"/>
        </w:rPr>
        <w:t xml:space="preserve">mployment" (2013) 129 </w:t>
      </w:r>
      <w:r w:rsidR="00B94362" w:rsidRPr="006D4E15">
        <w:rPr>
          <w:rFonts w:ascii="Times New Roman" w:hAnsi="Times New Roman"/>
          <w:i/>
          <w:sz w:val="24"/>
        </w:rPr>
        <w:t>Law Quarterly Review</w:t>
      </w:r>
      <w:r w:rsidR="00B94362" w:rsidRPr="006D4E15">
        <w:rPr>
          <w:rFonts w:ascii="Times New Roman" w:hAnsi="Times New Roman"/>
          <w:sz w:val="24"/>
        </w:rPr>
        <w:t xml:space="preserve"> </w:t>
      </w:r>
      <w:r w:rsidRPr="006D4E15">
        <w:rPr>
          <w:rFonts w:ascii="Times New Roman" w:hAnsi="Times New Roman"/>
          <w:sz w:val="24"/>
        </w:rPr>
        <w:t>30.</w:t>
      </w:r>
    </w:p>
  </w:footnote>
  <w:footnote w:id="121">
    <w:p w14:paraId="2034E770" w14:textId="71ED2DB1" w:rsidR="00E932DD" w:rsidRPr="006D4E15" w:rsidRDefault="00E932D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ab/>
      </w:r>
      <w:r w:rsidRPr="006D4E15">
        <w:rPr>
          <w:rFonts w:ascii="Times New Roman" w:hAnsi="Times New Roman"/>
          <w:i/>
          <w:iCs/>
          <w:sz w:val="24"/>
        </w:rPr>
        <w:t xml:space="preserve">Cox </w:t>
      </w:r>
      <w:r w:rsidRPr="006D4E15">
        <w:rPr>
          <w:rFonts w:ascii="Times New Roman" w:hAnsi="Times New Roman"/>
          <w:sz w:val="24"/>
        </w:rPr>
        <w:t>[2016] AC 660 at 669 [20]</w:t>
      </w:r>
      <w:r w:rsidR="008557C9" w:rsidRPr="006D4E15">
        <w:rPr>
          <w:rFonts w:ascii="Times New Roman" w:hAnsi="Times New Roman"/>
          <w:sz w:val="24"/>
        </w:rPr>
        <w:t>-</w:t>
      </w:r>
      <w:r w:rsidRPr="006D4E15">
        <w:rPr>
          <w:rFonts w:ascii="Times New Roman" w:hAnsi="Times New Roman"/>
          <w:sz w:val="24"/>
        </w:rPr>
        <w:t>[21].</w:t>
      </w:r>
    </w:p>
  </w:footnote>
  <w:footnote w:id="122">
    <w:p w14:paraId="1A24877B" w14:textId="36AEEB1E" w:rsidR="001F1A81" w:rsidRPr="006D4E15" w:rsidRDefault="001F1A8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 xml:space="preserve">Armes </w:t>
      </w:r>
      <w:r w:rsidRPr="006D4E15">
        <w:rPr>
          <w:rFonts w:ascii="Times New Roman" w:hAnsi="Times New Roman"/>
          <w:sz w:val="24"/>
        </w:rPr>
        <w:t xml:space="preserve">[2018] AC 355. See also </w:t>
      </w:r>
      <w:r w:rsidRPr="006D4E15">
        <w:rPr>
          <w:rFonts w:ascii="Times New Roman" w:hAnsi="Times New Roman"/>
          <w:i/>
          <w:sz w:val="24"/>
        </w:rPr>
        <w:t xml:space="preserve">Barclays Bank </w:t>
      </w:r>
      <w:r w:rsidR="005301FD" w:rsidRPr="006D4E15">
        <w:rPr>
          <w:rFonts w:ascii="Times New Roman" w:hAnsi="Times New Roman"/>
          <w:i/>
          <w:sz w:val="24"/>
        </w:rPr>
        <w:t>p</w:t>
      </w:r>
      <w:r w:rsidRPr="006D4E15">
        <w:rPr>
          <w:rFonts w:ascii="Times New Roman" w:hAnsi="Times New Roman"/>
          <w:i/>
          <w:sz w:val="24"/>
        </w:rPr>
        <w:t xml:space="preserve">lc </w:t>
      </w:r>
      <w:r w:rsidR="0038002C" w:rsidRPr="006D4E15">
        <w:rPr>
          <w:rFonts w:ascii="Times New Roman" w:hAnsi="Times New Roman"/>
          <w:i/>
          <w:sz w:val="24"/>
        </w:rPr>
        <w:t>v</w:t>
      </w:r>
      <w:r w:rsidRPr="006D4E15">
        <w:rPr>
          <w:rFonts w:ascii="Times New Roman" w:hAnsi="Times New Roman"/>
          <w:i/>
          <w:sz w:val="24"/>
        </w:rPr>
        <w:t xml:space="preserve"> </w:t>
      </w:r>
      <w:r w:rsidR="00972EEE" w:rsidRPr="006D4E15">
        <w:rPr>
          <w:rFonts w:ascii="Times New Roman" w:hAnsi="Times New Roman"/>
          <w:i/>
          <w:sz w:val="24"/>
        </w:rPr>
        <w:t>Various Claimants</w:t>
      </w:r>
      <w:r w:rsidRPr="006D4E15">
        <w:rPr>
          <w:rFonts w:ascii="Times New Roman" w:hAnsi="Times New Roman"/>
          <w:sz w:val="24"/>
        </w:rPr>
        <w:t xml:space="preserve"> [2018] EWCA Civ 1670 at [61].</w:t>
      </w:r>
    </w:p>
  </w:footnote>
  <w:footnote w:id="123">
    <w:p w14:paraId="2DE77144" w14:textId="08641021" w:rsidR="00D3043E" w:rsidRPr="006D4E15" w:rsidRDefault="00D3043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 xml:space="preserve">Armes </w:t>
      </w:r>
      <w:r w:rsidR="00A8032D" w:rsidRPr="006D4E15">
        <w:rPr>
          <w:rFonts w:ascii="Times New Roman" w:hAnsi="Times New Roman"/>
          <w:sz w:val="24"/>
        </w:rPr>
        <w:t>[201</w:t>
      </w:r>
      <w:r w:rsidR="003B5F72" w:rsidRPr="006D4E15">
        <w:rPr>
          <w:rFonts w:ascii="Times New Roman" w:hAnsi="Times New Roman"/>
          <w:sz w:val="24"/>
        </w:rPr>
        <w:t>8</w:t>
      </w:r>
      <w:r w:rsidR="00A8032D" w:rsidRPr="006D4E15">
        <w:rPr>
          <w:rFonts w:ascii="Times New Roman" w:hAnsi="Times New Roman"/>
          <w:sz w:val="24"/>
        </w:rPr>
        <w:t xml:space="preserve">] </w:t>
      </w:r>
      <w:r w:rsidR="003B5F72" w:rsidRPr="006D4E15">
        <w:rPr>
          <w:rFonts w:ascii="Times New Roman" w:hAnsi="Times New Roman"/>
          <w:sz w:val="24"/>
        </w:rPr>
        <w:t xml:space="preserve">AC 355 at </w:t>
      </w:r>
      <w:r w:rsidR="005423C3" w:rsidRPr="006D4E15">
        <w:rPr>
          <w:rFonts w:ascii="Times New Roman" w:hAnsi="Times New Roman"/>
          <w:sz w:val="24"/>
        </w:rPr>
        <w:t xml:space="preserve">376 </w:t>
      </w:r>
      <w:r w:rsidR="00A8032D" w:rsidRPr="006D4E15">
        <w:rPr>
          <w:rFonts w:ascii="Times New Roman" w:hAnsi="Times New Roman"/>
          <w:sz w:val="24"/>
        </w:rPr>
        <w:t>[54]</w:t>
      </w:r>
      <w:r w:rsidR="003B48B0" w:rsidRPr="006D4E15">
        <w:rPr>
          <w:rFonts w:ascii="Times New Roman" w:hAnsi="Times New Roman"/>
          <w:sz w:val="24"/>
        </w:rPr>
        <w:t>.</w:t>
      </w:r>
      <w:r w:rsidRPr="006D4E15">
        <w:rPr>
          <w:rFonts w:ascii="Times New Roman" w:hAnsi="Times New Roman"/>
          <w:sz w:val="24"/>
        </w:rPr>
        <w:t xml:space="preserve"> </w:t>
      </w:r>
    </w:p>
  </w:footnote>
  <w:footnote w:id="124">
    <w:p w14:paraId="011097FD" w14:textId="4F16CC04" w:rsidR="00665276" w:rsidRPr="006D4E15" w:rsidRDefault="00665276"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 xml:space="preserve">Armes </w:t>
      </w:r>
      <w:r w:rsidR="00CD30DB" w:rsidRPr="006D4E15">
        <w:rPr>
          <w:rFonts w:ascii="Times New Roman" w:hAnsi="Times New Roman"/>
          <w:sz w:val="24"/>
        </w:rPr>
        <w:t>[2018] AC 355</w:t>
      </w:r>
      <w:r w:rsidR="00DD780A" w:rsidRPr="006D4E15">
        <w:rPr>
          <w:rFonts w:ascii="Times New Roman" w:hAnsi="Times New Roman"/>
          <w:sz w:val="24"/>
        </w:rPr>
        <w:t xml:space="preserve"> at </w:t>
      </w:r>
      <w:r w:rsidR="003604F2" w:rsidRPr="006D4E15">
        <w:rPr>
          <w:rFonts w:ascii="Times New Roman" w:hAnsi="Times New Roman"/>
          <w:sz w:val="24"/>
        </w:rPr>
        <w:t>383</w:t>
      </w:r>
      <w:r w:rsidR="00DD780A" w:rsidRPr="006D4E15">
        <w:rPr>
          <w:rFonts w:ascii="Times New Roman" w:hAnsi="Times New Roman"/>
          <w:sz w:val="24"/>
        </w:rPr>
        <w:t xml:space="preserve"> [</w:t>
      </w:r>
      <w:r w:rsidR="00C34A6A" w:rsidRPr="006D4E15">
        <w:rPr>
          <w:rFonts w:ascii="Times New Roman" w:hAnsi="Times New Roman"/>
          <w:sz w:val="24"/>
        </w:rPr>
        <w:t>76</w:t>
      </w:r>
      <w:r w:rsidR="00DD780A" w:rsidRPr="006D4E15">
        <w:rPr>
          <w:rFonts w:ascii="Times New Roman" w:hAnsi="Times New Roman"/>
          <w:sz w:val="24"/>
        </w:rPr>
        <w:t>]</w:t>
      </w:r>
      <w:r w:rsidR="00CD30DB" w:rsidRPr="006D4E15">
        <w:rPr>
          <w:rFonts w:ascii="Times New Roman" w:hAnsi="Times New Roman"/>
          <w:sz w:val="24"/>
        </w:rPr>
        <w:t>.</w:t>
      </w:r>
    </w:p>
  </w:footnote>
  <w:footnote w:id="125">
    <w:p w14:paraId="4842B3FA" w14:textId="1D97D084" w:rsidR="006830A3" w:rsidRPr="006D4E15" w:rsidRDefault="006830A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620B6" w:rsidRPr="006D4E15">
        <w:rPr>
          <w:rFonts w:ascii="Times New Roman" w:hAnsi="Times New Roman"/>
          <w:sz w:val="24"/>
        </w:rPr>
        <w:t xml:space="preserve">See, eg, </w:t>
      </w:r>
      <w:r w:rsidR="00A67936" w:rsidRPr="006D4E15">
        <w:rPr>
          <w:rFonts w:ascii="Times New Roman" w:hAnsi="Times New Roman"/>
          <w:sz w:val="24"/>
        </w:rPr>
        <w:t>Rolph et al</w:t>
      </w:r>
      <w:r w:rsidR="00E73459" w:rsidRPr="006D4E15">
        <w:rPr>
          <w:rFonts w:ascii="Times New Roman" w:hAnsi="Times New Roman"/>
          <w:sz w:val="24"/>
        </w:rPr>
        <w:t xml:space="preserve">, </w:t>
      </w:r>
      <w:r w:rsidR="00E73459" w:rsidRPr="006D4E15">
        <w:rPr>
          <w:rFonts w:ascii="Times New Roman" w:hAnsi="Times New Roman"/>
          <w:i/>
          <w:iCs/>
          <w:sz w:val="24"/>
        </w:rPr>
        <w:t>Balkin &amp; Davis</w:t>
      </w:r>
      <w:r w:rsidR="00E73459" w:rsidRPr="006D4E15">
        <w:rPr>
          <w:rFonts w:ascii="Times New Roman" w:hAnsi="Times New Roman"/>
          <w:sz w:val="24"/>
        </w:rPr>
        <w:t xml:space="preserve"> </w:t>
      </w:r>
      <w:r w:rsidR="00E73459" w:rsidRPr="006D4E15">
        <w:rPr>
          <w:rFonts w:ascii="Times New Roman" w:hAnsi="Times New Roman"/>
          <w:i/>
          <w:iCs/>
          <w:sz w:val="24"/>
        </w:rPr>
        <w:t>Law of Torts</w:t>
      </w:r>
      <w:r w:rsidR="00E73459" w:rsidRPr="006D4E15">
        <w:rPr>
          <w:rFonts w:ascii="Times New Roman" w:hAnsi="Times New Roman"/>
          <w:sz w:val="24"/>
        </w:rPr>
        <w:t>, 6th ed</w:t>
      </w:r>
      <w:r w:rsidR="00112E67" w:rsidRPr="006D4E15">
        <w:rPr>
          <w:rFonts w:ascii="Times New Roman" w:hAnsi="Times New Roman"/>
          <w:sz w:val="24"/>
        </w:rPr>
        <w:t xml:space="preserve"> (2021)</w:t>
      </w:r>
      <w:r w:rsidR="00E73459" w:rsidRPr="006D4E15">
        <w:rPr>
          <w:rFonts w:ascii="Times New Roman" w:hAnsi="Times New Roman"/>
          <w:sz w:val="24"/>
        </w:rPr>
        <w:t xml:space="preserve">, ch 26 </w:t>
      </w:r>
      <w:r w:rsidRPr="006D4E15">
        <w:rPr>
          <w:rFonts w:ascii="Times New Roman" w:hAnsi="Times New Roman"/>
          <w:sz w:val="24"/>
        </w:rPr>
        <w:t>at</w:t>
      </w:r>
      <w:r w:rsidR="00281AA0" w:rsidRPr="006D4E15">
        <w:rPr>
          <w:rFonts w:ascii="Times New Roman" w:hAnsi="Times New Roman"/>
          <w:sz w:val="24"/>
        </w:rPr>
        <w:t xml:space="preserve"> 878-880</w:t>
      </w:r>
      <w:r w:rsidRPr="006D4E15">
        <w:rPr>
          <w:rFonts w:ascii="Times New Roman" w:hAnsi="Times New Roman"/>
          <w:sz w:val="24"/>
        </w:rPr>
        <w:t xml:space="preserve"> [26.16]</w:t>
      </w:r>
      <w:r w:rsidR="00D307B0" w:rsidRPr="006D4E15">
        <w:rPr>
          <w:rFonts w:ascii="Times New Roman" w:hAnsi="Times New Roman"/>
          <w:sz w:val="24"/>
        </w:rPr>
        <w:t xml:space="preserve">; Dickinson, </w:t>
      </w:r>
      <w:r w:rsidR="009A6591" w:rsidRPr="006D4E15">
        <w:rPr>
          <w:rFonts w:ascii="Times New Roman" w:hAnsi="Times New Roman"/>
          <w:sz w:val="24"/>
        </w:rPr>
        <w:t>"</w:t>
      </w:r>
      <w:r w:rsidR="00D307B0" w:rsidRPr="006D4E15">
        <w:rPr>
          <w:rFonts w:ascii="Times New Roman" w:hAnsi="Times New Roman"/>
          <w:sz w:val="24"/>
        </w:rPr>
        <w:t>Fostering Uncertainty in the Law of Tort</w:t>
      </w:r>
      <w:r w:rsidR="009A6591" w:rsidRPr="006D4E15">
        <w:rPr>
          <w:rFonts w:ascii="Times New Roman" w:hAnsi="Times New Roman"/>
          <w:sz w:val="24"/>
        </w:rPr>
        <w:t>"</w:t>
      </w:r>
      <w:r w:rsidR="00D307B0" w:rsidRPr="006D4E15">
        <w:rPr>
          <w:rFonts w:ascii="Times New Roman" w:hAnsi="Times New Roman"/>
          <w:sz w:val="24"/>
        </w:rPr>
        <w:t xml:space="preserve"> (2018) 134 </w:t>
      </w:r>
      <w:r w:rsidR="00566FD7" w:rsidRPr="006D4E15">
        <w:rPr>
          <w:rFonts w:ascii="Times New Roman" w:hAnsi="Times New Roman"/>
          <w:i/>
          <w:iCs/>
          <w:sz w:val="24"/>
        </w:rPr>
        <w:t>Law Quarterly Review</w:t>
      </w:r>
      <w:r w:rsidR="00566FD7" w:rsidRPr="006D4E15">
        <w:rPr>
          <w:rFonts w:ascii="Times New Roman" w:hAnsi="Times New Roman"/>
          <w:sz w:val="24"/>
        </w:rPr>
        <w:t xml:space="preserve"> </w:t>
      </w:r>
      <w:r w:rsidR="00D307B0" w:rsidRPr="006D4E15">
        <w:rPr>
          <w:rFonts w:ascii="Times New Roman" w:hAnsi="Times New Roman"/>
          <w:sz w:val="24"/>
        </w:rPr>
        <w:t>359.</w:t>
      </w:r>
    </w:p>
  </w:footnote>
  <w:footnote w:id="126">
    <w:p w14:paraId="3A5B17BD" w14:textId="77777777" w:rsidR="00C70970" w:rsidRPr="006D4E15" w:rsidRDefault="00C7097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sz w:val="24"/>
        </w:rPr>
        <w:t>Cox</w:t>
      </w:r>
      <w:r w:rsidRPr="006D4E15">
        <w:rPr>
          <w:rFonts w:ascii="Times New Roman" w:hAnsi="Times New Roman"/>
          <w:sz w:val="24"/>
        </w:rPr>
        <w:t xml:space="preserve"> [2016] AC 660.</w:t>
      </w:r>
    </w:p>
  </w:footnote>
  <w:footnote w:id="127">
    <w:p w14:paraId="53AA7BF6" w14:textId="77777777" w:rsidR="00C70970" w:rsidRPr="006D4E15" w:rsidRDefault="00C70970"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sz w:val="24"/>
        </w:rPr>
        <w:t xml:space="preserve">Armes </w:t>
      </w:r>
      <w:r w:rsidRPr="006D4E15">
        <w:rPr>
          <w:rFonts w:ascii="Times New Roman" w:hAnsi="Times New Roman"/>
          <w:sz w:val="24"/>
        </w:rPr>
        <w:t>[2018] AC 355</w:t>
      </w:r>
      <w:r w:rsidRPr="006D4E15">
        <w:rPr>
          <w:rFonts w:ascii="Times New Roman" w:hAnsi="Times New Roman"/>
          <w:i/>
          <w:sz w:val="24"/>
        </w:rPr>
        <w:t>.</w:t>
      </w:r>
    </w:p>
  </w:footnote>
  <w:footnote w:id="128">
    <w:p w14:paraId="1B7F2582" w14:textId="31C79404" w:rsidR="003824DA" w:rsidRPr="006D4E15" w:rsidRDefault="003824DA"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C933B5" w:rsidRPr="006D4E15">
        <w:rPr>
          <w:rFonts w:ascii="Times New Roman" w:hAnsi="Times New Roman"/>
          <w:i/>
          <w:iCs/>
          <w:sz w:val="24"/>
        </w:rPr>
        <w:tab/>
      </w:r>
      <w:r w:rsidR="00697870" w:rsidRPr="006D4E15">
        <w:rPr>
          <w:rFonts w:ascii="Times New Roman" w:hAnsi="Times New Roman"/>
          <w:sz w:val="24"/>
        </w:rPr>
        <w:t>[2020] AC 973 at 980 [1].</w:t>
      </w:r>
    </w:p>
  </w:footnote>
  <w:footnote w:id="129">
    <w:p w14:paraId="60D9BF10" w14:textId="2F293FFA" w:rsidR="00243EDF" w:rsidRPr="006D4E15" w:rsidRDefault="00243ED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332101" w:rsidRPr="006D4E15">
        <w:rPr>
          <w:rFonts w:ascii="Times New Roman" w:hAnsi="Times New Roman"/>
          <w:sz w:val="24"/>
        </w:rPr>
        <w:tab/>
      </w:r>
      <w:r w:rsidR="00E43E9C" w:rsidRPr="006D4E15">
        <w:rPr>
          <w:rFonts w:ascii="Times New Roman" w:hAnsi="Times New Roman"/>
          <w:i/>
          <w:iCs/>
          <w:sz w:val="24"/>
        </w:rPr>
        <w:t>Barclays Bank</w:t>
      </w:r>
      <w:r w:rsidR="002A2B81" w:rsidRPr="006D4E15">
        <w:rPr>
          <w:rFonts w:ascii="Times New Roman" w:hAnsi="Times New Roman"/>
          <w:sz w:val="24"/>
        </w:rPr>
        <w:t xml:space="preserve"> </w:t>
      </w:r>
      <w:r w:rsidR="00FF0DDD" w:rsidRPr="006D4E15">
        <w:rPr>
          <w:rFonts w:ascii="Times New Roman" w:hAnsi="Times New Roman"/>
          <w:sz w:val="24"/>
        </w:rPr>
        <w:t>[2020] AC 973 at 980 [1].</w:t>
      </w:r>
    </w:p>
  </w:footnote>
  <w:footnote w:id="130">
    <w:p w14:paraId="06B60763" w14:textId="05A7AA1A" w:rsidR="00E67F6E" w:rsidRPr="006D4E15" w:rsidRDefault="00E67F6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495148">
        <w:rPr>
          <w:rFonts w:ascii="Times New Roman" w:hAnsi="Times New Roman"/>
          <w:sz w:val="24"/>
        </w:rPr>
        <w:tab/>
      </w:r>
      <w:r w:rsidRPr="006D4E15">
        <w:rPr>
          <w:rFonts w:ascii="Times New Roman" w:hAnsi="Times New Roman"/>
          <w:i/>
          <w:iCs/>
          <w:sz w:val="24"/>
        </w:rPr>
        <w:t>Barclays Bank</w:t>
      </w:r>
      <w:r w:rsidR="00DA037A" w:rsidRPr="006D4E15">
        <w:rPr>
          <w:rFonts w:ascii="Times New Roman" w:hAnsi="Times New Roman"/>
          <w:sz w:val="24"/>
        </w:rPr>
        <w:t xml:space="preserve"> </w:t>
      </w:r>
      <w:r w:rsidRPr="006D4E15">
        <w:rPr>
          <w:rFonts w:ascii="Times New Roman" w:hAnsi="Times New Roman"/>
          <w:sz w:val="24"/>
        </w:rPr>
        <w:t>[2020] AC 973 at 980 [1].</w:t>
      </w:r>
    </w:p>
  </w:footnote>
  <w:footnote w:id="131">
    <w:p w14:paraId="0E082728" w14:textId="77777777" w:rsidR="00A53732" w:rsidRPr="006D4E15" w:rsidRDefault="00A5373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Rolph et al, </w:t>
      </w:r>
      <w:r w:rsidRPr="006D4E15">
        <w:rPr>
          <w:rFonts w:ascii="Times New Roman" w:hAnsi="Times New Roman"/>
          <w:i/>
          <w:iCs/>
          <w:sz w:val="24"/>
        </w:rPr>
        <w:t>Balkin &amp; Davis</w:t>
      </w:r>
      <w:r w:rsidRPr="006D4E15">
        <w:rPr>
          <w:rFonts w:ascii="Times New Roman" w:hAnsi="Times New Roman"/>
          <w:sz w:val="24"/>
        </w:rPr>
        <w:t xml:space="preserve"> </w:t>
      </w:r>
      <w:r w:rsidRPr="006D4E15">
        <w:rPr>
          <w:rFonts w:ascii="Times New Roman" w:hAnsi="Times New Roman"/>
          <w:i/>
          <w:iCs/>
          <w:sz w:val="24"/>
        </w:rPr>
        <w:t>Law of Torts</w:t>
      </w:r>
      <w:r w:rsidRPr="006D4E15">
        <w:rPr>
          <w:rFonts w:ascii="Times New Roman" w:hAnsi="Times New Roman"/>
          <w:sz w:val="24"/>
        </w:rPr>
        <w:t>, 6th ed (2021), ch 26 at 880 [26.16].</w:t>
      </w:r>
    </w:p>
  </w:footnote>
  <w:footnote w:id="132">
    <w:p w14:paraId="384AC719" w14:textId="3DD28B1F" w:rsidR="008B66DC" w:rsidRPr="006D4E15" w:rsidRDefault="008B66DC"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17588E" w:rsidRPr="006D4E15">
        <w:rPr>
          <w:rFonts w:ascii="Times New Roman" w:hAnsi="Times New Roman"/>
          <w:sz w:val="24"/>
        </w:rPr>
        <w:tab/>
      </w:r>
      <w:r w:rsidR="00A10C2F" w:rsidRPr="006D4E15">
        <w:rPr>
          <w:rFonts w:ascii="Times New Roman" w:hAnsi="Times New Roman"/>
          <w:i/>
          <w:iCs/>
          <w:sz w:val="24"/>
        </w:rPr>
        <w:t>Barclays Bank</w:t>
      </w:r>
      <w:r w:rsidR="00A10C2F" w:rsidRPr="006D4E15">
        <w:rPr>
          <w:rFonts w:ascii="Times New Roman" w:hAnsi="Times New Roman"/>
          <w:sz w:val="24"/>
        </w:rPr>
        <w:t xml:space="preserve"> [2020] AC 973 at 987 [27]</w:t>
      </w:r>
      <w:r w:rsidR="002C0D52" w:rsidRPr="006D4E15">
        <w:rPr>
          <w:rFonts w:ascii="Times New Roman" w:hAnsi="Times New Roman"/>
          <w:sz w:val="24"/>
        </w:rPr>
        <w:t xml:space="preserve"> (emphasis added)</w:t>
      </w:r>
      <w:r w:rsidR="00A10C2F" w:rsidRPr="006D4E15">
        <w:rPr>
          <w:rFonts w:ascii="Times New Roman" w:hAnsi="Times New Roman"/>
          <w:sz w:val="24"/>
        </w:rPr>
        <w:t>.</w:t>
      </w:r>
    </w:p>
  </w:footnote>
  <w:footnote w:id="133">
    <w:p w14:paraId="4F7B4218" w14:textId="1E222B8C" w:rsidR="00D62AA7" w:rsidRPr="006D4E15" w:rsidRDefault="00D62AA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Pr="006D4E15">
        <w:rPr>
          <w:rFonts w:ascii="Times New Roman" w:hAnsi="Times New Roman"/>
          <w:i/>
          <w:iCs/>
          <w:sz w:val="24"/>
        </w:rPr>
        <w:t xml:space="preserve">Cox </w:t>
      </w:r>
      <w:r w:rsidRPr="006D4E15">
        <w:rPr>
          <w:rFonts w:ascii="Times New Roman" w:hAnsi="Times New Roman"/>
          <w:sz w:val="24"/>
        </w:rPr>
        <w:t>[2016] AC 660 at 669 [20]</w:t>
      </w:r>
      <w:r w:rsidR="002C5C8E" w:rsidRPr="006D4E15">
        <w:rPr>
          <w:rFonts w:ascii="Times New Roman" w:hAnsi="Times New Roman"/>
          <w:sz w:val="24"/>
        </w:rPr>
        <w:t>-</w:t>
      </w:r>
      <w:r w:rsidRPr="006D4E15">
        <w:rPr>
          <w:rFonts w:ascii="Times New Roman" w:hAnsi="Times New Roman"/>
          <w:sz w:val="24"/>
        </w:rPr>
        <w:t>[21].</w:t>
      </w:r>
    </w:p>
  </w:footnote>
  <w:footnote w:id="134">
    <w:p w14:paraId="356C6380" w14:textId="01C1421A" w:rsidR="00A864AB" w:rsidRPr="006D4E15" w:rsidRDefault="00A864A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eg, </w:t>
      </w:r>
      <w:r w:rsidR="00F86EB7" w:rsidRPr="006D4E15">
        <w:rPr>
          <w:rFonts w:ascii="Times New Roman" w:hAnsi="Times New Roman"/>
          <w:i/>
          <w:iCs/>
          <w:sz w:val="24"/>
        </w:rPr>
        <w:t xml:space="preserve">Lepore </w:t>
      </w:r>
      <w:r w:rsidR="00BD22BB" w:rsidRPr="006D4E15">
        <w:rPr>
          <w:rFonts w:ascii="Times New Roman" w:hAnsi="Times New Roman"/>
          <w:sz w:val="24"/>
        </w:rPr>
        <w:t>(2003) 212 CLR 511</w:t>
      </w:r>
      <w:r w:rsidR="00F86EB7" w:rsidRPr="006D4E15">
        <w:rPr>
          <w:rFonts w:ascii="Times New Roman" w:hAnsi="Times New Roman"/>
          <w:i/>
          <w:iCs/>
          <w:sz w:val="24"/>
        </w:rPr>
        <w:t xml:space="preserve"> </w:t>
      </w:r>
      <w:r w:rsidR="00F86EB7" w:rsidRPr="006D4E15">
        <w:rPr>
          <w:rFonts w:ascii="Times New Roman" w:hAnsi="Times New Roman"/>
          <w:sz w:val="24"/>
        </w:rPr>
        <w:t xml:space="preserve">at 560 [128], </w:t>
      </w:r>
      <w:r w:rsidR="00512AE4" w:rsidRPr="006D4E15">
        <w:rPr>
          <w:rFonts w:ascii="Times New Roman" w:hAnsi="Times New Roman"/>
          <w:sz w:val="24"/>
        </w:rPr>
        <w:t>586 [212]</w:t>
      </w:r>
      <w:r w:rsidR="0002754B" w:rsidRPr="006D4E15">
        <w:rPr>
          <w:rFonts w:ascii="Times New Roman" w:hAnsi="Times New Roman"/>
          <w:sz w:val="24"/>
        </w:rPr>
        <w:t>;</w:t>
      </w:r>
      <w:r w:rsidR="00F86EB7" w:rsidRPr="006D4E15">
        <w:rPr>
          <w:rFonts w:ascii="Times New Roman" w:hAnsi="Times New Roman"/>
          <w:sz w:val="24"/>
        </w:rPr>
        <w:t xml:space="preserve"> </w:t>
      </w:r>
      <w:r w:rsidRPr="006D4E15">
        <w:rPr>
          <w:rFonts w:ascii="Times New Roman" w:hAnsi="Times New Roman"/>
          <w:i/>
          <w:iCs/>
          <w:sz w:val="24"/>
        </w:rPr>
        <w:t>Prince Alfred College</w:t>
      </w:r>
      <w:r w:rsidRPr="006D4E15">
        <w:rPr>
          <w:rFonts w:ascii="Times New Roman" w:hAnsi="Times New Roman"/>
          <w:sz w:val="24"/>
        </w:rPr>
        <w:t xml:space="preserve"> </w:t>
      </w:r>
      <w:r w:rsidR="00A8421A" w:rsidRPr="006D4E15">
        <w:rPr>
          <w:rFonts w:ascii="Times New Roman" w:hAnsi="Times New Roman"/>
          <w:sz w:val="24"/>
        </w:rPr>
        <w:t xml:space="preserve">(2016) 258 CLR 134 </w:t>
      </w:r>
      <w:r w:rsidRPr="006D4E15">
        <w:rPr>
          <w:rFonts w:ascii="Times New Roman" w:hAnsi="Times New Roman"/>
          <w:sz w:val="24"/>
        </w:rPr>
        <w:t xml:space="preserve">at </w:t>
      </w:r>
      <w:r w:rsidR="00B76929" w:rsidRPr="006D4E15">
        <w:rPr>
          <w:rFonts w:ascii="Times New Roman" w:hAnsi="Times New Roman"/>
          <w:sz w:val="24"/>
        </w:rPr>
        <w:t>14</w:t>
      </w:r>
      <w:r w:rsidR="002C5C8E" w:rsidRPr="006D4E15">
        <w:rPr>
          <w:rFonts w:ascii="Times New Roman" w:hAnsi="Times New Roman"/>
          <w:sz w:val="24"/>
        </w:rPr>
        <w:t>8</w:t>
      </w:r>
      <w:r w:rsidR="00B76929" w:rsidRPr="006D4E15">
        <w:rPr>
          <w:rFonts w:ascii="Times New Roman" w:hAnsi="Times New Roman"/>
          <w:sz w:val="24"/>
        </w:rPr>
        <w:t>-</w:t>
      </w:r>
      <w:r w:rsidR="00DE6A8D" w:rsidRPr="006D4E15">
        <w:rPr>
          <w:rFonts w:ascii="Times New Roman" w:hAnsi="Times New Roman"/>
          <w:sz w:val="24"/>
        </w:rPr>
        <w:t>150</w:t>
      </w:r>
      <w:r w:rsidRPr="006D4E15">
        <w:rPr>
          <w:rFonts w:ascii="Times New Roman" w:hAnsi="Times New Roman"/>
          <w:sz w:val="24"/>
        </w:rPr>
        <w:t xml:space="preserve"> [38]</w:t>
      </w:r>
      <w:r w:rsidR="009B0EE3" w:rsidRPr="006D4E15">
        <w:rPr>
          <w:rFonts w:ascii="Times New Roman" w:hAnsi="Times New Roman"/>
          <w:sz w:val="24"/>
        </w:rPr>
        <w:noBreakHyphen/>
      </w:r>
      <w:r w:rsidRPr="006D4E15">
        <w:rPr>
          <w:rFonts w:ascii="Times New Roman" w:hAnsi="Times New Roman"/>
          <w:sz w:val="24"/>
        </w:rPr>
        <w:t>[47].</w:t>
      </w:r>
    </w:p>
  </w:footnote>
  <w:footnote w:id="135">
    <w:p w14:paraId="6B86EAD7" w14:textId="5D9B2521" w:rsidR="00D82F9B" w:rsidRPr="006D4E15" w:rsidRDefault="00D82F9B"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w:t>
      </w:r>
      <w:r w:rsidR="00CE0A05" w:rsidRPr="006D4E15">
        <w:rPr>
          <w:rFonts w:ascii="Times New Roman" w:hAnsi="Times New Roman"/>
          <w:sz w:val="24"/>
        </w:rPr>
        <w:t>, eg,</w:t>
      </w:r>
      <w:r w:rsidRPr="006D4E15">
        <w:rPr>
          <w:rFonts w:ascii="Times New Roman" w:hAnsi="Times New Roman"/>
          <w:sz w:val="24"/>
        </w:rPr>
        <w:t xml:space="preserve"> </w:t>
      </w:r>
      <w:r w:rsidRPr="006D4E15">
        <w:rPr>
          <w:rFonts w:ascii="Times New Roman" w:hAnsi="Times New Roman"/>
          <w:i/>
          <w:iCs/>
          <w:sz w:val="24"/>
        </w:rPr>
        <w:t>Sullivan v Moody</w:t>
      </w:r>
      <w:r w:rsidRPr="006D4E15">
        <w:rPr>
          <w:rFonts w:ascii="Times New Roman" w:hAnsi="Times New Roman"/>
          <w:sz w:val="24"/>
        </w:rPr>
        <w:t xml:space="preserve"> (2001) 207 CLR 562 at </w:t>
      </w:r>
      <w:r w:rsidR="009B49AA" w:rsidRPr="006D4E15">
        <w:rPr>
          <w:rFonts w:ascii="Times New Roman" w:hAnsi="Times New Roman"/>
          <w:sz w:val="24"/>
        </w:rPr>
        <w:t>579-</w:t>
      </w:r>
      <w:r w:rsidR="000E7D8B" w:rsidRPr="006D4E15">
        <w:rPr>
          <w:rFonts w:ascii="Times New Roman" w:hAnsi="Times New Roman"/>
          <w:sz w:val="24"/>
        </w:rPr>
        <w:t>581</w:t>
      </w:r>
      <w:r w:rsidR="009B49AA" w:rsidRPr="006D4E15">
        <w:rPr>
          <w:rFonts w:ascii="Times New Roman" w:hAnsi="Times New Roman"/>
          <w:sz w:val="24"/>
        </w:rPr>
        <w:t xml:space="preserve"> </w:t>
      </w:r>
      <w:r w:rsidRPr="006D4E15">
        <w:rPr>
          <w:rFonts w:ascii="Times New Roman" w:hAnsi="Times New Roman"/>
          <w:sz w:val="24"/>
        </w:rPr>
        <w:t>[49]-[54]</w:t>
      </w:r>
      <w:r w:rsidR="007C2602" w:rsidRPr="006D4E15">
        <w:rPr>
          <w:rFonts w:ascii="Times New Roman" w:hAnsi="Times New Roman"/>
          <w:sz w:val="24"/>
        </w:rPr>
        <w:t>,</w:t>
      </w:r>
      <w:r w:rsidRPr="006D4E15">
        <w:rPr>
          <w:rFonts w:ascii="Times New Roman" w:hAnsi="Times New Roman"/>
          <w:sz w:val="24"/>
        </w:rPr>
        <w:t xml:space="preserve"> which rejected the </w:t>
      </w:r>
      <w:r w:rsidR="00701F83" w:rsidRPr="006D4E15">
        <w:rPr>
          <w:rFonts w:ascii="Times New Roman" w:hAnsi="Times New Roman"/>
          <w:sz w:val="24"/>
        </w:rPr>
        <w:t xml:space="preserve">test in </w:t>
      </w:r>
      <w:r w:rsidRPr="006D4E15">
        <w:rPr>
          <w:rFonts w:ascii="Times New Roman" w:hAnsi="Times New Roman"/>
          <w:i/>
          <w:iCs/>
          <w:sz w:val="24"/>
        </w:rPr>
        <w:t>Caparo</w:t>
      </w:r>
      <w:r w:rsidR="00701F83" w:rsidRPr="006D4E15">
        <w:rPr>
          <w:rFonts w:ascii="Times New Roman" w:hAnsi="Times New Roman"/>
          <w:i/>
          <w:iCs/>
          <w:sz w:val="24"/>
        </w:rPr>
        <w:t xml:space="preserve"> Industries Plc v Dickman </w:t>
      </w:r>
      <w:r w:rsidR="00E2468E" w:rsidRPr="006D4E15">
        <w:rPr>
          <w:rFonts w:ascii="Times New Roman" w:hAnsi="Times New Roman"/>
          <w:sz w:val="24"/>
        </w:rPr>
        <w:t>[1990] 2 AC 605 at 617-618</w:t>
      </w:r>
      <w:r w:rsidR="00821E8D" w:rsidRPr="006D4E15">
        <w:rPr>
          <w:rFonts w:ascii="Times New Roman" w:hAnsi="Times New Roman"/>
          <w:sz w:val="24"/>
        </w:rPr>
        <w:t>.</w:t>
      </w:r>
    </w:p>
  </w:footnote>
  <w:footnote w:id="136">
    <w:p w14:paraId="08BCFA49" w14:textId="5B780104" w:rsidR="001E1AE7" w:rsidRPr="006D4E15" w:rsidRDefault="001E1AE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236FA3" w:rsidRPr="006D4E15">
        <w:rPr>
          <w:rFonts w:ascii="Times New Roman" w:hAnsi="Times New Roman"/>
          <w:i/>
          <w:iCs/>
          <w:sz w:val="24"/>
        </w:rPr>
        <w:t xml:space="preserve">Sweeney </w:t>
      </w:r>
      <w:r w:rsidR="00236FA3" w:rsidRPr="006D4E15">
        <w:rPr>
          <w:rFonts w:ascii="Times New Roman" w:hAnsi="Times New Roman"/>
          <w:sz w:val="24"/>
        </w:rPr>
        <w:t xml:space="preserve">(2006) 226 CLR 161 </w:t>
      </w:r>
      <w:r w:rsidR="00413A6A" w:rsidRPr="006D4E15">
        <w:rPr>
          <w:rFonts w:ascii="Times New Roman" w:hAnsi="Times New Roman"/>
          <w:sz w:val="24"/>
        </w:rPr>
        <w:t>a</w:t>
      </w:r>
      <w:r w:rsidRPr="006D4E15">
        <w:rPr>
          <w:rFonts w:ascii="Times New Roman" w:hAnsi="Times New Roman"/>
          <w:sz w:val="24"/>
        </w:rPr>
        <w:t>t 173 [33]</w:t>
      </w:r>
      <w:r w:rsidR="0002715B" w:rsidRPr="006D4E15">
        <w:rPr>
          <w:rFonts w:ascii="Times New Roman" w:hAnsi="Times New Roman"/>
          <w:sz w:val="24"/>
        </w:rPr>
        <w:t>.</w:t>
      </w:r>
    </w:p>
  </w:footnote>
  <w:footnote w:id="137">
    <w:p w14:paraId="2D4EB1C6" w14:textId="15E698A8" w:rsidR="00101B33" w:rsidRPr="006D4E15" w:rsidRDefault="00101B3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EB667F" w:rsidRPr="006D4E15">
        <w:rPr>
          <w:rFonts w:ascii="Times New Roman" w:hAnsi="Times New Roman"/>
          <w:sz w:val="24"/>
        </w:rPr>
        <w:t>Rolph et al</w:t>
      </w:r>
      <w:r w:rsidR="002A4B8A" w:rsidRPr="006D4E15">
        <w:rPr>
          <w:rFonts w:ascii="Times New Roman" w:hAnsi="Times New Roman"/>
          <w:sz w:val="24"/>
        </w:rPr>
        <w:t xml:space="preserve">, </w:t>
      </w:r>
      <w:r w:rsidR="002A4B8A" w:rsidRPr="006D4E15">
        <w:rPr>
          <w:rFonts w:ascii="Times New Roman" w:hAnsi="Times New Roman"/>
          <w:i/>
          <w:iCs/>
          <w:sz w:val="24"/>
        </w:rPr>
        <w:t>Balkin &amp; Davis</w:t>
      </w:r>
      <w:r w:rsidR="002A4B8A" w:rsidRPr="006D4E15">
        <w:rPr>
          <w:rFonts w:ascii="Times New Roman" w:hAnsi="Times New Roman"/>
          <w:sz w:val="24"/>
        </w:rPr>
        <w:t xml:space="preserve"> </w:t>
      </w:r>
      <w:r w:rsidR="002A4B8A" w:rsidRPr="006D4E15">
        <w:rPr>
          <w:rFonts w:ascii="Times New Roman" w:hAnsi="Times New Roman"/>
          <w:i/>
          <w:sz w:val="24"/>
        </w:rPr>
        <w:t>Law of Torts</w:t>
      </w:r>
      <w:r w:rsidR="002A4B8A" w:rsidRPr="006D4E15">
        <w:rPr>
          <w:rFonts w:ascii="Times New Roman" w:hAnsi="Times New Roman"/>
          <w:sz w:val="24"/>
        </w:rPr>
        <w:t>, 6th ed</w:t>
      </w:r>
      <w:r w:rsidR="00F54AE7" w:rsidRPr="006D4E15">
        <w:rPr>
          <w:rFonts w:ascii="Times New Roman" w:hAnsi="Times New Roman"/>
          <w:sz w:val="24"/>
        </w:rPr>
        <w:t xml:space="preserve"> (2021)</w:t>
      </w:r>
      <w:r w:rsidR="002A4B8A" w:rsidRPr="006D4E15">
        <w:rPr>
          <w:rFonts w:ascii="Times New Roman" w:hAnsi="Times New Roman"/>
          <w:sz w:val="24"/>
        </w:rPr>
        <w:t>, ch 26</w:t>
      </w:r>
      <w:r w:rsidR="00DD637C" w:rsidRPr="006D4E15">
        <w:rPr>
          <w:rFonts w:ascii="Times New Roman" w:hAnsi="Times New Roman"/>
          <w:sz w:val="24"/>
        </w:rPr>
        <w:t xml:space="preserve"> at 863</w:t>
      </w:r>
      <w:r w:rsidR="002A4B8A" w:rsidRPr="006D4E15">
        <w:rPr>
          <w:rFonts w:ascii="Times New Roman" w:hAnsi="Times New Roman"/>
          <w:sz w:val="24"/>
        </w:rPr>
        <w:t xml:space="preserve"> [26.3]. </w:t>
      </w:r>
      <w:r w:rsidR="008D336B" w:rsidRPr="006D4E15">
        <w:rPr>
          <w:rFonts w:ascii="Times New Roman" w:hAnsi="Times New Roman"/>
          <w:sz w:val="24"/>
        </w:rPr>
        <w:t xml:space="preserve">See, eg, </w:t>
      </w:r>
      <w:r w:rsidR="008D336B" w:rsidRPr="006D4E15">
        <w:rPr>
          <w:rFonts w:ascii="Times New Roman" w:hAnsi="Times New Roman"/>
          <w:i/>
          <w:sz w:val="24"/>
        </w:rPr>
        <w:t xml:space="preserve">English Province of Our Lady of Charity </w:t>
      </w:r>
      <w:r w:rsidR="008D336B" w:rsidRPr="006D4E15">
        <w:rPr>
          <w:rFonts w:ascii="Times New Roman" w:hAnsi="Times New Roman"/>
          <w:sz w:val="24"/>
        </w:rPr>
        <w:t>[2013] QB 722 at 734 [36].</w:t>
      </w:r>
    </w:p>
  </w:footnote>
  <w:footnote w:id="138">
    <w:p w14:paraId="5E4F9221" w14:textId="1F319E5E" w:rsidR="00D11909" w:rsidRPr="006D4E15" w:rsidRDefault="00D11909"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CA0C26" w:rsidRPr="006D4E15">
        <w:rPr>
          <w:rFonts w:ascii="Times New Roman" w:hAnsi="Times New Roman"/>
          <w:sz w:val="24"/>
        </w:rPr>
        <w:t xml:space="preserve">Australia, </w:t>
      </w:r>
      <w:r w:rsidR="003934F7" w:rsidRPr="006D4E15">
        <w:rPr>
          <w:rFonts w:ascii="Times New Roman" w:hAnsi="Times New Roman"/>
          <w:sz w:val="24"/>
        </w:rPr>
        <w:t>Royal Commission into Institutional Responses to Child Sexual Abuse</w:t>
      </w:r>
      <w:r w:rsidR="007D6807" w:rsidRPr="006D4E15">
        <w:rPr>
          <w:rFonts w:ascii="Times New Roman" w:hAnsi="Times New Roman"/>
          <w:sz w:val="24"/>
        </w:rPr>
        <w:t xml:space="preserve">, </w:t>
      </w:r>
      <w:r w:rsidR="007D6807" w:rsidRPr="006D4E15">
        <w:rPr>
          <w:rFonts w:ascii="Times New Roman" w:hAnsi="Times New Roman"/>
          <w:i/>
          <w:sz w:val="24"/>
        </w:rPr>
        <w:t xml:space="preserve">Final Report </w:t>
      </w:r>
      <w:r w:rsidR="007D6807" w:rsidRPr="006D4E15">
        <w:rPr>
          <w:rFonts w:ascii="Times New Roman" w:hAnsi="Times New Roman"/>
          <w:sz w:val="24"/>
        </w:rPr>
        <w:t>(201</w:t>
      </w:r>
      <w:r w:rsidR="00D34CF4" w:rsidRPr="006D4E15">
        <w:rPr>
          <w:rFonts w:ascii="Times New Roman" w:hAnsi="Times New Roman"/>
          <w:sz w:val="24"/>
        </w:rPr>
        <w:t>7</w:t>
      </w:r>
      <w:r w:rsidR="007D6807" w:rsidRPr="006D4E15">
        <w:rPr>
          <w:rFonts w:ascii="Times New Roman" w:hAnsi="Times New Roman"/>
          <w:sz w:val="24"/>
        </w:rPr>
        <w:t>)</w:t>
      </w:r>
      <w:r w:rsidR="00D55C3F" w:rsidRPr="006D4E15">
        <w:rPr>
          <w:rFonts w:ascii="Times New Roman" w:hAnsi="Times New Roman"/>
          <w:sz w:val="24"/>
        </w:rPr>
        <w:t>, vol 3</w:t>
      </w:r>
      <w:r w:rsidR="007D6807" w:rsidRPr="006D4E15">
        <w:rPr>
          <w:rFonts w:ascii="Times New Roman" w:hAnsi="Times New Roman"/>
          <w:sz w:val="24"/>
        </w:rPr>
        <w:t xml:space="preserve"> at </w:t>
      </w:r>
      <w:r w:rsidR="008A7121" w:rsidRPr="006D4E15">
        <w:rPr>
          <w:rFonts w:ascii="Times New Roman" w:hAnsi="Times New Roman"/>
          <w:sz w:val="24"/>
        </w:rPr>
        <w:t>14</w:t>
      </w:r>
      <w:r w:rsidR="00AE0C46" w:rsidRPr="006D4E15">
        <w:rPr>
          <w:rFonts w:ascii="Times New Roman" w:hAnsi="Times New Roman"/>
          <w:sz w:val="24"/>
        </w:rPr>
        <w:t>, 23-24</w:t>
      </w:r>
      <w:r w:rsidR="001373AF" w:rsidRPr="006D4E15">
        <w:rPr>
          <w:rFonts w:ascii="Times New Roman" w:hAnsi="Times New Roman"/>
          <w:sz w:val="24"/>
        </w:rPr>
        <w:t>, 77-</w:t>
      </w:r>
      <w:r w:rsidR="00C9479F" w:rsidRPr="006D4E15">
        <w:rPr>
          <w:rFonts w:ascii="Times New Roman" w:hAnsi="Times New Roman"/>
          <w:sz w:val="24"/>
        </w:rPr>
        <w:t>156.</w:t>
      </w:r>
    </w:p>
  </w:footnote>
  <w:footnote w:id="139">
    <w:p w14:paraId="0BE8A42C" w14:textId="5698D1DD" w:rsidR="00F36A93" w:rsidRPr="006D4E15" w:rsidRDefault="00F36A93"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69084C" w:rsidRPr="006D4E15">
        <w:rPr>
          <w:rFonts w:ascii="Times New Roman" w:hAnsi="Times New Roman"/>
          <w:sz w:val="24"/>
        </w:rPr>
        <w:tab/>
      </w:r>
      <w:r w:rsidRPr="006D4E15">
        <w:rPr>
          <w:rFonts w:ascii="Times New Roman" w:hAnsi="Times New Roman"/>
          <w:i/>
          <w:sz w:val="24"/>
        </w:rPr>
        <w:t xml:space="preserve">Sweeney </w:t>
      </w:r>
      <w:r w:rsidRPr="006D4E15">
        <w:rPr>
          <w:rFonts w:ascii="Times New Roman" w:hAnsi="Times New Roman"/>
          <w:sz w:val="24"/>
        </w:rPr>
        <w:t>(2006) 226 CLR 161 at</w:t>
      </w:r>
      <w:r w:rsidR="00DD3AE5" w:rsidRPr="006D4E15">
        <w:rPr>
          <w:rFonts w:ascii="Times New Roman" w:hAnsi="Times New Roman"/>
          <w:sz w:val="24"/>
        </w:rPr>
        <w:t xml:space="preserve"> 166</w:t>
      </w:r>
      <w:r w:rsidRPr="006D4E15">
        <w:rPr>
          <w:rFonts w:ascii="Times New Roman" w:hAnsi="Times New Roman"/>
          <w:sz w:val="24"/>
        </w:rPr>
        <w:t xml:space="preserve"> [11].</w:t>
      </w:r>
      <w:r w:rsidR="00403416" w:rsidRPr="006D4E15">
        <w:rPr>
          <w:rFonts w:ascii="Times New Roman" w:hAnsi="Times New Roman"/>
          <w:sz w:val="24"/>
        </w:rPr>
        <w:t xml:space="preserve"> See also</w:t>
      </w:r>
      <w:r w:rsidR="00240DDC" w:rsidRPr="006D4E15">
        <w:rPr>
          <w:rFonts w:ascii="Times New Roman" w:hAnsi="Times New Roman"/>
          <w:sz w:val="24"/>
        </w:rPr>
        <w:t xml:space="preserve"> </w:t>
      </w:r>
      <w:r w:rsidR="00C2780B" w:rsidRPr="006D4E15">
        <w:rPr>
          <w:rFonts w:ascii="Times New Roman" w:hAnsi="Times New Roman"/>
          <w:i/>
          <w:sz w:val="24"/>
          <w:szCs w:val="18"/>
        </w:rPr>
        <w:t xml:space="preserve">Hollis </w:t>
      </w:r>
      <w:r w:rsidR="00C2780B" w:rsidRPr="006D4E15">
        <w:rPr>
          <w:rFonts w:ascii="Times New Roman" w:hAnsi="Times New Roman"/>
          <w:sz w:val="24"/>
          <w:szCs w:val="18"/>
        </w:rPr>
        <w:t>(2001) 207 CLR 21 at 37</w:t>
      </w:r>
      <w:r w:rsidR="00852993" w:rsidRPr="006D4E15">
        <w:rPr>
          <w:rFonts w:ascii="Times New Roman" w:hAnsi="Times New Roman"/>
          <w:sz w:val="24"/>
          <w:szCs w:val="18"/>
        </w:rPr>
        <w:t>-38</w:t>
      </w:r>
      <w:r w:rsidR="00C2780B" w:rsidRPr="006D4E15">
        <w:rPr>
          <w:rFonts w:ascii="Times New Roman" w:hAnsi="Times New Roman"/>
          <w:sz w:val="24"/>
          <w:szCs w:val="18"/>
        </w:rPr>
        <w:t xml:space="preserve"> [35]</w:t>
      </w:r>
      <w:r w:rsidR="00D849CD" w:rsidRPr="006D4E15">
        <w:rPr>
          <w:rFonts w:ascii="Times New Roman" w:hAnsi="Times New Roman"/>
          <w:sz w:val="24"/>
          <w:szCs w:val="18"/>
        </w:rPr>
        <w:t>;</w:t>
      </w:r>
      <w:r w:rsidR="00C2780B" w:rsidRPr="006D4E15">
        <w:rPr>
          <w:rFonts w:ascii="Times New Roman" w:hAnsi="Times New Roman"/>
          <w:sz w:val="24"/>
          <w:szCs w:val="18"/>
        </w:rPr>
        <w:t xml:space="preserve"> </w:t>
      </w:r>
      <w:r w:rsidR="00C2780B" w:rsidRPr="006D4E15">
        <w:rPr>
          <w:rFonts w:ascii="Times New Roman" w:hAnsi="Times New Roman"/>
          <w:i/>
          <w:sz w:val="24"/>
          <w:szCs w:val="18"/>
        </w:rPr>
        <w:t>Lepore</w:t>
      </w:r>
      <w:r w:rsidR="00C2780B" w:rsidRPr="006D4E15">
        <w:rPr>
          <w:rFonts w:ascii="Times New Roman" w:hAnsi="Times New Roman"/>
          <w:sz w:val="24"/>
          <w:szCs w:val="18"/>
        </w:rPr>
        <w:t xml:space="preserve"> (2003) 212 CLR 511 at 580 [196]; </w:t>
      </w:r>
      <w:r w:rsidR="00C2780B" w:rsidRPr="006D4E15">
        <w:rPr>
          <w:rFonts w:ascii="Times New Roman" w:hAnsi="Times New Roman"/>
          <w:i/>
          <w:sz w:val="24"/>
        </w:rPr>
        <w:t xml:space="preserve">Prince Alfred College </w:t>
      </w:r>
      <w:r w:rsidR="00C2780B" w:rsidRPr="006D4E15">
        <w:rPr>
          <w:rFonts w:ascii="Times New Roman" w:hAnsi="Times New Roman"/>
          <w:sz w:val="24"/>
        </w:rPr>
        <w:t xml:space="preserve">(2016) 258 CLR 134 at </w:t>
      </w:r>
      <w:r w:rsidR="00C2780B" w:rsidRPr="006D4E15">
        <w:rPr>
          <w:rFonts w:ascii="Times New Roman" w:hAnsi="Times New Roman"/>
          <w:sz w:val="24"/>
          <w:szCs w:val="18"/>
        </w:rPr>
        <w:t>149 [44], 150 [46</w:t>
      </w:r>
      <w:r w:rsidR="00C2780B" w:rsidRPr="006D4E15">
        <w:rPr>
          <w:rFonts w:ascii="Times New Roman" w:hAnsi="Times New Roman"/>
          <w:sz w:val="24"/>
        </w:rPr>
        <w:t>];</w:t>
      </w:r>
      <w:r w:rsidR="008E4E48" w:rsidRPr="006D4E15">
        <w:rPr>
          <w:rFonts w:ascii="Times New Roman" w:hAnsi="Times New Roman"/>
          <w:sz w:val="24"/>
        </w:rPr>
        <w:t xml:space="preserve"> </w:t>
      </w:r>
      <w:r w:rsidR="0076615A" w:rsidRPr="006D4E15">
        <w:rPr>
          <w:rFonts w:ascii="Times New Roman" w:hAnsi="Times New Roman"/>
          <w:i/>
          <w:sz w:val="24"/>
        </w:rPr>
        <w:t xml:space="preserve">Schokman </w:t>
      </w:r>
      <w:r w:rsidR="0076615A" w:rsidRPr="006D4E15">
        <w:rPr>
          <w:rFonts w:ascii="Times New Roman" w:hAnsi="Times New Roman"/>
          <w:sz w:val="24"/>
        </w:rPr>
        <w:t xml:space="preserve">(2023) 97 ALJR 551 at 561 [48], 566 [69]; </w:t>
      </w:r>
      <w:r w:rsidR="00F70786" w:rsidRPr="006D4E15">
        <w:rPr>
          <w:rFonts w:ascii="Times New Roman" w:hAnsi="Times New Roman"/>
          <w:sz w:val="24"/>
        </w:rPr>
        <w:t>410 ALR 479</w:t>
      </w:r>
      <w:r w:rsidR="000F3FAE" w:rsidRPr="006D4E15">
        <w:rPr>
          <w:rFonts w:ascii="Times New Roman" w:hAnsi="Times New Roman"/>
          <w:sz w:val="24"/>
        </w:rPr>
        <w:t xml:space="preserve"> at 490, </w:t>
      </w:r>
      <w:r w:rsidR="002C2E20" w:rsidRPr="006D4E15">
        <w:rPr>
          <w:rFonts w:ascii="Times New Roman" w:hAnsi="Times New Roman"/>
          <w:sz w:val="24"/>
        </w:rPr>
        <w:t>497</w:t>
      </w:r>
      <w:r w:rsidR="00240DDC" w:rsidRPr="006D4E15">
        <w:rPr>
          <w:rFonts w:ascii="Times New Roman" w:hAnsi="Times New Roman"/>
          <w:sz w:val="24"/>
        </w:rPr>
        <w:t>.</w:t>
      </w:r>
    </w:p>
  </w:footnote>
  <w:footnote w:id="140">
    <w:p w14:paraId="5B64B499" w14:textId="2561D0C3"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Pr="006D4E15">
        <w:rPr>
          <w:rFonts w:ascii="Times New Roman" w:hAnsi="Times New Roman"/>
          <w:i/>
          <w:iCs/>
          <w:sz w:val="24"/>
          <w:szCs w:val="18"/>
        </w:rPr>
        <w:t xml:space="preserve">Barclays Bank </w:t>
      </w:r>
      <w:r w:rsidRPr="006D4E15">
        <w:rPr>
          <w:rFonts w:ascii="Times New Roman" w:hAnsi="Times New Roman"/>
          <w:sz w:val="24"/>
          <w:szCs w:val="18"/>
        </w:rPr>
        <w:t>[2020] AC 973 at 986 [24].</w:t>
      </w:r>
    </w:p>
  </w:footnote>
  <w:footnote w:id="141">
    <w:p w14:paraId="4171310A" w14:textId="040782AF"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Pr="006D4E15">
        <w:rPr>
          <w:rFonts w:ascii="Times New Roman" w:hAnsi="Times New Roman"/>
          <w:i/>
          <w:iCs/>
          <w:sz w:val="24"/>
          <w:szCs w:val="18"/>
        </w:rPr>
        <w:t xml:space="preserve">Barclays Bank </w:t>
      </w:r>
      <w:r w:rsidRPr="006D4E15">
        <w:rPr>
          <w:rFonts w:ascii="Times New Roman" w:hAnsi="Times New Roman"/>
          <w:sz w:val="24"/>
          <w:szCs w:val="18"/>
        </w:rPr>
        <w:t>[2020] AC 973 at 987 [27].</w:t>
      </w:r>
    </w:p>
  </w:footnote>
  <w:footnote w:id="142">
    <w:p w14:paraId="2E733635" w14:textId="46C56F9E" w:rsidR="00141483" w:rsidRPr="006D4E15" w:rsidRDefault="00141483"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ab/>
      </w:r>
      <w:r w:rsidRPr="006D4E15">
        <w:rPr>
          <w:rFonts w:ascii="Times New Roman" w:hAnsi="Times New Roman"/>
          <w:i/>
          <w:iCs/>
          <w:sz w:val="24"/>
          <w:szCs w:val="18"/>
        </w:rPr>
        <w:t>Lepore</w:t>
      </w:r>
      <w:r w:rsidRPr="006D4E15">
        <w:rPr>
          <w:rFonts w:ascii="Times New Roman" w:hAnsi="Times New Roman"/>
          <w:sz w:val="24"/>
          <w:szCs w:val="18"/>
        </w:rPr>
        <w:t xml:space="preserve"> (2003) 212 CLR 511 at 536 [42].</w:t>
      </w:r>
    </w:p>
  </w:footnote>
  <w:footnote w:id="143">
    <w:p w14:paraId="5905F0BA" w14:textId="0A3B76CA" w:rsidR="009F0567" w:rsidRPr="006D4E15" w:rsidRDefault="009F0567"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(1996) 186 CLR 71 at 115. See also </w:t>
      </w:r>
      <w:r w:rsidRPr="006D4E15">
        <w:rPr>
          <w:rFonts w:ascii="Times New Roman" w:hAnsi="Times New Roman"/>
          <w:i/>
          <w:sz w:val="24"/>
        </w:rPr>
        <w:t xml:space="preserve">Dietrich v The Queen </w:t>
      </w:r>
      <w:r w:rsidRPr="006D4E15">
        <w:rPr>
          <w:rFonts w:ascii="Times New Roman" w:hAnsi="Times New Roman"/>
          <w:sz w:val="24"/>
        </w:rPr>
        <w:t>(1992) 177 CLR 292 at 320-</w:t>
      </w:r>
      <w:r w:rsidR="00CD040E" w:rsidRPr="006D4E15">
        <w:rPr>
          <w:rFonts w:ascii="Times New Roman" w:hAnsi="Times New Roman"/>
          <w:sz w:val="24"/>
        </w:rPr>
        <w:t>32</w:t>
      </w:r>
      <w:r w:rsidRPr="006D4E15">
        <w:rPr>
          <w:rFonts w:ascii="Times New Roman" w:hAnsi="Times New Roman"/>
          <w:sz w:val="24"/>
        </w:rPr>
        <w:t>1.</w:t>
      </w:r>
    </w:p>
  </w:footnote>
  <w:footnote w:id="144">
    <w:p w14:paraId="53F0FA58" w14:textId="4DBB2A6E" w:rsidR="009F0567" w:rsidRPr="006D4E15" w:rsidRDefault="009F056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See generally </w:t>
      </w:r>
      <w:r w:rsidRPr="006D4E15">
        <w:rPr>
          <w:rFonts w:ascii="Times New Roman" w:hAnsi="Times New Roman"/>
          <w:i/>
          <w:iCs/>
          <w:sz w:val="24"/>
        </w:rPr>
        <w:t xml:space="preserve">Crimmins v Stevedoring </w:t>
      </w:r>
      <w:r w:rsidR="00B96217" w:rsidRPr="006D4E15">
        <w:rPr>
          <w:rFonts w:ascii="Times New Roman" w:hAnsi="Times New Roman"/>
          <w:i/>
          <w:iCs/>
          <w:sz w:val="24"/>
        </w:rPr>
        <w:t xml:space="preserve">Industry Finance </w:t>
      </w:r>
      <w:r w:rsidRPr="006D4E15">
        <w:rPr>
          <w:rFonts w:ascii="Times New Roman" w:hAnsi="Times New Roman"/>
          <w:i/>
          <w:iCs/>
          <w:sz w:val="24"/>
        </w:rPr>
        <w:t>Committee</w:t>
      </w:r>
      <w:r w:rsidRPr="006D4E15">
        <w:rPr>
          <w:rFonts w:ascii="Times New Roman" w:hAnsi="Times New Roman"/>
          <w:sz w:val="24"/>
        </w:rPr>
        <w:t xml:space="preserve"> (1999) 200 CLR 1 at 13 [3], 33-34 [77]; </w:t>
      </w:r>
      <w:r w:rsidRPr="006D4E15">
        <w:rPr>
          <w:rFonts w:ascii="Times New Roman" w:hAnsi="Times New Roman"/>
          <w:i/>
          <w:iCs/>
          <w:sz w:val="24"/>
        </w:rPr>
        <w:t>Swick</w:t>
      </w:r>
      <w:r w:rsidR="00497D2E" w:rsidRPr="006D4E15">
        <w:rPr>
          <w:rFonts w:ascii="Times New Roman" w:hAnsi="Times New Roman"/>
          <w:i/>
          <w:iCs/>
          <w:sz w:val="24"/>
        </w:rPr>
        <w:t> </w:t>
      </w:r>
      <w:r w:rsidRPr="006D4E15">
        <w:rPr>
          <w:rFonts w:ascii="Times New Roman" w:hAnsi="Times New Roman"/>
          <w:i/>
          <w:iCs/>
          <w:sz w:val="24"/>
        </w:rPr>
        <w:t>Nominees Pty Ltd v Le</w:t>
      </w:r>
      <w:r w:rsidR="00D67BBA" w:rsidRPr="006D4E15">
        <w:rPr>
          <w:rFonts w:ascii="Times New Roman" w:hAnsi="Times New Roman"/>
          <w:i/>
          <w:iCs/>
          <w:sz w:val="24"/>
        </w:rPr>
        <w:t>R</w:t>
      </w:r>
      <w:r w:rsidRPr="006D4E15">
        <w:rPr>
          <w:rFonts w:ascii="Times New Roman" w:hAnsi="Times New Roman"/>
          <w:i/>
          <w:iCs/>
          <w:sz w:val="24"/>
        </w:rPr>
        <w:t>oi International Inc</w:t>
      </w:r>
      <w:r w:rsidRPr="006D4E15">
        <w:rPr>
          <w:rFonts w:ascii="Times New Roman" w:hAnsi="Times New Roman"/>
          <w:sz w:val="24"/>
        </w:rPr>
        <w:t xml:space="preserve"> </w:t>
      </w:r>
      <w:r w:rsidR="002904B7" w:rsidRPr="006D4E15">
        <w:rPr>
          <w:rFonts w:ascii="Times New Roman" w:hAnsi="Times New Roman"/>
          <w:i/>
          <w:iCs/>
          <w:sz w:val="24"/>
        </w:rPr>
        <w:t>[</w:t>
      </w:r>
      <w:r w:rsidR="00D67BBA" w:rsidRPr="006D4E15">
        <w:rPr>
          <w:rFonts w:ascii="Times New Roman" w:hAnsi="Times New Roman"/>
          <w:i/>
          <w:iCs/>
          <w:sz w:val="24"/>
        </w:rPr>
        <w:t>No 2</w:t>
      </w:r>
      <w:r w:rsidR="002904B7" w:rsidRPr="006D4E15">
        <w:rPr>
          <w:rFonts w:ascii="Times New Roman" w:hAnsi="Times New Roman"/>
          <w:i/>
          <w:iCs/>
          <w:sz w:val="24"/>
        </w:rPr>
        <w:t>]</w:t>
      </w:r>
      <w:r w:rsidR="00D67BBA" w:rsidRPr="006D4E15">
        <w:rPr>
          <w:rFonts w:ascii="Times New Roman" w:hAnsi="Times New Roman"/>
          <w:i/>
          <w:iCs/>
          <w:sz w:val="24"/>
        </w:rPr>
        <w:t xml:space="preserve"> </w:t>
      </w:r>
      <w:r w:rsidRPr="006D4E15">
        <w:rPr>
          <w:rFonts w:ascii="Times New Roman" w:hAnsi="Times New Roman"/>
          <w:sz w:val="24"/>
        </w:rPr>
        <w:t xml:space="preserve">(2015) 48 WAR 376 at </w:t>
      </w:r>
      <w:r w:rsidR="009B6AF5" w:rsidRPr="006D4E15">
        <w:rPr>
          <w:rFonts w:ascii="Times New Roman" w:hAnsi="Times New Roman"/>
          <w:sz w:val="24"/>
        </w:rPr>
        <w:t>449 [387]</w:t>
      </w:r>
      <w:r w:rsidR="00063D99" w:rsidRPr="006D4E15">
        <w:rPr>
          <w:rFonts w:ascii="Times New Roman" w:hAnsi="Times New Roman"/>
          <w:sz w:val="24"/>
        </w:rPr>
        <w:t>.</w:t>
      </w:r>
    </w:p>
  </w:footnote>
  <w:footnote w:id="145">
    <w:p w14:paraId="5EC0D596" w14:textId="3ADA51CE" w:rsidR="009F0567" w:rsidRPr="006D4E15" w:rsidRDefault="009F0567"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Pr="006D4E15">
        <w:rPr>
          <w:rFonts w:ascii="Times New Roman" w:hAnsi="Times New Roman"/>
          <w:i/>
          <w:iCs/>
          <w:sz w:val="24"/>
        </w:rPr>
        <w:t>Breen</w:t>
      </w:r>
      <w:r w:rsidRPr="006D4E15">
        <w:rPr>
          <w:rFonts w:ascii="Times New Roman" w:hAnsi="Times New Roman"/>
          <w:sz w:val="24"/>
        </w:rPr>
        <w:t xml:space="preserve"> (1996) 186 CLR 71 at 115. </w:t>
      </w:r>
      <w:r w:rsidR="007746C5" w:rsidRPr="006D4E15">
        <w:rPr>
          <w:rFonts w:ascii="Times New Roman" w:hAnsi="Times New Roman"/>
          <w:sz w:val="24"/>
          <w:szCs w:val="18"/>
        </w:rPr>
        <w:t>Victoria,</w:t>
      </w:r>
      <w:r w:rsidR="00F464FF" w:rsidRPr="006D4E15">
        <w:rPr>
          <w:rFonts w:ascii="Times New Roman" w:hAnsi="Times New Roman"/>
          <w:sz w:val="24"/>
          <w:szCs w:val="18"/>
        </w:rPr>
        <w:t xml:space="preserve"> Family and Community Development Committee,</w:t>
      </w:r>
      <w:r w:rsidR="007746C5" w:rsidRPr="006D4E15">
        <w:rPr>
          <w:rFonts w:ascii="Times New Roman" w:hAnsi="Times New Roman"/>
          <w:sz w:val="24"/>
          <w:szCs w:val="18"/>
        </w:rPr>
        <w:t xml:space="preserve"> </w:t>
      </w:r>
      <w:r w:rsidR="007746C5" w:rsidRPr="006D4E15">
        <w:rPr>
          <w:rFonts w:ascii="Times New Roman" w:hAnsi="Times New Roman"/>
          <w:i/>
          <w:iCs/>
          <w:sz w:val="24"/>
          <w:szCs w:val="18"/>
        </w:rPr>
        <w:t>Betrayal of Trust: Inquiry into the Handling of Child Abuse by Religious and Other Non-Government Organisations</w:t>
      </w:r>
      <w:r w:rsidR="007746C5" w:rsidRPr="006D4E15">
        <w:rPr>
          <w:rFonts w:ascii="Times New Roman" w:hAnsi="Times New Roman"/>
          <w:sz w:val="24"/>
          <w:szCs w:val="18"/>
        </w:rPr>
        <w:t xml:space="preserve"> (2013), </w:t>
      </w:r>
      <w:r w:rsidR="00EA433F" w:rsidRPr="006D4E15">
        <w:rPr>
          <w:rFonts w:ascii="Times New Roman" w:hAnsi="Times New Roman"/>
          <w:sz w:val="24"/>
          <w:szCs w:val="18"/>
        </w:rPr>
        <w:t>vol</w:t>
      </w:r>
      <w:r w:rsidR="005C3BB5" w:rsidRPr="006D4E15">
        <w:rPr>
          <w:rFonts w:ascii="Times New Roman" w:hAnsi="Times New Roman"/>
          <w:sz w:val="24"/>
          <w:szCs w:val="18"/>
        </w:rPr>
        <w:t> </w:t>
      </w:r>
      <w:r w:rsidR="00EA433F" w:rsidRPr="006D4E15">
        <w:rPr>
          <w:rFonts w:ascii="Times New Roman" w:hAnsi="Times New Roman"/>
          <w:sz w:val="24"/>
          <w:szCs w:val="18"/>
        </w:rPr>
        <w:t xml:space="preserve">2 </w:t>
      </w:r>
      <w:r w:rsidR="003C29F2" w:rsidRPr="006D4E15">
        <w:rPr>
          <w:rFonts w:ascii="Times New Roman" w:hAnsi="Times New Roman"/>
          <w:sz w:val="24"/>
          <w:szCs w:val="18"/>
        </w:rPr>
        <w:t xml:space="preserve">at </w:t>
      </w:r>
      <w:r w:rsidR="007746C5" w:rsidRPr="006D4E15">
        <w:rPr>
          <w:rFonts w:ascii="Times New Roman" w:hAnsi="Times New Roman"/>
          <w:sz w:val="24"/>
          <w:szCs w:val="18"/>
        </w:rPr>
        <w:t>546-552</w:t>
      </w:r>
      <w:r w:rsidR="004B6D14" w:rsidRPr="006D4E15">
        <w:rPr>
          <w:rFonts w:ascii="Times New Roman" w:hAnsi="Times New Roman"/>
          <w:sz w:val="24"/>
          <w:szCs w:val="18"/>
        </w:rPr>
        <w:t xml:space="preserve"> ("Parliamentary Committee Report")</w:t>
      </w:r>
      <w:r w:rsidR="007746C5" w:rsidRPr="006D4E15">
        <w:rPr>
          <w:rFonts w:ascii="Times New Roman" w:hAnsi="Times New Roman"/>
          <w:sz w:val="24"/>
          <w:szCs w:val="18"/>
        </w:rPr>
        <w:t xml:space="preserve">; </w:t>
      </w:r>
      <w:r w:rsidR="00910260" w:rsidRPr="006D4E15">
        <w:rPr>
          <w:rFonts w:ascii="Times New Roman" w:hAnsi="Times New Roman"/>
          <w:sz w:val="24"/>
          <w:szCs w:val="18"/>
        </w:rPr>
        <w:t xml:space="preserve">Australia, </w:t>
      </w:r>
      <w:r w:rsidR="00C409DD" w:rsidRPr="006D4E15">
        <w:rPr>
          <w:rFonts w:ascii="Times New Roman" w:hAnsi="Times New Roman"/>
          <w:sz w:val="24"/>
          <w:szCs w:val="18"/>
        </w:rPr>
        <w:t>Royal</w:t>
      </w:r>
      <w:r w:rsidR="00497D2E" w:rsidRPr="006D4E15">
        <w:rPr>
          <w:rFonts w:ascii="Times New Roman" w:hAnsi="Times New Roman"/>
          <w:sz w:val="24"/>
          <w:szCs w:val="18"/>
        </w:rPr>
        <w:t> </w:t>
      </w:r>
      <w:r w:rsidR="00C409DD" w:rsidRPr="006D4E15">
        <w:rPr>
          <w:rFonts w:ascii="Times New Roman" w:hAnsi="Times New Roman"/>
          <w:sz w:val="24"/>
          <w:szCs w:val="18"/>
        </w:rPr>
        <w:t xml:space="preserve">Commission into Institutional Responses to Child Sexual Abuse, </w:t>
      </w:r>
      <w:r w:rsidR="00590E8E" w:rsidRPr="006D4E15">
        <w:rPr>
          <w:rFonts w:ascii="Times New Roman" w:hAnsi="Times New Roman"/>
          <w:i/>
          <w:iCs/>
          <w:sz w:val="24"/>
          <w:szCs w:val="18"/>
        </w:rPr>
        <w:t xml:space="preserve">Redress </w:t>
      </w:r>
      <w:r w:rsidR="00AB18C4" w:rsidRPr="006D4E15">
        <w:rPr>
          <w:rFonts w:ascii="Times New Roman" w:hAnsi="Times New Roman"/>
          <w:i/>
          <w:iCs/>
          <w:sz w:val="24"/>
          <w:szCs w:val="18"/>
        </w:rPr>
        <w:t xml:space="preserve">and Civil Litigation </w:t>
      </w:r>
      <w:r w:rsidR="00590E8E" w:rsidRPr="006D4E15">
        <w:rPr>
          <w:rFonts w:ascii="Times New Roman" w:hAnsi="Times New Roman"/>
          <w:i/>
          <w:iCs/>
          <w:sz w:val="24"/>
          <w:szCs w:val="18"/>
        </w:rPr>
        <w:t>Report</w:t>
      </w:r>
      <w:r w:rsidR="007746C5" w:rsidRPr="006D4E15">
        <w:rPr>
          <w:rFonts w:ascii="Times New Roman" w:hAnsi="Times New Roman"/>
          <w:sz w:val="24"/>
        </w:rPr>
        <w:t xml:space="preserve"> </w:t>
      </w:r>
      <w:r w:rsidR="005C3BB5" w:rsidRPr="006D4E15">
        <w:rPr>
          <w:rFonts w:ascii="Times New Roman" w:hAnsi="Times New Roman"/>
          <w:sz w:val="24"/>
        </w:rPr>
        <w:t xml:space="preserve">(2015) </w:t>
      </w:r>
      <w:r w:rsidR="007746C5" w:rsidRPr="006D4E15">
        <w:rPr>
          <w:rFonts w:ascii="Times New Roman" w:hAnsi="Times New Roman"/>
          <w:sz w:val="24"/>
        </w:rPr>
        <w:t xml:space="preserve">at 77-78, 470-473, 495. </w:t>
      </w:r>
    </w:p>
  </w:footnote>
  <w:footnote w:id="146">
    <w:p w14:paraId="39A754A2" w14:textId="1B30DE39" w:rsidR="009759C2" w:rsidRPr="006D4E15" w:rsidRDefault="009759C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See Parliamentary Committee Report (2013) at 552; Redress</w:t>
      </w:r>
      <w:r w:rsidR="00285448" w:rsidRPr="006D4E15">
        <w:rPr>
          <w:rFonts w:ascii="Times New Roman" w:hAnsi="Times New Roman"/>
          <w:sz w:val="24"/>
        </w:rPr>
        <w:t> </w:t>
      </w:r>
      <w:r w:rsidRPr="006D4E15">
        <w:rPr>
          <w:rFonts w:ascii="Times New Roman" w:hAnsi="Times New Roman"/>
          <w:sz w:val="24"/>
        </w:rPr>
        <w:t>Report (2015) at 57</w:t>
      </w:r>
      <w:r w:rsidR="00410A3B" w:rsidRPr="006D4E15">
        <w:rPr>
          <w:rFonts w:ascii="Times New Roman" w:hAnsi="Times New Roman"/>
          <w:sz w:val="24"/>
        </w:rPr>
        <w:t>-59</w:t>
      </w:r>
      <w:r w:rsidRPr="006D4E15">
        <w:rPr>
          <w:rFonts w:ascii="Times New Roman" w:hAnsi="Times New Roman"/>
          <w:sz w:val="24"/>
        </w:rPr>
        <w:t xml:space="preserve">. </w:t>
      </w:r>
    </w:p>
  </w:footnote>
  <w:footnote w:id="147">
    <w:p w14:paraId="69590E30" w14:textId="488B31C4" w:rsidR="00A806AE" w:rsidRPr="006D4E15" w:rsidRDefault="00A806AE"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3E2631" w:rsidRPr="006D4E15">
        <w:rPr>
          <w:rFonts w:ascii="Times New Roman" w:hAnsi="Times New Roman"/>
          <w:sz w:val="24"/>
        </w:rPr>
        <w:t>See</w:t>
      </w:r>
      <w:r w:rsidR="00740563" w:rsidRPr="006D4E15">
        <w:rPr>
          <w:rFonts w:ascii="Times New Roman" w:hAnsi="Times New Roman"/>
          <w:sz w:val="24"/>
        </w:rPr>
        <w:t xml:space="preserve"> Parliamentary Committee Report</w:t>
      </w:r>
      <w:r w:rsidR="006974EB" w:rsidRPr="006D4E15">
        <w:rPr>
          <w:rFonts w:ascii="Times New Roman" w:hAnsi="Times New Roman"/>
          <w:sz w:val="24"/>
        </w:rPr>
        <w:t xml:space="preserve"> (2013)</w:t>
      </w:r>
      <w:r w:rsidR="00740563" w:rsidRPr="006D4E15">
        <w:rPr>
          <w:rFonts w:ascii="Times New Roman" w:hAnsi="Times New Roman"/>
          <w:sz w:val="24"/>
        </w:rPr>
        <w:t xml:space="preserve"> at 546</w:t>
      </w:r>
      <w:r w:rsidR="00344ACD" w:rsidRPr="006D4E15">
        <w:rPr>
          <w:rFonts w:ascii="Times New Roman" w:hAnsi="Times New Roman"/>
          <w:sz w:val="24"/>
        </w:rPr>
        <w:t>-551;</w:t>
      </w:r>
      <w:r w:rsidR="003E2631" w:rsidRPr="006D4E15">
        <w:rPr>
          <w:rFonts w:ascii="Times New Roman" w:hAnsi="Times New Roman"/>
          <w:sz w:val="24"/>
        </w:rPr>
        <w:t xml:space="preserve"> Redress Report (2015) at 53-5</w:t>
      </w:r>
      <w:r w:rsidR="008658D2" w:rsidRPr="006D4E15">
        <w:rPr>
          <w:rFonts w:ascii="Times New Roman" w:hAnsi="Times New Roman"/>
          <w:sz w:val="24"/>
        </w:rPr>
        <w:t>4.</w:t>
      </w:r>
    </w:p>
  </w:footnote>
  <w:footnote w:id="148">
    <w:p w14:paraId="7A614F2D" w14:textId="0A79D2DB" w:rsidR="008658D2" w:rsidRPr="006D4E15" w:rsidRDefault="008658D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 xml:space="preserve">Redress Report </w:t>
      </w:r>
      <w:r w:rsidR="00714B50" w:rsidRPr="006D4E15">
        <w:rPr>
          <w:rFonts w:ascii="Times New Roman" w:hAnsi="Times New Roman"/>
          <w:sz w:val="24"/>
        </w:rPr>
        <w:t xml:space="preserve">(2015) </w:t>
      </w:r>
      <w:r w:rsidRPr="006D4E15">
        <w:rPr>
          <w:rFonts w:ascii="Times New Roman" w:hAnsi="Times New Roman"/>
          <w:sz w:val="24"/>
        </w:rPr>
        <w:t>at 54</w:t>
      </w:r>
      <w:r w:rsidR="00F03FB4" w:rsidRPr="006D4E15">
        <w:rPr>
          <w:rFonts w:ascii="Times New Roman" w:hAnsi="Times New Roman"/>
          <w:sz w:val="24"/>
        </w:rPr>
        <w:t>-55</w:t>
      </w:r>
      <w:r w:rsidR="00383CA9" w:rsidRPr="006D4E15">
        <w:rPr>
          <w:rFonts w:ascii="Times New Roman" w:hAnsi="Times New Roman"/>
          <w:sz w:val="24"/>
        </w:rPr>
        <w:t>, 491</w:t>
      </w:r>
      <w:r w:rsidR="00C81275" w:rsidRPr="006D4E15">
        <w:rPr>
          <w:rFonts w:ascii="Times New Roman" w:hAnsi="Times New Roman"/>
          <w:sz w:val="24"/>
        </w:rPr>
        <w:t>-492</w:t>
      </w:r>
      <w:r w:rsidRPr="006D4E15">
        <w:rPr>
          <w:rFonts w:ascii="Times New Roman" w:hAnsi="Times New Roman"/>
          <w:sz w:val="24"/>
        </w:rPr>
        <w:t>.</w:t>
      </w:r>
    </w:p>
  </w:footnote>
  <w:footnote w:id="149">
    <w:p w14:paraId="7C1C035C" w14:textId="1E7ED9B0" w:rsidR="002B4BAB" w:rsidRPr="006D4E15" w:rsidRDefault="002B4BAB" w:rsidP="006D4E15">
      <w:pPr>
        <w:pStyle w:val="FootnoteText"/>
        <w:spacing w:line="280" w:lineRule="exact"/>
        <w:ind w:right="0"/>
        <w:jc w:val="both"/>
        <w:rPr>
          <w:rFonts w:ascii="Times New Roman" w:hAnsi="Times New Roman"/>
          <w:i/>
          <w:iCs/>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7A6338" w:rsidRPr="006D4E15">
        <w:rPr>
          <w:rFonts w:ascii="Times New Roman" w:hAnsi="Times New Roman"/>
          <w:sz w:val="24"/>
        </w:rPr>
        <w:t xml:space="preserve">See, eg, </w:t>
      </w:r>
      <w:r w:rsidR="007A6338" w:rsidRPr="006D4E15">
        <w:rPr>
          <w:rFonts w:ascii="Times New Roman" w:hAnsi="Times New Roman"/>
          <w:i/>
          <w:iCs/>
          <w:sz w:val="24"/>
        </w:rPr>
        <w:t>Civil Liability Act 2002</w:t>
      </w:r>
      <w:r w:rsidR="007A6338" w:rsidRPr="006D4E15">
        <w:rPr>
          <w:rFonts w:ascii="Times New Roman" w:hAnsi="Times New Roman"/>
          <w:sz w:val="24"/>
        </w:rPr>
        <w:t xml:space="preserve"> (NSW), ss </w:t>
      </w:r>
      <w:r w:rsidR="0006142F" w:rsidRPr="006D4E15">
        <w:rPr>
          <w:rFonts w:ascii="Times New Roman" w:hAnsi="Times New Roman"/>
          <w:sz w:val="24"/>
        </w:rPr>
        <w:t xml:space="preserve">6G, </w:t>
      </w:r>
      <w:r w:rsidR="007A6338" w:rsidRPr="006D4E15">
        <w:rPr>
          <w:rFonts w:ascii="Times New Roman" w:hAnsi="Times New Roman"/>
          <w:sz w:val="24"/>
        </w:rPr>
        <w:t xml:space="preserve">6H, </w:t>
      </w:r>
      <w:r w:rsidR="000E7F6F" w:rsidRPr="006D4E15">
        <w:rPr>
          <w:rFonts w:ascii="Times New Roman" w:hAnsi="Times New Roman"/>
          <w:sz w:val="24"/>
        </w:rPr>
        <w:t xml:space="preserve">inserted </w:t>
      </w:r>
      <w:r w:rsidR="007A6338" w:rsidRPr="006D4E15">
        <w:rPr>
          <w:rFonts w:ascii="Times New Roman" w:hAnsi="Times New Roman"/>
          <w:sz w:val="24"/>
        </w:rPr>
        <w:t xml:space="preserve">by the </w:t>
      </w:r>
      <w:r w:rsidR="007A6338" w:rsidRPr="006D4E15">
        <w:rPr>
          <w:rFonts w:ascii="Times New Roman" w:hAnsi="Times New Roman"/>
          <w:i/>
          <w:iCs/>
          <w:sz w:val="24"/>
        </w:rPr>
        <w:t>Civil Liability Amendment (Organisational Child Abuse Liability) Act 2018</w:t>
      </w:r>
      <w:r w:rsidR="007A6338" w:rsidRPr="006D4E15">
        <w:rPr>
          <w:rFonts w:ascii="Times New Roman" w:hAnsi="Times New Roman"/>
          <w:sz w:val="24"/>
        </w:rPr>
        <w:t xml:space="preserve"> (NSW)</w:t>
      </w:r>
      <w:r w:rsidR="008D4A77" w:rsidRPr="006D4E15">
        <w:rPr>
          <w:rFonts w:ascii="Times New Roman" w:hAnsi="Times New Roman"/>
          <w:sz w:val="24"/>
        </w:rPr>
        <w:t>.</w:t>
      </w:r>
      <w:r w:rsidR="007A6338" w:rsidRPr="006D4E15">
        <w:rPr>
          <w:rFonts w:ascii="Times New Roman" w:hAnsi="Times New Roman"/>
          <w:sz w:val="24"/>
        </w:rPr>
        <w:t xml:space="preserve"> </w:t>
      </w:r>
      <w:r w:rsidR="0051149F" w:rsidRPr="006D4E15">
        <w:rPr>
          <w:rFonts w:ascii="Times New Roman" w:hAnsi="Times New Roman"/>
          <w:sz w:val="24"/>
        </w:rPr>
        <w:t xml:space="preserve">See also </w:t>
      </w:r>
      <w:r w:rsidR="007A6338" w:rsidRPr="006D4E15">
        <w:rPr>
          <w:rFonts w:ascii="Times New Roman" w:hAnsi="Times New Roman"/>
          <w:i/>
          <w:iCs/>
          <w:sz w:val="24"/>
        </w:rPr>
        <w:t>Civil Liability Act 2002</w:t>
      </w:r>
      <w:r w:rsidR="007A6338" w:rsidRPr="006D4E15">
        <w:rPr>
          <w:rFonts w:ascii="Times New Roman" w:hAnsi="Times New Roman"/>
          <w:sz w:val="24"/>
        </w:rPr>
        <w:t xml:space="preserve"> (Tas), ss 49I, 49J, </w:t>
      </w:r>
      <w:r w:rsidR="000E7F6F" w:rsidRPr="006D4E15">
        <w:rPr>
          <w:rFonts w:ascii="Times New Roman" w:hAnsi="Times New Roman"/>
          <w:sz w:val="24"/>
        </w:rPr>
        <w:t xml:space="preserve">inserted </w:t>
      </w:r>
      <w:r w:rsidR="007A6338" w:rsidRPr="006D4E15">
        <w:rPr>
          <w:rFonts w:ascii="Times New Roman" w:hAnsi="Times New Roman"/>
          <w:sz w:val="24"/>
        </w:rPr>
        <w:t xml:space="preserve">by the </w:t>
      </w:r>
      <w:r w:rsidR="007A6338" w:rsidRPr="006D4E15">
        <w:rPr>
          <w:rFonts w:ascii="Times New Roman" w:hAnsi="Times New Roman"/>
          <w:i/>
          <w:iCs/>
          <w:sz w:val="24"/>
        </w:rPr>
        <w:t xml:space="preserve">Justice Legislation Amendment </w:t>
      </w:r>
      <w:r w:rsidR="005A71D1" w:rsidRPr="006D4E15">
        <w:rPr>
          <w:rFonts w:ascii="Times New Roman" w:hAnsi="Times New Roman"/>
          <w:i/>
          <w:iCs/>
          <w:sz w:val="24"/>
        </w:rPr>
        <w:t>(</w:t>
      </w:r>
      <w:r w:rsidR="007A6338" w:rsidRPr="006D4E15">
        <w:rPr>
          <w:rFonts w:ascii="Times New Roman" w:hAnsi="Times New Roman"/>
          <w:i/>
          <w:iCs/>
          <w:sz w:val="24"/>
        </w:rPr>
        <w:t>Organisational Liability For Child Abuse</w:t>
      </w:r>
      <w:r w:rsidR="005A71D1" w:rsidRPr="006D4E15">
        <w:rPr>
          <w:rFonts w:ascii="Times New Roman" w:hAnsi="Times New Roman"/>
          <w:i/>
          <w:iCs/>
          <w:sz w:val="24"/>
        </w:rPr>
        <w:t>)</w:t>
      </w:r>
      <w:r w:rsidR="007A6338" w:rsidRPr="006D4E15">
        <w:rPr>
          <w:rFonts w:ascii="Times New Roman" w:hAnsi="Times New Roman"/>
          <w:i/>
          <w:iCs/>
          <w:sz w:val="24"/>
        </w:rPr>
        <w:t xml:space="preserve"> Act 2019</w:t>
      </w:r>
      <w:r w:rsidR="007A6338" w:rsidRPr="006D4E15">
        <w:rPr>
          <w:rFonts w:ascii="Times New Roman" w:hAnsi="Times New Roman"/>
          <w:sz w:val="24"/>
        </w:rPr>
        <w:t xml:space="preserve"> (Tas); </w:t>
      </w:r>
      <w:r w:rsidR="007A6338" w:rsidRPr="006D4E15">
        <w:rPr>
          <w:rFonts w:ascii="Times New Roman" w:hAnsi="Times New Roman"/>
          <w:i/>
          <w:iCs/>
          <w:sz w:val="24"/>
        </w:rPr>
        <w:t>Civil Liability Act 1936</w:t>
      </w:r>
      <w:r w:rsidR="007A6338" w:rsidRPr="006D4E15">
        <w:rPr>
          <w:rFonts w:ascii="Times New Roman" w:hAnsi="Times New Roman"/>
          <w:sz w:val="24"/>
        </w:rPr>
        <w:t xml:space="preserve"> (SA)</w:t>
      </w:r>
      <w:r w:rsidR="00A71727" w:rsidRPr="006D4E15">
        <w:rPr>
          <w:rFonts w:ascii="Times New Roman" w:hAnsi="Times New Roman"/>
          <w:sz w:val="24"/>
        </w:rPr>
        <w:t>,</w:t>
      </w:r>
      <w:r w:rsidR="007A6338" w:rsidRPr="006D4E15">
        <w:rPr>
          <w:rFonts w:ascii="Times New Roman" w:hAnsi="Times New Roman"/>
          <w:sz w:val="24"/>
        </w:rPr>
        <w:t xml:space="preserve"> ss 50A, 50G, inserted by </w:t>
      </w:r>
      <w:r w:rsidR="003D5BC2" w:rsidRPr="006D4E15">
        <w:rPr>
          <w:rFonts w:ascii="Times New Roman" w:hAnsi="Times New Roman"/>
          <w:sz w:val="24"/>
        </w:rPr>
        <w:t xml:space="preserve">the </w:t>
      </w:r>
      <w:r w:rsidR="007A6338" w:rsidRPr="006D4E15">
        <w:rPr>
          <w:rFonts w:ascii="Times New Roman" w:hAnsi="Times New Roman"/>
          <w:i/>
          <w:iCs/>
          <w:sz w:val="24"/>
        </w:rPr>
        <w:t>Civil Liability (Institutional Child Abuse Liability) Amendment Act 2021</w:t>
      </w:r>
      <w:r w:rsidR="007A6338" w:rsidRPr="006D4E15">
        <w:rPr>
          <w:rFonts w:ascii="Times New Roman" w:hAnsi="Times New Roman"/>
          <w:sz w:val="24"/>
        </w:rPr>
        <w:t xml:space="preserve"> (SA); </w:t>
      </w:r>
      <w:r w:rsidR="007A6338" w:rsidRPr="006D4E15">
        <w:rPr>
          <w:rFonts w:ascii="Times New Roman" w:hAnsi="Times New Roman"/>
          <w:i/>
          <w:iCs/>
          <w:sz w:val="24"/>
        </w:rPr>
        <w:t>Personal Injuries (Liabilities and Damages) Act 2003</w:t>
      </w:r>
      <w:r w:rsidR="007A6338" w:rsidRPr="006D4E15">
        <w:rPr>
          <w:rFonts w:ascii="Times New Roman" w:hAnsi="Times New Roman"/>
          <w:sz w:val="24"/>
        </w:rPr>
        <w:t xml:space="preserve"> (NT), s</w:t>
      </w:r>
      <w:r w:rsidR="004908A9" w:rsidRPr="006D4E15">
        <w:rPr>
          <w:rFonts w:ascii="Times New Roman" w:hAnsi="Times New Roman"/>
          <w:sz w:val="24"/>
        </w:rPr>
        <w:t> </w:t>
      </w:r>
      <w:r w:rsidR="007A6338" w:rsidRPr="006D4E15">
        <w:rPr>
          <w:rFonts w:ascii="Times New Roman" w:hAnsi="Times New Roman"/>
          <w:sz w:val="24"/>
        </w:rPr>
        <w:t>17G, inserted by</w:t>
      </w:r>
      <w:r w:rsidR="003D5BC2" w:rsidRPr="006D4E15">
        <w:rPr>
          <w:rFonts w:ascii="Times New Roman" w:hAnsi="Times New Roman"/>
          <w:sz w:val="24"/>
        </w:rPr>
        <w:t xml:space="preserve"> the</w:t>
      </w:r>
      <w:r w:rsidR="007A6338" w:rsidRPr="006D4E15">
        <w:rPr>
          <w:rFonts w:ascii="Times New Roman" w:hAnsi="Times New Roman"/>
          <w:sz w:val="24"/>
        </w:rPr>
        <w:t xml:space="preserve"> </w:t>
      </w:r>
      <w:r w:rsidR="007A6338" w:rsidRPr="006D4E15">
        <w:rPr>
          <w:rFonts w:ascii="Times New Roman" w:hAnsi="Times New Roman"/>
          <w:i/>
          <w:iCs/>
          <w:sz w:val="24"/>
        </w:rPr>
        <w:t>Personal Injuries (Liabilities and Damages) Amendment Act 2022</w:t>
      </w:r>
      <w:r w:rsidR="007A6338" w:rsidRPr="006D4E15">
        <w:rPr>
          <w:rFonts w:ascii="Times New Roman" w:hAnsi="Times New Roman"/>
          <w:sz w:val="24"/>
        </w:rPr>
        <w:t xml:space="preserve"> (NT).</w:t>
      </w:r>
    </w:p>
  </w:footnote>
  <w:footnote w:id="150">
    <w:p w14:paraId="2FFF1761" w14:textId="5782119A" w:rsidR="00D0454F" w:rsidRPr="006D4E15" w:rsidRDefault="00D0454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D21E4A" w:rsidRPr="006D4E15">
        <w:rPr>
          <w:rFonts w:ascii="Times New Roman" w:hAnsi="Times New Roman"/>
          <w:sz w:val="24"/>
        </w:rPr>
        <w:t xml:space="preserve">See, eg, </w:t>
      </w:r>
      <w:r w:rsidR="008F3657" w:rsidRPr="006D4E15">
        <w:rPr>
          <w:rFonts w:ascii="Times New Roman" w:hAnsi="Times New Roman"/>
          <w:sz w:val="24"/>
        </w:rPr>
        <w:t>Redress Report (2015) at 57</w:t>
      </w:r>
      <w:r w:rsidR="006B040A" w:rsidRPr="006D4E15">
        <w:rPr>
          <w:rFonts w:ascii="Times New Roman" w:hAnsi="Times New Roman"/>
          <w:sz w:val="24"/>
        </w:rPr>
        <w:t>.</w:t>
      </w:r>
    </w:p>
  </w:footnote>
  <w:footnote w:id="151">
    <w:p w14:paraId="3659DC80" w14:textId="08B0FACE" w:rsidR="00505781" w:rsidRPr="006D4E15" w:rsidRDefault="00505781"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854E3A" w:rsidRPr="006D4E15">
        <w:rPr>
          <w:rFonts w:ascii="Times New Roman" w:hAnsi="Times New Roman"/>
          <w:sz w:val="24"/>
        </w:rPr>
        <w:t>See, eg,</w:t>
      </w:r>
      <w:r w:rsidRPr="006D4E15">
        <w:rPr>
          <w:rFonts w:ascii="Times New Roman" w:hAnsi="Times New Roman"/>
          <w:sz w:val="24"/>
        </w:rPr>
        <w:t xml:space="preserve"> </w:t>
      </w:r>
      <w:r w:rsidR="00320541" w:rsidRPr="006D4E15">
        <w:rPr>
          <w:rFonts w:ascii="Times New Roman" w:hAnsi="Times New Roman"/>
          <w:i/>
          <w:iCs/>
          <w:sz w:val="24"/>
        </w:rPr>
        <w:t>Civil Liability Act 2002</w:t>
      </w:r>
      <w:r w:rsidR="00320541" w:rsidRPr="006D4E15">
        <w:rPr>
          <w:rFonts w:ascii="Times New Roman" w:hAnsi="Times New Roman"/>
          <w:sz w:val="24"/>
        </w:rPr>
        <w:t xml:space="preserve"> (NSW), </w:t>
      </w:r>
      <w:r w:rsidR="00B415C7" w:rsidRPr="006D4E15">
        <w:rPr>
          <w:rFonts w:ascii="Times New Roman" w:hAnsi="Times New Roman"/>
          <w:sz w:val="24"/>
        </w:rPr>
        <w:t xml:space="preserve">Sch </w:t>
      </w:r>
      <w:r w:rsidR="00320541" w:rsidRPr="006D4E15">
        <w:rPr>
          <w:rFonts w:ascii="Times New Roman" w:hAnsi="Times New Roman"/>
          <w:sz w:val="24"/>
        </w:rPr>
        <w:t xml:space="preserve">1, cl 44; </w:t>
      </w:r>
      <w:r w:rsidR="00320541" w:rsidRPr="006D4E15">
        <w:rPr>
          <w:rFonts w:ascii="Times New Roman" w:hAnsi="Times New Roman"/>
          <w:i/>
          <w:iCs/>
          <w:sz w:val="24"/>
        </w:rPr>
        <w:t>Civil</w:t>
      </w:r>
      <w:r w:rsidR="00285448" w:rsidRPr="006D4E15">
        <w:rPr>
          <w:rFonts w:ascii="Times New Roman" w:hAnsi="Times New Roman"/>
          <w:i/>
          <w:iCs/>
          <w:sz w:val="24"/>
        </w:rPr>
        <w:t> </w:t>
      </w:r>
      <w:r w:rsidR="00320541" w:rsidRPr="006D4E15">
        <w:rPr>
          <w:rFonts w:ascii="Times New Roman" w:hAnsi="Times New Roman"/>
          <w:i/>
          <w:iCs/>
          <w:sz w:val="24"/>
        </w:rPr>
        <w:t>Liability Act 2002</w:t>
      </w:r>
      <w:r w:rsidR="00320541" w:rsidRPr="006D4E15">
        <w:rPr>
          <w:rFonts w:ascii="Times New Roman" w:hAnsi="Times New Roman"/>
          <w:sz w:val="24"/>
        </w:rPr>
        <w:t xml:space="preserve"> (Tas), s 4(8)</w:t>
      </w:r>
      <w:r w:rsidR="00A71727" w:rsidRPr="006D4E15">
        <w:rPr>
          <w:rFonts w:ascii="Times New Roman" w:hAnsi="Times New Roman"/>
          <w:sz w:val="24"/>
        </w:rPr>
        <w:t>;</w:t>
      </w:r>
      <w:r w:rsidR="00AB1EB9" w:rsidRPr="006D4E15">
        <w:rPr>
          <w:rFonts w:ascii="Times New Roman" w:hAnsi="Times New Roman"/>
          <w:sz w:val="24"/>
        </w:rPr>
        <w:t xml:space="preserve"> </w:t>
      </w:r>
      <w:r w:rsidR="00AB1EB9" w:rsidRPr="006D4E15">
        <w:rPr>
          <w:rFonts w:ascii="Times New Roman" w:hAnsi="Times New Roman"/>
          <w:i/>
          <w:iCs/>
          <w:sz w:val="24"/>
        </w:rPr>
        <w:t>Wrongs Act</w:t>
      </w:r>
      <w:r w:rsidR="00AB1EB9" w:rsidRPr="006D4E15">
        <w:rPr>
          <w:rFonts w:ascii="Times New Roman" w:hAnsi="Times New Roman"/>
          <w:i/>
          <w:sz w:val="24"/>
        </w:rPr>
        <w:t xml:space="preserve"> 1958 </w:t>
      </w:r>
      <w:r w:rsidR="00AB1EB9" w:rsidRPr="006D4E15">
        <w:rPr>
          <w:rFonts w:ascii="Times New Roman" w:hAnsi="Times New Roman"/>
          <w:sz w:val="24"/>
        </w:rPr>
        <w:t xml:space="preserve">(Vic), </w:t>
      </w:r>
      <w:r w:rsidR="00AB1EB9" w:rsidRPr="006D4E15" w:rsidDel="00853602">
        <w:rPr>
          <w:rFonts w:ascii="Times New Roman" w:hAnsi="Times New Roman"/>
          <w:sz w:val="24"/>
        </w:rPr>
        <w:t>s</w:t>
      </w:r>
      <w:r w:rsidR="00AB1EB9" w:rsidRPr="006D4E15">
        <w:rPr>
          <w:rFonts w:ascii="Times New Roman" w:hAnsi="Times New Roman"/>
          <w:sz w:val="24"/>
        </w:rPr>
        <w:t> 93</w:t>
      </w:r>
      <w:r w:rsidR="00320541" w:rsidRPr="006D4E15">
        <w:rPr>
          <w:rFonts w:ascii="Times New Roman" w:hAnsi="Times New Roman"/>
          <w:sz w:val="24"/>
        </w:rPr>
        <w:t xml:space="preserve">; </w:t>
      </w:r>
      <w:r w:rsidR="009D019C" w:rsidRPr="006D4E15">
        <w:rPr>
          <w:rFonts w:ascii="Times New Roman" w:hAnsi="Times New Roman"/>
          <w:sz w:val="24"/>
        </w:rPr>
        <w:t>cf</w:t>
      </w:r>
      <w:r w:rsidR="00E70909" w:rsidRPr="006D4E15">
        <w:rPr>
          <w:rFonts w:ascii="Times New Roman" w:hAnsi="Times New Roman"/>
          <w:sz w:val="24"/>
        </w:rPr>
        <w:t> </w:t>
      </w:r>
      <w:r w:rsidR="009D019C" w:rsidRPr="006D4E15">
        <w:rPr>
          <w:rFonts w:ascii="Times New Roman" w:hAnsi="Times New Roman"/>
          <w:i/>
          <w:iCs/>
          <w:sz w:val="24"/>
        </w:rPr>
        <w:t xml:space="preserve">Civil Liability Act 1936 </w:t>
      </w:r>
      <w:r w:rsidR="009D019C" w:rsidRPr="006D4E15">
        <w:rPr>
          <w:rFonts w:ascii="Times New Roman" w:hAnsi="Times New Roman"/>
          <w:sz w:val="24"/>
        </w:rPr>
        <w:t>(SA), s 50D(1)</w:t>
      </w:r>
      <w:r w:rsidR="003E18B6" w:rsidRPr="006D4E15">
        <w:rPr>
          <w:rFonts w:ascii="Times New Roman" w:hAnsi="Times New Roman"/>
          <w:sz w:val="24"/>
        </w:rPr>
        <w:t>;</w:t>
      </w:r>
      <w:r w:rsidR="007A6957" w:rsidRPr="006D4E15">
        <w:rPr>
          <w:rFonts w:ascii="Times New Roman" w:hAnsi="Times New Roman"/>
          <w:i/>
          <w:sz w:val="24"/>
        </w:rPr>
        <w:t xml:space="preserve"> Personal Injuries (Liabilities and Damages) Act 2003</w:t>
      </w:r>
      <w:r w:rsidR="007A6957" w:rsidRPr="006D4E15">
        <w:rPr>
          <w:rFonts w:ascii="Times New Roman" w:hAnsi="Times New Roman"/>
          <w:sz w:val="24"/>
        </w:rPr>
        <w:t xml:space="preserve"> (NT), s</w:t>
      </w:r>
      <w:r w:rsidR="000806D0" w:rsidRPr="006D4E15">
        <w:rPr>
          <w:rFonts w:ascii="Times New Roman" w:hAnsi="Times New Roman"/>
          <w:sz w:val="24"/>
        </w:rPr>
        <w:t> </w:t>
      </w:r>
      <w:r w:rsidR="007A6957" w:rsidRPr="006D4E15">
        <w:rPr>
          <w:rFonts w:ascii="Times New Roman" w:hAnsi="Times New Roman"/>
          <w:sz w:val="24"/>
        </w:rPr>
        <w:t>17B(5).</w:t>
      </w:r>
    </w:p>
  </w:footnote>
  <w:footnote w:id="152">
    <w:p w14:paraId="023CF9F9" w14:textId="669A9745" w:rsidR="00971852" w:rsidRPr="006D4E15" w:rsidRDefault="00971852" w:rsidP="006D4E15">
      <w:pPr>
        <w:pStyle w:val="FootnoteText"/>
        <w:spacing w:line="280" w:lineRule="exact"/>
        <w:ind w:right="0"/>
        <w:jc w:val="both"/>
        <w:rPr>
          <w:rFonts w:ascii="Times New Roman" w:hAnsi="Times New Roman"/>
          <w:sz w:val="24"/>
          <w:szCs w:val="18"/>
        </w:rPr>
      </w:pPr>
      <w:r w:rsidRPr="006D4E15">
        <w:rPr>
          <w:rStyle w:val="FootnoteReference"/>
          <w:rFonts w:ascii="Times New Roman" w:hAnsi="Times New Roman"/>
          <w:sz w:val="22"/>
          <w:szCs w:val="18"/>
          <w:vertAlign w:val="baseline"/>
        </w:rPr>
        <w:footnoteRef/>
      </w:r>
      <w:r w:rsidRPr="006D4E15">
        <w:rPr>
          <w:rFonts w:ascii="Times New Roman" w:hAnsi="Times New Roman"/>
          <w:sz w:val="24"/>
          <w:szCs w:val="18"/>
        </w:rPr>
        <w:t xml:space="preserve"> </w:t>
      </w:r>
      <w:r w:rsidRPr="006D4E15">
        <w:rPr>
          <w:rFonts w:ascii="Times New Roman" w:hAnsi="Times New Roman"/>
          <w:sz w:val="24"/>
          <w:szCs w:val="18"/>
        </w:rPr>
        <w:tab/>
      </w:r>
      <w:r w:rsidR="007E3C14" w:rsidRPr="006D4E15">
        <w:rPr>
          <w:rFonts w:ascii="Times New Roman" w:hAnsi="Times New Roman"/>
          <w:sz w:val="24"/>
          <w:szCs w:val="18"/>
        </w:rPr>
        <w:t xml:space="preserve">Parliamentary Committee Report (2013) at </w:t>
      </w:r>
      <w:r w:rsidRPr="006D4E15">
        <w:rPr>
          <w:rFonts w:ascii="Times New Roman" w:hAnsi="Times New Roman"/>
          <w:sz w:val="24"/>
          <w:szCs w:val="18"/>
        </w:rPr>
        <w:t xml:space="preserve">511, </w:t>
      </w:r>
      <w:r w:rsidRPr="006D4E15">
        <w:rPr>
          <w:rFonts w:ascii="Times New Roman" w:hAnsi="Times New Roman"/>
          <w:sz w:val="24"/>
        </w:rPr>
        <w:t>530</w:t>
      </w:r>
      <w:r w:rsidRPr="006D4E15">
        <w:rPr>
          <w:rFonts w:ascii="Times New Roman" w:hAnsi="Times New Roman"/>
          <w:sz w:val="24"/>
          <w:szCs w:val="18"/>
        </w:rPr>
        <w:t>-</w:t>
      </w:r>
      <w:r w:rsidR="008205FF" w:rsidRPr="006D4E15">
        <w:rPr>
          <w:rFonts w:ascii="Times New Roman" w:hAnsi="Times New Roman"/>
          <w:sz w:val="24"/>
          <w:szCs w:val="18"/>
        </w:rPr>
        <w:t>53</w:t>
      </w:r>
      <w:r w:rsidRPr="006D4E15">
        <w:rPr>
          <w:rFonts w:ascii="Times New Roman" w:hAnsi="Times New Roman"/>
          <w:sz w:val="24"/>
          <w:szCs w:val="18"/>
        </w:rPr>
        <w:t>6; Redress</w:t>
      </w:r>
      <w:r w:rsidR="00285448" w:rsidRPr="006D4E15">
        <w:rPr>
          <w:rFonts w:ascii="Times New Roman" w:hAnsi="Times New Roman"/>
          <w:sz w:val="24"/>
          <w:szCs w:val="18"/>
        </w:rPr>
        <w:t> </w:t>
      </w:r>
      <w:r w:rsidRPr="006D4E15">
        <w:rPr>
          <w:rFonts w:ascii="Times New Roman" w:hAnsi="Times New Roman"/>
          <w:sz w:val="24"/>
          <w:szCs w:val="18"/>
        </w:rPr>
        <w:t>Report (2015)</w:t>
      </w:r>
      <w:r w:rsidR="00B216CC" w:rsidRPr="006D4E15">
        <w:rPr>
          <w:rFonts w:ascii="Times New Roman" w:hAnsi="Times New Roman"/>
          <w:sz w:val="24"/>
          <w:szCs w:val="18"/>
        </w:rPr>
        <w:t xml:space="preserve"> at</w:t>
      </w:r>
      <w:r w:rsidRPr="006D4E15">
        <w:rPr>
          <w:rFonts w:ascii="Times New Roman" w:hAnsi="Times New Roman"/>
          <w:sz w:val="24"/>
          <w:szCs w:val="18"/>
        </w:rPr>
        <w:t xml:space="preserve"> 496-511; cf </w:t>
      </w:r>
      <w:r w:rsidRPr="006D4E15">
        <w:rPr>
          <w:rFonts w:ascii="Times New Roman" w:hAnsi="Times New Roman"/>
          <w:i/>
          <w:iCs/>
          <w:sz w:val="24"/>
          <w:szCs w:val="18"/>
        </w:rPr>
        <w:t>Ellis</w:t>
      </w:r>
      <w:r w:rsidRPr="006D4E15">
        <w:rPr>
          <w:rFonts w:ascii="Times New Roman" w:hAnsi="Times New Roman"/>
          <w:sz w:val="24"/>
          <w:szCs w:val="18"/>
        </w:rPr>
        <w:t xml:space="preserve"> (2007) 70 NSWLR 565.</w:t>
      </w:r>
    </w:p>
  </w:footnote>
  <w:footnote w:id="153">
    <w:p w14:paraId="0DF36B3D" w14:textId="4B321ACA" w:rsidR="00BC3514" w:rsidRPr="006D4E15" w:rsidRDefault="00BC351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Legal Identity Act, s 1.</w:t>
      </w:r>
    </w:p>
  </w:footnote>
  <w:footnote w:id="154">
    <w:p w14:paraId="650183D4" w14:textId="0A0956CA" w:rsidR="009F5FF4" w:rsidRPr="006D4E15" w:rsidRDefault="009F5FF4"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Legal Identity Act, s 5.</w:t>
      </w:r>
    </w:p>
  </w:footnote>
  <w:footnote w:id="155">
    <w:p w14:paraId="19671354" w14:textId="5A1C2D0A" w:rsidR="008B071D" w:rsidRPr="006D4E15" w:rsidRDefault="008B071D"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024062" w:rsidRPr="006D4E15">
        <w:rPr>
          <w:rFonts w:ascii="Times New Roman" w:hAnsi="Times New Roman"/>
          <w:sz w:val="24"/>
        </w:rPr>
        <w:t xml:space="preserve">Victoria, Legislative Assembly, </w:t>
      </w:r>
      <w:r w:rsidRPr="006D4E15">
        <w:rPr>
          <w:rFonts w:ascii="Times New Roman" w:hAnsi="Times New Roman"/>
          <w:i/>
          <w:sz w:val="24"/>
        </w:rPr>
        <w:t>Legal Identity of Defendants (Organisational Child Abuse) Bill 2018</w:t>
      </w:r>
      <w:r w:rsidR="00B21573" w:rsidRPr="006D4E15">
        <w:rPr>
          <w:rFonts w:ascii="Times New Roman" w:hAnsi="Times New Roman"/>
          <w:iCs/>
          <w:sz w:val="24"/>
        </w:rPr>
        <w:t>, Explanatory Memorandum at</w:t>
      </w:r>
      <w:r w:rsidRPr="006D4E15">
        <w:rPr>
          <w:rFonts w:ascii="Times New Roman" w:hAnsi="Times New Roman"/>
          <w:sz w:val="24"/>
        </w:rPr>
        <w:t xml:space="preserve"> 1.</w:t>
      </w:r>
    </w:p>
  </w:footnote>
  <w:footnote w:id="156">
    <w:p w14:paraId="43C43798" w14:textId="1DEA12F9" w:rsidR="00E22682" w:rsidRPr="006D4E15" w:rsidRDefault="00E22682"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870C9" w:rsidRPr="006D4E15">
        <w:rPr>
          <w:rFonts w:ascii="Times New Roman" w:hAnsi="Times New Roman"/>
          <w:iCs/>
          <w:sz w:val="24"/>
        </w:rPr>
        <w:t>Parliamentary Committee Report</w:t>
      </w:r>
      <w:r w:rsidR="00B23256" w:rsidRPr="006D4E15">
        <w:rPr>
          <w:rFonts w:ascii="Times New Roman" w:hAnsi="Times New Roman"/>
          <w:sz w:val="24"/>
        </w:rPr>
        <w:t xml:space="preserve"> (2013)</w:t>
      </w:r>
      <w:r w:rsidR="006717FB" w:rsidRPr="006D4E15">
        <w:rPr>
          <w:rFonts w:ascii="Times New Roman" w:hAnsi="Times New Roman"/>
          <w:sz w:val="24"/>
        </w:rPr>
        <w:t xml:space="preserve"> at</w:t>
      </w:r>
      <w:r w:rsidRPr="006D4E15">
        <w:rPr>
          <w:rFonts w:ascii="Times New Roman" w:hAnsi="Times New Roman"/>
          <w:sz w:val="24"/>
        </w:rPr>
        <w:t xml:space="preserve"> 536.</w:t>
      </w:r>
    </w:p>
  </w:footnote>
  <w:footnote w:id="157">
    <w:p w14:paraId="35C27C7A" w14:textId="05F8B27A" w:rsidR="00FD3EE5" w:rsidRPr="006D4E15" w:rsidRDefault="00FD3EE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r>
      <w:r w:rsidR="009870C9" w:rsidRPr="006D4E15">
        <w:rPr>
          <w:rFonts w:ascii="Times New Roman" w:hAnsi="Times New Roman"/>
          <w:iCs/>
          <w:sz w:val="24"/>
        </w:rPr>
        <w:t>Parliamentary Committee Report</w:t>
      </w:r>
      <w:r w:rsidR="00B23256" w:rsidRPr="006D4E15">
        <w:rPr>
          <w:rFonts w:ascii="Times New Roman" w:hAnsi="Times New Roman"/>
          <w:sz w:val="24"/>
        </w:rPr>
        <w:t xml:space="preserve"> (2013)</w:t>
      </w:r>
      <w:r w:rsidR="006717FB" w:rsidRPr="006D4E15">
        <w:rPr>
          <w:rFonts w:ascii="Times New Roman" w:hAnsi="Times New Roman"/>
          <w:sz w:val="24"/>
        </w:rPr>
        <w:t xml:space="preserve"> at</w:t>
      </w:r>
      <w:r w:rsidRPr="006D4E15">
        <w:rPr>
          <w:rFonts w:ascii="Times New Roman" w:hAnsi="Times New Roman"/>
          <w:sz w:val="24"/>
        </w:rPr>
        <w:t xml:space="preserve"> </w:t>
      </w:r>
      <w:r w:rsidR="00E658B5" w:rsidRPr="006D4E15">
        <w:rPr>
          <w:rFonts w:ascii="Times New Roman" w:hAnsi="Times New Roman"/>
          <w:sz w:val="24"/>
        </w:rPr>
        <w:t>545</w:t>
      </w:r>
      <w:r w:rsidRPr="006D4E15">
        <w:rPr>
          <w:rFonts w:ascii="Times New Roman" w:hAnsi="Times New Roman"/>
          <w:sz w:val="24"/>
        </w:rPr>
        <w:t>-552</w:t>
      </w:r>
      <w:r w:rsidR="00DF73D2" w:rsidRPr="006D4E15">
        <w:rPr>
          <w:rFonts w:ascii="Times New Roman" w:hAnsi="Times New Roman"/>
          <w:sz w:val="24"/>
        </w:rPr>
        <w:t>.</w:t>
      </w:r>
    </w:p>
  </w:footnote>
  <w:footnote w:id="158">
    <w:p w14:paraId="51170C7B" w14:textId="08372337" w:rsidR="00516968" w:rsidRPr="006D4E15" w:rsidRDefault="00516968"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003E5776" w:rsidRPr="006D4E15">
        <w:rPr>
          <w:rFonts w:ascii="Times New Roman" w:hAnsi="Times New Roman"/>
          <w:sz w:val="24"/>
        </w:rPr>
        <w:tab/>
        <w:t>Redress Report (2015)</w:t>
      </w:r>
      <w:r w:rsidR="003D37EC" w:rsidRPr="006D4E15">
        <w:rPr>
          <w:rFonts w:ascii="Times New Roman" w:hAnsi="Times New Roman"/>
          <w:sz w:val="24"/>
        </w:rPr>
        <w:t xml:space="preserve"> at</w:t>
      </w:r>
      <w:r w:rsidR="00593507" w:rsidRPr="006D4E15">
        <w:rPr>
          <w:rFonts w:ascii="Times New Roman" w:hAnsi="Times New Roman"/>
          <w:sz w:val="24"/>
        </w:rPr>
        <w:t xml:space="preserve"> 511</w:t>
      </w:r>
      <w:r w:rsidRPr="006D4E15">
        <w:rPr>
          <w:rFonts w:ascii="Times New Roman" w:hAnsi="Times New Roman"/>
          <w:sz w:val="24"/>
        </w:rPr>
        <w:t>.</w:t>
      </w:r>
    </w:p>
  </w:footnote>
  <w:footnote w:id="159">
    <w:p w14:paraId="7D9996E9" w14:textId="332B2DB1" w:rsidR="009E6BF5" w:rsidRPr="006D4E15" w:rsidRDefault="009E6BF5"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00331803" w:rsidRPr="006D4E15">
        <w:rPr>
          <w:rFonts w:ascii="Times New Roman" w:hAnsi="Times New Roman"/>
          <w:sz w:val="24"/>
        </w:rPr>
        <w:tab/>
      </w:r>
      <w:r w:rsidRPr="006D4E15">
        <w:rPr>
          <w:rFonts w:ascii="Times New Roman" w:hAnsi="Times New Roman"/>
          <w:sz w:val="24"/>
        </w:rPr>
        <w:t xml:space="preserve">Redress Report (2015) at </w:t>
      </w:r>
      <w:r w:rsidR="002F25EF" w:rsidRPr="006D4E15">
        <w:rPr>
          <w:rFonts w:ascii="Times New Roman" w:hAnsi="Times New Roman"/>
          <w:sz w:val="24"/>
        </w:rPr>
        <w:t>4</w:t>
      </w:r>
      <w:r w:rsidRPr="006D4E15">
        <w:rPr>
          <w:rFonts w:ascii="Times New Roman" w:hAnsi="Times New Roman"/>
          <w:sz w:val="24"/>
        </w:rPr>
        <w:t>95.</w:t>
      </w:r>
    </w:p>
  </w:footnote>
  <w:footnote w:id="160">
    <w:p w14:paraId="6FEA7171" w14:textId="30F20922" w:rsidR="006D4550" w:rsidRPr="006D4E15" w:rsidRDefault="006D4550"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sz w:val="24"/>
        </w:rPr>
        <w:tab/>
        <w:t>Redress Report</w:t>
      </w:r>
      <w:r w:rsidR="00B34015" w:rsidRPr="006D4E15">
        <w:rPr>
          <w:rFonts w:ascii="Times New Roman" w:hAnsi="Times New Roman"/>
          <w:sz w:val="24"/>
        </w:rPr>
        <w:t xml:space="preserve"> (2015) at</w:t>
      </w:r>
      <w:r w:rsidRPr="006D4E15">
        <w:rPr>
          <w:rFonts w:ascii="Times New Roman" w:hAnsi="Times New Roman"/>
          <w:sz w:val="24"/>
        </w:rPr>
        <w:t xml:space="preserve"> 495.</w:t>
      </w:r>
    </w:p>
  </w:footnote>
  <w:footnote w:id="161">
    <w:p w14:paraId="16AE5689" w14:textId="3F03B97F" w:rsidR="00B27CAF" w:rsidRPr="006D4E15" w:rsidRDefault="00B27CAF" w:rsidP="006D4E15">
      <w:pPr>
        <w:pStyle w:val="FootnoteText"/>
        <w:spacing w:line="280" w:lineRule="exact"/>
        <w:ind w:right="0"/>
        <w:jc w:val="both"/>
        <w:rPr>
          <w:rFonts w:ascii="Times New Roman" w:hAnsi="Times New Roman"/>
          <w:sz w:val="24"/>
        </w:rPr>
      </w:pPr>
      <w:r w:rsidRPr="006D4E15">
        <w:rPr>
          <w:rStyle w:val="FootnoteReference"/>
          <w:rFonts w:ascii="Times New Roman" w:hAnsi="Times New Roman"/>
          <w:sz w:val="22"/>
          <w:vertAlign w:val="baseline"/>
        </w:rPr>
        <w:footnoteRef/>
      </w:r>
      <w:r w:rsidRPr="006D4E15">
        <w:rPr>
          <w:rFonts w:ascii="Times New Roman" w:hAnsi="Times New Roman"/>
          <w:sz w:val="24"/>
        </w:rPr>
        <w:t xml:space="preserve"> </w:t>
      </w:r>
      <w:r w:rsidRPr="006D4E15">
        <w:rPr>
          <w:rFonts w:ascii="Times New Roman" w:hAnsi="Times New Roman"/>
          <w:i/>
          <w:iCs/>
          <w:sz w:val="24"/>
        </w:rPr>
        <w:tab/>
      </w:r>
      <w:r w:rsidR="0026153A" w:rsidRPr="006D4E15">
        <w:rPr>
          <w:rFonts w:ascii="Times New Roman" w:hAnsi="Times New Roman"/>
          <w:i/>
          <w:sz w:val="24"/>
        </w:rPr>
        <w:t>Tame v New South Wales</w:t>
      </w:r>
      <w:r w:rsidR="0026153A" w:rsidRPr="006D4E15">
        <w:rPr>
          <w:rFonts w:ascii="Times New Roman" w:hAnsi="Times New Roman"/>
          <w:sz w:val="24"/>
        </w:rPr>
        <w:t xml:space="preserve"> (2002) 211 CLR 317 at 394 [224</w:t>
      </w:r>
      <w:r w:rsidR="00986852" w:rsidRPr="006D4E15">
        <w:rPr>
          <w:rFonts w:ascii="Times New Roman" w:hAnsi="Times New Roman"/>
          <w:sz w:val="24"/>
        </w:rPr>
        <w:t>]</w:t>
      </w:r>
      <w:r w:rsidR="00B57767" w:rsidRPr="006D4E15">
        <w:rPr>
          <w:rFonts w:ascii="Times New Roman" w:hAnsi="Times New Roman"/>
          <w:sz w:val="24"/>
        </w:rPr>
        <w:t>,</w:t>
      </w:r>
      <w:r w:rsidR="001C1127" w:rsidRPr="006D4E15">
        <w:rPr>
          <w:rFonts w:ascii="Times New Roman" w:hAnsi="Times New Roman"/>
          <w:sz w:val="24"/>
        </w:rPr>
        <w:t xml:space="preserve"> citing</w:t>
      </w:r>
      <w:r w:rsidR="0026153A" w:rsidRPr="006D4E15">
        <w:rPr>
          <w:rFonts w:ascii="Times New Roman" w:hAnsi="Times New Roman"/>
          <w:sz w:val="24"/>
        </w:rPr>
        <w:t xml:space="preserve"> </w:t>
      </w:r>
      <w:r w:rsidR="0026153A" w:rsidRPr="006D4E15">
        <w:rPr>
          <w:rFonts w:ascii="Times New Roman" w:hAnsi="Times New Roman"/>
          <w:i/>
          <w:sz w:val="24"/>
        </w:rPr>
        <w:t>Esso Australia Resources</w:t>
      </w:r>
      <w:r w:rsidR="001C564F" w:rsidRPr="006D4E15">
        <w:rPr>
          <w:rFonts w:ascii="Times New Roman" w:hAnsi="Times New Roman"/>
          <w:i/>
          <w:sz w:val="24"/>
        </w:rPr>
        <w:t xml:space="preserve"> Ltd</w:t>
      </w:r>
      <w:r w:rsidR="0026153A" w:rsidRPr="006D4E15">
        <w:rPr>
          <w:rFonts w:ascii="Times New Roman" w:hAnsi="Times New Roman"/>
          <w:i/>
          <w:sz w:val="24"/>
        </w:rPr>
        <w:t xml:space="preserve"> v </w:t>
      </w:r>
      <w:r w:rsidR="00BE1ECF" w:rsidRPr="006D4E15">
        <w:rPr>
          <w:rFonts w:ascii="Times New Roman" w:hAnsi="Times New Roman"/>
          <w:i/>
          <w:sz w:val="24"/>
        </w:rPr>
        <w:t xml:space="preserve">Federal </w:t>
      </w:r>
      <w:r w:rsidR="0026153A" w:rsidRPr="006D4E15">
        <w:rPr>
          <w:rFonts w:ascii="Times New Roman" w:hAnsi="Times New Roman"/>
          <w:i/>
          <w:sz w:val="24"/>
        </w:rPr>
        <w:t>Commissioner of Taxation</w:t>
      </w:r>
      <w:r w:rsidR="0026153A" w:rsidRPr="006D4E15">
        <w:rPr>
          <w:rFonts w:ascii="Times New Roman" w:hAnsi="Times New Roman"/>
          <w:sz w:val="24"/>
        </w:rPr>
        <w:t xml:space="preserve"> (1999) 201 CLR 49</w:t>
      </w:r>
      <w:r w:rsidR="00EB651E" w:rsidRPr="006D4E15">
        <w:rPr>
          <w:rFonts w:ascii="Times New Roman" w:hAnsi="Times New Roman"/>
          <w:sz w:val="24"/>
        </w:rPr>
        <w:t xml:space="preserve"> at</w:t>
      </w:r>
      <w:r w:rsidR="0026153A" w:rsidRPr="006D4E15">
        <w:rPr>
          <w:rFonts w:ascii="Times New Roman" w:hAnsi="Times New Roman"/>
          <w:sz w:val="24"/>
        </w:rPr>
        <w:t xml:space="preserve"> 60-</w:t>
      </w:r>
      <w:r w:rsidR="00986852" w:rsidRPr="006D4E15">
        <w:rPr>
          <w:rFonts w:ascii="Times New Roman" w:hAnsi="Times New Roman"/>
          <w:sz w:val="24"/>
        </w:rPr>
        <w:t>6</w:t>
      </w:r>
      <w:r w:rsidR="0026153A" w:rsidRPr="006D4E15">
        <w:rPr>
          <w:rFonts w:ascii="Times New Roman" w:hAnsi="Times New Roman"/>
          <w:sz w:val="24"/>
        </w:rPr>
        <w:t>3 [19]-[28]</w:t>
      </w:r>
      <w:r w:rsidR="00986852" w:rsidRPr="006D4E15">
        <w:rPr>
          <w:rFonts w:ascii="Times New Roman" w:hAnsi="Times New Roman"/>
          <w:sz w:val="24"/>
        </w:rPr>
        <w:t xml:space="preserve">. </w:t>
      </w:r>
      <w:r w:rsidR="00636BAA" w:rsidRPr="006D4E15">
        <w:rPr>
          <w:rFonts w:ascii="Times New Roman" w:hAnsi="Times New Roman"/>
          <w:sz w:val="24"/>
        </w:rPr>
        <w:t xml:space="preserve">See, eg, </w:t>
      </w:r>
      <w:r w:rsidR="0084781E" w:rsidRPr="006D4E15">
        <w:rPr>
          <w:rFonts w:ascii="Times New Roman" w:hAnsi="Times New Roman"/>
          <w:i/>
          <w:sz w:val="24"/>
        </w:rPr>
        <w:t xml:space="preserve">R v Swaffield </w:t>
      </w:r>
      <w:r w:rsidR="0084781E" w:rsidRPr="006D4E15">
        <w:rPr>
          <w:rFonts w:ascii="Times New Roman" w:hAnsi="Times New Roman"/>
          <w:sz w:val="24"/>
        </w:rPr>
        <w:t>(1998) 192 CLR 159 at 193</w:t>
      </w:r>
      <w:r w:rsidR="0084781E" w:rsidRPr="006D4E15">
        <w:rPr>
          <w:rFonts w:ascii="Times New Roman" w:hAnsi="Times New Roman"/>
          <w:sz w:val="24"/>
        </w:rPr>
        <w:noBreakHyphen/>
        <w:t xml:space="preserve">195 [66]-[70], 202 [92]; </w:t>
      </w:r>
      <w:r w:rsidR="00433868" w:rsidRPr="006D4E15">
        <w:rPr>
          <w:rFonts w:ascii="Times New Roman" w:hAnsi="Times New Roman"/>
          <w:i/>
          <w:sz w:val="24"/>
        </w:rPr>
        <w:t>PGA v The</w:t>
      </w:r>
      <w:r w:rsidR="004C7BD6" w:rsidRPr="006D4E15">
        <w:rPr>
          <w:rFonts w:ascii="Times New Roman" w:hAnsi="Times New Roman"/>
          <w:i/>
          <w:sz w:val="24"/>
        </w:rPr>
        <w:t> </w:t>
      </w:r>
      <w:r w:rsidR="00433868" w:rsidRPr="006D4E15">
        <w:rPr>
          <w:rFonts w:ascii="Times New Roman" w:hAnsi="Times New Roman"/>
          <w:i/>
          <w:sz w:val="24"/>
        </w:rPr>
        <w:t xml:space="preserve">Queen </w:t>
      </w:r>
      <w:r w:rsidR="00433868" w:rsidRPr="006D4E15">
        <w:rPr>
          <w:rFonts w:ascii="Times New Roman" w:hAnsi="Times New Roman"/>
          <w:sz w:val="24"/>
        </w:rPr>
        <w:t xml:space="preserve">(2012) 245 CLR 355 at </w:t>
      </w:r>
      <w:r w:rsidR="00A11407" w:rsidRPr="006D4E15">
        <w:rPr>
          <w:rFonts w:ascii="Times New Roman" w:hAnsi="Times New Roman"/>
          <w:sz w:val="24"/>
        </w:rPr>
        <w:t>369 [18],</w:t>
      </w:r>
      <w:r w:rsidR="0081681F" w:rsidRPr="006D4E15">
        <w:rPr>
          <w:rFonts w:ascii="Times New Roman" w:hAnsi="Times New Roman"/>
          <w:sz w:val="24"/>
        </w:rPr>
        <w:t xml:space="preserve"> </w:t>
      </w:r>
      <w:r w:rsidR="00E317B5" w:rsidRPr="006D4E15">
        <w:rPr>
          <w:rFonts w:ascii="Times New Roman" w:hAnsi="Times New Roman"/>
          <w:sz w:val="24"/>
        </w:rPr>
        <w:t xml:space="preserve">373 [30], </w:t>
      </w:r>
      <w:r w:rsidR="0081681F" w:rsidRPr="006D4E15">
        <w:rPr>
          <w:rFonts w:ascii="Times New Roman" w:hAnsi="Times New Roman"/>
          <w:sz w:val="24"/>
        </w:rPr>
        <w:t>378</w:t>
      </w:r>
      <w:r w:rsidR="0063719F" w:rsidRPr="006D4E15">
        <w:rPr>
          <w:rFonts w:ascii="Times New Roman" w:hAnsi="Times New Roman"/>
          <w:sz w:val="24"/>
        </w:rPr>
        <w:t> </w:t>
      </w:r>
      <w:r w:rsidR="0081681F" w:rsidRPr="006D4E15">
        <w:rPr>
          <w:rFonts w:ascii="Times New Roman" w:hAnsi="Times New Roman"/>
          <w:sz w:val="24"/>
        </w:rPr>
        <w:t>[46]</w:t>
      </w:r>
      <w:r w:rsidR="00D02D97" w:rsidRPr="006D4E15">
        <w:rPr>
          <w:rFonts w:ascii="Times New Roman" w:hAnsi="Times New Roman"/>
          <w:sz w:val="24"/>
        </w:rPr>
        <w:t>,</w:t>
      </w:r>
      <w:r w:rsidR="00A11407" w:rsidRPr="006D4E15">
        <w:rPr>
          <w:rFonts w:ascii="Times New Roman" w:hAnsi="Times New Roman"/>
          <w:sz w:val="24"/>
        </w:rPr>
        <w:t xml:space="preserve"> </w:t>
      </w:r>
      <w:r w:rsidR="00433868" w:rsidRPr="006D4E15">
        <w:rPr>
          <w:rFonts w:ascii="Times New Roman" w:hAnsi="Times New Roman"/>
          <w:sz w:val="24"/>
        </w:rPr>
        <w:t>384 [64]</w:t>
      </w:r>
      <w:r w:rsidR="0026153A" w:rsidRPr="006D4E15">
        <w:rPr>
          <w:rFonts w:ascii="Times New Roman" w:hAnsi="Times New Roman"/>
          <w:sz w:val="24"/>
        </w:rPr>
        <w:t>.</w:t>
      </w:r>
    </w:p>
  </w:footnote>
  <w:footnote w:id="162">
    <w:p w14:paraId="0CDF579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eg, </w:t>
      </w:r>
      <w:r w:rsidRPr="00546599">
        <w:rPr>
          <w:rFonts w:ascii="Times New Roman" w:hAnsi="Times New Roman"/>
          <w:i/>
          <w:iCs/>
          <w:sz w:val="24"/>
        </w:rPr>
        <w:t>John</w:t>
      </w:r>
      <w:r w:rsidRPr="00546599">
        <w:rPr>
          <w:rFonts w:ascii="Times New Roman" w:hAnsi="Times New Roman"/>
          <w:sz w:val="24"/>
        </w:rPr>
        <w:t xml:space="preserve"> </w:t>
      </w:r>
      <w:r w:rsidRPr="00546599">
        <w:rPr>
          <w:rFonts w:ascii="Times New Roman" w:hAnsi="Times New Roman"/>
          <w:i/>
          <w:iCs/>
          <w:sz w:val="24"/>
        </w:rPr>
        <w:t>Doe v Bennett</w:t>
      </w:r>
      <w:r w:rsidRPr="00546599">
        <w:rPr>
          <w:rFonts w:ascii="Times New Roman" w:hAnsi="Times New Roman"/>
          <w:sz w:val="24"/>
        </w:rPr>
        <w:t xml:space="preserve"> [2004] 1 SCR 436. </w:t>
      </w:r>
    </w:p>
  </w:footnote>
  <w:footnote w:id="163">
    <w:p w14:paraId="6F3084D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eg, </w:t>
      </w:r>
      <w:r w:rsidRPr="00546599">
        <w:rPr>
          <w:rFonts w:ascii="Times New Roman" w:hAnsi="Times New Roman"/>
          <w:i/>
          <w:iCs/>
          <w:sz w:val="24"/>
        </w:rPr>
        <w:t xml:space="preserve">Various Claimants v Catholic Child Welfare Society </w:t>
      </w:r>
      <w:r w:rsidRPr="00546599">
        <w:rPr>
          <w:rFonts w:ascii="Times New Roman" w:hAnsi="Times New Roman"/>
          <w:sz w:val="24"/>
        </w:rPr>
        <w:t>[2013] 2 AC 1 ("</w:t>
      </w:r>
      <w:r w:rsidRPr="00546599">
        <w:rPr>
          <w:rFonts w:ascii="Times New Roman" w:hAnsi="Times New Roman"/>
          <w:i/>
          <w:iCs/>
          <w:sz w:val="24"/>
        </w:rPr>
        <w:t>Christian Brothers</w:t>
      </w:r>
      <w:r w:rsidRPr="00546599">
        <w:rPr>
          <w:rFonts w:ascii="Times New Roman" w:hAnsi="Times New Roman"/>
          <w:sz w:val="24"/>
        </w:rPr>
        <w:t>").</w:t>
      </w:r>
    </w:p>
  </w:footnote>
  <w:footnote w:id="164">
    <w:p w14:paraId="3363FF8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eg, </w:t>
      </w:r>
      <w:r w:rsidRPr="00546599">
        <w:rPr>
          <w:rFonts w:ascii="Times New Roman" w:hAnsi="Times New Roman"/>
          <w:i/>
          <w:iCs/>
          <w:sz w:val="24"/>
        </w:rPr>
        <w:t>Hickey v McGowan</w:t>
      </w:r>
      <w:r w:rsidRPr="00546599">
        <w:rPr>
          <w:rFonts w:ascii="Times New Roman" w:hAnsi="Times New Roman"/>
          <w:sz w:val="24"/>
        </w:rPr>
        <w:t xml:space="preserve"> [2017] 2 IR 196.</w:t>
      </w:r>
    </w:p>
  </w:footnote>
  <w:footnote w:id="165">
    <w:p w14:paraId="1E4F6B9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eg, </w:t>
      </w:r>
      <w:r w:rsidRPr="00546599">
        <w:rPr>
          <w:rFonts w:ascii="Times New Roman" w:hAnsi="Times New Roman"/>
          <w:i/>
          <w:iCs/>
          <w:sz w:val="24"/>
        </w:rPr>
        <w:t>Ng Huat Seng v Munib Mohammad Madni</w:t>
      </w:r>
      <w:r w:rsidRPr="00546599">
        <w:rPr>
          <w:rFonts w:ascii="Times New Roman" w:hAnsi="Times New Roman"/>
          <w:sz w:val="24"/>
        </w:rPr>
        <w:t xml:space="preserve"> [2017] 2 SLR 1074 ("</w:t>
      </w:r>
      <w:r w:rsidRPr="00546599">
        <w:rPr>
          <w:rFonts w:ascii="Times New Roman" w:hAnsi="Times New Roman"/>
          <w:i/>
          <w:iCs/>
          <w:sz w:val="24"/>
        </w:rPr>
        <w:t>Ng Huat Seng</w:t>
      </w:r>
      <w:r w:rsidRPr="00546599">
        <w:rPr>
          <w:rFonts w:ascii="Times New Roman" w:hAnsi="Times New Roman"/>
          <w:sz w:val="24"/>
        </w:rPr>
        <w:t xml:space="preserve">"). </w:t>
      </w:r>
    </w:p>
  </w:footnote>
  <w:footnote w:id="166">
    <w:p w14:paraId="67DE34A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Code civil </w:t>
      </w:r>
      <w:r w:rsidRPr="00546599">
        <w:rPr>
          <w:rFonts w:ascii="Times New Roman" w:hAnsi="Times New Roman"/>
          <w:sz w:val="24"/>
        </w:rPr>
        <w:t xml:space="preserve">(France), Art 1242; </w:t>
      </w:r>
      <w:r w:rsidRPr="00546599">
        <w:rPr>
          <w:rFonts w:ascii="Times New Roman" w:hAnsi="Times New Roman"/>
          <w:i/>
          <w:iCs/>
          <w:sz w:val="24"/>
        </w:rPr>
        <w:t>Bürgerliches Gesetzbuch</w:t>
      </w:r>
      <w:r w:rsidRPr="00546599">
        <w:rPr>
          <w:rFonts w:ascii="Times New Roman" w:hAnsi="Times New Roman"/>
          <w:sz w:val="24"/>
        </w:rPr>
        <w:t xml:space="preserve"> (Germany), §831-832; </w:t>
      </w:r>
      <w:r w:rsidRPr="00546599">
        <w:rPr>
          <w:rFonts w:ascii="Times New Roman" w:hAnsi="Times New Roman"/>
          <w:i/>
          <w:iCs/>
          <w:sz w:val="24"/>
        </w:rPr>
        <w:t>Codice civile</w:t>
      </w:r>
      <w:r w:rsidRPr="00546599">
        <w:rPr>
          <w:rFonts w:ascii="Times New Roman" w:hAnsi="Times New Roman"/>
          <w:sz w:val="24"/>
        </w:rPr>
        <w:t xml:space="preserve"> (Italy), Art 2049; </w:t>
      </w:r>
      <w:r w:rsidRPr="00546599">
        <w:rPr>
          <w:rFonts w:ascii="Times New Roman" w:hAnsi="Times New Roman"/>
          <w:i/>
          <w:iCs/>
          <w:sz w:val="24"/>
        </w:rPr>
        <w:t xml:space="preserve">Obligationenrecht </w:t>
      </w:r>
      <w:r w:rsidRPr="00546599">
        <w:rPr>
          <w:rFonts w:ascii="Times New Roman" w:hAnsi="Times New Roman"/>
          <w:sz w:val="24"/>
        </w:rPr>
        <w:t xml:space="preserve">(Switzerland), Art 55; </w:t>
      </w:r>
      <w:r w:rsidRPr="00546599">
        <w:rPr>
          <w:rFonts w:ascii="Times New Roman" w:hAnsi="Times New Roman"/>
          <w:i/>
          <w:iCs/>
          <w:sz w:val="24"/>
        </w:rPr>
        <w:t>Allgemeines bürgerliches Gesetzbuch</w:t>
      </w:r>
      <w:r w:rsidRPr="00546599">
        <w:rPr>
          <w:rFonts w:ascii="Times New Roman" w:hAnsi="Times New Roman"/>
          <w:sz w:val="24"/>
        </w:rPr>
        <w:t xml:space="preserve"> (Austria), §1313a-1315.</w:t>
      </w:r>
    </w:p>
  </w:footnote>
  <w:footnote w:id="167">
    <w:p w14:paraId="5296AD2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Australia, Royal Commission into Institutional Responses to Child Sexual Abuse, </w:t>
      </w:r>
      <w:r w:rsidRPr="00546599">
        <w:rPr>
          <w:rFonts w:ascii="Times New Roman" w:hAnsi="Times New Roman"/>
          <w:i/>
          <w:iCs/>
          <w:sz w:val="24"/>
          <w:lang w:val="en-US"/>
        </w:rPr>
        <w:t xml:space="preserve">Redress and Civil Litigation Report </w:t>
      </w:r>
      <w:r w:rsidRPr="00546599">
        <w:rPr>
          <w:rFonts w:ascii="Times New Roman" w:hAnsi="Times New Roman"/>
          <w:sz w:val="24"/>
          <w:lang w:val="en-US"/>
        </w:rPr>
        <w:t>(2015) at 54.</w:t>
      </w:r>
    </w:p>
  </w:footnote>
  <w:footnote w:id="168">
    <w:p w14:paraId="797CA93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Victoria, Legislative Assembly, </w:t>
      </w:r>
      <w:r w:rsidRPr="00546599">
        <w:rPr>
          <w:rFonts w:ascii="Times New Roman" w:hAnsi="Times New Roman"/>
          <w:i/>
          <w:iCs/>
          <w:sz w:val="24"/>
        </w:rPr>
        <w:t>Limitation of Actions Amendment (Child Abuse) Bill 2015</w:t>
      </w:r>
      <w:r w:rsidRPr="00546599">
        <w:rPr>
          <w:rFonts w:ascii="Times New Roman" w:hAnsi="Times New Roman"/>
          <w:sz w:val="24"/>
        </w:rPr>
        <w:t>, Explanatory Memorandum at 1.</w:t>
      </w:r>
    </w:p>
  </w:footnote>
  <w:footnote w:id="169">
    <w:p w14:paraId="3E75C30F"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Victoria, Family and Community Development Committee, </w:t>
      </w:r>
      <w:r w:rsidRPr="00546599">
        <w:rPr>
          <w:rFonts w:ascii="Times New Roman" w:hAnsi="Times New Roman"/>
          <w:i/>
          <w:iCs/>
          <w:sz w:val="24"/>
          <w:lang w:val="en-US"/>
        </w:rPr>
        <w:t>Betrayal of Trust: Inquiry into the Handling of Child Abuse by Religious and Other Non-Government Organisations</w:t>
      </w:r>
      <w:r w:rsidRPr="00546599">
        <w:rPr>
          <w:rFonts w:ascii="Times New Roman" w:hAnsi="Times New Roman"/>
          <w:sz w:val="24"/>
          <w:lang w:val="en-US"/>
        </w:rPr>
        <w:t xml:space="preserve"> (2013), vol 2 at 527, 543 [Finding 26.8].</w:t>
      </w:r>
    </w:p>
  </w:footnote>
  <w:footnote w:id="170">
    <w:p w14:paraId="46C8E2F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Limitation of Actions Act 1936</w:t>
      </w:r>
      <w:r w:rsidRPr="00546599">
        <w:rPr>
          <w:rFonts w:ascii="Times New Roman" w:hAnsi="Times New Roman"/>
          <w:sz w:val="24"/>
        </w:rPr>
        <w:t xml:space="preserve"> (SA), s 3A; </w:t>
      </w:r>
      <w:r w:rsidRPr="00546599">
        <w:rPr>
          <w:rFonts w:ascii="Times New Roman" w:hAnsi="Times New Roman"/>
          <w:i/>
          <w:iCs/>
          <w:sz w:val="24"/>
        </w:rPr>
        <w:t>Limitation of Actions Act 1958</w:t>
      </w:r>
      <w:r w:rsidRPr="00546599">
        <w:rPr>
          <w:rFonts w:ascii="Times New Roman" w:hAnsi="Times New Roman"/>
          <w:sz w:val="24"/>
        </w:rPr>
        <w:t xml:space="preserve"> (Vic), s 27P(1); </w:t>
      </w:r>
      <w:r w:rsidRPr="00546599">
        <w:rPr>
          <w:rFonts w:ascii="Times New Roman" w:hAnsi="Times New Roman"/>
          <w:i/>
          <w:iCs/>
          <w:sz w:val="24"/>
        </w:rPr>
        <w:t>Limitation Act 1969</w:t>
      </w:r>
      <w:r w:rsidRPr="00546599">
        <w:rPr>
          <w:rFonts w:ascii="Times New Roman" w:hAnsi="Times New Roman"/>
          <w:sz w:val="24"/>
        </w:rPr>
        <w:t xml:space="preserve"> (NSW), s 6A(1); </w:t>
      </w:r>
      <w:r w:rsidRPr="00546599">
        <w:rPr>
          <w:rFonts w:ascii="Times New Roman" w:hAnsi="Times New Roman"/>
          <w:i/>
          <w:iCs/>
          <w:sz w:val="24"/>
        </w:rPr>
        <w:t xml:space="preserve">Limitation of Actions Act 1974 </w:t>
      </w:r>
      <w:r w:rsidRPr="00546599">
        <w:rPr>
          <w:rFonts w:ascii="Times New Roman" w:hAnsi="Times New Roman"/>
          <w:sz w:val="24"/>
        </w:rPr>
        <w:t xml:space="preserve">(Qld), s 11A; </w:t>
      </w:r>
      <w:r w:rsidRPr="00546599">
        <w:rPr>
          <w:rFonts w:ascii="Times New Roman" w:hAnsi="Times New Roman"/>
          <w:i/>
          <w:iCs/>
          <w:sz w:val="24"/>
        </w:rPr>
        <w:t>Limitation Act 1974</w:t>
      </w:r>
      <w:r w:rsidRPr="00546599">
        <w:rPr>
          <w:rFonts w:ascii="Times New Roman" w:hAnsi="Times New Roman"/>
          <w:sz w:val="24"/>
        </w:rPr>
        <w:t xml:space="preserve"> (Tas), s 5B(1)(a); </w:t>
      </w:r>
      <w:r w:rsidRPr="00546599">
        <w:rPr>
          <w:rFonts w:ascii="Times New Roman" w:hAnsi="Times New Roman"/>
          <w:i/>
          <w:iCs/>
          <w:sz w:val="24"/>
        </w:rPr>
        <w:t>Limitation Act 1981</w:t>
      </w:r>
      <w:r w:rsidRPr="00546599">
        <w:rPr>
          <w:rFonts w:ascii="Times New Roman" w:hAnsi="Times New Roman"/>
          <w:sz w:val="24"/>
        </w:rPr>
        <w:t xml:space="preserve"> (NT), s 5A; </w:t>
      </w:r>
      <w:r w:rsidRPr="00546599">
        <w:rPr>
          <w:rFonts w:ascii="Times New Roman" w:hAnsi="Times New Roman"/>
          <w:i/>
          <w:iCs/>
          <w:sz w:val="24"/>
        </w:rPr>
        <w:t>Limitation Act 1985</w:t>
      </w:r>
      <w:r w:rsidRPr="00546599">
        <w:rPr>
          <w:rFonts w:ascii="Times New Roman" w:hAnsi="Times New Roman"/>
          <w:sz w:val="24"/>
        </w:rPr>
        <w:t xml:space="preserve"> (ACT), s 21C(1)-(2); </w:t>
      </w:r>
      <w:r w:rsidRPr="00546599">
        <w:rPr>
          <w:rFonts w:ascii="Times New Roman" w:hAnsi="Times New Roman"/>
          <w:i/>
          <w:iCs/>
          <w:sz w:val="24"/>
        </w:rPr>
        <w:t>Limitation Act 2005</w:t>
      </w:r>
      <w:r w:rsidRPr="00546599">
        <w:rPr>
          <w:rFonts w:ascii="Times New Roman" w:hAnsi="Times New Roman"/>
          <w:sz w:val="24"/>
        </w:rPr>
        <w:t xml:space="preserve"> (WA), s 6A.</w:t>
      </w:r>
    </w:p>
  </w:footnote>
  <w:footnote w:id="171">
    <w:p w14:paraId="23B76F9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Mathews and Dallaston, "Reform of Civil Statutes of Limitation for Child Sexual Abuse Claims: Seismic Change and Ongoing Challenges" (2020) 43 </w:t>
      </w:r>
      <w:r w:rsidRPr="00546599">
        <w:rPr>
          <w:rFonts w:ascii="Times New Roman" w:hAnsi="Times New Roman"/>
          <w:i/>
          <w:iCs/>
          <w:sz w:val="24"/>
        </w:rPr>
        <w:t>University of New South Wales Law Journal</w:t>
      </w:r>
      <w:r w:rsidRPr="00546599">
        <w:rPr>
          <w:rFonts w:ascii="Times New Roman" w:hAnsi="Times New Roman"/>
          <w:sz w:val="24"/>
        </w:rPr>
        <w:t xml:space="preserve"> 386 at 386.</w:t>
      </w:r>
    </w:p>
  </w:footnote>
  <w:footnote w:id="172">
    <w:p w14:paraId="4F40387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w:t>
      </w:r>
      <w:r w:rsidRPr="00546599">
        <w:rPr>
          <w:rFonts w:ascii="Times New Roman" w:hAnsi="Times New Roman"/>
          <w:i/>
          <w:iCs/>
          <w:sz w:val="24"/>
        </w:rPr>
        <w:t>Lepore</w:t>
      </w:r>
      <w:r w:rsidRPr="00546599">
        <w:rPr>
          <w:rFonts w:ascii="Times New Roman" w:hAnsi="Times New Roman"/>
          <w:sz w:val="24"/>
        </w:rPr>
        <w:t xml:space="preserve">") at 534-535 [36]-[39], 598-601 [254]-[263], 609-610 [292]-[295], 624 [340]. See also </w:t>
      </w:r>
      <w:r w:rsidRPr="00546599">
        <w:rPr>
          <w:rFonts w:ascii="Times New Roman" w:hAnsi="Times New Roman"/>
          <w:i/>
          <w:iCs/>
          <w:sz w:val="24"/>
        </w:rPr>
        <w:t>Prince Alfred College</w:t>
      </w:r>
      <w:r w:rsidRPr="00546599">
        <w:rPr>
          <w:rFonts w:ascii="Times New Roman" w:hAnsi="Times New Roman"/>
          <w:sz w:val="24"/>
        </w:rPr>
        <w:t xml:space="preserve"> </w:t>
      </w:r>
      <w:r w:rsidRPr="00546599">
        <w:rPr>
          <w:rFonts w:ascii="Times New Roman" w:hAnsi="Times New Roman"/>
          <w:i/>
          <w:iCs/>
          <w:sz w:val="24"/>
        </w:rPr>
        <w:t>Inc</w:t>
      </w:r>
      <w:r w:rsidRPr="00546599">
        <w:rPr>
          <w:rFonts w:ascii="Times New Roman" w:hAnsi="Times New Roman"/>
          <w:sz w:val="24"/>
        </w:rPr>
        <w:t xml:space="preserve"> </w:t>
      </w:r>
      <w:r w:rsidRPr="00546599">
        <w:rPr>
          <w:rFonts w:ascii="Times New Roman" w:hAnsi="Times New Roman"/>
          <w:i/>
          <w:iCs/>
          <w:sz w:val="24"/>
        </w:rPr>
        <w:t>v ADC</w:t>
      </w:r>
      <w:r w:rsidRPr="00546599">
        <w:rPr>
          <w:rFonts w:ascii="Times New Roman" w:hAnsi="Times New Roman"/>
          <w:sz w:val="24"/>
        </w:rPr>
        <w:t xml:space="preserve"> (2016) 258 CLR 134 ("</w:t>
      </w:r>
      <w:r w:rsidRPr="00546599">
        <w:rPr>
          <w:rFonts w:ascii="Times New Roman" w:hAnsi="Times New Roman"/>
          <w:i/>
          <w:iCs/>
          <w:sz w:val="24"/>
        </w:rPr>
        <w:t>Prince Alfred College</w:t>
      </w:r>
      <w:r w:rsidRPr="00546599">
        <w:rPr>
          <w:rFonts w:ascii="Times New Roman" w:hAnsi="Times New Roman"/>
          <w:sz w:val="24"/>
        </w:rPr>
        <w:t xml:space="preserve">") at 141 [3]. </w:t>
      </w:r>
    </w:p>
  </w:footnote>
  <w:footnote w:id="173">
    <w:p w14:paraId="6DC1F8F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See, eg, </w:t>
      </w:r>
      <w:r w:rsidRPr="00546599">
        <w:rPr>
          <w:rFonts w:ascii="Times New Roman" w:hAnsi="Times New Roman"/>
          <w:i/>
          <w:iCs/>
          <w:sz w:val="24"/>
        </w:rPr>
        <w:t>Civil Liability Act 1936</w:t>
      </w:r>
      <w:r w:rsidRPr="00546599">
        <w:rPr>
          <w:rFonts w:ascii="Times New Roman" w:hAnsi="Times New Roman"/>
          <w:sz w:val="24"/>
        </w:rPr>
        <w:t xml:space="preserve"> (SA), ss 50E, 50G;</w:t>
      </w:r>
      <w:r w:rsidRPr="00546599">
        <w:rPr>
          <w:rFonts w:ascii="Times New Roman" w:hAnsi="Times New Roman"/>
          <w:i/>
          <w:iCs/>
          <w:sz w:val="24"/>
        </w:rPr>
        <w:t xml:space="preserve"> Civil Liability Act 2002</w:t>
      </w:r>
      <w:r w:rsidRPr="00546599">
        <w:rPr>
          <w:rFonts w:ascii="Times New Roman" w:hAnsi="Times New Roman"/>
          <w:sz w:val="24"/>
        </w:rPr>
        <w:t xml:space="preserve"> (NSW), ss 6G, 6H; </w:t>
      </w:r>
      <w:r w:rsidRPr="00546599">
        <w:rPr>
          <w:rFonts w:ascii="Times New Roman" w:hAnsi="Times New Roman"/>
          <w:i/>
          <w:iCs/>
          <w:sz w:val="24"/>
        </w:rPr>
        <w:t>Civil Liability Act 2002</w:t>
      </w:r>
      <w:r w:rsidRPr="00546599">
        <w:rPr>
          <w:rFonts w:ascii="Times New Roman" w:hAnsi="Times New Roman"/>
          <w:sz w:val="24"/>
        </w:rPr>
        <w:t xml:space="preserve"> (WA), s 15B; </w:t>
      </w:r>
      <w:r w:rsidRPr="00546599">
        <w:rPr>
          <w:rFonts w:ascii="Times New Roman" w:hAnsi="Times New Roman"/>
          <w:i/>
          <w:iCs/>
          <w:sz w:val="24"/>
        </w:rPr>
        <w:t>Civil Liability Act 2002</w:t>
      </w:r>
      <w:r w:rsidRPr="00546599">
        <w:rPr>
          <w:rFonts w:ascii="Times New Roman" w:hAnsi="Times New Roman"/>
          <w:sz w:val="24"/>
        </w:rPr>
        <w:t xml:space="preserve"> (Tas), ss 49I, 49J; </w:t>
      </w:r>
      <w:r w:rsidRPr="00546599">
        <w:rPr>
          <w:rFonts w:ascii="Times New Roman" w:hAnsi="Times New Roman"/>
          <w:i/>
          <w:iCs/>
          <w:sz w:val="24"/>
        </w:rPr>
        <w:t>Civil Liability Act 2003</w:t>
      </w:r>
      <w:r w:rsidRPr="00546599">
        <w:rPr>
          <w:rFonts w:ascii="Times New Roman" w:hAnsi="Times New Roman"/>
          <w:sz w:val="24"/>
        </w:rPr>
        <w:t xml:space="preserve"> (Qld), ss 33D, 33F; </w:t>
      </w:r>
      <w:r w:rsidRPr="00546599">
        <w:rPr>
          <w:rFonts w:ascii="Times New Roman" w:hAnsi="Times New Roman"/>
          <w:i/>
          <w:iCs/>
          <w:sz w:val="24"/>
        </w:rPr>
        <w:t>Personal Injuries (Liabilities and Damages) Act 2003</w:t>
      </w:r>
      <w:r w:rsidRPr="00546599">
        <w:rPr>
          <w:rFonts w:ascii="Times New Roman" w:hAnsi="Times New Roman"/>
          <w:sz w:val="24"/>
        </w:rPr>
        <w:t xml:space="preserve"> (NT), s 17G. </w:t>
      </w:r>
    </w:p>
  </w:footnote>
  <w:footnote w:id="174">
    <w:p w14:paraId="4578816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Wrongs Act 1958</w:t>
      </w:r>
      <w:r w:rsidRPr="00546599">
        <w:rPr>
          <w:rFonts w:ascii="Times New Roman" w:hAnsi="Times New Roman"/>
          <w:sz w:val="24"/>
          <w:lang w:val="en-US"/>
        </w:rPr>
        <w:t xml:space="preserve"> (Vic), s 91(2).</w:t>
      </w:r>
    </w:p>
  </w:footnote>
  <w:footnote w:id="175">
    <w:p w14:paraId="3B0A3C3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Wrongs Act 1958</w:t>
      </w:r>
      <w:r w:rsidRPr="00546599">
        <w:rPr>
          <w:rFonts w:ascii="Times New Roman" w:hAnsi="Times New Roman"/>
          <w:sz w:val="24"/>
          <w:lang w:val="en-US"/>
        </w:rPr>
        <w:t xml:space="preserve"> (Vic), s 90(1)(b). See also </w:t>
      </w:r>
      <w:r w:rsidRPr="00546599">
        <w:rPr>
          <w:rFonts w:ascii="Times New Roman" w:hAnsi="Times New Roman"/>
          <w:i/>
          <w:iCs/>
          <w:sz w:val="24"/>
          <w:lang w:val="en-US"/>
        </w:rPr>
        <w:t>Civil Liability Act 1936</w:t>
      </w:r>
      <w:r w:rsidRPr="00546599">
        <w:rPr>
          <w:rFonts w:ascii="Times New Roman" w:hAnsi="Times New Roman"/>
          <w:sz w:val="24"/>
          <w:lang w:val="en-US"/>
        </w:rPr>
        <w:t xml:space="preserve"> (SA), s 50C(1)(b); </w:t>
      </w:r>
      <w:r w:rsidRPr="00546599">
        <w:rPr>
          <w:rFonts w:ascii="Times New Roman" w:hAnsi="Times New Roman"/>
          <w:i/>
          <w:iCs/>
          <w:sz w:val="24"/>
          <w:lang w:val="en-US"/>
        </w:rPr>
        <w:t xml:space="preserve">Civil Liability Act 2002 </w:t>
      </w:r>
      <w:r w:rsidRPr="00546599">
        <w:rPr>
          <w:rFonts w:ascii="Times New Roman" w:hAnsi="Times New Roman"/>
          <w:sz w:val="24"/>
          <w:lang w:val="en-US"/>
        </w:rPr>
        <w:t xml:space="preserve">(NSW), s 6E(1)(a); </w:t>
      </w:r>
      <w:r w:rsidRPr="00546599">
        <w:rPr>
          <w:rFonts w:ascii="Times New Roman" w:hAnsi="Times New Roman"/>
          <w:i/>
          <w:iCs/>
          <w:sz w:val="24"/>
          <w:lang w:val="en-US"/>
        </w:rPr>
        <w:t>Civil Liability Act 2002</w:t>
      </w:r>
      <w:r w:rsidRPr="00546599">
        <w:rPr>
          <w:rFonts w:ascii="Times New Roman" w:hAnsi="Times New Roman"/>
          <w:sz w:val="24"/>
          <w:lang w:val="en-US"/>
        </w:rPr>
        <w:t xml:space="preserve"> (Tas), s 49G(1)(a); </w:t>
      </w:r>
      <w:r w:rsidRPr="00546599">
        <w:rPr>
          <w:rFonts w:ascii="Times New Roman" w:hAnsi="Times New Roman"/>
          <w:i/>
          <w:iCs/>
          <w:sz w:val="24"/>
          <w:lang w:val="en-US"/>
        </w:rPr>
        <w:t xml:space="preserve">Civil Liability Act 2003 </w:t>
      </w:r>
      <w:r w:rsidRPr="00546599">
        <w:rPr>
          <w:rFonts w:ascii="Times New Roman" w:hAnsi="Times New Roman"/>
          <w:sz w:val="24"/>
          <w:lang w:val="en-US"/>
        </w:rPr>
        <w:t xml:space="preserve">(Qld), s 33C(1)(b); </w:t>
      </w:r>
      <w:r w:rsidRPr="00546599">
        <w:rPr>
          <w:rFonts w:ascii="Times New Roman" w:hAnsi="Times New Roman"/>
          <w:i/>
          <w:iCs/>
          <w:sz w:val="24"/>
          <w:lang w:val="en-US"/>
        </w:rPr>
        <w:t>Personal Injuries (Liabilities and Damages) Act 2003</w:t>
      </w:r>
      <w:r w:rsidRPr="00546599">
        <w:rPr>
          <w:rFonts w:ascii="Times New Roman" w:hAnsi="Times New Roman"/>
          <w:sz w:val="24"/>
          <w:lang w:val="en-US"/>
        </w:rPr>
        <w:t xml:space="preserve"> (NT), s 17C(1)(b). </w:t>
      </w:r>
    </w:p>
  </w:footnote>
  <w:footnote w:id="176">
    <w:p w14:paraId="12B5E3D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 xml:space="preserve">Christian Brothers </w:t>
      </w:r>
      <w:r w:rsidRPr="00546599">
        <w:rPr>
          <w:rFonts w:ascii="Times New Roman" w:hAnsi="Times New Roman"/>
          <w:sz w:val="24"/>
        </w:rPr>
        <w:t>[2013] 2 AC 1 at 15 [34].</w:t>
      </w:r>
    </w:p>
  </w:footnote>
  <w:footnote w:id="177">
    <w:p w14:paraId="66F2E70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Hollis v Vabu Pty Ltd</w:t>
      </w:r>
      <w:r w:rsidRPr="00546599">
        <w:rPr>
          <w:rFonts w:ascii="Times New Roman" w:hAnsi="Times New Roman"/>
          <w:sz w:val="24"/>
          <w:lang w:val="en-US"/>
        </w:rPr>
        <w:t xml:space="preserve"> (2001) 207 CLR 21 ("</w:t>
      </w:r>
      <w:r w:rsidRPr="00546599">
        <w:rPr>
          <w:rFonts w:ascii="Times New Roman" w:hAnsi="Times New Roman"/>
          <w:i/>
          <w:iCs/>
          <w:sz w:val="24"/>
          <w:lang w:val="en-US"/>
        </w:rPr>
        <w:t>Hollis</w:t>
      </w:r>
      <w:r w:rsidRPr="00546599">
        <w:rPr>
          <w:rFonts w:ascii="Times New Roman" w:hAnsi="Times New Roman"/>
          <w:sz w:val="24"/>
          <w:lang w:val="en-US"/>
        </w:rPr>
        <w:t xml:space="preserve">") at 35 [29], 38 [38], 46 [59]. </w:t>
      </w:r>
    </w:p>
  </w:footnote>
  <w:footnote w:id="178">
    <w:p w14:paraId="0F96DB2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Hollis </w:t>
      </w:r>
      <w:r w:rsidRPr="00546599">
        <w:rPr>
          <w:rFonts w:ascii="Times New Roman" w:hAnsi="Times New Roman"/>
          <w:sz w:val="24"/>
          <w:lang w:val="en-US"/>
        </w:rPr>
        <w:t>(2001) 207 CLR 21 at 38 [36], 38-39 [39]-[40].</w:t>
      </w:r>
    </w:p>
  </w:footnote>
  <w:footnote w:id="179">
    <w:p w14:paraId="2962438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Quarman v Burnett</w:t>
      </w:r>
      <w:r w:rsidRPr="00546599">
        <w:rPr>
          <w:rFonts w:ascii="Times New Roman" w:hAnsi="Times New Roman"/>
          <w:sz w:val="24"/>
          <w:lang w:val="en-US"/>
        </w:rPr>
        <w:t xml:space="preserve"> (1840) 6 M &amp; W 499 [151 ER 509]; </w:t>
      </w:r>
      <w:r w:rsidRPr="00546599">
        <w:rPr>
          <w:rFonts w:ascii="Times New Roman" w:hAnsi="Times New Roman"/>
          <w:i/>
          <w:iCs/>
          <w:sz w:val="24"/>
          <w:lang w:val="en-US"/>
        </w:rPr>
        <w:t>Colonial Mutual Life Assurance Society Ltd v Producers and Citizens Co-operative Assurance Co of Australia Ltd</w:t>
      </w:r>
      <w:r w:rsidRPr="00546599">
        <w:rPr>
          <w:rFonts w:ascii="Times New Roman" w:hAnsi="Times New Roman"/>
          <w:sz w:val="24"/>
          <w:lang w:val="en-US"/>
        </w:rPr>
        <w:t xml:space="preserve"> (1931) 46 CLR 41 ("</w:t>
      </w:r>
      <w:r w:rsidRPr="00546599">
        <w:rPr>
          <w:rFonts w:ascii="Times New Roman" w:hAnsi="Times New Roman"/>
          <w:i/>
          <w:iCs/>
          <w:sz w:val="24"/>
          <w:lang w:val="en-US"/>
        </w:rPr>
        <w:t>Colonial Mutual Life</w:t>
      </w:r>
      <w:r w:rsidRPr="00546599">
        <w:rPr>
          <w:rFonts w:ascii="Times New Roman" w:hAnsi="Times New Roman"/>
          <w:sz w:val="24"/>
          <w:lang w:val="en-US"/>
        </w:rPr>
        <w:t xml:space="preserve">") at 48; </w:t>
      </w:r>
      <w:r w:rsidRPr="00546599">
        <w:rPr>
          <w:rFonts w:ascii="Times New Roman" w:hAnsi="Times New Roman"/>
          <w:i/>
          <w:iCs/>
          <w:sz w:val="24"/>
          <w:lang w:val="en-US"/>
        </w:rPr>
        <w:t>Leichhardt Municipal Council v Montgomery</w:t>
      </w:r>
      <w:r w:rsidRPr="00546599">
        <w:rPr>
          <w:rFonts w:ascii="Times New Roman" w:hAnsi="Times New Roman"/>
          <w:sz w:val="24"/>
          <w:lang w:val="en-US"/>
        </w:rPr>
        <w:t xml:space="preserve"> (2007) 230 CLR 22 at 29 [9], 41 [44], 58 [98], 71 [143].</w:t>
      </w:r>
    </w:p>
  </w:footnote>
  <w:footnote w:id="180">
    <w:p w14:paraId="39C6770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Colonial Mutual Life</w:t>
      </w:r>
      <w:r w:rsidRPr="00546599">
        <w:rPr>
          <w:rFonts w:ascii="Times New Roman" w:hAnsi="Times New Roman"/>
          <w:sz w:val="24"/>
        </w:rPr>
        <w:t xml:space="preserve"> (1931) 46 CLR 41 at 48; </w:t>
      </w:r>
      <w:r w:rsidRPr="00546599">
        <w:rPr>
          <w:rFonts w:ascii="Times New Roman" w:hAnsi="Times New Roman"/>
          <w:i/>
          <w:iCs/>
          <w:sz w:val="24"/>
        </w:rPr>
        <w:t>Kondis v State Transport Authority</w:t>
      </w:r>
      <w:r w:rsidRPr="00546599">
        <w:rPr>
          <w:rFonts w:ascii="Times New Roman" w:hAnsi="Times New Roman"/>
          <w:sz w:val="24"/>
        </w:rPr>
        <w:t xml:space="preserve"> (1984) 154 CLR 672 at 691-692; </w:t>
      </w:r>
      <w:r w:rsidRPr="00546599">
        <w:rPr>
          <w:rFonts w:ascii="Times New Roman" w:hAnsi="Times New Roman"/>
          <w:i/>
          <w:iCs/>
          <w:sz w:val="24"/>
        </w:rPr>
        <w:t>Burnie Port Authority v General Jones Pty Ltd</w:t>
      </w:r>
      <w:r w:rsidRPr="00546599">
        <w:rPr>
          <w:rFonts w:ascii="Times New Roman" w:hAnsi="Times New Roman"/>
          <w:sz w:val="24"/>
        </w:rPr>
        <w:t xml:space="preserve"> (1994) 179 CLR 520 at 574.</w:t>
      </w:r>
    </w:p>
  </w:footnote>
  <w:footnote w:id="181">
    <w:p w14:paraId="0DD021BB"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Scott v Davis</w:t>
      </w:r>
      <w:r w:rsidRPr="00546599">
        <w:rPr>
          <w:rFonts w:ascii="Times New Roman" w:hAnsi="Times New Roman"/>
          <w:sz w:val="24"/>
          <w:lang w:val="en-US"/>
        </w:rPr>
        <w:t xml:space="preserve"> (2000) 204 CLR 333 at 418 [250]; </w:t>
      </w:r>
      <w:r w:rsidRPr="00546599">
        <w:rPr>
          <w:rFonts w:ascii="Times New Roman" w:hAnsi="Times New Roman"/>
          <w:i/>
          <w:iCs/>
          <w:sz w:val="24"/>
          <w:lang w:val="en-US"/>
        </w:rPr>
        <w:t xml:space="preserve">Prince Alfred College </w:t>
      </w:r>
      <w:r w:rsidRPr="00546599">
        <w:rPr>
          <w:rFonts w:ascii="Times New Roman" w:hAnsi="Times New Roman"/>
          <w:sz w:val="24"/>
          <w:lang w:val="en-US"/>
        </w:rPr>
        <w:t xml:space="preserve">(2016) 258 CLR 134 at 148 [39]; </w:t>
      </w:r>
      <w:r w:rsidRPr="00546599">
        <w:rPr>
          <w:rFonts w:ascii="Times New Roman" w:hAnsi="Times New Roman"/>
          <w:i/>
          <w:iCs/>
          <w:sz w:val="24"/>
          <w:lang w:val="en-US"/>
        </w:rPr>
        <w:t>Armes v Nottinghamshire County Council</w:t>
      </w:r>
      <w:r w:rsidRPr="00546599">
        <w:rPr>
          <w:rFonts w:ascii="Times New Roman" w:hAnsi="Times New Roman"/>
          <w:sz w:val="24"/>
          <w:lang w:val="en-US"/>
        </w:rPr>
        <w:t xml:space="preserve"> [2018] AC 355 at 390 [91]; Rolph et al,</w:t>
      </w:r>
      <w:r w:rsidRPr="00546599">
        <w:rPr>
          <w:rFonts w:ascii="Times New Roman" w:hAnsi="Times New Roman"/>
          <w:i/>
          <w:iCs/>
          <w:sz w:val="24"/>
          <w:lang w:val="en-US"/>
        </w:rPr>
        <w:t xml:space="preserve"> Balkin &amp; Davis Law of Torts</w:t>
      </w:r>
      <w:r w:rsidRPr="00546599">
        <w:rPr>
          <w:rFonts w:ascii="Times New Roman" w:hAnsi="Times New Roman"/>
          <w:sz w:val="24"/>
          <w:lang w:val="en-US"/>
        </w:rPr>
        <w:t xml:space="preserve">, 6th ed (2021) at 861-862 [26.1]; Sappideen and Vines (eds), </w:t>
      </w:r>
      <w:r w:rsidRPr="00546599">
        <w:rPr>
          <w:rFonts w:ascii="Times New Roman" w:hAnsi="Times New Roman"/>
          <w:i/>
          <w:iCs/>
          <w:sz w:val="24"/>
          <w:lang w:val="en-US"/>
        </w:rPr>
        <w:t>Fleming's The Law of Torts</w:t>
      </w:r>
      <w:r w:rsidRPr="00546599">
        <w:rPr>
          <w:rFonts w:ascii="Times New Roman" w:hAnsi="Times New Roman"/>
          <w:sz w:val="24"/>
          <w:lang w:val="en-US"/>
        </w:rPr>
        <w:t xml:space="preserve">, 11th ed (2024) at 493 [17.10]; Beuermann, </w:t>
      </w:r>
      <w:r w:rsidRPr="00546599">
        <w:rPr>
          <w:rFonts w:ascii="Times New Roman" w:hAnsi="Times New Roman"/>
          <w:i/>
          <w:iCs/>
          <w:sz w:val="24"/>
          <w:lang w:val="en-US"/>
        </w:rPr>
        <w:t>Reconceptualising Strict Liability for the Tort of Another</w:t>
      </w:r>
      <w:r w:rsidRPr="00546599">
        <w:rPr>
          <w:rFonts w:ascii="Times New Roman" w:hAnsi="Times New Roman"/>
          <w:sz w:val="24"/>
          <w:lang w:val="en-US"/>
        </w:rPr>
        <w:t xml:space="preserve"> (2019) at 3.</w:t>
      </w:r>
    </w:p>
  </w:footnote>
  <w:footnote w:id="182">
    <w:p w14:paraId="04AAB78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i/>
          <w:iCs/>
          <w:sz w:val="24"/>
          <w:lang w:val="en-US"/>
        </w:rPr>
        <w:t>Stevens v Brodribb Sawmilling Co Pty Ltd</w:t>
      </w:r>
      <w:r w:rsidRPr="00546599">
        <w:rPr>
          <w:rFonts w:ascii="Times New Roman" w:hAnsi="Times New Roman"/>
          <w:sz w:val="24"/>
          <w:lang w:val="en-US"/>
        </w:rPr>
        <w:t xml:space="preserve"> (1986) 160 CLR 16 at 42; </w:t>
      </w:r>
      <w:r w:rsidRPr="00546599">
        <w:rPr>
          <w:rFonts w:ascii="Times New Roman" w:hAnsi="Times New Roman"/>
          <w:i/>
          <w:iCs/>
          <w:sz w:val="24"/>
          <w:lang w:val="en-US"/>
        </w:rPr>
        <w:t>Scott v Davis</w:t>
      </w:r>
      <w:r w:rsidRPr="00546599">
        <w:rPr>
          <w:rFonts w:ascii="Times New Roman" w:hAnsi="Times New Roman"/>
          <w:sz w:val="24"/>
          <w:lang w:val="en-US"/>
        </w:rPr>
        <w:t xml:space="preserve"> (2000) 204 CLR 333 at 417-418 [250]; </w:t>
      </w:r>
      <w:r w:rsidRPr="00546599">
        <w:rPr>
          <w:rFonts w:ascii="Times New Roman" w:hAnsi="Times New Roman"/>
          <w:i/>
          <w:iCs/>
          <w:sz w:val="24"/>
          <w:lang w:val="en-US"/>
        </w:rPr>
        <w:t xml:space="preserve">Majrowski v Guy's and St Thomas's NHS Trust </w:t>
      </w:r>
      <w:r w:rsidRPr="00546599">
        <w:rPr>
          <w:rFonts w:ascii="Times New Roman" w:hAnsi="Times New Roman"/>
          <w:sz w:val="24"/>
          <w:lang w:val="en-US"/>
        </w:rPr>
        <w:t xml:space="preserve">[2007] 1 AC 224 at 228-229 [8]. See also Holmes, "Agency II" (1891) 5 </w:t>
      </w:r>
      <w:r w:rsidRPr="00546599">
        <w:rPr>
          <w:rFonts w:ascii="Times New Roman" w:hAnsi="Times New Roman"/>
          <w:i/>
          <w:iCs/>
          <w:sz w:val="24"/>
          <w:lang w:val="en-US"/>
        </w:rPr>
        <w:t>Harvard Law Review</w:t>
      </w:r>
      <w:r w:rsidRPr="00546599">
        <w:rPr>
          <w:rFonts w:ascii="Times New Roman" w:hAnsi="Times New Roman"/>
          <w:sz w:val="24"/>
          <w:lang w:val="en-US"/>
        </w:rPr>
        <w:t xml:space="preserve"> 1 at 14. </w:t>
      </w:r>
    </w:p>
  </w:footnote>
  <w:footnote w:id="183">
    <w:p w14:paraId="244FC9E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Benning v Wong</w:t>
      </w:r>
      <w:r w:rsidRPr="00546599">
        <w:rPr>
          <w:rFonts w:ascii="Times New Roman" w:hAnsi="Times New Roman"/>
          <w:sz w:val="24"/>
          <w:lang w:val="en-US"/>
        </w:rPr>
        <w:t xml:space="preserve"> (1969) 122 CLR 249 at 304. See also Goudkamp, "Rethinking Fault Liability and Strict Liability in the Law of Torts" (2023) 139 </w:t>
      </w:r>
      <w:r w:rsidRPr="00546599">
        <w:rPr>
          <w:rFonts w:ascii="Times New Roman" w:hAnsi="Times New Roman"/>
          <w:i/>
          <w:iCs/>
          <w:sz w:val="24"/>
          <w:lang w:val="en-US"/>
        </w:rPr>
        <w:t>Law Quarterly Review</w:t>
      </w:r>
      <w:r w:rsidRPr="00546599">
        <w:rPr>
          <w:rFonts w:ascii="Times New Roman" w:hAnsi="Times New Roman"/>
          <w:sz w:val="24"/>
          <w:lang w:val="en-US"/>
        </w:rPr>
        <w:t xml:space="preserve"> 269.</w:t>
      </w:r>
    </w:p>
  </w:footnote>
  <w:footnote w:id="184">
    <w:p w14:paraId="24007EA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[31], [44].</w:t>
      </w:r>
    </w:p>
  </w:footnote>
  <w:footnote w:id="185">
    <w:p w14:paraId="420886B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McGowan &amp; Co v Dyer</w:t>
      </w:r>
      <w:r w:rsidRPr="00546599" w:rsidDel="00B12B1A">
        <w:rPr>
          <w:rFonts w:ascii="Times New Roman" w:hAnsi="Times New Roman"/>
          <w:i/>
          <w:iCs/>
          <w:sz w:val="24"/>
          <w:lang w:val="en-US"/>
        </w:rPr>
        <w:t xml:space="preserve"> </w:t>
      </w:r>
      <w:r w:rsidRPr="00546599">
        <w:rPr>
          <w:rFonts w:ascii="Times New Roman" w:hAnsi="Times New Roman"/>
          <w:sz w:val="24"/>
          <w:lang w:val="en-US"/>
        </w:rPr>
        <w:t xml:space="preserve">(1873) LR 8 QB 141 at 145 (authorisation); </w:t>
      </w:r>
      <w:r w:rsidRPr="00546599">
        <w:rPr>
          <w:rFonts w:ascii="Times New Roman" w:hAnsi="Times New Roman"/>
          <w:i/>
          <w:iCs/>
          <w:sz w:val="24"/>
          <w:lang w:val="en-US"/>
        </w:rPr>
        <w:t xml:space="preserve">Wilson v Tumman </w:t>
      </w:r>
      <w:r w:rsidRPr="00546599">
        <w:rPr>
          <w:rFonts w:ascii="Times New Roman" w:hAnsi="Times New Roman"/>
          <w:sz w:val="24"/>
          <w:lang w:val="en-US"/>
        </w:rPr>
        <w:t xml:space="preserve">(1843) 6 M &amp; G 236 at 242 [134 ER 879 at 882] (ratification). </w:t>
      </w:r>
    </w:p>
  </w:footnote>
  <w:footnote w:id="186">
    <w:p w14:paraId="5C2417F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Stevens, </w:t>
      </w:r>
      <w:r w:rsidRPr="00546599">
        <w:rPr>
          <w:rFonts w:ascii="Times New Roman" w:hAnsi="Times New Roman"/>
          <w:i/>
          <w:iCs/>
          <w:sz w:val="24"/>
        </w:rPr>
        <w:t>Torts and Rights</w:t>
      </w:r>
      <w:r w:rsidRPr="00546599">
        <w:rPr>
          <w:rFonts w:ascii="Times New Roman" w:hAnsi="Times New Roman"/>
          <w:sz w:val="24"/>
        </w:rPr>
        <w:t xml:space="preserve"> (2007) at 244-245.</w:t>
      </w:r>
    </w:p>
  </w:footnote>
  <w:footnote w:id="187">
    <w:p w14:paraId="6FB7DBC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i/>
          <w:iCs/>
          <w:sz w:val="24"/>
          <w:lang w:val="en-US"/>
        </w:rPr>
        <w:t>Lloyd v Grace, Smith &amp; Co</w:t>
      </w:r>
      <w:r w:rsidRPr="00546599">
        <w:rPr>
          <w:rFonts w:ascii="Times New Roman" w:hAnsi="Times New Roman"/>
          <w:sz w:val="24"/>
          <w:lang w:val="en-US"/>
        </w:rPr>
        <w:t xml:space="preserve"> [1912] AC 716; </w:t>
      </w:r>
      <w:r w:rsidRPr="00546599">
        <w:rPr>
          <w:rFonts w:ascii="Times New Roman" w:hAnsi="Times New Roman"/>
          <w:i/>
          <w:iCs/>
          <w:sz w:val="24"/>
          <w:lang w:val="en-US"/>
        </w:rPr>
        <w:t>Rose v Plenty</w:t>
      </w:r>
      <w:r w:rsidRPr="00546599">
        <w:rPr>
          <w:rFonts w:ascii="Times New Roman" w:hAnsi="Times New Roman"/>
          <w:sz w:val="24"/>
          <w:lang w:val="en-US"/>
        </w:rPr>
        <w:t xml:space="preserve"> [1976] 1 WLR 141; [1976] 1 All ER 97. See also </w:t>
      </w:r>
      <w:r w:rsidRPr="00546599">
        <w:rPr>
          <w:rFonts w:ascii="Times New Roman" w:hAnsi="Times New Roman"/>
          <w:i/>
          <w:iCs/>
          <w:sz w:val="24"/>
          <w:lang w:val="en-US"/>
        </w:rPr>
        <w:t>Bilta (UK) Ltd (In liq) v Nazir [No 2]</w:t>
      </w:r>
      <w:r w:rsidRPr="00546599">
        <w:rPr>
          <w:rFonts w:ascii="Times New Roman" w:hAnsi="Times New Roman"/>
          <w:sz w:val="24"/>
          <w:lang w:val="en-US"/>
        </w:rPr>
        <w:t xml:space="preserve"> [2016] AC 1 at 28-29 [70]. </w:t>
      </w:r>
    </w:p>
  </w:footnote>
  <w:footnote w:id="188">
    <w:p w14:paraId="7B786AD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Joint judgment at [48]. </w:t>
      </w:r>
    </w:p>
  </w:footnote>
  <w:footnote w:id="189">
    <w:p w14:paraId="55A6ACD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Ng Huat Seng </w:t>
      </w:r>
      <w:r w:rsidRPr="00546599">
        <w:rPr>
          <w:rFonts w:ascii="Times New Roman" w:hAnsi="Times New Roman"/>
          <w:sz w:val="24"/>
        </w:rPr>
        <w:t>[2017] 2 SLR 1074</w:t>
      </w:r>
      <w:r w:rsidRPr="00546599">
        <w:rPr>
          <w:rFonts w:ascii="Times New Roman" w:hAnsi="Times New Roman"/>
          <w:sz w:val="24"/>
          <w:lang w:val="en-US"/>
        </w:rPr>
        <w:t xml:space="preserve"> at 1097 [63]. See also Nolan, "Reining in Vicarious Liability" (2020) 49 </w:t>
      </w:r>
      <w:r w:rsidRPr="00546599">
        <w:rPr>
          <w:rFonts w:ascii="Times New Roman" w:hAnsi="Times New Roman"/>
          <w:i/>
          <w:iCs/>
          <w:sz w:val="24"/>
          <w:lang w:val="en-US"/>
        </w:rPr>
        <w:t xml:space="preserve">Industrial Law Journal </w:t>
      </w:r>
      <w:r w:rsidRPr="00546599">
        <w:rPr>
          <w:rFonts w:ascii="Times New Roman" w:hAnsi="Times New Roman"/>
          <w:sz w:val="24"/>
          <w:lang w:val="en-US"/>
        </w:rPr>
        <w:t>609 at 615.</w:t>
      </w:r>
    </w:p>
  </w:footnote>
  <w:footnote w:id="190">
    <w:p w14:paraId="76428B8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40 [42]. </w:t>
      </w:r>
    </w:p>
  </w:footnote>
  <w:footnote w:id="191">
    <w:p w14:paraId="71EE98F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(2003) 212 CLR 511 at 581 [197], 603 [273], 604 [277].</w:t>
      </w:r>
    </w:p>
  </w:footnote>
  <w:footnote w:id="192">
    <w:p w14:paraId="696E680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(2006) 226 CLR 161 ("</w:t>
      </w:r>
      <w:r w:rsidRPr="00546599">
        <w:rPr>
          <w:rFonts w:ascii="Times New Roman" w:hAnsi="Times New Roman"/>
          <w:i/>
          <w:iCs/>
          <w:sz w:val="24"/>
          <w:lang w:val="en-US"/>
        </w:rPr>
        <w:t>Sweeney</w:t>
      </w:r>
      <w:r w:rsidRPr="00546599">
        <w:rPr>
          <w:rFonts w:ascii="Times New Roman" w:hAnsi="Times New Roman"/>
          <w:sz w:val="24"/>
          <w:lang w:val="en-US"/>
        </w:rPr>
        <w:t xml:space="preserve">") at 172 [29]. </w:t>
      </w:r>
    </w:p>
  </w:footnote>
  <w:footnote w:id="193">
    <w:p w14:paraId="4B99FF4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Deakin, "'Enterprise-Risk': The Juridical Nature of the Firm Revisited" (2003) 32 </w:t>
      </w:r>
      <w:r w:rsidRPr="00546599">
        <w:rPr>
          <w:rFonts w:ascii="Times New Roman" w:hAnsi="Times New Roman"/>
          <w:i/>
          <w:iCs/>
          <w:sz w:val="24"/>
          <w:lang w:val="en-US"/>
        </w:rPr>
        <w:t>Industrial Law Journal</w:t>
      </w:r>
      <w:r w:rsidRPr="00546599">
        <w:rPr>
          <w:rFonts w:ascii="Times New Roman" w:hAnsi="Times New Roman"/>
          <w:sz w:val="24"/>
          <w:lang w:val="en-US"/>
        </w:rPr>
        <w:t xml:space="preserve"> 97 at 112.</w:t>
      </w:r>
    </w:p>
  </w:footnote>
  <w:footnote w:id="194">
    <w:p w14:paraId="6DE42B9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i/>
          <w:iCs/>
          <w:sz w:val="24"/>
          <w:lang w:val="en-US"/>
        </w:rPr>
        <w:t xml:space="preserve">Limpus v London General Omnibus Co </w:t>
      </w:r>
      <w:r w:rsidRPr="00546599">
        <w:rPr>
          <w:rFonts w:ascii="Times New Roman" w:hAnsi="Times New Roman"/>
          <w:sz w:val="24"/>
          <w:lang w:val="en-US"/>
        </w:rPr>
        <w:t>(1862) 1 H &amp; C 526 at 539 [158 ER 993 at 998].</w:t>
      </w:r>
    </w:p>
  </w:footnote>
  <w:footnote w:id="195">
    <w:p w14:paraId="65698BB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sz w:val="24"/>
        </w:rPr>
        <w:t xml:space="preserve">Pollock, </w:t>
      </w:r>
      <w:r w:rsidRPr="00546599">
        <w:rPr>
          <w:rFonts w:ascii="Times New Roman" w:hAnsi="Times New Roman"/>
          <w:i/>
          <w:iCs/>
          <w:sz w:val="24"/>
        </w:rPr>
        <w:t xml:space="preserve">Essays in Jurisprudence and Ethics </w:t>
      </w:r>
      <w:r w:rsidRPr="00546599">
        <w:rPr>
          <w:rFonts w:ascii="Times New Roman" w:hAnsi="Times New Roman"/>
          <w:sz w:val="24"/>
        </w:rPr>
        <w:t xml:space="preserve">(1882) at 129; </w:t>
      </w:r>
      <w:r w:rsidRPr="00546599">
        <w:rPr>
          <w:rFonts w:ascii="Times New Roman" w:hAnsi="Times New Roman"/>
          <w:sz w:val="24"/>
          <w:lang w:val="en-US"/>
        </w:rPr>
        <w:t xml:space="preserve">Laski, “The Basis for Vicarious Liability” (1916) 26 </w:t>
      </w:r>
      <w:r w:rsidRPr="00546599">
        <w:rPr>
          <w:rFonts w:ascii="Times New Roman" w:hAnsi="Times New Roman"/>
          <w:i/>
          <w:iCs/>
          <w:sz w:val="24"/>
          <w:lang w:val="en-US"/>
        </w:rPr>
        <w:t>Yale Law Journal</w:t>
      </w:r>
      <w:r w:rsidRPr="00546599">
        <w:rPr>
          <w:rFonts w:ascii="Times New Roman" w:hAnsi="Times New Roman"/>
          <w:sz w:val="24"/>
          <w:lang w:val="en-US"/>
        </w:rPr>
        <w:t xml:space="preserve"> 105 at 111-112; </w:t>
      </w:r>
      <w:r w:rsidRPr="00546599">
        <w:rPr>
          <w:rFonts w:ascii="Times New Roman" w:hAnsi="Times New Roman"/>
          <w:sz w:val="24"/>
        </w:rPr>
        <w:t>Atiyah,</w:t>
      </w:r>
      <w:r w:rsidRPr="00546599">
        <w:rPr>
          <w:rFonts w:ascii="Times New Roman" w:hAnsi="Times New Roman"/>
          <w:i/>
          <w:iCs/>
          <w:sz w:val="24"/>
        </w:rPr>
        <w:t xml:space="preserve"> Vicarious Liability in the Law of Torts</w:t>
      </w:r>
      <w:r w:rsidRPr="00546599">
        <w:rPr>
          <w:rFonts w:ascii="Times New Roman" w:hAnsi="Times New Roman"/>
          <w:sz w:val="24"/>
        </w:rPr>
        <w:t xml:space="preserve"> (1967) at 22-28; Sappideen and Vines (eds), </w:t>
      </w:r>
      <w:r w:rsidRPr="00546599">
        <w:rPr>
          <w:rFonts w:ascii="Times New Roman" w:hAnsi="Times New Roman"/>
          <w:i/>
          <w:iCs/>
          <w:sz w:val="24"/>
        </w:rPr>
        <w:t>Fleming's The Law of Torts</w:t>
      </w:r>
      <w:r w:rsidRPr="00546599">
        <w:rPr>
          <w:rFonts w:ascii="Times New Roman" w:hAnsi="Times New Roman"/>
          <w:sz w:val="24"/>
        </w:rPr>
        <w:t xml:space="preserve">, 11th ed (2024) at 493 [17.10].  </w:t>
      </w:r>
    </w:p>
  </w:footnote>
  <w:footnote w:id="196">
    <w:p w14:paraId="1D228E9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Bazley v Curry</w:t>
      </w:r>
      <w:r w:rsidRPr="00546599">
        <w:rPr>
          <w:rFonts w:ascii="Times New Roman" w:hAnsi="Times New Roman"/>
          <w:sz w:val="24"/>
          <w:lang w:val="en-US"/>
        </w:rPr>
        <w:t xml:space="preserve"> [1999] 2 SCR 534 at 548 [22].</w:t>
      </w:r>
    </w:p>
  </w:footnote>
  <w:footnote w:id="197">
    <w:p w14:paraId="51C4911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i/>
          <w:iCs/>
          <w:sz w:val="24"/>
          <w:lang w:val="en-US"/>
        </w:rPr>
        <w:tab/>
        <w:t>Cox v Ministry of Justice</w:t>
      </w:r>
      <w:r w:rsidRPr="00546599">
        <w:rPr>
          <w:rFonts w:ascii="Times New Roman" w:hAnsi="Times New Roman"/>
          <w:sz w:val="24"/>
          <w:lang w:val="en-US"/>
        </w:rPr>
        <w:t xml:space="preserve"> [2016] AC 660 at 670 [24]; </w:t>
      </w:r>
      <w:r w:rsidRPr="00546599">
        <w:rPr>
          <w:rFonts w:ascii="Times New Roman" w:hAnsi="Times New Roman"/>
          <w:i/>
          <w:iCs/>
          <w:sz w:val="24"/>
          <w:lang w:val="en-US"/>
        </w:rPr>
        <w:t>BXB v Trustees of the Barry Congregation of Jehovah's Witnesses</w:t>
      </w:r>
      <w:r w:rsidRPr="00546599">
        <w:rPr>
          <w:rFonts w:ascii="Times New Roman" w:hAnsi="Times New Roman"/>
          <w:sz w:val="24"/>
          <w:lang w:val="en-US"/>
        </w:rPr>
        <w:t xml:space="preserve"> [2024] AC 567 ("</w:t>
      </w:r>
      <w:r w:rsidRPr="00546599">
        <w:rPr>
          <w:rFonts w:ascii="Times New Roman" w:hAnsi="Times New Roman"/>
          <w:i/>
          <w:iCs/>
          <w:sz w:val="24"/>
          <w:lang w:val="en-US"/>
        </w:rPr>
        <w:t>BXB</w:t>
      </w:r>
      <w:r w:rsidRPr="00546599">
        <w:rPr>
          <w:rFonts w:ascii="Times New Roman" w:hAnsi="Times New Roman"/>
          <w:sz w:val="24"/>
          <w:lang w:val="en-US"/>
        </w:rPr>
        <w:t xml:space="preserve">") at 588 [58(iv)]. </w:t>
      </w:r>
    </w:p>
  </w:footnote>
  <w:footnote w:id="198">
    <w:p w14:paraId="7CFF0A9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Armes v Nottinghamshire County Council </w:t>
      </w:r>
      <w:r w:rsidRPr="00546599">
        <w:rPr>
          <w:rFonts w:ascii="Times New Roman" w:hAnsi="Times New Roman"/>
          <w:sz w:val="24"/>
          <w:lang w:val="en-US"/>
        </w:rPr>
        <w:t xml:space="preserve">[2018] AC 355 at 381 [67]. See also </w:t>
      </w:r>
      <w:r w:rsidRPr="00546599">
        <w:rPr>
          <w:rFonts w:ascii="Times New Roman" w:hAnsi="Times New Roman"/>
          <w:i/>
          <w:iCs/>
          <w:sz w:val="24"/>
          <w:lang w:val="en-US"/>
        </w:rPr>
        <w:t>BXB</w:t>
      </w:r>
      <w:r w:rsidRPr="00546599">
        <w:rPr>
          <w:rFonts w:ascii="Times New Roman" w:hAnsi="Times New Roman"/>
          <w:sz w:val="24"/>
          <w:lang w:val="en-US"/>
        </w:rPr>
        <w:t xml:space="preserve"> [2024] AC 567 at 588 [58(iv)].</w:t>
      </w:r>
    </w:p>
  </w:footnote>
  <w:footnote w:id="199">
    <w:p w14:paraId="5F45A6D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Hollis</w:t>
      </w:r>
      <w:r w:rsidRPr="00546599">
        <w:rPr>
          <w:rFonts w:ascii="Times New Roman" w:hAnsi="Times New Roman"/>
          <w:sz w:val="24"/>
          <w:lang w:val="en-US"/>
        </w:rPr>
        <w:t xml:space="preserve"> (2001) 207 CLR 21 at 37 [35], quoting </w:t>
      </w:r>
      <w:r w:rsidRPr="00546599">
        <w:rPr>
          <w:rFonts w:ascii="Times New Roman" w:hAnsi="Times New Roman"/>
          <w:i/>
          <w:iCs/>
          <w:sz w:val="24"/>
          <w:lang w:val="en-US"/>
        </w:rPr>
        <w:t>Prosser and Keeton on the Law of Torts</w:t>
      </w:r>
      <w:r w:rsidRPr="00546599">
        <w:rPr>
          <w:rFonts w:ascii="Times New Roman" w:hAnsi="Times New Roman"/>
          <w:sz w:val="24"/>
          <w:lang w:val="en-US"/>
        </w:rPr>
        <w:t>,</w:t>
      </w:r>
      <w:r w:rsidRPr="00546599">
        <w:rPr>
          <w:rFonts w:ascii="Times New Roman" w:hAnsi="Times New Roman"/>
          <w:i/>
          <w:iCs/>
          <w:sz w:val="24"/>
          <w:lang w:val="en-US"/>
        </w:rPr>
        <w:t xml:space="preserve"> </w:t>
      </w:r>
      <w:r w:rsidRPr="00546599">
        <w:rPr>
          <w:rFonts w:ascii="Times New Roman" w:hAnsi="Times New Roman"/>
          <w:sz w:val="24"/>
          <w:lang w:val="en-US"/>
        </w:rPr>
        <w:t>5th ed (1984) at 500.</w:t>
      </w:r>
    </w:p>
  </w:footnote>
  <w:footnote w:id="200">
    <w:p w14:paraId="0E1E15E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(2001) 207 CLR 21 at </w:t>
      </w:r>
      <w:r w:rsidRPr="00546599">
        <w:rPr>
          <w:rFonts w:ascii="Times New Roman" w:hAnsi="Times New Roman"/>
          <w:sz w:val="24"/>
        </w:rPr>
        <w:t xml:space="preserve">40 [42], quoting </w:t>
      </w:r>
      <w:r w:rsidRPr="00546599">
        <w:rPr>
          <w:rFonts w:ascii="Times New Roman" w:hAnsi="Times New Roman"/>
          <w:i/>
          <w:iCs/>
          <w:sz w:val="24"/>
        </w:rPr>
        <w:t>Bazley v Curry</w:t>
      </w:r>
      <w:r w:rsidRPr="00546599">
        <w:rPr>
          <w:rFonts w:ascii="Times New Roman" w:hAnsi="Times New Roman"/>
          <w:sz w:val="24"/>
        </w:rPr>
        <w:t xml:space="preserve"> [1999] 2 SCR 534 at 548-549.</w:t>
      </w:r>
    </w:p>
  </w:footnote>
  <w:footnote w:id="201">
    <w:p w14:paraId="333B985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(2001) 207 CLR 21 at </w:t>
      </w:r>
      <w:r w:rsidRPr="00546599">
        <w:rPr>
          <w:rFonts w:ascii="Times New Roman" w:hAnsi="Times New Roman"/>
          <w:sz w:val="24"/>
        </w:rPr>
        <w:t xml:space="preserve">40 [42], quoting </w:t>
      </w:r>
      <w:r w:rsidRPr="00546599">
        <w:rPr>
          <w:rFonts w:ascii="Times New Roman" w:hAnsi="Times New Roman"/>
          <w:i/>
          <w:iCs/>
          <w:sz w:val="24"/>
        </w:rPr>
        <w:t>Ira S Bushey &amp; Sons Inc v United States</w:t>
      </w:r>
      <w:r w:rsidRPr="00546599">
        <w:rPr>
          <w:rFonts w:ascii="Times New Roman" w:hAnsi="Times New Roman"/>
          <w:sz w:val="24"/>
        </w:rPr>
        <w:t xml:space="preserve"> (1968) 398 F 2d 167 at 171.</w:t>
      </w:r>
    </w:p>
  </w:footnote>
  <w:footnote w:id="202">
    <w:p w14:paraId="1050DFE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(2003) 212 CLR 511 at 543-544 [65].</w:t>
      </w:r>
    </w:p>
  </w:footnote>
  <w:footnote w:id="203">
    <w:p w14:paraId="09AAA2F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(2003) 212 CLR 511 at 612-613 [303].</w:t>
      </w:r>
    </w:p>
  </w:footnote>
  <w:footnote w:id="204">
    <w:p w14:paraId="723BD0B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(2003) 212 CLR 511 at 582 </w:t>
      </w:r>
      <w:r w:rsidRPr="00546599">
        <w:rPr>
          <w:rFonts w:ascii="Times New Roman" w:hAnsi="Times New Roman"/>
          <w:sz w:val="24"/>
        </w:rPr>
        <w:t>[202].</w:t>
      </w:r>
    </w:p>
  </w:footnote>
  <w:footnote w:id="205">
    <w:p w14:paraId="7BC2487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(2003) 212 CLR 511 at 588-589 </w:t>
      </w:r>
      <w:r w:rsidRPr="00546599">
        <w:rPr>
          <w:rFonts w:ascii="Times New Roman" w:hAnsi="Times New Roman"/>
          <w:sz w:val="24"/>
        </w:rPr>
        <w:t>[222]-[223].</w:t>
      </w:r>
    </w:p>
  </w:footnote>
  <w:footnote w:id="206">
    <w:p w14:paraId="67636E6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i/>
          <w:iCs/>
          <w:sz w:val="24"/>
          <w:lang w:val="en-US"/>
        </w:rPr>
        <w:t>Cassidy v Ministry of Health</w:t>
      </w:r>
      <w:r w:rsidRPr="00546599">
        <w:rPr>
          <w:rFonts w:ascii="Times New Roman" w:hAnsi="Times New Roman"/>
          <w:sz w:val="24"/>
          <w:lang w:val="en-US"/>
        </w:rPr>
        <w:t xml:space="preserve"> [1951] 2 KB 343 at 361.</w:t>
      </w:r>
    </w:p>
  </w:footnote>
  <w:footnote w:id="207">
    <w:p w14:paraId="6C901A0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(2022) 275 CLR 165 at 205 [104]. </w:t>
      </w:r>
    </w:p>
  </w:footnote>
  <w:footnote w:id="208">
    <w:p w14:paraId="6F441F0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(2022) 275 CLR 165 at 197 [73]. </w:t>
      </w:r>
    </w:p>
  </w:footnote>
  <w:footnote w:id="209">
    <w:p w14:paraId="2366C29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(2022) 275 CLR 165 at 185 [39].</w:t>
      </w:r>
    </w:p>
  </w:footnote>
  <w:footnote w:id="210">
    <w:p w14:paraId="384397C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Joint judgment at [48]; see also Jagot J at [241]. </w:t>
      </w:r>
    </w:p>
  </w:footnote>
  <w:footnote w:id="211">
    <w:p w14:paraId="1422C2B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[49]; see also Jagot J at [241], [251].</w:t>
      </w:r>
    </w:p>
  </w:footnote>
  <w:footnote w:id="212">
    <w:p w14:paraId="14942E3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(2000) 204 CLR 333. </w:t>
      </w:r>
    </w:p>
  </w:footnote>
  <w:footnote w:id="213">
    <w:p w14:paraId="13BD97A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Felton v Mulligan</w:t>
      </w:r>
      <w:r w:rsidRPr="00546599">
        <w:rPr>
          <w:rFonts w:ascii="Times New Roman" w:hAnsi="Times New Roman"/>
          <w:sz w:val="24"/>
        </w:rPr>
        <w:t xml:space="preserve"> (1971) 124 CLR 367 at 413; </w:t>
      </w:r>
      <w:r w:rsidRPr="00546599">
        <w:rPr>
          <w:rFonts w:ascii="Times New Roman" w:hAnsi="Times New Roman"/>
          <w:i/>
          <w:iCs/>
          <w:sz w:val="24"/>
        </w:rPr>
        <w:t xml:space="preserve">CSR Ltd v Eddy </w:t>
      </w:r>
      <w:r w:rsidRPr="00546599">
        <w:rPr>
          <w:rFonts w:ascii="Times New Roman" w:hAnsi="Times New Roman"/>
          <w:sz w:val="24"/>
        </w:rPr>
        <w:t xml:space="preserve">(2005) 226 CLR 1 at 11 [13]; </w:t>
      </w:r>
      <w:r w:rsidRPr="00546599">
        <w:rPr>
          <w:rFonts w:ascii="Times New Roman" w:hAnsi="Times New Roman"/>
          <w:i/>
          <w:iCs/>
          <w:sz w:val="24"/>
        </w:rPr>
        <w:t>Spence v Queensland</w:t>
      </w:r>
      <w:r w:rsidRPr="00546599">
        <w:rPr>
          <w:rFonts w:ascii="Times New Roman" w:hAnsi="Times New Roman"/>
          <w:sz w:val="24"/>
        </w:rPr>
        <w:t xml:space="preserve"> (2019) 268 CLR 355 at 486-487 [294];</w:t>
      </w:r>
      <w:r w:rsidRPr="00546599">
        <w:rPr>
          <w:rFonts w:ascii="Times New Roman" w:hAnsi="Times New Roman"/>
          <w:i/>
          <w:iCs/>
          <w:sz w:val="24"/>
        </w:rPr>
        <w:t xml:space="preserve"> Bell Lawyers Pty Ltd v Pentelow </w:t>
      </w:r>
      <w:r w:rsidRPr="00546599">
        <w:rPr>
          <w:rFonts w:ascii="Times New Roman" w:hAnsi="Times New Roman"/>
          <w:sz w:val="24"/>
        </w:rPr>
        <w:t>(2019) 269 CLR 333 at 346 [28].</w:t>
      </w:r>
    </w:p>
  </w:footnote>
  <w:footnote w:id="214">
    <w:p w14:paraId="6B6F807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w:t>
      </w:r>
    </w:p>
  </w:footnote>
  <w:footnote w:id="215">
    <w:p w14:paraId="2FA021C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(2023) 97 ALJR 551; 410 ALR 479. </w:t>
      </w:r>
    </w:p>
  </w:footnote>
  <w:footnote w:id="216">
    <w:p w14:paraId="2D3DCE4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561 [130]. </w:t>
      </w:r>
    </w:p>
  </w:footnote>
  <w:footnote w:id="217">
    <w:p w14:paraId="371E551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(1960) 103 CLR 215.</w:t>
      </w:r>
    </w:p>
  </w:footnote>
  <w:footnote w:id="218">
    <w:p w14:paraId="21B396D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Scott</w:t>
      </w:r>
      <w:r w:rsidRPr="00546599">
        <w:rPr>
          <w:rFonts w:ascii="Times New Roman" w:hAnsi="Times New Roman"/>
          <w:sz w:val="24"/>
          <w:lang w:val="en-US"/>
        </w:rPr>
        <w:t xml:space="preserve"> (2000) 204 CLR 333 at 384-385 [157], quoting </w:t>
      </w:r>
      <w:r w:rsidRPr="00546599">
        <w:rPr>
          <w:rFonts w:ascii="Times New Roman" w:hAnsi="Times New Roman"/>
          <w:i/>
          <w:iCs/>
          <w:sz w:val="24"/>
          <w:lang w:val="en-US"/>
        </w:rPr>
        <w:t>Soblusky v Egan</w:t>
      </w:r>
      <w:r w:rsidRPr="00546599">
        <w:rPr>
          <w:rFonts w:ascii="Times New Roman" w:hAnsi="Times New Roman"/>
          <w:sz w:val="24"/>
          <w:lang w:val="en-US"/>
        </w:rPr>
        <w:t xml:space="preserve"> (1960) 103 CLR 215 at 229.</w:t>
      </w:r>
    </w:p>
  </w:footnote>
  <w:footnote w:id="219">
    <w:p w14:paraId="01AEB27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(1960) 103 CLR 215 at 231.</w:t>
      </w:r>
    </w:p>
  </w:footnote>
  <w:footnote w:id="220">
    <w:p w14:paraId="26022CF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(1960) 103 CLR 215 at 231.</w:t>
      </w:r>
    </w:p>
  </w:footnote>
  <w:footnote w:id="221">
    <w:p w14:paraId="3C83EB7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(1960) 103 CLR 215 at 231.</w:t>
      </w:r>
    </w:p>
  </w:footnote>
  <w:footnote w:id="222">
    <w:p w14:paraId="2BED9FC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w:t>
      </w:r>
    </w:p>
  </w:footnote>
  <w:footnote w:id="223">
    <w:p w14:paraId="56187EA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(2000) 204 CLR 333 at 340-342 [12]-[16]. </w:t>
      </w:r>
    </w:p>
  </w:footnote>
  <w:footnote w:id="224">
    <w:p w14:paraId="04C0685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(2000) 204 CLR 333 at 342-343 [19].</w:t>
      </w:r>
    </w:p>
  </w:footnote>
  <w:footnote w:id="225">
    <w:p w14:paraId="646FEC5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(2000) 204 CLR 333 at 407 [223].</w:t>
      </w:r>
    </w:p>
  </w:footnote>
  <w:footnote w:id="226">
    <w:p w14:paraId="34CA561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385 [159].</w:t>
      </w:r>
    </w:p>
  </w:footnote>
  <w:footnote w:id="227">
    <w:p w14:paraId="515588B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409-410 [230].</w:t>
      </w:r>
    </w:p>
  </w:footnote>
  <w:footnote w:id="228">
    <w:p w14:paraId="5969F46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410-411 [233].</w:t>
      </w:r>
    </w:p>
  </w:footnote>
  <w:footnote w:id="229">
    <w:p w14:paraId="50D2B25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[1973] AC 127.</w:t>
      </w:r>
    </w:p>
  </w:footnote>
  <w:footnote w:id="230">
    <w:p w14:paraId="3E0FBA8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(2000) 204 CLR 333 at 412 [237].</w:t>
      </w:r>
    </w:p>
  </w:footnote>
  <w:footnote w:id="231">
    <w:p w14:paraId="7C736C23"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413 [239].</w:t>
      </w:r>
    </w:p>
  </w:footnote>
  <w:footnote w:id="232">
    <w:p w14:paraId="73086329"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437-438 [305]. </w:t>
      </w:r>
    </w:p>
  </w:footnote>
  <w:footnote w:id="233">
    <w:p w14:paraId="23D1243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438 [306]. </w:t>
      </w:r>
    </w:p>
  </w:footnote>
  <w:footnote w:id="234">
    <w:p w14:paraId="29662ED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436 [301].</w:t>
      </w:r>
    </w:p>
  </w:footnote>
  <w:footnote w:id="235">
    <w:p w14:paraId="50209D9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437 [302], 440 [311]. </w:t>
      </w:r>
    </w:p>
  </w:footnote>
  <w:footnote w:id="236">
    <w:p w14:paraId="0E498FE2"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(2000) 204 CLR 333 at</w:t>
      </w:r>
      <w:r w:rsidRPr="00546599">
        <w:rPr>
          <w:rFonts w:ascii="Times New Roman" w:hAnsi="Times New Roman"/>
          <w:sz w:val="24"/>
          <w:lang w:val="en-US"/>
        </w:rPr>
        <w:t xml:space="preserve"> 459-460 [358]. </w:t>
      </w:r>
    </w:p>
  </w:footnote>
  <w:footnote w:id="237">
    <w:p w14:paraId="37217A2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(2001) 207 CLR 21 at 36 [32]. </w:t>
      </w:r>
    </w:p>
  </w:footnote>
  <w:footnote w:id="238">
    <w:p w14:paraId="1A58656B"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Style w:val="FootnoteReference"/>
          <w:rFonts w:ascii="Times New Roman" w:hAnsi="Times New Roman"/>
          <w:sz w:val="22"/>
          <w:vertAlign w:val="baseline"/>
        </w:rPr>
        <w:t xml:space="preserve"> </w:t>
      </w:r>
      <w:r w:rsidRPr="00546599">
        <w:rPr>
          <w:rStyle w:val="FootnoteReference"/>
          <w:rFonts w:ascii="Times New Roman" w:hAnsi="Times New Roman"/>
          <w:sz w:val="22"/>
          <w:vertAlign w:val="baseline"/>
        </w:rPr>
        <w:tab/>
      </w:r>
      <w:r w:rsidRPr="00546599">
        <w:rPr>
          <w:rFonts w:ascii="Times New Roman" w:hAnsi="Times New Roman"/>
          <w:sz w:val="24"/>
        </w:rPr>
        <w:t>(2001) 207 CLR 21 at</w:t>
      </w:r>
      <w:r w:rsidRPr="00546599">
        <w:rPr>
          <w:rFonts w:ascii="Times New Roman" w:hAnsi="Times New Roman"/>
          <w:sz w:val="24"/>
          <w:lang w:val="en-US"/>
        </w:rPr>
        <w:t xml:space="preserve"> 35 [29]. </w:t>
      </w:r>
    </w:p>
  </w:footnote>
  <w:footnote w:id="239">
    <w:p w14:paraId="4C376A4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(2022) 275 CLR 165 at 200 [83].</w:t>
      </w:r>
    </w:p>
  </w:footnote>
  <w:footnote w:id="240">
    <w:p w14:paraId="04F4E64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(2001) 207 CLR 21 at 46 [61].</w:t>
      </w:r>
    </w:p>
  </w:footnote>
  <w:footnote w:id="241">
    <w:p w14:paraId="4234273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60-61 [101]-[102]. </w:t>
      </w:r>
    </w:p>
  </w:footnote>
  <w:footnote w:id="242">
    <w:p w14:paraId="65D20E0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46 [59] (emphasis added). </w:t>
      </w:r>
    </w:p>
  </w:footnote>
  <w:footnote w:id="243">
    <w:p w14:paraId="4670E53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 at 48-50.</w:t>
      </w:r>
    </w:p>
  </w:footnote>
  <w:footnote w:id="244">
    <w:p w14:paraId="7416D53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(2001) 207 CLR 21 at 39 [40]. </w:t>
      </w:r>
    </w:p>
  </w:footnote>
  <w:footnote w:id="245">
    <w:p w14:paraId="2AFF3F9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(1931) 46 CLR 41 at 48-49. </w:t>
      </w:r>
    </w:p>
  </w:footnote>
  <w:footnote w:id="246">
    <w:p w14:paraId="1D37EAD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(1931) 46 CLR 41 at 49. </w:t>
      </w:r>
    </w:p>
  </w:footnote>
  <w:footnote w:id="247">
    <w:p w14:paraId="0539D3B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(1931) 46 CLR 41 at 49.</w:t>
      </w:r>
    </w:p>
  </w:footnote>
  <w:footnote w:id="248">
    <w:p w14:paraId="167AD1A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(2006) 226 CLR 161 at 172 [29]. </w:t>
      </w:r>
    </w:p>
  </w:footnote>
  <w:footnote w:id="249">
    <w:p w14:paraId="00C95E1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(2006) 226 CLR 161 at 167 [13]. </w:t>
      </w:r>
    </w:p>
  </w:footnote>
  <w:footnote w:id="250">
    <w:p w14:paraId="482B663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168 [14]-[15], 173 [31]-[33].</w:t>
      </w:r>
    </w:p>
  </w:footnote>
  <w:footnote w:id="251">
    <w:p w14:paraId="43FCCE8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171 [24].</w:t>
      </w:r>
    </w:p>
  </w:footnote>
  <w:footnote w:id="252">
    <w:p w14:paraId="548BFD1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226 CLR 161 at 173 [33].</w:t>
      </w:r>
    </w:p>
  </w:footnote>
  <w:footnote w:id="253">
    <w:p w14:paraId="1979325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 at 150 [45].</w:t>
      </w:r>
    </w:p>
  </w:footnote>
  <w:footnote w:id="254">
    <w:p w14:paraId="598D55C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Joint judgment at [53].</w:t>
      </w:r>
    </w:p>
  </w:footnote>
  <w:footnote w:id="255">
    <w:p w14:paraId="1E1F834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Joint judgment at [53].</w:t>
      </w:r>
    </w:p>
  </w:footnote>
  <w:footnote w:id="256">
    <w:p w14:paraId="39FC6DD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[1999] 2 SCR 534.</w:t>
      </w:r>
    </w:p>
  </w:footnote>
  <w:footnote w:id="257">
    <w:p w14:paraId="240FE28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[2002] 1 AC 215.</w:t>
      </w:r>
    </w:p>
  </w:footnote>
  <w:footnote w:id="258">
    <w:p w14:paraId="1070FDD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p>
  </w:footnote>
  <w:footnote w:id="259">
    <w:p w14:paraId="59C7544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(2016) 258 CLR 134 at 171 [128].</w:t>
      </w:r>
    </w:p>
  </w:footnote>
  <w:footnote w:id="260">
    <w:p w14:paraId="4EF84D6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(2016) 258 CLR 134 at 141 [3], 143 [10].</w:t>
      </w:r>
    </w:p>
  </w:footnote>
  <w:footnote w:id="261">
    <w:p w14:paraId="26BF4C8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Prince Alfred College</w:t>
      </w:r>
      <w:r w:rsidRPr="00546599">
        <w:rPr>
          <w:rFonts w:ascii="Times New Roman" w:hAnsi="Times New Roman"/>
          <w:sz w:val="24"/>
        </w:rPr>
        <w:t xml:space="preserve"> (2016) 258 CLR 134 at 160 [82], 172 [130]. </w:t>
      </w:r>
    </w:p>
  </w:footnote>
  <w:footnote w:id="262">
    <w:p w14:paraId="13E8A40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535 [39]. </w:t>
      </w:r>
    </w:p>
  </w:footnote>
  <w:footnote w:id="263">
    <w:p w14:paraId="5EE95C1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546 [72]. </w:t>
      </w:r>
    </w:p>
  </w:footnote>
  <w:footnote w:id="264">
    <w:p w14:paraId="397F878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560 [126]. </w:t>
      </w:r>
    </w:p>
  </w:footnote>
  <w:footnote w:id="265">
    <w:p w14:paraId="6C7EE1F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at 561 [131].</w:t>
      </w:r>
    </w:p>
  </w:footnote>
  <w:footnote w:id="266">
    <w:p w14:paraId="5AB09D98"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561 [131]. </w:t>
      </w:r>
    </w:p>
  </w:footnote>
  <w:footnote w:id="267">
    <w:p w14:paraId="449AC5A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573 [166]. </w:t>
      </w:r>
    </w:p>
  </w:footnote>
  <w:footnote w:id="268">
    <w:p w14:paraId="009CA38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584-586 [210]-[212], 587 [218]. </w:t>
      </w:r>
    </w:p>
  </w:footnote>
  <w:footnote w:id="269">
    <w:p w14:paraId="143A5D6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 AC 366.</w:t>
      </w:r>
    </w:p>
  </w:footnote>
  <w:footnote w:id="270">
    <w:p w14:paraId="1E1E908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586 [213]. </w:t>
      </w:r>
    </w:p>
  </w:footnote>
  <w:footnote w:id="271">
    <w:p w14:paraId="159AD13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(2003) 212 CLR 511 at 604 [277]. </w:t>
      </w:r>
    </w:p>
  </w:footnote>
  <w:footnote w:id="272">
    <w:p w14:paraId="6F59D29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(2003) 212 CLR 511 at 626 [345].</w:t>
      </w:r>
    </w:p>
  </w:footnote>
  <w:footnote w:id="273">
    <w:p w14:paraId="63F18AC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Holmes, "Agency" (1891) 4 </w:t>
      </w:r>
      <w:r w:rsidRPr="00546599">
        <w:rPr>
          <w:rFonts w:ascii="Times New Roman" w:hAnsi="Times New Roman"/>
          <w:i/>
          <w:iCs/>
          <w:sz w:val="24"/>
          <w:lang w:val="en-US"/>
        </w:rPr>
        <w:t>Harvard Law Review</w:t>
      </w:r>
      <w:r w:rsidRPr="00546599">
        <w:rPr>
          <w:rFonts w:ascii="Times New Roman" w:hAnsi="Times New Roman"/>
          <w:sz w:val="24"/>
          <w:lang w:val="en-US"/>
        </w:rPr>
        <w:t xml:space="preserve"> 345 at 357, citing YB 49 Ed III at 25-26, pl 3. </w:t>
      </w:r>
    </w:p>
  </w:footnote>
  <w:footnote w:id="274">
    <w:p w14:paraId="44656C9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[2004] 1 SCR 436 at 447.</w:t>
      </w:r>
    </w:p>
  </w:footnote>
  <w:footnote w:id="275">
    <w:p w14:paraId="0203286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[2004] 1 SCR 436 at 442.</w:t>
      </w:r>
    </w:p>
  </w:footnote>
  <w:footnote w:id="276">
    <w:p w14:paraId="4E31F1E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[2004] 1 SCR 436 at</w:t>
      </w:r>
      <w:r w:rsidRPr="00546599">
        <w:rPr>
          <w:rFonts w:ascii="Times New Roman" w:hAnsi="Times New Roman"/>
          <w:sz w:val="24"/>
          <w:lang w:val="en-US"/>
        </w:rPr>
        <w:t xml:space="preserve"> 449. </w:t>
      </w:r>
    </w:p>
  </w:footnote>
  <w:footnote w:id="277">
    <w:p w14:paraId="6D1AEA43" w14:textId="77777777" w:rsidR="003C3645" w:rsidRPr="00546599" w:rsidRDefault="003C3645" w:rsidP="00E25845">
      <w:pPr>
        <w:pStyle w:val="FootnoteText"/>
        <w:spacing w:line="280" w:lineRule="exact"/>
        <w:ind w:right="0"/>
        <w:jc w:val="both"/>
        <w:rPr>
          <w:rFonts w:ascii="Times New Roman" w:hAnsi="Times New Roman"/>
          <w:b/>
          <w:bCs/>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b/>
          <w:bCs/>
          <w:sz w:val="24"/>
        </w:rPr>
        <w:tab/>
      </w:r>
      <w:r w:rsidRPr="00546599">
        <w:rPr>
          <w:rFonts w:ascii="Times New Roman" w:hAnsi="Times New Roman"/>
          <w:sz w:val="24"/>
        </w:rPr>
        <w:t>[2010] 1 WLR 1441.</w:t>
      </w:r>
    </w:p>
  </w:footnote>
  <w:footnote w:id="278">
    <w:p w14:paraId="3C9A0307" w14:textId="77777777" w:rsidR="003C3645" w:rsidRPr="00546599" w:rsidRDefault="003C3645" w:rsidP="00E25845">
      <w:pPr>
        <w:pStyle w:val="FootnoteText"/>
        <w:spacing w:line="280" w:lineRule="exact"/>
        <w:ind w:right="0"/>
        <w:jc w:val="both"/>
        <w:rPr>
          <w:rFonts w:ascii="Times New Roman" w:hAnsi="Times New Roman"/>
          <w:b/>
          <w:bCs/>
          <w:sz w:val="24"/>
        </w:rPr>
      </w:pPr>
      <w:r w:rsidRPr="00546599">
        <w:rPr>
          <w:rStyle w:val="FootnoteReference"/>
          <w:rFonts w:ascii="Times New Roman" w:hAnsi="Times New Roman"/>
          <w:sz w:val="22"/>
          <w:vertAlign w:val="baseline"/>
        </w:rPr>
        <w:footnoteRef/>
      </w:r>
      <w:r w:rsidRPr="00546599">
        <w:rPr>
          <w:rFonts w:ascii="Times New Roman" w:hAnsi="Times New Roman"/>
          <w:b/>
          <w:bCs/>
          <w:sz w:val="24"/>
        </w:rPr>
        <w:tab/>
      </w:r>
      <w:r w:rsidRPr="00546599">
        <w:rPr>
          <w:rFonts w:ascii="Times New Roman" w:hAnsi="Times New Roman"/>
          <w:sz w:val="24"/>
        </w:rPr>
        <w:t>[2010] 1 WLR 1441 at 1455 [45].</w:t>
      </w:r>
    </w:p>
  </w:footnote>
  <w:footnote w:id="279">
    <w:p w14:paraId="7B72F29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b/>
          <w:bCs/>
          <w:sz w:val="24"/>
        </w:rPr>
        <w:t xml:space="preserve"> </w:t>
      </w:r>
      <w:r w:rsidRPr="00546599">
        <w:rPr>
          <w:rFonts w:ascii="Times New Roman" w:hAnsi="Times New Roman"/>
          <w:sz w:val="24"/>
        </w:rPr>
        <w:tab/>
        <w:t xml:space="preserve">[2013] QB 722. </w:t>
      </w:r>
    </w:p>
  </w:footnote>
  <w:footnote w:id="280">
    <w:p w14:paraId="03D17CE6"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[2013] QB 722 at 769 [73].</w:t>
      </w:r>
    </w:p>
  </w:footnote>
  <w:footnote w:id="281">
    <w:p w14:paraId="16B148B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769 [74], 771-772 [78]-[79].</w:t>
      </w:r>
    </w:p>
  </w:footnote>
  <w:footnote w:id="282">
    <w:p w14:paraId="2A3F610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770 [75].</w:t>
      </w:r>
    </w:p>
  </w:footnote>
  <w:footnote w:id="283">
    <w:p w14:paraId="5C7B485A"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[2013] QB 722 at 770-771 [76]. </w:t>
      </w:r>
    </w:p>
  </w:footnote>
  <w:footnote w:id="284">
    <w:p w14:paraId="00937E9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[2013] QB 722 at 771 [78]. </w:t>
      </w:r>
    </w:p>
  </w:footnote>
  <w:footnote w:id="285">
    <w:p w14:paraId="356CFF5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QB 722 at 771-772 [79].</w:t>
      </w:r>
    </w:p>
  </w:footnote>
  <w:footnote w:id="286">
    <w:p w14:paraId="318B755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sz w:val="24"/>
          <w:lang w:val="en-US"/>
        </w:rPr>
        <w:t xml:space="preserve">[2013] QB 722 at </w:t>
      </w:r>
      <w:r w:rsidRPr="00546599">
        <w:rPr>
          <w:rFonts w:ascii="Times New Roman" w:hAnsi="Times New Roman"/>
          <w:sz w:val="24"/>
        </w:rPr>
        <w:t xml:space="preserve">772 [83]. </w:t>
      </w:r>
    </w:p>
  </w:footnote>
  <w:footnote w:id="287">
    <w:p w14:paraId="4E2117F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p>
  </w:footnote>
  <w:footnote w:id="288">
    <w:p w14:paraId="66A05F20"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[2013] 2 AC 1 at 20 [56]. See also </w:t>
      </w:r>
      <w:r w:rsidRPr="00546599">
        <w:rPr>
          <w:rFonts w:ascii="Times New Roman" w:hAnsi="Times New Roman"/>
          <w:i/>
          <w:iCs/>
          <w:sz w:val="24"/>
          <w:lang w:val="en-US"/>
        </w:rPr>
        <w:t xml:space="preserve">BXB </w:t>
      </w:r>
      <w:r w:rsidRPr="00546599">
        <w:rPr>
          <w:rFonts w:ascii="Times New Roman" w:hAnsi="Times New Roman"/>
          <w:sz w:val="24"/>
          <w:lang w:val="en-US"/>
        </w:rPr>
        <w:t xml:space="preserve">[2024] AC 567 at 581 [36]. </w:t>
      </w:r>
    </w:p>
  </w:footnote>
  <w:footnote w:id="289">
    <w:p w14:paraId="316E420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 xml:space="preserve">[2013] 2 AC 1 at 18 [47]. </w:t>
      </w:r>
    </w:p>
  </w:footnote>
  <w:footnote w:id="290">
    <w:p w14:paraId="6DE762C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[2013] 2 AC 1</w:t>
      </w:r>
      <w:r w:rsidRPr="00546599">
        <w:rPr>
          <w:rFonts w:ascii="Times New Roman" w:hAnsi="Times New Roman"/>
          <w:sz w:val="24"/>
          <w:lang w:val="en-US"/>
        </w:rPr>
        <w:t xml:space="preserve"> at 20 [55]. </w:t>
      </w:r>
    </w:p>
  </w:footnote>
  <w:footnote w:id="291">
    <w:p w14:paraId="60C63A06"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[2013] 2 AC 1</w:t>
      </w:r>
      <w:r w:rsidRPr="00546599">
        <w:rPr>
          <w:rFonts w:ascii="Times New Roman" w:hAnsi="Times New Roman"/>
          <w:sz w:val="24"/>
          <w:lang w:val="en-US"/>
        </w:rPr>
        <w:t xml:space="preserve"> at 20 [57]. </w:t>
      </w:r>
    </w:p>
  </w:footnote>
  <w:footnote w:id="292">
    <w:p w14:paraId="2FACD33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sz w:val="24"/>
        </w:rPr>
        <w:t>[2013] 2 AC 1</w:t>
      </w:r>
      <w:r w:rsidRPr="00546599">
        <w:rPr>
          <w:rFonts w:ascii="Times New Roman" w:hAnsi="Times New Roman"/>
          <w:sz w:val="24"/>
          <w:lang w:val="en-US"/>
        </w:rPr>
        <w:t xml:space="preserve"> at 20 [59]. </w:t>
      </w:r>
    </w:p>
  </w:footnote>
  <w:footnote w:id="293">
    <w:p w14:paraId="142FD96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[2024] AC 567.</w:t>
      </w:r>
    </w:p>
  </w:footnote>
  <w:footnote w:id="294">
    <w:p w14:paraId="0AB4C20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[2024] AC 567 at 587 [58(ii)].</w:t>
      </w:r>
    </w:p>
  </w:footnote>
  <w:footnote w:id="295">
    <w:p w14:paraId="538540F1"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ab/>
      </w:r>
      <w:r w:rsidRPr="00546599">
        <w:rPr>
          <w:rFonts w:ascii="Times New Roman" w:hAnsi="Times New Roman"/>
          <w:i/>
          <w:iCs/>
          <w:sz w:val="24"/>
        </w:rPr>
        <w:t>Civil Liability Act</w:t>
      </w:r>
      <w:r w:rsidRPr="00546599">
        <w:rPr>
          <w:rFonts w:ascii="Times New Roman" w:hAnsi="Times New Roman"/>
          <w:sz w:val="24"/>
        </w:rPr>
        <w:t xml:space="preserve"> 1936 (SA), s 50A(1); </w:t>
      </w:r>
      <w:r w:rsidRPr="00546599">
        <w:rPr>
          <w:rFonts w:ascii="Times New Roman" w:hAnsi="Times New Roman"/>
          <w:i/>
          <w:iCs/>
          <w:sz w:val="24"/>
        </w:rPr>
        <w:t>Civil Liability Act 2002</w:t>
      </w:r>
      <w:r w:rsidRPr="00546599">
        <w:rPr>
          <w:rFonts w:ascii="Times New Roman" w:hAnsi="Times New Roman"/>
          <w:sz w:val="24"/>
        </w:rPr>
        <w:t xml:space="preserve"> (NSW), s 6G(1); </w:t>
      </w:r>
      <w:r w:rsidRPr="00546599">
        <w:rPr>
          <w:rFonts w:ascii="Times New Roman" w:hAnsi="Times New Roman"/>
          <w:i/>
          <w:iCs/>
          <w:sz w:val="24"/>
        </w:rPr>
        <w:t>Civil Liability Act 2002</w:t>
      </w:r>
      <w:r w:rsidRPr="00546599">
        <w:rPr>
          <w:rFonts w:ascii="Times New Roman" w:hAnsi="Times New Roman"/>
          <w:sz w:val="24"/>
        </w:rPr>
        <w:t xml:space="preserve"> (Tas), s 49I(1); </w:t>
      </w:r>
      <w:r w:rsidRPr="00546599">
        <w:rPr>
          <w:rFonts w:ascii="Times New Roman" w:hAnsi="Times New Roman"/>
          <w:i/>
          <w:iCs/>
          <w:sz w:val="24"/>
        </w:rPr>
        <w:t>Personal Injuries (Liabilities and Damages) Act 2003</w:t>
      </w:r>
      <w:r w:rsidRPr="00546599">
        <w:rPr>
          <w:rFonts w:ascii="Times New Roman" w:hAnsi="Times New Roman"/>
          <w:sz w:val="24"/>
        </w:rPr>
        <w:t xml:space="preserve"> (NT), s 17G(1).</w:t>
      </w:r>
    </w:p>
  </w:footnote>
  <w:footnote w:id="296">
    <w:p w14:paraId="3A193DA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Wrongs Act 1958 </w:t>
      </w:r>
      <w:r w:rsidRPr="00546599">
        <w:rPr>
          <w:rFonts w:ascii="Times New Roman" w:hAnsi="Times New Roman"/>
          <w:sz w:val="24"/>
        </w:rPr>
        <w:t xml:space="preserve">(Vic), ss 90(1)(b), 91(2); </w:t>
      </w:r>
      <w:r w:rsidRPr="00546599">
        <w:rPr>
          <w:rFonts w:ascii="Times New Roman" w:hAnsi="Times New Roman"/>
          <w:i/>
          <w:iCs/>
          <w:sz w:val="24"/>
        </w:rPr>
        <w:t>Civil Liability Act 2003</w:t>
      </w:r>
      <w:r w:rsidRPr="00546599">
        <w:rPr>
          <w:rFonts w:ascii="Times New Roman" w:hAnsi="Times New Roman"/>
          <w:sz w:val="24"/>
        </w:rPr>
        <w:t xml:space="preserve"> (Qld), ss 33C(1)(b), 33D.</w:t>
      </w:r>
    </w:p>
  </w:footnote>
  <w:footnote w:id="297">
    <w:p w14:paraId="75603E22"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Civil Liability Act 2002</w:t>
      </w:r>
      <w:r w:rsidRPr="00546599">
        <w:rPr>
          <w:rFonts w:ascii="Times New Roman" w:hAnsi="Times New Roman"/>
          <w:sz w:val="24"/>
        </w:rPr>
        <w:t xml:space="preserve"> (WA), ss 15B, 15D.</w:t>
      </w:r>
    </w:p>
  </w:footnote>
  <w:footnote w:id="298">
    <w:p w14:paraId="083C9D3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[2006] 2 AC 28.</w:t>
      </w:r>
    </w:p>
  </w:footnote>
  <w:footnote w:id="299">
    <w:p w14:paraId="1867C1AA"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Fringe Benefits Tax Assessment Act 1986 </w:t>
      </w:r>
      <w:r w:rsidRPr="00546599">
        <w:rPr>
          <w:rFonts w:ascii="Times New Roman" w:hAnsi="Times New Roman"/>
          <w:sz w:val="24"/>
          <w:lang w:val="en-US"/>
        </w:rPr>
        <w:t>(Cth), ss 57, 136 (definitions of "employment" and "employee"); Taxation Ruling 2019/3, "Fringe benefits tax: benefits provided to religious practitioners" at 2 [5], 3 [11].</w:t>
      </w:r>
    </w:p>
  </w:footnote>
  <w:footnote w:id="300">
    <w:p w14:paraId="5F7D4E3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 xml:space="preserve">See, eg, </w:t>
      </w:r>
      <w:r w:rsidRPr="00546599">
        <w:rPr>
          <w:rFonts w:ascii="Times New Roman" w:hAnsi="Times New Roman"/>
          <w:i/>
          <w:iCs/>
          <w:sz w:val="24"/>
          <w:lang w:val="en-US"/>
        </w:rPr>
        <w:t>Sex Discrimination Act 1984</w:t>
      </w:r>
      <w:r w:rsidRPr="00546599">
        <w:rPr>
          <w:rFonts w:ascii="Times New Roman" w:hAnsi="Times New Roman"/>
          <w:sz w:val="24"/>
          <w:lang w:val="en-US"/>
        </w:rPr>
        <w:t xml:space="preserve"> (Cth), s 106.</w:t>
      </w:r>
    </w:p>
  </w:footnote>
  <w:footnote w:id="301">
    <w:p w14:paraId="652E0A9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Nolan</w:t>
      </w:r>
      <w:r w:rsidRPr="00546599">
        <w:rPr>
          <w:rFonts w:ascii="Times New Roman" w:hAnsi="Times New Roman"/>
          <w:sz w:val="24"/>
          <w:lang w:val="en-US"/>
        </w:rPr>
        <w:t xml:space="preserve">, "Reining in Vicarious Liability" (2020) 49 </w:t>
      </w:r>
      <w:r w:rsidRPr="00546599">
        <w:rPr>
          <w:rFonts w:ascii="Times New Roman" w:hAnsi="Times New Roman"/>
          <w:i/>
          <w:iCs/>
          <w:sz w:val="24"/>
          <w:lang w:val="en-US"/>
        </w:rPr>
        <w:t xml:space="preserve">Industrial Law Journal </w:t>
      </w:r>
      <w:r w:rsidRPr="00546599">
        <w:rPr>
          <w:rFonts w:ascii="Times New Roman" w:hAnsi="Times New Roman"/>
          <w:sz w:val="24"/>
          <w:lang w:val="en-US"/>
        </w:rPr>
        <w:t>609 at 615.</w:t>
      </w:r>
    </w:p>
  </w:footnote>
  <w:footnote w:id="302">
    <w:p w14:paraId="325A0E3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 xml:space="preserve">BXB </w:t>
      </w:r>
      <w:r w:rsidRPr="00546599">
        <w:rPr>
          <w:rFonts w:ascii="Times New Roman" w:hAnsi="Times New Roman"/>
          <w:sz w:val="24"/>
          <w:lang w:val="en-US"/>
        </w:rPr>
        <w:t xml:space="preserve">[2024] AC 567 at 585 [50]. See also </w:t>
      </w:r>
      <w:r w:rsidRPr="00546599">
        <w:rPr>
          <w:rFonts w:ascii="Times New Roman" w:hAnsi="Times New Roman"/>
          <w:i/>
          <w:iCs/>
          <w:sz w:val="24"/>
          <w:lang w:val="en-US"/>
        </w:rPr>
        <w:t>Various Claimants v Barclays Bank plc</w:t>
      </w:r>
      <w:r w:rsidRPr="00546599">
        <w:rPr>
          <w:rFonts w:ascii="Times New Roman" w:hAnsi="Times New Roman"/>
          <w:sz w:val="24"/>
          <w:lang w:val="en-US"/>
        </w:rPr>
        <w:t xml:space="preserve"> [2020] AC 973 at 986 [24], 987 [27].</w:t>
      </w:r>
    </w:p>
  </w:footnote>
  <w:footnote w:id="303">
    <w:p w14:paraId="43DF2985"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Hollis</w:t>
      </w:r>
      <w:r w:rsidRPr="00546599">
        <w:rPr>
          <w:rFonts w:ascii="Times New Roman" w:hAnsi="Times New Roman"/>
          <w:sz w:val="24"/>
        </w:rPr>
        <w:t xml:space="preserve"> (2001) 207 CLR 21 at 42 [48]-[50], 43 [53]-[54], 44 [56]-[57]; </w:t>
      </w:r>
      <w:r w:rsidRPr="00546599">
        <w:rPr>
          <w:rFonts w:ascii="Times New Roman" w:hAnsi="Times New Roman"/>
          <w:i/>
          <w:iCs/>
          <w:sz w:val="24"/>
        </w:rPr>
        <w:t>Personnel Contracting</w:t>
      </w:r>
      <w:r w:rsidRPr="00546599">
        <w:rPr>
          <w:rFonts w:ascii="Times New Roman" w:hAnsi="Times New Roman"/>
          <w:sz w:val="24"/>
        </w:rPr>
        <w:t xml:space="preserve"> (2022) 275 CLR 165 at 186-187 [41]-[44], 220 [143]. </w:t>
      </w:r>
    </w:p>
  </w:footnote>
  <w:footnote w:id="304">
    <w:p w14:paraId="6348A43D"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bookmarkStart w:id="2" w:name="_Hlk180674031"/>
      <w:r w:rsidRPr="00546599">
        <w:rPr>
          <w:rFonts w:ascii="Times New Roman" w:hAnsi="Times New Roman"/>
          <w:sz w:val="24"/>
        </w:rPr>
        <w:t xml:space="preserve"> </w:t>
      </w:r>
      <w:r w:rsidRPr="00546599">
        <w:rPr>
          <w:rFonts w:ascii="Times New Roman" w:hAnsi="Times New Roman"/>
          <w:sz w:val="24"/>
          <w:lang w:val="en-US"/>
        </w:rPr>
        <w:tab/>
      </w:r>
      <w:bookmarkEnd w:id="2"/>
      <w:r w:rsidRPr="00546599">
        <w:rPr>
          <w:rFonts w:ascii="Times New Roman" w:hAnsi="Times New Roman"/>
          <w:i/>
          <w:iCs/>
          <w:sz w:val="24"/>
          <w:lang w:val="en-US"/>
        </w:rPr>
        <w:t>Prince Alfred</w:t>
      </w:r>
      <w:r w:rsidRPr="00546599">
        <w:rPr>
          <w:rFonts w:ascii="Times New Roman" w:hAnsi="Times New Roman"/>
          <w:sz w:val="24"/>
          <w:lang w:val="en-US"/>
        </w:rPr>
        <w:t xml:space="preserve"> </w:t>
      </w:r>
      <w:r w:rsidRPr="00546599">
        <w:rPr>
          <w:rFonts w:ascii="Times New Roman" w:hAnsi="Times New Roman"/>
          <w:i/>
          <w:iCs/>
          <w:sz w:val="24"/>
          <w:lang w:val="en-US"/>
        </w:rPr>
        <w:t xml:space="preserve">College </w:t>
      </w:r>
      <w:r w:rsidRPr="00546599">
        <w:rPr>
          <w:rFonts w:ascii="Times New Roman" w:hAnsi="Times New Roman"/>
          <w:sz w:val="24"/>
          <w:lang w:val="en-US"/>
        </w:rPr>
        <w:t xml:space="preserve">(2016) 258 CLR 134 at 148 [40]. See also </w:t>
      </w:r>
      <w:r w:rsidRPr="00546599">
        <w:rPr>
          <w:rFonts w:ascii="Times New Roman" w:hAnsi="Times New Roman"/>
          <w:i/>
          <w:iCs/>
          <w:sz w:val="24"/>
          <w:lang w:val="en-US"/>
        </w:rPr>
        <w:t>Bugge v Brown</w:t>
      </w:r>
      <w:r w:rsidRPr="00546599">
        <w:rPr>
          <w:rFonts w:ascii="Times New Roman" w:hAnsi="Times New Roman"/>
          <w:sz w:val="24"/>
          <w:lang w:val="en-US"/>
        </w:rPr>
        <w:t xml:space="preserve"> (1919) 26 CLR 110 at 117-118; </w:t>
      </w:r>
      <w:r w:rsidRPr="00546599">
        <w:rPr>
          <w:rFonts w:ascii="Times New Roman" w:hAnsi="Times New Roman"/>
          <w:i/>
          <w:iCs/>
          <w:sz w:val="24"/>
          <w:lang w:val="en-US"/>
        </w:rPr>
        <w:t xml:space="preserve">Lepore </w:t>
      </w:r>
      <w:r w:rsidRPr="00546599">
        <w:rPr>
          <w:rFonts w:ascii="Times New Roman" w:hAnsi="Times New Roman"/>
          <w:sz w:val="24"/>
          <w:lang w:val="en-US"/>
        </w:rPr>
        <w:t xml:space="preserve">(2003) 212 CLR 511 at 535 [40], 586 [213], 588 [220], 589 [223]. </w:t>
      </w:r>
    </w:p>
  </w:footnote>
  <w:footnote w:id="305">
    <w:p w14:paraId="74D19897"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(2016) 258 CLR 134 at 160 [81].</w:t>
      </w:r>
    </w:p>
  </w:footnote>
  <w:footnote w:id="306">
    <w:p w14:paraId="27D7D04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 (a pseudonym) v Bird</w:t>
      </w:r>
      <w:r w:rsidRPr="00546599">
        <w:rPr>
          <w:rFonts w:ascii="Times New Roman" w:hAnsi="Times New Roman"/>
          <w:sz w:val="24"/>
        </w:rPr>
        <w:t xml:space="preserve"> [2021] VSC 850 ("</w:t>
      </w:r>
      <w:r w:rsidRPr="00546599">
        <w:rPr>
          <w:rFonts w:ascii="Times New Roman" w:hAnsi="Times New Roman"/>
          <w:i/>
          <w:iCs/>
          <w:sz w:val="24"/>
        </w:rPr>
        <w:t>DP</w:t>
      </w:r>
      <w:r w:rsidRPr="00546599">
        <w:rPr>
          <w:rFonts w:ascii="Times New Roman" w:hAnsi="Times New Roman"/>
          <w:sz w:val="24"/>
        </w:rPr>
        <w:t>") at [4], [283].</w:t>
      </w:r>
    </w:p>
  </w:footnote>
  <w:footnote w:id="307">
    <w:p w14:paraId="1D5E9568"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bookmarkStart w:id="3" w:name="_Hlk169274141"/>
      <w:r w:rsidRPr="00546599">
        <w:rPr>
          <w:rFonts w:ascii="Times New Roman" w:hAnsi="Times New Roman"/>
          <w:i/>
          <w:iCs/>
          <w:sz w:val="24"/>
        </w:rPr>
        <w:t>DP</w:t>
      </w:r>
      <w:r w:rsidRPr="00546599">
        <w:rPr>
          <w:rFonts w:ascii="Times New Roman" w:hAnsi="Times New Roman"/>
          <w:sz w:val="24"/>
        </w:rPr>
        <w:t xml:space="preserve"> [2021] VSC 850 at</w:t>
      </w:r>
      <w:bookmarkEnd w:id="3"/>
      <w:r w:rsidRPr="00546599">
        <w:rPr>
          <w:rFonts w:ascii="Times New Roman" w:hAnsi="Times New Roman"/>
          <w:sz w:val="24"/>
        </w:rPr>
        <w:t xml:space="preserve"> [307]. </w:t>
      </w:r>
    </w:p>
  </w:footnote>
  <w:footnote w:id="308">
    <w:p w14:paraId="5096672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Bird v DP (a pseudonym) </w:t>
      </w:r>
      <w:r w:rsidRPr="00546599">
        <w:rPr>
          <w:rFonts w:ascii="Times New Roman" w:hAnsi="Times New Roman"/>
          <w:sz w:val="24"/>
        </w:rPr>
        <w:t>(2023) 69 VR 408 ("</w:t>
      </w:r>
      <w:r w:rsidRPr="00546599">
        <w:rPr>
          <w:rFonts w:ascii="Times New Roman" w:hAnsi="Times New Roman"/>
          <w:i/>
          <w:iCs/>
          <w:sz w:val="24"/>
        </w:rPr>
        <w:t>Bird</w:t>
      </w:r>
      <w:r w:rsidRPr="00546599">
        <w:rPr>
          <w:rFonts w:ascii="Times New Roman" w:hAnsi="Times New Roman"/>
          <w:sz w:val="24"/>
        </w:rPr>
        <w:t>") at</w:t>
      </w:r>
      <w:r w:rsidRPr="00546599" w:rsidDel="00CA20F5">
        <w:rPr>
          <w:rFonts w:ascii="Times New Roman" w:hAnsi="Times New Roman"/>
          <w:sz w:val="24"/>
        </w:rPr>
        <w:t xml:space="preserve"> </w:t>
      </w:r>
      <w:r w:rsidRPr="00546599">
        <w:rPr>
          <w:rFonts w:ascii="Times New Roman" w:hAnsi="Times New Roman"/>
          <w:sz w:val="24"/>
        </w:rPr>
        <w:t>441 [130].</w:t>
      </w:r>
    </w:p>
  </w:footnote>
  <w:footnote w:id="309">
    <w:p w14:paraId="35015CF4"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lang w:val="en-US"/>
        </w:rPr>
        <w:t>Personnel Contracting</w:t>
      </w:r>
      <w:r w:rsidRPr="00546599">
        <w:rPr>
          <w:rFonts w:ascii="Times New Roman" w:hAnsi="Times New Roman"/>
          <w:sz w:val="24"/>
          <w:lang w:val="en-US"/>
        </w:rPr>
        <w:t xml:space="preserve"> (2022) 275 CLR 165 at 184-185 [35]-[39].</w:t>
      </w:r>
    </w:p>
  </w:footnote>
  <w:footnote w:id="310">
    <w:p w14:paraId="1057BF2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(2001) 207 CLR 21 at 42 [48]-[50], 43 [53]-[54], 44 [56]-[57].</w:t>
      </w:r>
    </w:p>
  </w:footnote>
  <w:footnote w:id="311">
    <w:p w14:paraId="114E069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[128].</w:t>
      </w:r>
    </w:p>
  </w:footnote>
  <w:footnote w:id="312">
    <w:p w14:paraId="795F1E7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 xml:space="preserve">Bird </w:t>
      </w:r>
      <w:r w:rsidRPr="00546599">
        <w:rPr>
          <w:rFonts w:ascii="Times New Roman" w:hAnsi="Times New Roman"/>
          <w:sz w:val="24"/>
        </w:rPr>
        <w:t>(2023) 69 VR 408 at 439 [124].</w:t>
      </w:r>
    </w:p>
  </w:footnote>
  <w:footnote w:id="313">
    <w:p w14:paraId="512014F1"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439-440 [125].</w:t>
      </w:r>
    </w:p>
  </w:footnote>
  <w:footnote w:id="314">
    <w:p w14:paraId="56D0426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sidDel="00FE7F92">
        <w:rPr>
          <w:rFonts w:ascii="Times New Roman" w:hAnsi="Times New Roman"/>
          <w:sz w:val="24"/>
        </w:rPr>
        <w:t xml:space="preserve"> </w:t>
      </w:r>
      <w:r w:rsidRPr="00546599">
        <w:rPr>
          <w:rFonts w:ascii="Times New Roman" w:hAnsi="Times New Roman"/>
          <w:sz w:val="24"/>
        </w:rPr>
        <w:t xml:space="preserve">440 [127]. </w:t>
      </w:r>
    </w:p>
  </w:footnote>
  <w:footnote w:id="315">
    <w:p w14:paraId="0E9170D9"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[127]. </w:t>
      </w:r>
    </w:p>
  </w:footnote>
  <w:footnote w:id="316">
    <w:p w14:paraId="7CA2E41C"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Giliker, "Vicarious Liability", in Sappideen and Vines (eds), </w:t>
      </w:r>
      <w:r w:rsidRPr="00546599">
        <w:rPr>
          <w:rFonts w:ascii="Times New Roman" w:hAnsi="Times New Roman"/>
          <w:i/>
          <w:iCs/>
          <w:sz w:val="24"/>
        </w:rPr>
        <w:t>Fleming's The Law of Torts</w:t>
      </w:r>
      <w:r w:rsidRPr="00546599">
        <w:rPr>
          <w:rFonts w:ascii="Times New Roman" w:hAnsi="Times New Roman"/>
          <w:sz w:val="24"/>
        </w:rPr>
        <w:t xml:space="preserve">, 11th ed (2024) 493 at 499 [17.50], citing </w:t>
      </w:r>
      <w:r w:rsidRPr="00546599">
        <w:rPr>
          <w:rFonts w:ascii="Times New Roman" w:hAnsi="Times New Roman"/>
          <w:i/>
          <w:iCs/>
          <w:sz w:val="24"/>
        </w:rPr>
        <w:t>Humberstone v Northern Timber Mills</w:t>
      </w:r>
      <w:r w:rsidRPr="00546599">
        <w:rPr>
          <w:rFonts w:ascii="Times New Roman" w:hAnsi="Times New Roman"/>
          <w:sz w:val="24"/>
        </w:rPr>
        <w:t xml:space="preserve"> (1949) 79 CLR 389 at 404. See also Kidner, "Vicarious liability: for whom should the 'employer' be liable?" (1995) 15 </w:t>
      </w:r>
      <w:r w:rsidRPr="00546599">
        <w:rPr>
          <w:rFonts w:ascii="Times New Roman" w:hAnsi="Times New Roman"/>
          <w:i/>
          <w:iCs/>
          <w:sz w:val="24"/>
        </w:rPr>
        <w:t xml:space="preserve">Legal Studies </w:t>
      </w:r>
      <w:r w:rsidRPr="00546599">
        <w:rPr>
          <w:rFonts w:ascii="Times New Roman" w:hAnsi="Times New Roman"/>
          <w:sz w:val="24"/>
        </w:rPr>
        <w:t>47 at 63-64.</w:t>
      </w:r>
    </w:p>
  </w:footnote>
  <w:footnote w:id="317">
    <w:p w14:paraId="1015F79E"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[129].</w:t>
      </w:r>
    </w:p>
  </w:footnote>
  <w:footnote w:id="318">
    <w:p w14:paraId="35C91C2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[229]. </w:t>
      </w:r>
    </w:p>
  </w:footnote>
  <w:footnote w:id="319">
    <w:p w14:paraId="7F4AB187"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Pope Paul VI, </w:t>
      </w:r>
      <w:r w:rsidRPr="00546599">
        <w:rPr>
          <w:rFonts w:ascii="Times New Roman" w:hAnsi="Times New Roman"/>
          <w:i/>
          <w:iCs/>
          <w:sz w:val="24"/>
        </w:rPr>
        <w:t>Presbyterorum Ordinis</w:t>
      </w:r>
      <w:r w:rsidRPr="00546599">
        <w:rPr>
          <w:rFonts w:ascii="Times New Roman" w:hAnsi="Times New Roman"/>
          <w:sz w:val="24"/>
        </w:rPr>
        <w:t xml:space="preserve"> (7 December 1965), Ch II [7]-[8]. </w:t>
      </w:r>
    </w:p>
  </w:footnote>
  <w:footnote w:id="320">
    <w:p w14:paraId="6F89774F"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[242]; </w:t>
      </w:r>
      <w:r w:rsidRPr="00546599">
        <w:rPr>
          <w:rFonts w:ascii="Times New Roman" w:hAnsi="Times New Roman"/>
          <w:i/>
          <w:iCs/>
          <w:sz w:val="24"/>
        </w:rPr>
        <w:t>Bird</w:t>
      </w:r>
      <w:r w:rsidRPr="00546599">
        <w:rPr>
          <w:rFonts w:ascii="Times New Roman" w:hAnsi="Times New Roman"/>
          <w:sz w:val="24"/>
        </w:rPr>
        <w:t xml:space="preserve"> (2023) 69 VR 408 at 419 [48]. </w:t>
      </w:r>
    </w:p>
  </w:footnote>
  <w:footnote w:id="321">
    <w:p w14:paraId="07B307DD"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440 [128].</w:t>
      </w:r>
    </w:p>
  </w:footnote>
  <w:footnote w:id="322">
    <w:p w14:paraId="7A416DFE"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439-440 [125].</w:t>
      </w:r>
    </w:p>
  </w:footnote>
  <w:footnote w:id="323">
    <w:p w14:paraId="3B2598C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441 [129]. </w:t>
      </w:r>
    </w:p>
  </w:footnote>
  <w:footnote w:id="324">
    <w:p w14:paraId="2C627BD5"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Bird</w:t>
      </w:r>
      <w:r w:rsidRPr="00546599">
        <w:rPr>
          <w:rFonts w:ascii="Times New Roman" w:hAnsi="Times New Roman"/>
          <w:sz w:val="24"/>
        </w:rPr>
        <w:t xml:space="preserve"> (2023) 69 VR 408 at</w:t>
      </w:r>
      <w:r w:rsidRPr="00546599">
        <w:rPr>
          <w:rFonts w:ascii="Times New Roman" w:hAnsi="Times New Roman"/>
          <w:sz w:val="24"/>
          <w:lang w:val="en-US"/>
        </w:rPr>
        <w:t xml:space="preserve"> 441 [129].</w:t>
      </w:r>
    </w:p>
  </w:footnote>
  <w:footnote w:id="325">
    <w:p w14:paraId="5935720B"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ab/>
      </w:r>
      <w:r w:rsidRPr="00546599">
        <w:rPr>
          <w:rFonts w:ascii="Times New Roman" w:hAnsi="Times New Roman"/>
          <w:i/>
          <w:iCs/>
          <w:sz w:val="24"/>
        </w:rPr>
        <w:t>Bird</w:t>
      </w:r>
      <w:r w:rsidRPr="00546599">
        <w:rPr>
          <w:rFonts w:ascii="Times New Roman" w:hAnsi="Times New Roman"/>
          <w:sz w:val="24"/>
        </w:rPr>
        <w:t xml:space="preserve"> (2023) 69 VR 408 at 441 [129]. </w:t>
      </w:r>
    </w:p>
  </w:footnote>
  <w:footnote w:id="326">
    <w:p w14:paraId="7264FDC3"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sidDel="00851018">
        <w:rPr>
          <w:rFonts w:ascii="Times New Roman" w:hAnsi="Times New Roman"/>
          <w:sz w:val="24"/>
        </w:rPr>
        <w:t xml:space="preserve"> </w:t>
      </w:r>
      <w:r w:rsidRPr="00546599">
        <w:rPr>
          <w:rFonts w:ascii="Times New Roman" w:hAnsi="Times New Roman"/>
          <w:sz w:val="24"/>
        </w:rPr>
        <w:t>[229]</w:t>
      </w:r>
    </w:p>
  </w:footnote>
  <w:footnote w:id="327">
    <w:p w14:paraId="27682604"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sidDel="00851018">
        <w:rPr>
          <w:rFonts w:ascii="Times New Roman" w:hAnsi="Times New Roman"/>
          <w:sz w:val="24"/>
        </w:rPr>
        <w:t xml:space="preserve"> </w:t>
      </w:r>
      <w:r w:rsidRPr="00546599">
        <w:rPr>
          <w:rFonts w:ascii="Times New Roman" w:hAnsi="Times New Roman"/>
          <w:sz w:val="24"/>
        </w:rPr>
        <w:t xml:space="preserve">[240]; </w:t>
      </w:r>
      <w:bookmarkStart w:id="4" w:name="_Hlk169273536"/>
      <w:r w:rsidRPr="00546599">
        <w:rPr>
          <w:rFonts w:ascii="Times New Roman" w:hAnsi="Times New Roman"/>
          <w:i/>
          <w:iCs/>
          <w:sz w:val="24"/>
        </w:rPr>
        <w:t>Bird</w:t>
      </w:r>
      <w:r w:rsidRPr="00546599">
        <w:rPr>
          <w:rFonts w:ascii="Times New Roman" w:hAnsi="Times New Roman"/>
          <w:sz w:val="24"/>
        </w:rPr>
        <w:t xml:space="preserve"> (2023) 69 VR 408 at</w:t>
      </w:r>
      <w:bookmarkEnd w:id="4"/>
      <w:r w:rsidRPr="00546599">
        <w:rPr>
          <w:rFonts w:ascii="Times New Roman" w:hAnsi="Times New Roman"/>
          <w:sz w:val="24"/>
        </w:rPr>
        <w:t xml:space="preserve"> 419 [48].</w:t>
      </w:r>
    </w:p>
  </w:footnote>
  <w:footnote w:id="328">
    <w:p w14:paraId="61872AD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r>
      <w:r w:rsidRPr="00546599">
        <w:rPr>
          <w:rFonts w:ascii="Times New Roman" w:hAnsi="Times New Roman"/>
          <w:i/>
          <w:iCs/>
          <w:sz w:val="24"/>
        </w:rPr>
        <w:t>DP</w:t>
      </w:r>
      <w:r w:rsidRPr="00546599">
        <w:rPr>
          <w:rFonts w:ascii="Times New Roman" w:hAnsi="Times New Roman"/>
          <w:sz w:val="24"/>
        </w:rPr>
        <w:t xml:space="preserve"> [2021] VSC 850 at [241]; </w:t>
      </w:r>
      <w:r w:rsidRPr="00546599">
        <w:rPr>
          <w:rFonts w:ascii="Times New Roman" w:hAnsi="Times New Roman"/>
          <w:i/>
          <w:iCs/>
          <w:sz w:val="24"/>
        </w:rPr>
        <w:t>Bird</w:t>
      </w:r>
      <w:r w:rsidRPr="00546599">
        <w:rPr>
          <w:rFonts w:ascii="Times New Roman" w:hAnsi="Times New Roman"/>
          <w:sz w:val="24"/>
        </w:rPr>
        <w:t xml:space="preserve"> (2023) 69 VR 408 at 419 [48].</w:t>
      </w:r>
    </w:p>
  </w:footnote>
  <w:footnote w:id="329">
    <w:p w14:paraId="198252B8"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t>Joint judgment at [11]-[20].</w:t>
      </w:r>
    </w:p>
  </w:footnote>
  <w:footnote w:id="330">
    <w:p w14:paraId="37AC1890" w14:textId="77777777" w:rsidR="003C3645" w:rsidRPr="00546599" w:rsidRDefault="003C3645" w:rsidP="00E25845">
      <w:pPr>
        <w:pStyle w:val="FootnoteText"/>
        <w:spacing w:line="280" w:lineRule="exact"/>
        <w:ind w:right="0"/>
        <w:jc w:val="both"/>
        <w:rPr>
          <w:rFonts w:ascii="Times New Roman" w:hAnsi="Times New Roman"/>
          <w:sz w:val="24"/>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rPr>
        <w:tab/>
        <w:t xml:space="preserve">Joint judgment at [16]. </w:t>
      </w:r>
    </w:p>
  </w:footnote>
  <w:footnote w:id="331">
    <w:p w14:paraId="60371D3C" w14:textId="77777777" w:rsidR="003C3645" w:rsidRPr="00546599"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Pr>
          <w:rFonts w:ascii="Times New Roman" w:hAnsi="Times New Roman"/>
          <w:sz w:val="24"/>
          <w:lang w:val="en-US"/>
        </w:rPr>
        <w:t xml:space="preserve"> [234].</w:t>
      </w:r>
    </w:p>
  </w:footnote>
  <w:footnote w:id="332">
    <w:p w14:paraId="3D69673B" w14:textId="77777777" w:rsidR="003C3645" w:rsidRPr="00E25845" w:rsidRDefault="003C3645" w:rsidP="00E25845">
      <w:pPr>
        <w:pStyle w:val="FootnoteText"/>
        <w:spacing w:line="280" w:lineRule="exact"/>
        <w:ind w:right="0"/>
        <w:jc w:val="both"/>
        <w:rPr>
          <w:rFonts w:ascii="Times New Roman" w:hAnsi="Times New Roman"/>
          <w:sz w:val="24"/>
          <w:lang w:val="en-US"/>
        </w:rPr>
      </w:pPr>
      <w:r w:rsidRPr="00546599">
        <w:rPr>
          <w:rStyle w:val="FootnoteReference"/>
          <w:rFonts w:ascii="Times New Roman" w:hAnsi="Times New Roman"/>
          <w:sz w:val="22"/>
          <w:vertAlign w:val="baseline"/>
        </w:rPr>
        <w:footnoteRef/>
      </w:r>
      <w:r w:rsidRPr="00546599">
        <w:rPr>
          <w:rFonts w:ascii="Times New Roman" w:hAnsi="Times New Roman"/>
          <w:sz w:val="24"/>
        </w:rPr>
        <w:t xml:space="preserve"> </w:t>
      </w:r>
      <w:r w:rsidRPr="00546599">
        <w:rPr>
          <w:rFonts w:ascii="Times New Roman" w:hAnsi="Times New Roman"/>
          <w:sz w:val="24"/>
          <w:lang w:val="en-US"/>
        </w:rPr>
        <w:tab/>
      </w:r>
      <w:r w:rsidRPr="00546599">
        <w:rPr>
          <w:rFonts w:ascii="Times New Roman" w:hAnsi="Times New Roman"/>
          <w:i/>
          <w:iCs/>
          <w:sz w:val="24"/>
        </w:rPr>
        <w:t>DP</w:t>
      </w:r>
      <w:r w:rsidRPr="00546599">
        <w:rPr>
          <w:rFonts w:ascii="Times New Roman" w:hAnsi="Times New Roman"/>
          <w:sz w:val="24"/>
        </w:rPr>
        <w:t xml:space="preserve"> [2021] VSC 850 at</w:t>
      </w:r>
      <w:r w:rsidRPr="00546599">
        <w:rPr>
          <w:rFonts w:ascii="Times New Roman" w:hAnsi="Times New Roman"/>
          <w:sz w:val="24"/>
          <w:lang w:val="en-US"/>
        </w:rPr>
        <w:t xml:space="preserve"> [245].</w:t>
      </w:r>
    </w:p>
  </w:footnote>
  <w:footnote w:id="333">
    <w:p w14:paraId="79BBE96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Section 7(1) of the </w:t>
      </w:r>
      <w:r w:rsidRPr="00A53CF5">
        <w:rPr>
          <w:rFonts w:ascii="Times New Roman" w:hAnsi="Times New Roman"/>
          <w:i/>
          <w:iCs/>
          <w:sz w:val="24"/>
        </w:rPr>
        <w:t>Legal Identity of Defendants (Organisational Child Abuse) Act 2018</w:t>
      </w:r>
      <w:r w:rsidRPr="00A53CF5">
        <w:rPr>
          <w:rFonts w:ascii="Times New Roman" w:hAnsi="Times New Roman"/>
          <w:sz w:val="24"/>
        </w:rPr>
        <w:t xml:space="preserve"> (Vic) provides that a non-government organisation that is an unincorporated association or body ("NGO") may nominate an entity that is capable of being sued to act as a proper defendant to the claim and to incur any liability arising from the claim on behalf of the NGO with the consent of the nominee in relation to any claim founded on or arising from child abuse. The Diocese is an NGO and the appellant, the current Bishop of Ballarat, is the nominated entity under this provision in relation to the respondent's claim. In these reasons, I refer to the appellant as "the Diocese" for convenience. </w:t>
      </w:r>
    </w:p>
  </w:footnote>
  <w:footnote w:id="334">
    <w:p w14:paraId="38F5909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DP (a pseudonym) v Bird</w:t>
      </w:r>
      <w:r w:rsidRPr="00A53CF5">
        <w:rPr>
          <w:rFonts w:ascii="Times New Roman" w:hAnsi="Times New Roman"/>
          <w:sz w:val="24"/>
        </w:rPr>
        <w:t xml:space="preserve"> [2021] VSC 850.</w:t>
      </w:r>
    </w:p>
  </w:footnote>
  <w:footnote w:id="335">
    <w:p w14:paraId="3FB90D6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w:t>
      </w:r>
    </w:p>
  </w:footnote>
  <w:footnote w:id="336">
    <w:p w14:paraId="39432D3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w:t>
      </w:r>
    </w:p>
  </w:footnote>
  <w:footnote w:id="337">
    <w:p w14:paraId="612B3F5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w:t>
      </w:r>
    </w:p>
  </w:footnote>
  <w:footnote w:id="338">
    <w:p w14:paraId="5329158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w:t>
      </w:r>
    </w:p>
  </w:footnote>
  <w:footnote w:id="339">
    <w:p w14:paraId="6A2C26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[129]-[130].</w:t>
      </w:r>
    </w:p>
  </w:footnote>
  <w:footnote w:id="340">
    <w:p w14:paraId="3ACAEE8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w:t>
      </w:r>
    </w:p>
  </w:footnote>
  <w:footnote w:id="341">
    <w:p w14:paraId="162D7D19" w14:textId="77777777" w:rsidR="003C3645" w:rsidRPr="00A53CF5" w:rsidRDefault="003C3645" w:rsidP="00A53CF5">
      <w:pPr>
        <w:pStyle w:val="FootnoteText"/>
        <w:spacing w:line="280" w:lineRule="exact"/>
        <w:ind w:right="0"/>
        <w:jc w:val="both"/>
        <w:rPr>
          <w:rFonts w:ascii="Times New Roman" w:hAnsi="Times New Roman"/>
          <w:i/>
          <w:iCs/>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[20] (footnote omitted).</w:t>
      </w:r>
    </w:p>
  </w:footnote>
  <w:footnote w:id="342">
    <w:p w14:paraId="6A24E99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[20], quoting Holmes, </w:t>
      </w:r>
      <w:r w:rsidRPr="00A53CF5">
        <w:rPr>
          <w:rFonts w:ascii="Times New Roman" w:hAnsi="Times New Roman"/>
          <w:i/>
          <w:iCs/>
          <w:sz w:val="24"/>
        </w:rPr>
        <w:t xml:space="preserve">The Common Law </w:t>
      </w:r>
      <w:r w:rsidRPr="00A53CF5">
        <w:rPr>
          <w:rFonts w:ascii="Times New Roman" w:hAnsi="Times New Roman"/>
          <w:sz w:val="24"/>
        </w:rPr>
        <w:t xml:space="preserve">(1881) at 231. See also </w:t>
      </w:r>
      <w:r w:rsidRPr="00A53CF5">
        <w:rPr>
          <w:rFonts w:ascii="Times New Roman" w:hAnsi="Times New Roman"/>
          <w:i/>
          <w:iCs/>
          <w:sz w:val="24"/>
        </w:rPr>
        <w:t>Hollis v Vabu Pty Ltd</w:t>
      </w:r>
      <w:r w:rsidRPr="00A53CF5">
        <w:rPr>
          <w:rFonts w:ascii="Times New Roman" w:hAnsi="Times New Roman"/>
          <w:sz w:val="24"/>
        </w:rPr>
        <w:t xml:space="preserve"> (2001) 207 CLR 21 at 37 [33]-[34].</w:t>
      </w:r>
    </w:p>
  </w:footnote>
  <w:footnote w:id="343">
    <w:p w14:paraId="2521567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 quoted in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168 [17].</w:t>
      </w:r>
    </w:p>
  </w:footnote>
  <w:footnote w:id="344">
    <w:p w14:paraId="0AFDDCB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 (cleaned up).</w:t>
      </w:r>
    </w:p>
  </w:footnote>
  <w:footnote w:id="345">
    <w:p w14:paraId="4808D34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167 [13].</w:t>
      </w:r>
    </w:p>
  </w:footnote>
  <w:footnote w:id="346">
    <w:p w14:paraId="159F697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169 [19].</w:t>
      </w:r>
    </w:p>
  </w:footnote>
  <w:footnote w:id="347">
    <w:p w14:paraId="1F9D1B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Brooks v Burns Philp Trustee Co Ltd</w:t>
      </w:r>
      <w:r w:rsidRPr="00A53CF5">
        <w:rPr>
          <w:rFonts w:ascii="Times New Roman" w:hAnsi="Times New Roman"/>
          <w:sz w:val="24"/>
        </w:rPr>
        <w:t xml:space="preserve"> (1969) 121 CLR 432 at 458, quoted in </w:t>
      </w:r>
      <w:r w:rsidRPr="00A53CF5">
        <w:rPr>
          <w:rFonts w:ascii="Times New Roman" w:hAnsi="Times New Roman"/>
          <w:i/>
          <w:iCs/>
          <w:sz w:val="24"/>
        </w:rPr>
        <w:t>Hollis v Vabu Pty Ltd</w:t>
      </w:r>
      <w:r w:rsidRPr="00A53CF5">
        <w:rPr>
          <w:rFonts w:ascii="Times New Roman" w:hAnsi="Times New Roman"/>
          <w:sz w:val="24"/>
        </w:rPr>
        <w:t xml:space="preserve"> (2001) 207 CLR 21 at 38 [37].</w:t>
      </w:r>
    </w:p>
  </w:footnote>
  <w:footnote w:id="348">
    <w:p w14:paraId="6944061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w:t>
      </w:r>
    </w:p>
  </w:footnote>
  <w:footnote w:id="349">
    <w:p w14:paraId="71AAA1C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36 [32].</w:t>
      </w:r>
    </w:p>
  </w:footnote>
  <w:footnote w:id="350">
    <w:p w14:paraId="3A0C5D8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173 [33]. See also </w:t>
      </w:r>
      <w:r w:rsidRPr="00A53CF5">
        <w:rPr>
          <w:rFonts w:ascii="Times New Roman" w:hAnsi="Times New Roman"/>
          <w:i/>
          <w:iCs/>
          <w:sz w:val="24"/>
        </w:rPr>
        <w:t>CCIG Investments Pty Ltd v Schokman</w:t>
      </w:r>
      <w:r w:rsidRPr="00A53CF5">
        <w:rPr>
          <w:rFonts w:ascii="Times New Roman" w:hAnsi="Times New Roman"/>
          <w:sz w:val="24"/>
        </w:rPr>
        <w:t xml:space="preserve"> (2023) 97 ALJR 551 at 555-556 [12]-[14]; 410 ALR 479 at 482-483.</w:t>
      </w:r>
    </w:p>
  </w:footnote>
  <w:footnote w:id="351">
    <w:p w14:paraId="076DCE8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CCIG Investments Pty Ltd v Schokman</w:t>
      </w:r>
      <w:r w:rsidRPr="00A53CF5">
        <w:rPr>
          <w:rFonts w:ascii="Times New Roman" w:hAnsi="Times New Roman"/>
          <w:sz w:val="24"/>
        </w:rPr>
        <w:t xml:space="preserve"> (2023) 97 ALJR 551 at 555 [12]; 410 ALR 479 at 482.</w:t>
      </w:r>
    </w:p>
  </w:footnote>
  <w:footnote w:id="352">
    <w:p w14:paraId="1A99D96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 xml:space="preserve">Bugge v Brown </w:t>
      </w:r>
      <w:r w:rsidRPr="00A53CF5">
        <w:rPr>
          <w:rFonts w:ascii="Times New Roman" w:hAnsi="Times New Roman"/>
          <w:sz w:val="24"/>
        </w:rPr>
        <w:t xml:space="preserve">(1919) 26 CLR 110 at 118; </w:t>
      </w:r>
      <w:r w:rsidRPr="00A53CF5">
        <w:rPr>
          <w:rFonts w:ascii="Times New Roman" w:hAnsi="Times New Roman"/>
          <w:i/>
          <w:iCs/>
          <w:sz w:val="24"/>
        </w:rPr>
        <w:t>CCIG Investments Pty Ltd v Schokman</w:t>
      </w:r>
      <w:r w:rsidRPr="00A53CF5">
        <w:rPr>
          <w:rFonts w:ascii="Times New Roman" w:hAnsi="Times New Roman"/>
          <w:sz w:val="24"/>
        </w:rPr>
        <w:t xml:space="preserve"> (2023) 97 ALJR 551 at 555 [12]; 410 ALR 479 at 482. </w:t>
      </w:r>
    </w:p>
  </w:footnote>
  <w:footnote w:id="353">
    <w:p w14:paraId="1B35362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171-172 [26]-[27] (footnote omitted).</w:t>
      </w:r>
    </w:p>
  </w:footnote>
  <w:footnote w:id="354">
    <w:p w14:paraId="636A6C4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(2000) 204 CLR 333.</w:t>
      </w:r>
    </w:p>
  </w:footnote>
  <w:footnote w:id="355">
    <w:p w14:paraId="04C997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172 [28], quoting </w:t>
      </w:r>
      <w:r w:rsidRPr="00A53CF5">
        <w:rPr>
          <w:rFonts w:ascii="Times New Roman" w:hAnsi="Times New Roman"/>
          <w:i/>
          <w:iCs/>
          <w:sz w:val="24"/>
        </w:rPr>
        <w:t xml:space="preserve">Scott v Davis </w:t>
      </w:r>
      <w:r w:rsidRPr="00A53CF5">
        <w:rPr>
          <w:rFonts w:ascii="Times New Roman" w:hAnsi="Times New Roman"/>
          <w:sz w:val="24"/>
        </w:rPr>
        <w:t>(2000) 204 CLR 333 at 423 [269].</w:t>
      </w:r>
    </w:p>
  </w:footnote>
  <w:footnote w:id="356">
    <w:p w14:paraId="44C2CEB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36 [32].</w:t>
      </w:r>
    </w:p>
  </w:footnote>
  <w:footnote w:id="357">
    <w:p w14:paraId="0081437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45 [57], 46 [61].</w:t>
      </w:r>
    </w:p>
  </w:footnote>
  <w:footnote w:id="358">
    <w:p w14:paraId="7A04C3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40 [42].</w:t>
      </w:r>
    </w:p>
  </w:footnote>
  <w:footnote w:id="359">
    <w:p w14:paraId="23DE3E3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46 [59].</w:t>
      </w:r>
    </w:p>
  </w:footnote>
  <w:footnote w:id="360">
    <w:p w14:paraId="20046EA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Hollis v Vabu Pty Ltd</w:t>
      </w:r>
      <w:r w:rsidRPr="00A53CF5">
        <w:rPr>
          <w:rFonts w:ascii="Times New Roman" w:hAnsi="Times New Roman"/>
          <w:sz w:val="24"/>
        </w:rPr>
        <w:t xml:space="preserve"> (2001) 207 CLR 21 at 26 [3], 35 [28].</w:t>
      </w:r>
    </w:p>
  </w:footnote>
  <w:footnote w:id="361">
    <w:p w14:paraId="65161E3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26 [3]. </w:t>
      </w:r>
    </w:p>
  </w:footnote>
  <w:footnote w:id="362">
    <w:p w14:paraId="1C91EF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35 [29].</w:t>
      </w:r>
    </w:p>
  </w:footnote>
  <w:footnote w:id="363">
    <w:p w14:paraId="258FCC5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41 [45].</w:t>
      </w:r>
    </w:p>
  </w:footnote>
  <w:footnote w:id="364">
    <w:p w14:paraId="189DCE3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 at 173 [32].</w:t>
      </w:r>
    </w:p>
  </w:footnote>
  <w:footnote w:id="365">
    <w:p w14:paraId="78FBD8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(2006) 226 CLR 161 at 172 [29] (footnote omitted).</w:t>
      </w:r>
    </w:p>
  </w:footnote>
  <w:footnote w:id="366">
    <w:p w14:paraId="70BF20D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48, 46. See also </w:t>
      </w:r>
      <w:r w:rsidRPr="00A53CF5">
        <w:rPr>
          <w:rFonts w:ascii="Times New Roman" w:hAnsi="Times New Roman"/>
          <w:i/>
          <w:iCs/>
          <w:sz w:val="24"/>
        </w:rPr>
        <w:t xml:space="preserve">Burnie Port Authority v General Jones Pty Ltd </w:t>
      </w:r>
      <w:r w:rsidRPr="00A53CF5">
        <w:rPr>
          <w:rFonts w:ascii="Times New Roman" w:hAnsi="Times New Roman"/>
          <w:sz w:val="24"/>
        </w:rPr>
        <w:t xml:space="preserve">(1994) 179 CLR 520 at 575; </w:t>
      </w:r>
      <w:r w:rsidRPr="00A53CF5">
        <w:rPr>
          <w:rFonts w:ascii="Times New Roman" w:hAnsi="Times New Roman"/>
          <w:i/>
          <w:iCs/>
          <w:sz w:val="24"/>
        </w:rPr>
        <w:t>Scott v Davis</w:t>
      </w:r>
      <w:r w:rsidRPr="00A53CF5">
        <w:rPr>
          <w:rFonts w:ascii="Times New Roman" w:hAnsi="Times New Roman"/>
          <w:sz w:val="24"/>
        </w:rPr>
        <w:t xml:space="preserve"> (2000) 204 CLR 333 at 355 [60]-[61].</w:t>
      </w:r>
    </w:p>
  </w:footnote>
  <w:footnote w:id="367">
    <w:p w14:paraId="6F5AEED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406 [221].</w:t>
      </w:r>
    </w:p>
  </w:footnote>
  <w:footnote w:id="368">
    <w:p w14:paraId="0E89336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w:t>
      </w:r>
    </w:p>
  </w:footnote>
  <w:footnote w:id="369">
    <w:p w14:paraId="4086B28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46, 61.</w:t>
      </w:r>
    </w:p>
  </w:footnote>
  <w:footnote w:id="370">
    <w:p w14:paraId="0A7C3F1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 at 48.</w:t>
      </w:r>
    </w:p>
  </w:footnote>
  <w:footnote w:id="371">
    <w:p w14:paraId="5B8CF87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(1931) 46 CLR 41 at 48-49.</w:t>
      </w:r>
    </w:p>
  </w:footnote>
  <w:footnote w:id="372">
    <w:p w14:paraId="4A26013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49.</w:t>
      </w:r>
    </w:p>
  </w:footnote>
  <w:footnote w:id="373">
    <w:p w14:paraId="2F0A90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49.</w:t>
      </w:r>
    </w:p>
  </w:footnote>
  <w:footnote w:id="374">
    <w:p w14:paraId="4367838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5">
    <w:p w14:paraId="752ED1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6">
    <w:p w14:paraId="201A949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50.</w:t>
      </w:r>
    </w:p>
  </w:footnote>
  <w:footnote w:id="377">
    <w:p w14:paraId="36C3536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(2000) 204 CLR 333 at 342 [18]</w:t>
      </w:r>
    </w:p>
  </w:footnote>
  <w:footnote w:id="378">
    <w:p w14:paraId="7E6260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408 [227], quoting </w:t>
      </w:r>
      <w:r w:rsidRPr="00A53CF5">
        <w:rPr>
          <w:rFonts w:ascii="Times New Roman" w:hAnsi="Times New Roman"/>
          <w:i/>
          <w:iCs/>
          <w:sz w:val="24"/>
        </w:rPr>
        <w:t>International Harvester Co of Australia Pty Ltd v Carrigan’s Hazeldene Pastoral Co</w:t>
      </w:r>
      <w:r w:rsidRPr="00A53CF5">
        <w:rPr>
          <w:rFonts w:ascii="Times New Roman" w:hAnsi="Times New Roman"/>
          <w:sz w:val="24"/>
        </w:rPr>
        <w:t xml:space="preserve"> (1958) 100 CLR 644 at 652.</w:t>
      </w:r>
    </w:p>
  </w:footnote>
  <w:footnote w:id="379">
    <w:p w14:paraId="1F225A7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422-423 [268]-[269].</w:t>
      </w:r>
    </w:p>
  </w:footnote>
  <w:footnote w:id="380">
    <w:p w14:paraId="03F4FD1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424 [273]; see also 423 [268]-</w:t>
      </w:r>
      <w:r>
        <w:rPr>
          <w:rFonts w:ascii="Times New Roman" w:hAnsi="Times New Roman"/>
          <w:sz w:val="24"/>
        </w:rPr>
        <w:t>[</w:t>
      </w:r>
      <w:r w:rsidRPr="00A53CF5">
        <w:rPr>
          <w:rFonts w:ascii="Times New Roman" w:hAnsi="Times New Roman"/>
          <w:sz w:val="24"/>
        </w:rPr>
        <w:t>269].</w:t>
      </w:r>
    </w:p>
  </w:footnote>
  <w:footnote w:id="381">
    <w:p w14:paraId="689F2DB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170 [22].</w:t>
      </w:r>
    </w:p>
  </w:footnote>
  <w:footnote w:id="382">
    <w:p w14:paraId="3DAA43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[23]-[24], citing Pollock, </w:t>
      </w:r>
      <w:r w:rsidRPr="00A53CF5">
        <w:rPr>
          <w:rFonts w:ascii="Times New Roman" w:hAnsi="Times New Roman"/>
          <w:i/>
          <w:iCs/>
          <w:sz w:val="24"/>
        </w:rPr>
        <w:t>Essays in Jurisprudence and Ethics</w:t>
      </w:r>
      <w:r w:rsidRPr="00A53CF5">
        <w:rPr>
          <w:rFonts w:ascii="Times New Roman" w:hAnsi="Times New Roman"/>
          <w:sz w:val="24"/>
        </w:rPr>
        <w:t xml:space="preserve"> (1882) at 126.</w:t>
      </w:r>
      <w:r w:rsidRPr="00A53CF5" w:rsidDel="00091C05">
        <w:rPr>
          <w:rFonts w:ascii="Times New Roman" w:hAnsi="Times New Roman"/>
          <w:sz w:val="24"/>
        </w:rPr>
        <w:t xml:space="preserve"> </w:t>
      </w:r>
    </w:p>
  </w:footnote>
  <w:footnote w:id="383">
    <w:p w14:paraId="47FA427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Soblusky v Egan</w:t>
      </w:r>
      <w:r w:rsidRPr="00A53CF5">
        <w:rPr>
          <w:rFonts w:ascii="Times New Roman" w:hAnsi="Times New Roman"/>
          <w:sz w:val="24"/>
        </w:rPr>
        <w:t xml:space="preserve"> (1960) 103 CLR 215 at 231.</w:t>
      </w:r>
    </w:p>
  </w:footnote>
  <w:footnote w:id="384">
    <w:p w14:paraId="66D4862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343 [19], 379 [135].</w:t>
      </w:r>
    </w:p>
  </w:footnote>
  <w:footnote w:id="385">
    <w:p w14:paraId="022B657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339 [6].</w:t>
      </w:r>
    </w:p>
  </w:footnote>
  <w:footnote w:id="386">
    <w:p w14:paraId="55E0D4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Scott v Davis</w:t>
      </w:r>
      <w:r w:rsidRPr="00A53CF5">
        <w:rPr>
          <w:rFonts w:ascii="Times New Roman" w:hAnsi="Times New Roman"/>
          <w:sz w:val="24"/>
        </w:rPr>
        <w:t xml:space="preserve"> (2000) 204 CLR 333 at 342 [18].</w:t>
      </w:r>
    </w:p>
  </w:footnote>
  <w:footnote w:id="387">
    <w:p w14:paraId="2D569A7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(1960) 103 CLR 215.</w:t>
      </w:r>
    </w:p>
  </w:footnote>
  <w:footnote w:id="388">
    <w:p w14:paraId="6E70A17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Scott v Davis</w:t>
      </w:r>
      <w:r w:rsidRPr="00A53CF5">
        <w:rPr>
          <w:rFonts w:ascii="Times New Roman" w:hAnsi="Times New Roman"/>
          <w:sz w:val="24"/>
        </w:rPr>
        <w:t xml:space="preserve"> (2000) 204 CLR 333 at 420 [256], 440 [311], 460 [359].</w:t>
      </w:r>
    </w:p>
  </w:footnote>
  <w:footnote w:id="389">
    <w:p w14:paraId="71EE609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527 [19].</w:t>
      </w:r>
    </w:p>
  </w:footnote>
  <w:footnote w:id="390">
    <w:p w14:paraId="60FB5F8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568 [152], citing Fleming, </w:t>
      </w:r>
      <w:r w:rsidRPr="00A53CF5">
        <w:rPr>
          <w:rFonts w:ascii="Times New Roman" w:hAnsi="Times New Roman"/>
          <w:i/>
          <w:iCs/>
          <w:sz w:val="24"/>
        </w:rPr>
        <w:t>The Law of Torts</w:t>
      </w:r>
      <w:r w:rsidRPr="00A53CF5">
        <w:rPr>
          <w:rFonts w:ascii="Times New Roman" w:hAnsi="Times New Roman"/>
          <w:sz w:val="24"/>
        </w:rPr>
        <w:t>, 9th ed (1998) at 434.</w:t>
      </w:r>
    </w:p>
  </w:footnote>
  <w:footnote w:id="391">
    <w:p w14:paraId="268CE1E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568-569 [152], quoting Glanville Williams, "Liability for Independent Contractors" [1956] </w:t>
      </w:r>
      <w:r w:rsidRPr="00A53CF5">
        <w:rPr>
          <w:rFonts w:ascii="Times New Roman" w:hAnsi="Times New Roman"/>
          <w:i/>
          <w:iCs/>
          <w:sz w:val="24"/>
        </w:rPr>
        <w:t>Cambridge Law Journal</w:t>
      </w:r>
      <w:r w:rsidRPr="00A53CF5">
        <w:rPr>
          <w:rFonts w:ascii="Times New Roman" w:hAnsi="Times New Roman"/>
          <w:sz w:val="24"/>
        </w:rPr>
        <w:t xml:space="preserve"> 180 at 183.</w:t>
      </w:r>
    </w:p>
  </w:footnote>
  <w:footnote w:id="392">
    <w:p w14:paraId="05C38B0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416 [248].</w:t>
      </w:r>
    </w:p>
  </w:footnote>
  <w:footnote w:id="393">
    <w:p w14:paraId="39B8534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456 [352], citing Fleming, </w:t>
      </w:r>
      <w:r w:rsidRPr="00A53CF5">
        <w:rPr>
          <w:rFonts w:ascii="Times New Roman" w:hAnsi="Times New Roman"/>
          <w:i/>
          <w:iCs/>
          <w:sz w:val="24"/>
        </w:rPr>
        <w:t>The Law of Torts</w:t>
      </w:r>
      <w:r w:rsidRPr="00A53CF5">
        <w:rPr>
          <w:rFonts w:ascii="Times New Roman" w:hAnsi="Times New Roman"/>
          <w:sz w:val="24"/>
        </w:rPr>
        <w:t>, 7th ed (1987) at 362.</w:t>
      </w:r>
    </w:p>
  </w:footnote>
  <w:footnote w:id="394">
    <w:p w14:paraId="6F604B5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457 [353].</w:t>
      </w:r>
    </w:p>
  </w:footnote>
  <w:footnote w:id="395">
    <w:p w14:paraId="5C376CC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678-679; see also 691.</w:t>
      </w:r>
    </w:p>
  </w:footnote>
  <w:footnote w:id="396">
    <w:p w14:paraId="5554C0D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684.</w:t>
      </w:r>
    </w:p>
  </w:footnote>
  <w:footnote w:id="397">
    <w:p w14:paraId="2F77F5C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Woodland v Swimming Teachers Association</w:t>
      </w:r>
      <w:r w:rsidRPr="00A53CF5">
        <w:rPr>
          <w:rFonts w:ascii="Times New Roman" w:hAnsi="Times New Roman"/>
          <w:sz w:val="24"/>
        </w:rPr>
        <w:t xml:space="preserve"> [2014] AC 537 at 582-583 [22].</w:t>
      </w:r>
    </w:p>
  </w:footnote>
  <w:footnote w:id="398">
    <w:p w14:paraId="281D2A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685-686, 688.</w:t>
      </w:r>
    </w:p>
  </w:footnote>
  <w:footnote w:id="399">
    <w:p w14:paraId="02022A0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529 [23].</w:t>
      </w:r>
    </w:p>
  </w:footnote>
  <w:footnote w:id="400">
    <w:p w14:paraId="2812AB1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530 [26].</w:t>
      </w:r>
    </w:p>
  </w:footnote>
  <w:footnote w:id="401">
    <w:p w14:paraId="6F3AE18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528-529 [20]-[21]. See also </w:t>
      </w:r>
      <w:r w:rsidRPr="00A53CF5">
        <w:rPr>
          <w:rFonts w:ascii="Times New Roman" w:hAnsi="Times New Roman"/>
          <w:i/>
          <w:iCs/>
          <w:sz w:val="24"/>
        </w:rPr>
        <w:t xml:space="preserve">The Commonwealth v Introvigne </w:t>
      </w:r>
      <w:r w:rsidRPr="00A53CF5">
        <w:rPr>
          <w:rFonts w:ascii="Times New Roman" w:hAnsi="Times New Roman"/>
          <w:sz w:val="24"/>
        </w:rPr>
        <w:t xml:space="preserve">(1982) 150 CLR 258 at 270. </w:t>
      </w:r>
    </w:p>
  </w:footnote>
  <w:footnote w:id="402">
    <w:p w14:paraId="40EA19A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Darling Island Stevedoring and Lighterage Co Ltd v Long</w:t>
      </w:r>
      <w:r w:rsidRPr="00A53CF5">
        <w:rPr>
          <w:rFonts w:ascii="Times New Roman" w:hAnsi="Times New Roman"/>
          <w:sz w:val="24"/>
        </w:rPr>
        <w:t xml:space="preserve"> (1957) 97 CLR 36 at 57-58.</w:t>
      </w:r>
    </w:p>
  </w:footnote>
  <w:footnote w:id="403">
    <w:p w14:paraId="6FE63AC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679-681.</w:t>
      </w:r>
    </w:p>
  </w:footnote>
  <w:footnote w:id="404">
    <w:p w14:paraId="6E6A102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532 [31], 601 [265], 602 [267]. </w:t>
      </w:r>
    </w:p>
  </w:footnote>
  <w:footnote w:id="405">
    <w:p w14:paraId="75FB828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686.</w:t>
      </w:r>
    </w:p>
  </w:footnote>
  <w:footnote w:id="406">
    <w:p w14:paraId="4CCC9DA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683.</w:t>
      </w:r>
    </w:p>
  </w:footnote>
  <w:footnote w:id="407">
    <w:p w14:paraId="60C9440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687.</w:t>
      </w:r>
    </w:p>
  </w:footnote>
  <w:footnote w:id="408">
    <w:p w14:paraId="244355A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687.</w:t>
      </w:r>
    </w:p>
  </w:footnote>
  <w:footnote w:id="409">
    <w:p w14:paraId="463A89DD"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Kondis v State Transport Authority</w:t>
      </w:r>
      <w:r w:rsidRPr="00A53CF5">
        <w:rPr>
          <w:rFonts w:ascii="Times New Roman" w:hAnsi="Times New Roman"/>
          <w:sz w:val="24"/>
        </w:rPr>
        <w:t xml:space="preserve"> (1984) 154 CLR 672 at 694.</w:t>
      </w:r>
    </w:p>
  </w:footnote>
  <w:footnote w:id="410">
    <w:p w14:paraId="4EC7D01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532 [32].</w:t>
      </w:r>
    </w:p>
  </w:footnote>
  <w:footnote w:id="411">
    <w:p w14:paraId="6286859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(1994) 179 CLR 520 at 551.</w:t>
      </w:r>
    </w:p>
  </w:footnote>
  <w:footnote w:id="412">
    <w:p w14:paraId="5DBF515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534 [36]-[38].</w:t>
      </w:r>
    </w:p>
  </w:footnote>
  <w:footnote w:id="413">
    <w:p w14:paraId="0FA03087" w14:textId="59948D63"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Scott v Davis</w:t>
      </w:r>
      <w:r w:rsidRPr="00A53CF5">
        <w:rPr>
          <w:rFonts w:ascii="Times New Roman" w:hAnsi="Times New Roman"/>
          <w:sz w:val="24"/>
        </w:rPr>
        <w:t xml:space="preserve"> (2000) 204 CLR 333 at 416 [248]</w:t>
      </w:r>
      <w:r w:rsidR="000D03D6">
        <w:rPr>
          <w:rFonts w:ascii="Times New Roman" w:hAnsi="Times New Roman"/>
          <w:sz w:val="24"/>
        </w:rPr>
        <w:t>.</w:t>
      </w:r>
    </w:p>
  </w:footnote>
  <w:footnote w:id="414">
    <w:p w14:paraId="0F726E2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Prince Alfred College Inc v ADC</w:t>
      </w:r>
      <w:r w:rsidRPr="00A53CF5">
        <w:rPr>
          <w:rFonts w:ascii="Times New Roman" w:hAnsi="Times New Roman"/>
          <w:sz w:val="24"/>
        </w:rPr>
        <w:t xml:space="preserve"> (2016) 258 CLR 134 at 169 [114].</w:t>
      </w:r>
    </w:p>
  </w:footnote>
  <w:footnote w:id="415">
    <w:p w14:paraId="33F9AAF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[82].</w:t>
      </w:r>
    </w:p>
  </w:footnote>
  <w:footnote w:id="416">
    <w:p w14:paraId="0C20677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428-429 [83].</w:t>
      </w:r>
    </w:p>
  </w:footnote>
  <w:footnote w:id="417">
    <w:p w14:paraId="522D769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435 [104].</w:t>
      </w:r>
    </w:p>
  </w:footnote>
  <w:footnote w:id="418">
    <w:p w14:paraId="352AD06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[130].</w:t>
      </w:r>
    </w:p>
  </w:footnote>
  <w:footnote w:id="419">
    <w:p w14:paraId="4689C19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[132], 449-450 [163].</w:t>
      </w:r>
    </w:p>
  </w:footnote>
  <w:footnote w:id="420">
    <w:p w14:paraId="2DD4338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446 [148].</w:t>
      </w:r>
    </w:p>
  </w:footnote>
  <w:footnote w:id="421">
    <w:p w14:paraId="40C9263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48.</w:t>
      </w:r>
    </w:p>
  </w:footnote>
  <w:footnote w:id="422">
    <w:p w14:paraId="7FCD09D0"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[24], referring to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w:t>
      </w:r>
    </w:p>
  </w:footnote>
  <w:footnote w:id="423">
    <w:p w14:paraId="77FE62F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Soblusky v Egan</w:t>
      </w:r>
      <w:r w:rsidRPr="00A53CF5">
        <w:rPr>
          <w:rFonts w:ascii="Times New Roman" w:hAnsi="Times New Roman"/>
          <w:sz w:val="24"/>
        </w:rPr>
        <w:t xml:space="preserve"> (1960) 103 CLR 215 at 231.</w:t>
      </w:r>
    </w:p>
  </w:footnote>
  <w:footnote w:id="424">
    <w:p w14:paraId="7527F8B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 at 46, 50. </w:t>
      </w:r>
    </w:p>
  </w:footnote>
  <w:footnote w:id="425">
    <w:p w14:paraId="197E8ED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Hollis v Vabu Pty Ltd</w:t>
      </w:r>
      <w:r w:rsidRPr="00A53CF5">
        <w:rPr>
          <w:rFonts w:ascii="Times New Roman" w:hAnsi="Times New Roman"/>
          <w:sz w:val="24"/>
        </w:rPr>
        <w:t xml:space="preserve"> (2001) 207 CLR 21, cf </w:t>
      </w:r>
      <w:r w:rsidRPr="00A53CF5">
        <w:rPr>
          <w:rFonts w:ascii="Times New Roman" w:hAnsi="Times New Roman"/>
          <w:i/>
          <w:iCs/>
          <w:sz w:val="24"/>
        </w:rPr>
        <w:t>Vabu Pty Ltd v Federal Commissioner of Taxation</w:t>
      </w:r>
      <w:r w:rsidRPr="00A53CF5">
        <w:rPr>
          <w:rFonts w:ascii="Times New Roman" w:hAnsi="Times New Roman"/>
          <w:sz w:val="24"/>
        </w:rPr>
        <w:t xml:space="preserve"> (1996) 33 ATR 537; </w:t>
      </w:r>
      <w:r w:rsidRPr="00A53CF5">
        <w:rPr>
          <w:rFonts w:ascii="Times New Roman" w:hAnsi="Times New Roman"/>
          <w:i/>
          <w:iCs/>
          <w:sz w:val="24"/>
        </w:rPr>
        <w:t>Day v The Ocean Beach Hotel Shellharbour Pty Ltd</w:t>
      </w:r>
      <w:r w:rsidRPr="00A53CF5">
        <w:rPr>
          <w:rFonts w:ascii="Times New Roman" w:hAnsi="Times New Roman"/>
          <w:sz w:val="24"/>
        </w:rPr>
        <w:t xml:space="preserve"> (2013) 85 NSWLR 335 at 341-342 [15].</w:t>
      </w:r>
    </w:p>
  </w:footnote>
  <w:footnote w:id="426">
    <w:p w14:paraId="273A33F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w:t>
      </w:r>
      <w:r w:rsidRPr="00A53CF5">
        <w:rPr>
          <w:rFonts w:ascii="Times New Roman" w:hAnsi="Times New Roman"/>
          <w:i/>
          <w:iCs/>
          <w:sz w:val="24"/>
        </w:rPr>
        <w:t>McInnes v Wardle</w:t>
      </w:r>
      <w:r w:rsidRPr="00A53CF5">
        <w:rPr>
          <w:rFonts w:ascii="Times New Roman" w:hAnsi="Times New Roman"/>
          <w:sz w:val="24"/>
        </w:rPr>
        <w:t xml:space="preserve"> (1931) 45 CLR 548 at 549-550; </w:t>
      </w:r>
      <w:r w:rsidRPr="00A53CF5">
        <w:rPr>
          <w:rFonts w:ascii="Times New Roman" w:hAnsi="Times New Roman"/>
          <w:i/>
          <w:iCs/>
          <w:sz w:val="24"/>
        </w:rPr>
        <w:t>Torette House Pty Ltd v Berkman</w:t>
      </w:r>
      <w:r w:rsidRPr="00A53CF5">
        <w:rPr>
          <w:rFonts w:ascii="Times New Roman" w:hAnsi="Times New Roman"/>
          <w:sz w:val="24"/>
        </w:rPr>
        <w:t xml:space="preserve"> (1940) 62 CLR 637 at 647. See also </w:t>
      </w:r>
      <w:r w:rsidRPr="00A53CF5">
        <w:rPr>
          <w:rFonts w:ascii="Times New Roman" w:hAnsi="Times New Roman"/>
          <w:i/>
          <w:iCs/>
          <w:sz w:val="24"/>
        </w:rPr>
        <w:t>Day v The Ocean Beach Hotel Shellharbour Pty Ltd</w:t>
      </w:r>
      <w:r w:rsidRPr="00A53CF5">
        <w:rPr>
          <w:rFonts w:ascii="Times New Roman" w:hAnsi="Times New Roman"/>
          <w:sz w:val="24"/>
        </w:rPr>
        <w:t xml:space="preserve"> (2013) 85 NSWLR 335 at 341-342 [15]-[16].</w:t>
      </w:r>
    </w:p>
  </w:footnote>
  <w:footnote w:id="427">
    <w:p w14:paraId="7EE808C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Applying, eg, </w:t>
      </w:r>
      <w:r w:rsidRPr="00A53CF5">
        <w:rPr>
          <w:rFonts w:ascii="Times New Roman" w:hAnsi="Times New Roman"/>
          <w:i/>
          <w:iCs/>
          <w:sz w:val="24"/>
        </w:rPr>
        <w:t>Construction, Forestry, Maritime, Mining and Energy Union v Personnel Contracting Pty Ltd</w:t>
      </w:r>
      <w:r w:rsidRPr="00A53CF5">
        <w:rPr>
          <w:rFonts w:ascii="Times New Roman" w:hAnsi="Times New Roman"/>
          <w:sz w:val="24"/>
        </w:rPr>
        <w:t xml:space="preserve"> (2022) 275 CLR 165.</w:t>
      </w:r>
    </w:p>
  </w:footnote>
  <w:footnote w:id="428">
    <w:p w14:paraId="26A5C5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Prince Alfred College Inc v ADC</w:t>
      </w:r>
      <w:r w:rsidRPr="00A53CF5">
        <w:rPr>
          <w:rFonts w:ascii="Times New Roman" w:hAnsi="Times New Roman"/>
          <w:sz w:val="24"/>
        </w:rPr>
        <w:t xml:space="preserve"> (2016) 258 CLR 134 at 159 [80].</w:t>
      </w:r>
    </w:p>
  </w:footnote>
  <w:footnote w:id="429">
    <w:p w14:paraId="4088998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171 [24], referring to </w:t>
      </w:r>
      <w:r w:rsidRPr="00A53CF5">
        <w:rPr>
          <w:rFonts w:ascii="Times New Roman" w:hAnsi="Times New Roman"/>
          <w:i/>
          <w:iCs/>
          <w:sz w:val="24"/>
        </w:rPr>
        <w:t>Colonial Mutual Life Assurance Society Ltd v Producers and Citizens Co-operative Assurance Co of Australia Ltd</w:t>
      </w:r>
      <w:r w:rsidRPr="00A53CF5">
        <w:rPr>
          <w:rFonts w:ascii="Times New Roman" w:hAnsi="Times New Roman"/>
          <w:sz w:val="24"/>
        </w:rPr>
        <w:t xml:space="preserve"> (1931) 46 CLR 41.</w:t>
      </w:r>
    </w:p>
  </w:footnote>
  <w:footnote w:id="430">
    <w:p w14:paraId="537659E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w:t>
      </w:r>
    </w:p>
  </w:footnote>
  <w:footnote w:id="431">
    <w:p w14:paraId="7E64FEC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438 [120].</w:t>
      </w:r>
    </w:p>
  </w:footnote>
  <w:footnote w:id="432">
    <w:p w14:paraId="038E6FF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[80], citing </w:t>
      </w:r>
      <w:r w:rsidRPr="00A53CF5">
        <w:rPr>
          <w:rFonts w:ascii="Times New Roman" w:hAnsi="Times New Roman"/>
          <w:i/>
          <w:iCs/>
          <w:sz w:val="24"/>
        </w:rPr>
        <w:t>PCB v Geelong College</w:t>
      </w:r>
      <w:r w:rsidRPr="00A53CF5">
        <w:rPr>
          <w:rFonts w:ascii="Times New Roman" w:hAnsi="Times New Roman"/>
          <w:sz w:val="24"/>
        </w:rPr>
        <w:t xml:space="preserve"> [2021] VSC 633 at [303] and </w:t>
      </w:r>
      <w:r w:rsidRPr="00A53CF5">
        <w:rPr>
          <w:rFonts w:ascii="Times New Roman" w:hAnsi="Times New Roman"/>
          <w:i/>
          <w:iCs/>
          <w:sz w:val="24"/>
        </w:rPr>
        <w:t>O’Connor v Comensoli</w:t>
      </w:r>
      <w:r w:rsidRPr="00A53CF5">
        <w:rPr>
          <w:rFonts w:ascii="Times New Roman" w:hAnsi="Times New Roman"/>
          <w:sz w:val="24"/>
        </w:rPr>
        <w:t xml:space="preserve"> [2022] VSC 313.</w:t>
      </w:r>
    </w:p>
  </w:footnote>
  <w:footnote w:id="433">
    <w:p w14:paraId="0A6AD4D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428 [83], 437 [114].</w:t>
      </w:r>
    </w:p>
  </w:footnote>
  <w:footnote w:id="434">
    <w:p w14:paraId="3F73073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437 [114].</w:t>
      </w:r>
    </w:p>
  </w:footnote>
  <w:footnote w:id="435">
    <w:p w14:paraId="3AE929D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(1986) 160 CLR 16.</w:t>
      </w:r>
    </w:p>
  </w:footnote>
  <w:footnote w:id="436">
    <w:p w14:paraId="1DF6FAE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(2022) 275 CLR 165.</w:t>
      </w:r>
    </w:p>
  </w:footnote>
  <w:footnote w:id="437">
    <w:p w14:paraId="2704CCB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w:t>
      </w:r>
    </w:p>
  </w:footnote>
  <w:footnote w:id="438">
    <w:p w14:paraId="7E2F071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[1912] AC 716.</w:t>
      </w:r>
    </w:p>
  </w:footnote>
  <w:footnote w:id="439">
    <w:p w14:paraId="6D2FB91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(1949) 79 CLR 370.</w:t>
      </w:r>
    </w:p>
  </w:footnote>
  <w:footnote w:id="440">
    <w:p w14:paraId="5ADBDE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[2002] 1 AC 215.</w:t>
      </w:r>
    </w:p>
  </w:footnote>
  <w:footnote w:id="441">
    <w:p w14:paraId="4003050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(2003) 212 CLR 511.</w:t>
      </w:r>
    </w:p>
  </w:footnote>
  <w:footnote w:id="442">
    <w:p w14:paraId="4EE4D7D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(2016) 258 CLR 134.</w:t>
      </w:r>
    </w:p>
  </w:footnote>
  <w:footnote w:id="443">
    <w:p w14:paraId="3C38A44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440 [127].</w:t>
      </w:r>
    </w:p>
  </w:footnote>
  <w:footnote w:id="444">
    <w:p w14:paraId="6402FD7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440-441 [128]-[129].</w:t>
      </w:r>
    </w:p>
  </w:footnote>
  <w:footnote w:id="445">
    <w:p w14:paraId="61C3084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441 [130]. </w:t>
      </w:r>
    </w:p>
  </w:footnote>
  <w:footnote w:id="446">
    <w:p w14:paraId="1222BA7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427 [77]. See, eg, </w:t>
      </w:r>
      <w:r w:rsidRPr="00A53CF5">
        <w:rPr>
          <w:rFonts w:ascii="Times New Roman" w:hAnsi="Times New Roman"/>
          <w:i/>
          <w:iCs/>
          <w:sz w:val="24"/>
        </w:rPr>
        <w:t>Scott v Davis</w:t>
      </w:r>
      <w:r w:rsidRPr="00A53CF5">
        <w:rPr>
          <w:rFonts w:ascii="Times New Roman" w:hAnsi="Times New Roman"/>
          <w:sz w:val="24"/>
        </w:rPr>
        <w:t xml:space="preserve"> (2000) 204 CLR 333 at 380 [139].</w:t>
      </w:r>
      <w:r w:rsidRPr="00A53CF5">
        <w:rPr>
          <w:rFonts w:ascii="Times New Roman" w:hAnsi="Times New Roman"/>
          <w:i/>
          <w:iCs/>
          <w:sz w:val="24"/>
        </w:rPr>
        <w:t xml:space="preserve"> </w:t>
      </w:r>
    </w:p>
  </w:footnote>
  <w:footnote w:id="447">
    <w:p w14:paraId="5958DD3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(2001) 207 CLR 21 at 42 [50].</w:t>
      </w:r>
    </w:p>
  </w:footnote>
  <w:footnote w:id="448">
    <w:p w14:paraId="412B93B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447 [153].</w:t>
      </w:r>
    </w:p>
  </w:footnote>
  <w:footnote w:id="449">
    <w:p w14:paraId="3FCDF2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Bird v DP (a pseudonym)</w:t>
      </w:r>
      <w:r w:rsidRPr="00A53CF5">
        <w:rPr>
          <w:rFonts w:ascii="Times New Roman" w:hAnsi="Times New Roman"/>
          <w:sz w:val="24"/>
        </w:rPr>
        <w:t xml:space="preserve"> (2023) 69 VR 408 at 447 [153], quoting </w:t>
      </w:r>
      <w:r w:rsidRPr="00A53CF5">
        <w:rPr>
          <w:rFonts w:ascii="Times New Roman" w:hAnsi="Times New Roman"/>
          <w:i/>
          <w:iCs/>
          <w:sz w:val="24"/>
        </w:rPr>
        <w:t xml:space="preserve">Prince Alfred College Inc v ADC </w:t>
      </w:r>
      <w:r w:rsidRPr="00A53CF5">
        <w:rPr>
          <w:rFonts w:ascii="Times New Roman" w:hAnsi="Times New Roman"/>
          <w:sz w:val="24"/>
        </w:rPr>
        <w:t xml:space="preserve">(2016) 258 CLR 134 at 160 [82]. See also </w:t>
      </w:r>
      <w:r w:rsidRPr="00A53CF5">
        <w:rPr>
          <w:rFonts w:ascii="Times New Roman" w:hAnsi="Times New Roman"/>
          <w:i/>
          <w:iCs/>
          <w:sz w:val="24"/>
        </w:rPr>
        <w:t>Bird v DP (a pseudonym)</w:t>
      </w:r>
      <w:r w:rsidRPr="00A53CF5">
        <w:rPr>
          <w:rFonts w:ascii="Times New Roman" w:hAnsi="Times New Roman"/>
          <w:sz w:val="24"/>
        </w:rPr>
        <w:t xml:space="preserve"> (2023) 69 VR 408 at 449-450 [163], quoting </w:t>
      </w:r>
      <w:r w:rsidRPr="00A53CF5">
        <w:rPr>
          <w:rFonts w:ascii="Times New Roman" w:hAnsi="Times New Roman"/>
          <w:i/>
          <w:iCs/>
          <w:sz w:val="24"/>
        </w:rPr>
        <w:t xml:space="preserve">Prince Alfred College Inc v ADC </w:t>
      </w:r>
      <w:r w:rsidRPr="00A53CF5">
        <w:rPr>
          <w:rFonts w:ascii="Times New Roman" w:hAnsi="Times New Roman"/>
          <w:sz w:val="24"/>
        </w:rPr>
        <w:t>(2016) 258 CLR 134 at 159-160 [80]-[81].</w:t>
      </w:r>
    </w:p>
  </w:footnote>
  <w:footnote w:id="450">
    <w:p w14:paraId="5ACF778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 xml:space="preserve">Prince Alfred College Inc v ADC </w:t>
      </w:r>
      <w:r w:rsidRPr="00A53CF5">
        <w:rPr>
          <w:rFonts w:ascii="Times New Roman" w:hAnsi="Times New Roman"/>
          <w:sz w:val="24"/>
        </w:rPr>
        <w:t>(2016) 258 CLR 134 at 151-153 [51]-[56], 159-161 [80]-[84].</w:t>
      </w:r>
    </w:p>
  </w:footnote>
  <w:footnote w:id="451">
    <w:p w14:paraId="6428E96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Hollis v Vabu Pty Ltd</w:t>
      </w:r>
      <w:r w:rsidRPr="00A53CF5">
        <w:rPr>
          <w:rFonts w:ascii="Times New Roman" w:hAnsi="Times New Roman"/>
          <w:sz w:val="24"/>
        </w:rPr>
        <w:t xml:space="preserve"> (2001) 207 CLR 21 at 36 [32], 46 [59]-[60]; </w:t>
      </w:r>
      <w:r w:rsidRPr="00A53CF5">
        <w:rPr>
          <w:rFonts w:ascii="Times New Roman" w:hAnsi="Times New Roman"/>
          <w:i/>
          <w:iCs/>
          <w:sz w:val="24"/>
        </w:rPr>
        <w:t xml:space="preserve">Scott v Davis </w:t>
      </w:r>
      <w:r w:rsidRPr="00A53CF5">
        <w:rPr>
          <w:rFonts w:ascii="Times New Roman" w:hAnsi="Times New Roman"/>
          <w:sz w:val="24"/>
        </w:rPr>
        <w:t xml:space="preserve">(2000) 204 CLR 333 at 338-339 [4], 342 [18], 408 [227], 416 [248], 420 [256], 423 [268]-[269], 440 [311], 456 [352]-[353], 460 [359]; </w:t>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167 [13], 169-171 [19]-[24], 171-172 [26]-[29], 173 [33].</w:t>
      </w:r>
    </w:p>
  </w:footnote>
  <w:footnote w:id="452">
    <w:p w14:paraId="108E13B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Sweeney v Boylan Nominees Pty Ltd</w:t>
      </w:r>
      <w:r w:rsidRPr="00A53CF5">
        <w:rPr>
          <w:rFonts w:ascii="Times New Roman" w:hAnsi="Times New Roman"/>
          <w:sz w:val="24"/>
        </w:rPr>
        <w:t xml:space="preserve"> (2006) 226 CLR 161 at 173 [33]. </w:t>
      </w:r>
    </w:p>
  </w:footnote>
  <w:footnote w:id="453">
    <w:p w14:paraId="359644E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 xml:space="preserve">(2015) at 57. </w:t>
      </w:r>
    </w:p>
  </w:footnote>
  <w:footnote w:id="454">
    <w:p w14:paraId="60DDC5A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 xml:space="preserve">(2015) at 2. </w:t>
      </w:r>
    </w:p>
  </w:footnote>
  <w:footnote w:id="455">
    <w:p w14:paraId="36F3936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5.</w:t>
      </w:r>
    </w:p>
  </w:footnote>
  <w:footnote w:id="456">
    <w:p w14:paraId="396B593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460.</w:t>
      </w:r>
    </w:p>
  </w:footnote>
  <w:footnote w:id="457">
    <w:p w14:paraId="664AA20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15.3.</w:t>
      </w:r>
    </w:p>
  </w:footnote>
  <w:footnote w:id="458">
    <w:p w14:paraId="58366A2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15.4.</w:t>
      </w:r>
    </w:p>
  </w:footnote>
  <w:footnote w:id="459">
    <w:p w14:paraId="3A92B621"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15.5.</w:t>
      </w:r>
    </w:p>
  </w:footnote>
  <w:footnote w:id="460">
    <w:p w14:paraId="2961DBA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at 489-493.</w:t>
      </w:r>
    </w:p>
  </w:footnote>
  <w:footnote w:id="461">
    <w:p w14:paraId="2A34F422"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15.6, particularly recommendations 89-93 at 495.</w:t>
      </w:r>
    </w:p>
  </w:footnote>
  <w:footnote w:id="462">
    <w:p w14:paraId="4C867AF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 xml:space="preserve">Redress and Civil Litigation Report </w:t>
      </w:r>
      <w:r w:rsidRPr="00A53CF5">
        <w:rPr>
          <w:rFonts w:ascii="Times New Roman" w:hAnsi="Times New Roman"/>
          <w:sz w:val="24"/>
        </w:rPr>
        <w:t>(2015), Ch 16, specifically recommendation 94 at 511.</w:t>
      </w:r>
    </w:p>
  </w:footnote>
  <w:footnote w:id="463">
    <w:p w14:paraId="5E29366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Family and Community Development Committee, </w:t>
      </w:r>
      <w:r w:rsidRPr="00A53CF5">
        <w:rPr>
          <w:rFonts w:ascii="Times New Roman" w:hAnsi="Times New Roman"/>
          <w:i/>
          <w:iCs/>
          <w:sz w:val="24"/>
        </w:rPr>
        <w:t xml:space="preserve">Betrayal of Trust: Inquiry into the Handling of Child Abuse by Religious and Other Non-Government Organisations </w:t>
      </w:r>
      <w:r w:rsidRPr="00A53CF5">
        <w:rPr>
          <w:rFonts w:ascii="Times New Roman" w:hAnsi="Times New Roman"/>
          <w:sz w:val="24"/>
        </w:rPr>
        <w:t xml:space="preserve">(2013), vol 2 at 551. See, eg, Victoria, </w:t>
      </w:r>
      <w:r w:rsidRPr="00A53CF5">
        <w:rPr>
          <w:rFonts w:ascii="Times New Roman" w:hAnsi="Times New Roman"/>
          <w:i/>
          <w:iCs/>
          <w:sz w:val="24"/>
        </w:rPr>
        <w:t>Legal Identity of Defendants (Organisational Child Abuse) Bill 2018</w:t>
      </w:r>
      <w:r w:rsidRPr="00A53CF5">
        <w:rPr>
          <w:rFonts w:ascii="Times New Roman" w:hAnsi="Times New Roman"/>
          <w:sz w:val="24"/>
        </w:rPr>
        <w:t>, Explanatory Memorandum at 1.</w:t>
      </w:r>
    </w:p>
  </w:footnote>
  <w:footnote w:id="464">
    <w:p w14:paraId="6E198009"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5">
    <w:p w14:paraId="6351B8F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6">
    <w:p w14:paraId="513140D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7">
    <w:p w14:paraId="6990FD3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4537.</w:t>
      </w:r>
    </w:p>
  </w:footnote>
  <w:footnote w:id="468">
    <w:p w14:paraId="7A4E74D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4539.</w:t>
      </w:r>
    </w:p>
  </w:footnote>
  <w:footnote w:id="469">
    <w:p w14:paraId="2EE5BB8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Burnie Port Authority v General Jones Pty Ltd</w:t>
      </w:r>
      <w:r w:rsidRPr="00A53CF5">
        <w:rPr>
          <w:rFonts w:ascii="Times New Roman" w:hAnsi="Times New Roman"/>
          <w:sz w:val="24"/>
        </w:rPr>
        <w:t xml:space="preserve"> (1994) 179 CLR 520 at 585, referred to in </w:t>
      </w:r>
      <w:r w:rsidRPr="00A53CF5">
        <w:rPr>
          <w:rFonts w:ascii="Times New Roman" w:hAnsi="Times New Roman"/>
          <w:i/>
          <w:iCs/>
          <w:sz w:val="24"/>
        </w:rPr>
        <w:t xml:space="preserve">Scott v Davis </w:t>
      </w:r>
      <w:r w:rsidRPr="00A53CF5">
        <w:rPr>
          <w:rFonts w:ascii="Times New Roman" w:hAnsi="Times New Roman"/>
          <w:sz w:val="24"/>
        </w:rPr>
        <w:t>(2000) 204 CLR 333 at 370 [109].</w:t>
      </w:r>
    </w:p>
  </w:footnote>
  <w:footnote w:id="470">
    <w:p w14:paraId="3E58902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 xml:space="preserve">Scott v Davis </w:t>
      </w:r>
      <w:r w:rsidRPr="00A53CF5">
        <w:rPr>
          <w:rFonts w:ascii="Times New Roman" w:hAnsi="Times New Roman"/>
          <w:sz w:val="24"/>
        </w:rPr>
        <w:t>(2000) 204 CLR 333 at 372 [120].</w:t>
      </w:r>
    </w:p>
  </w:footnote>
  <w:footnote w:id="471">
    <w:p w14:paraId="669ED4AC"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Hollis v Vabu Pty Ltd</w:t>
      </w:r>
      <w:r w:rsidRPr="00A53CF5">
        <w:rPr>
          <w:rFonts w:ascii="Times New Roman" w:hAnsi="Times New Roman"/>
          <w:sz w:val="24"/>
        </w:rPr>
        <w:t xml:space="preserve"> (2001) 207 CLR 21 at 46 [59].</w:t>
      </w:r>
    </w:p>
  </w:footnote>
  <w:footnote w:id="472">
    <w:p w14:paraId="7651C6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Victoria, Legislative Assembly, </w:t>
      </w:r>
      <w:r w:rsidRPr="00A53CF5">
        <w:rPr>
          <w:rFonts w:ascii="Times New Roman" w:hAnsi="Times New Roman"/>
          <w:i/>
          <w:iCs/>
          <w:sz w:val="24"/>
        </w:rPr>
        <w:t xml:space="preserve">Parliamentary Debates </w:t>
      </w:r>
      <w:r w:rsidRPr="00A53CF5">
        <w:rPr>
          <w:rFonts w:ascii="Times New Roman" w:hAnsi="Times New Roman"/>
          <w:sz w:val="24"/>
        </w:rPr>
        <w:t>(Hansard) 23 November 2016 at 4539.</w:t>
      </w:r>
    </w:p>
  </w:footnote>
  <w:footnote w:id="473">
    <w:p w14:paraId="3A3E5A9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eg, </w:t>
      </w:r>
      <w:r w:rsidRPr="00A53CF5">
        <w:rPr>
          <w:rFonts w:ascii="Times New Roman" w:hAnsi="Times New Roman"/>
          <w:i/>
          <w:iCs/>
          <w:sz w:val="24"/>
        </w:rPr>
        <w:t>Various Claimants</w:t>
      </w:r>
      <w:r w:rsidRPr="00A53CF5">
        <w:rPr>
          <w:rFonts w:ascii="Times New Roman" w:hAnsi="Times New Roman"/>
          <w:sz w:val="24"/>
        </w:rPr>
        <w:t xml:space="preserve"> </w:t>
      </w:r>
      <w:r w:rsidRPr="00A53CF5">
        <w:rPr>
          <w:rFonts w:ascii="Times New Roman" w:hAnsi="Times New Roman"/>
          <w:i/>
          <w:iCs/>
          <w:sz w:val="24"/>
        </w:rPr>
        <w:t xml:space="preserve">v Catholic Child Welfare Society </w:t>
      </w:r>
      <w:r w:rsidRPr="00A53CF5">
        <w:rPr>
          <w:rFonts w:ascii="Times New Roman" w:hAnsi="Times New Roman"/>
          <w:sz w:val="24"/>
        </w:rPr>
        <w:t xml:space="preserve">[2013] 2 AC 1 at 15 [34]. See also </w:t>
      </w:r>
      <w:r w:rsidRPr="00A53CF5">
        <w:rPr>
          <w:rFonts w:ascii="Times New Roman" w:hAnsi="Times New Roman"/>
          <w:i/>
          <w:iCs/>
          <w:sz w:val="24"/>
        </w:rPr>
        <w:t>Armes v Nottinghamshire County Council</w:t>
      </w:r>
      <w:r w:rsidRPr="00A53CF5">
        <w:rPr>
          <w:rFonts w:ascii="Times New Roman" w:hAnsi="Times New Roman"/>
          <w:sz w:val="24"/>
        </w:rPr>
        <w:t xml:space="preserve"> [2018] AC 355; </w:t>
      </w:r>
      <w:r w:rsidRPr="00A53CF5">
        <w:rPr>
          <w:rFonts w:ascii="Times New Roman" w:hAnsi="Times New Roman"/>
          <w:i/>
          <w:iCs/>
          <w:sz w:val="24"/>
        </w:rPr>
        <w:t>Various Claimants</w:t>
      </w:r>
      <w:r w:rsidRPr="00A53CF5">
        <w:rPr>
          <w:rFonts w:ascii="Times New Roman" w:hAnsi="Times New Roman"/>
          <w:sz w:val="24"/>
        </w:rPr>
        <w:t xml:space="preserve"> </w:t>
      </w:r>
      <w:r w:rsidRPr="00A53CF5">
        <w:rPr>
          <w:rFonts w:ascii="Times New Roman" w:hAnsi="Times New Roman"/>
          <w:i/>
          <w:iCs/>
          <w:sz w:val="24"/>
        </w:rPr>
        <w:t xml:space="preserve">v Barclays Bank plc </w:t>
      </w:r>
      <w:r w:rsidRPr="00A53CF5">
        <w:rPr>
          <w:rFonts w:ascii="Times New Roman" w:hAnsi="Times New Roman"/>
          <w:sz w:val="24"/>
        </w:rPr>
        <w:t>[2020] AC 973.</w:t>
      </w:r>
    </w:p>
  </w:footnote>
  <w:footnote w:id="474">
    <w:p w14:paraId="05264AF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Australia, Royal Commission into Institutional Responses to Child Sexual Abuse, </w:t>
      </w:r>
      <w:r w:rsidRPr="00A53CF5">
        <w:rPr>
          <w:rFonts w:ascii="Times New Roman" w:hAnsi="Times New Roman"/>
          <w:i/>
          <w:iCs/>
          <w:sz w:val="24"/>
        </w:rPr>
        <w:t>Redress and Civil Litigation Report</w:t>
      </w:r>
      <w:r w:rsidRPr="00A53CF5">
        <w:rPr>
          <w:rFonts w:ascii="Times New Roman" w:hAnsi="Times New Roman"/>
          <w:sz w:val="24"/>
        </w:rPr>
        <w:t xml:space="preserve"> (2015) at 471-473.</w:t>
      </w:r>
    </w:p>
  </w:footnote>
  <w:footnote w:id="475">
    <w:p w14:paraId="2916C61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eg, Australia, Royal Commission into Institutional Responses to Child Sexual Abuse, </w:t>
      </w:r>
      <w:r w:rsidRPr="00A53CF5">
        <w:rPr>
          <w:rFonts w:ascii="Times New Roman" w:hAnsi="Times New Roman"/>
          <w:i/>
          <w:iCs/>
          <w:sz w:val="24"/>
        </w:rPr>
        <w:t>Redress and Civil Litigation Report</w:t>
      </w:r>
      <w:r w:rsidRPr="00A53CF5">
        <w:rPr>
          <w:rFonts w:ascii="Times New Roman" w:hAnsi="Times New Roman"/>
          <w:sz w:val="24"/>
        </w:rPr>
        <w:t xml:space="preserve"> (2015) at 489-493.</w:t>
      </w:r>
    </w:p>
  </w:footnote>
  <w:footnote w:id="476">
    <w:p w14:paraId="69BA2A75"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See </w:t>
      </w:r>
      <w:r w:rsidRPr="00A53CF5">
        <w:rPr>
          <w:rFonts w:ascii="Times New Roman" w:hAnsi="Times New Roman"/>
          <w:i/>
          <w:iCs/>
          <w:sz w:val="24"/>
        </w:rPr>
        <w:t xml:space="preserve">BXB v Trustees of the Barry Congregation of Jehovah’s Witnesses </w:t>
      </w:r>
      <w:r w:rsidRPr="00A53CF5">
        <w:rPr>
          <w:rFonts w:ascii="Times New Roman" w:hAnsi="Times New Roman"/>
          <w:sz w:val="24"/>
        </w:rPr>
        <w:t xml:space="preserve">[2024] AC 567 at 585 [48]; </w:t>
      </w:r>
      <w:r w:rsidRPr="00A53CF5">
        <w:rPr>
          <w:rFonts w:ascii="Times New Roman" w:hAnsi="Times New Roman"/>
          <w:i/>
          <w:iCs/>
          <w:sz w:val="24"/>
        </w:rPr>
        <w:t>Various Claimants v Barclays Bank plc</w:t>
      </w:r>
      <w:r w:rsidRPr="00A53CF5">
        <w:rPr>
          <w:rFonts w:ascii="Times New Roman" w:hAnsi="Times New Roman"/>
          <w:sz w:val="24"/>
        </w:rPr>
        <w:t xml:space="preserve"> [2020] AC 973.</w:t>
      </w:r>
    </w:p>
  </w:footnote>
  <w:footnote w:id="477">
    <w:p w14:paraId="25FBBCFF"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[2013] 2 AC 1 at 11 [19].</w:t>
      </w:r>
    </w:p>
  </w:footnote>
  <w:footnote w:id="478">
    <w:p w14:paraId="458E4B18"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[2020] AC 973 at 980 [1] </w:t>
      </w:r>
    </w:p>
  </w:footnote>
  <w:footnote w:id="479">
    <w:p w14:paraId="7EE3A3FE"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986 [23].</w:t>
      </w:r>
    </w:p>
  </w:footnote>
  <w:footnote w:id="480">
    <w:p w14:paraId="7E17440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986 [24].</w:t>
      </w:r>
    </w:p>
  </w:footnote>
  <w:footnote w:id="481">
    <w:p w14:paraId="5D99AB04"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 xml:space="preserve">[2020] AC 973 at 986 [25]. See also </w:t>
      </w:r>
      <w:r w:rsidRPr="00A53CF5">
        <w:rPr>
          <w:rFonts w:ascii="Times New Roman" w:hAnsi="Times New Roman"/>
          <w:i/>
          <w:iCs/>
          <w:sz w:val="24"/>
        </w:rPr>
        <w:t>Various Claimants v Catholic Child Welfare Society</w:t>
      </w:r>
      <w:r w:rsidRPr="00A53CF5">
        <w:rPr>
          <w:rFonts w:ascii="Times New Roman" w:hAnsi="Times New Roman"/>
          <w:sz w:val="24"/>
        </w:rPr>
        <w:t xml:space="preserve"> [2013] 2 AC 1 at 18 [47], citing </w:t>
      </w:r>
      <w:r w:rsidRPr="00A53CF5">
        <w:rPr>
          <w:rFonts w:ascii="Times New Roman" w:hAnsi="Times New Roman"/>
          <w:i/>
          <w:iCs/>
          <w:sz w:val="24"/>
        </w:rPr>
        <w:t>E v English Province of Our Lady of Charity</w:t>
      </w:r>
      <w:r w:rsidRPr="00A53CF5">
        <w:rPr>
          <w:rFonts w:ascii="Times New Roman" w:hAnsi="Times New Roman"/>
          <w:sz w:val="24"/>
        </w:rPr>
        <w:t xml:space="preserve"> [2013] QB 722; </w:t>
      </w:r>
      <w:r w:rsidRPr="00A53CF5">
        <w:rPr>
          <w:rFonts w:ascii="Times New Roman" w:hAnsi="Times New Roman"/>
          <w:i/>
          <w:iCs/>
          <w:sz w:val="24"/>
        </w:rPr>
        <w:t>John Doe v Bennett</w:t>
      </w:r>
      <w:r w:rsidRPr="00A53CF5">
        <w:rPr>
          <w:rFonts w:ascii="Times New Roman" w:hAnsi="Times New Roman"/>
          <w:sz w:val="24"/>
        </w:rPr>
        <w:t xml:space="preserve"> [2004] 1 SCR 436 at 449 [27].</w:t>
      </w:r>
    </w:p>
  </w:footnote>
  <w:footnote w:id="482">
    <w:p w14:paraId="6B4296A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[2020] AC 973 at 987 [27].</w:t>
      </w:r>
    </w:p>
  </w:footnote>
  <w:footnote w:id="483">
    <w:p w14:paraId="7499D16A"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[2024] AC 567.</w:t>
      </w:r>
    </w:p>
  </w:footnote>
  <w:footnote w:id="484">
    <w:p w14:paraId="4C03C66B"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BXB v Trustees of the Barry Congregation of Jehovah's Witnesses</w:t>
      </w:r>
      <w:r w:rsidRPr="00A53CF5">
        <w:rPr>
          <w:rFonts w:ascii="Times New Roman" w:hAnsi="Times New Roman"/>
          <w:sz w:val="24"/>
        </w:rPr>
        <w:t xml:space="preserve"> [2024] AC 567 at 585 [48].  </w:t>
      </w:r>
    </w:p>
  </w:footnote>
  <w:footnote w:id="485">
    <w:p w14:paraId="47DFDAE6"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t>(2003) 212 CLR 511.</w:t>
      </w:r>
    </w:p>
  </w:footnote>
  <w:footnote w:id="486">
    <w:p w14:paraId="71DD9633"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New South Wales v Lepore</w:t>
      </w:r>
      <w:r w:rsidRPr="00A53CF5">
        <w:rPr>
          <w:rFonts w:ascii="Times New Roman" w:hAnsi="Times New Roman"/>
          <w:sz w:val="24"/>
        </w:rPr>
        <w:t xml:space="preserve"> (2003) 212 CLR 511 at 529 [23]; </w:t>
      </w:r>
      <w:r w:rsidRPr="00A53CF5">
        <w:rPr>
          <w:rFonts w:ascii="Times New Roman" w:hAnsi="Times New Roman"/>
          <w:i/>
          <w:iCs/>
          <w:sz w:val="24"/>
        </w:rPr>
        <w:t>Prince Alfred College Inc v ADC</w:t>
      </w:r>
      <w:r w:rsidRPr="00A53CF5">
        <w:rPr>
          <w:rFonts w:ascii="Times New Roman" w:hAnsi="Times New Roman"/>
          <w:sz w:val="24"/>
        </w:rPr>
        <w:t xml:space="preserve"> (2016) 258 CLR 134 at 169 [114].</w:t>
      </w:r>
    </w:p>
  </w:footnote>
  <w:footnote w:id="487">
    <w:p w14:paraId="5CD80AE7" w14:textId="77777777" w:rsidR="003C3645" w:rsidRPr="00A53CF5" w:rsidRDefault="003C3645" w:rsidP="00A53CF5">
      <w:pPr>
        <w:pStyle w:val="FootnoteText"/>
        <w:spacing w:line="280" w:lineRule="exact"/>
        <w:ind w:right="0"/>
        <w:jc w:val="both"/>
        <w:rPr>
          <w:rFonts w:ascii="Times New Roman" w:hAnsi="Times New Roman"/>
          <w:sz w:val="24"/>
        </w:rPr>
      </w:pPr>
      <w:r w:rsidRPr="00A53CF5">
        <w:rPr>
          <w:rStyle w:val="FootnoteReference"/>
          <w:rFonts w:ascii="Times New Roman" w:hAnsi="Times New Roman"/>
          <w:sz w:val="22"/>
          <w:vertAlign w:val="baseline"/>
        </w:rPr>
        <w:footnoteRef/>
      </w:r>
      <w:r w:rsidRPr="00A53CF5">
        <w:rPr>
          <w:rFonts w:ascii="Times New Roman" w:hAnsi="Times New Roman"/>
          <w:sz w:val="24"/>
        </w:rPr>
        <w:t xml:space="preserve"> </w:t>
      </w:r>
      <w:r w:rsidRPr="00A53CF5">
        <w:rPr>
          <w:rFonts w:ascii="Times New Roman" w:hAnsi="Times New Roman"/>
          <w:sz w:val="24"/>
        </w:rPr>
        <w:tab/>
      </w:r>
      <w:r w:rsidRPr="00A53CF5">
        <w:rPr>
          <w:rFonts w:ascii="Times New Roman" w:hAnsi="Times New Roman"/>
          <w:i/>
          <w:iCs/>
          <w:sz w:val="24"/>
        </w:rPr>
        <w:t>Suttor v Gundowda Pty Ltd</w:t>
      </w:r>
      <w:r w:rsidRPr="00A53CF5">
        <w:rPr>
          <w:rFonts w:ascii="Times New Roman" w:hAnsi="Times New Roman"/>
          <w:sz w:val="24"/>
        </w:rPr>
        <w:t xml:space="preserve"> (1950) 81 CLR 418 at 438; </w:t>
      </w:r>
      <w:r w:rsidRPr="00A53CF5">
        <w:rPr>
          <w:rFonts w:ascii="Times New Roman" w:hAnsi="Times New Roman"/>
          <w:i/>
          <w:iCs/>
          <w:sz w:val="24"/>
        </w:rPr>
        <w:t xml:space="preserve">Whisprun Pty Ltd v Dixon </w:t>
      </w:r>
      <w:r w:rsidRPr="00A53CF5">
        <w:rPr>
          <w:rFonts w:ascii="Times New Roman" w:hAnsi="Times New Roman"/>
          <w:sz w:val="24"/>
        </w:rPr>
        <w:t>(2003) 77 ALJR 1598 at 1608 [51]; 200 ALR 447 at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70E" w14:textId="77777777" w:rsidR="006D4E15" w:rsidRPr="00805D35" w:rsidRDefault="006D4E15" w:rsidP="00805D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ACE" w14:textId="77777777" w:rsidR="003C3645" w:rsidRDefault="003C3645" w:rsidP="00A53CF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623C3756" w14:textId="77777777" w:rsidR="003C3645" w:rsidRDefault="003C3645" w:rsidP="00A53CF5">
    <w:pPr>
      <w:pStyle w:val="Header"/>
      <w:tabs>
        <w:tab w:val="clear" w:pos="4153"/>
        <w:tab w:val="clear" w:pos="8306"/>
        <w:tab w:val="right" w:pos="1304"/>
      </w:tabs>
      <w:spacing w:line="280" w:lineRule="exact"/>
      <w:ind w:firstLine="0"/>
      <w:rPr>
        <w:rFonts w:ascii="Times New Roman" w:hAnsi="Times New Roman"/>
        <w:i/>
        <w:sz w:val="22"/>
      </w:rPr>
    </w:pPr>
  </w:p>
  <w:p w14:paraId="3B23CAAA" w14:textId="77777777" w:rsidR="003C3645" w:rsidRDefault="003C3645" w:rsidP="00A53CF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722AF3A" w14:textId="77777777" w:rsidR="003C3645" w:rsidRPr="00A53CF5" w:rsidRDefault="003C3645" w:rsidP="00A53CF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E4C" w14:textId="77777777" w:rsidR="003C3645" w:rsidRDefault="003C3645" w:rsidP="00A53CF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87EAE5B" w14:textId="77777777" w:rsidR="003C3645" w:rsidRDefault="003C3645" w:rsidP="00A53CF5">
    <w:pPr>
      <w:pStyle w:val="Header"/>
      <w:tabs>
        <w:tab w:val="clear" w:pos="4153"/>
        <w:tab w:val="clear" w:pos="8306"/>
        <w:tab w:val="left" w:pos="7200"/>
        <w:tab w:val="right" w:pos="8504"/>
      </w:tabs>
      <w:spacing w:line="280" w:lineRule="exact"/>
      <w:jc w:val="right"/>
      <w:rPr>
        <w:rFonts w:ascii="Times New Roman" w:hAnsi="Times New Roman"/>
        <w:i/>
        <w:sz w:val="22"/>
      </w:rPr>
    </w:pPr>
  </w:p>
  <w:p w14:paraId="6EF39D3E" w14:textId="77777777" w:rsidR="003C364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2E4389B" w14:textId="77777777" w:rsidR="003C3645" w:rsidRPr="00A53CF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BF5D"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14B72EBA"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5288442D" w14:textId="77777777" w:rsidR="003C364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p w14:paraId="50AC4B70" w14:textId="77777777" w:rsidR="003C3645" w:rsidRPr="00A53CF5" w:rsidRDefault="003C3645" w:rsidP="00A53CF5">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8857" w14:textId="77777777" w:rsidR="003C3645" w:rsidRPr="00A53CF5" w:rsidRDefault="003C3645" w:rsidP="00A53CF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A959" w14:textId="7B7FB2BF" w:rsidR="006D4E15" w:rsidRPr="00805D35" w:rsidRDefault="00805D35" w:rsidP="00805D35">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9535DA">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9535DA">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EFA8" w14:textId="0A158F86" w:rsidR="002C2908" w:rsidRPr="00805D35" w:rsidRDefault="002C2908" w:rsidP="00805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110D"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Gageler</w:t>
    </w:r>
    <w:r w:rsidRPr="006D4E15">
      <w:rPr>
        <w:rFonts w:ascii="Times New Roman" w:hAnsi="Times New Roman"/>
        <w:i/>
        <w:sz w:val="22"/>
      </w:rPr>
      <w:tab/>
      <w:t>CJ</w:t>
    </w:r>
  </w:p>
  <w:p w14:paraId="5A50EBEC"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Gordon</w:t>
    </w:r>
    <w:r w:rsidRPr="006D4E15">
      <w:rPr>
        <w:rFonts w:ascii="Times New Roman" w:hAnsi="Times New Roman"/>
        <w:i/>
        <w:sz w:val="22"/>
      </w:rPr>
      <w:tab/>
      <w:t>J</w:t>
    </w:r>
  </w:p>
  <w:p w14:paraId="6D77B285"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Edelman</w:t>
    </w:r>
    <w:r w:rsidRPr="006D4E15">
      <w:rPr>
        <w:rFonts w:ascii="Times New Roman" w:hAnsi="Times New Roman"/>
        <w:i/>
        <w:sz w:val="22"/>
      </w:rPr>
      <w:tab/>
      <w:t>J</w:t>
    </w:r>
  </w:p>
  <w:p w14:paraId="240886D6" w14:textId="77777777" w:rsidR="00805D35" w:rsidRPr="006D4E1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sidRPr="006D4E15">
      <w:rPr>
        <w:rFonts w:ascii="Times New Roman" w:hAnsi="Times New Roman"/>
        <w:i/>
        <w:sz w:val="22"/>
      </w:rPr>
      <w:t>Steward</w:t>
    </w:r>
    <w:r w:rsidRPr="006D4E15">
      <w:rPr>
        <w:rFonts w:ascii="Times New Roman" w:hAnsi="Times New Roman"/>
        <w:i/>
        <w:sz w:val="22"/>
      </w:rPr>
      <w:tab/>
      <w:t>J</w:t>
    </w:r>
  </w:p>
  <w:p w14:paraId="76299695" w14:textId="77777777" w:rsidR="00805D35" w:rsidRDefault="00805D35" w:rsidP="006D4E1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482BFFA" w14:textId="77777777" w:rsidR="00805D35" w:rsidRDefault="00805D35" w:rsidP="006D4E15">
    <w:pPr>
      <w:pStyle w:val="Header"/>
      <w:tabs>
        <w:tab w:val="clear" w:pos="4153"/>
        <w:tab w:val="clear" w:pos="8306"/>
        <w:tab w:val="right" w:pos="1304"/>
      </w:tabs>
      <w:spacing w:line="280" w:lineRule="exact"/>
      <w:ind w:firstLine="0"/>
      <w:rPr>
        <w:rFonts w:ascii="Times New Roman" w:hAnsi="Times New Roman"/>
        <w:i/>
        <w:sz w:val="22"/>
      </w:rPr>
    </w:pPr>
  </w:p>
  <w:p w14:paraId="170B9863" w14:textId="77777777" w:rsidR="00805D35" w:rsidRDefault="00805D35" w:rsidP="006D4E1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51</w:t>
    </w:r>
    <w:r>
      <w:rPr>
        <w:rFonts w:ascii="Times New Roman" w:hAnsi="Times New Roman"/>
        <w:sz w:val="22"/>
      </w:rPr>
      <w:fldChar w:fldCharType="end"/>
    </w:r>
    <w:r>
      <w:rPr>
        <w:rFonts w:ascii="Times New Roman" w:hAnsi="Times New Roman"/>
        <w:sz w:val="22"/>
      </w:rPr>
      <w:t>.</w:t>
    </w:r>
  </w:p>
  <w:p w14:paraId="32E1DB24" w14:textId="77777777" w:rsidR="00805D35" w:rsidRPr="006D4E15" w:rsidRDefault="00805D35" w:rsidP="006D4E1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265E"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Gageler</w:t>
    </w:r>
    <w:r w:rsidRPr="006D4E15">
      <w:rPr>
        <w:rFonts w:ascii="Times New Roman" w:hAnsi="Times New Roman"/>
        <w:i/>
        <w:sz w:val="22"/>
      </w:rPr>
      <w:tab/>
      <w:t>CJ</w:t>
    </w:r>
  </w:p>
  <w:p w14:paraId="72D2AF60"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Gordon</w:t>
    </w:r>
    <w:r w:rsidRPr="006D4E15">
      <w:rPr>
        <w:rFonts w:ascii="Times New Roman" w:hAnsi="Times New Roman"/>
        <w:i/>
        <w:sz w:val="22"/>
      </w:rPr>
      <w:tab/>
      <w:t>J</w:t>
    </w:r>
  </w:p>
  <w:p w14:paraId="179EDDCE"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Edelman</w:t>
    </w:r>
    <w:r w:rsidRPr="006D4E15">
      <w:rPr>
        <w:rFonts w:ascii="Times New Roman" w:hAnsi="Times New Roman"/>
        <w:i/>
        <w:sz w:val="22"/>
      </w:rPr>
      <w:tab/>
      <w:t>J</w:t>
    </w:r>
  </w:p>
  <w:p w14:paraId="44AFD8EA" w14:textId="77777777" w:rsidR="00805D35" w:rsidRPr="006D4E1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sidRPr="006D4E15">
      <w:rPr>
        <w:rFonts w:ascii="Times New Roman" w:hAnsi="Times New Roman"/>
        <w:i/>
        <w:sz w:val="22"/>
      </w:rPr>
      <w:tab/>
      <w:t>Steward</w:t>
    </w:r>
    <w:r w:rsidRPr="006D4E15">
      <w:rPr>
        <w:rFonts w:ascii="Times New Roman" w:hAnsi="Times New Roman"/>
        <w:i/>
        <w:sz w:val="22"/>
      </w:rPr>
      <w:tab/>
      <w:t>J</w:t>
    </w:r>
  </w:p>
  <w:p w14:paraId="292161E0" w14:textId="77777777" w:rsidR="00805D3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0B49230" w14:textId="77777777" w:rsidR="00805D35" w:rsidRDefault="00805D35" w:rsidP="006D4E15">
    <w:pPr>
      <w:pStyle w:val="Header"/>
      <w:tabs>
        <w:tab w:val="clear" w:pos="4153"/>
        <w:tab w:val="clear" w:pos="8306"/>
        <w:tab w:val="left" w:pos="7200"/>
        <w:tab w:val="right" w:pos="8504"/>
      </w:tabs>
      <w:spacing w:line="280" w:lineRule="exact"/>
      <w:jc w:val="right"/>
      <w:rPr>
        <w:rFonts w:ascii="Times New Roman" w:hAnsi="Times New Roman"/>
        <w:i/>
        <w:sz w:val="22"/>
      </w:rPr>
    </w:pPr>
  </w:p>
  <w:p w14:paraId="2A58FDAD" w14:textId="77777777" w:rsidR="00805D35" w:rsidRDefault="00805D35" w:rsidP="006D4E1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51</w:t>
    </w:r>
    <w:r>
      <w:rPr>
        <w:rFonts w:ascii="Times New Roman" w:hAnsi="Times New Roman"/>
        <w:sz w:val="22"/>
      </w:rPr>
      <w:fldChar w:fldCharType="end"/>
    </w:r>
    <w:r>
      <w:rPr>
        <w:rFonts w:ascii="Times New Roman" w:hAnsi="Times New Roman"/>
        <w:sz w:val="22"/>
      </w:rPr>
      <w:t>.</w:t>
    </w:r>
  </w:p>
  <w:p w14:paraId="33089F34" w14:textId="77777777" w:rsidR="00805D35" w:rsidRPr="006D4E15" w:rsidRDefault="00805D35" w:rsidP="006D4E1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70FF"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798F9FF4"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15F85220"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7273513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4CFEAE26"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616BD0A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002F8EC1" w14:textId="77777777" w:rsidR="00805D3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p w14:paraId="3B84228F" w14:textId="77777777" w:rsidR="00805D35" w:rsidRPr="006D4E15" w:rsidRDefault="00805D35" w:rsidP="006D4E15">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1382" w14:textId="77777777" w:rsidR="003C3645" w:rsidRDefault="003C3645" w:rsidP="00E2584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0ABB2A3C" w14:textId="77777777" w:rsidR="003C3645" w:rsidRDefault="003C3645" w:rsidP="00E25845">
    <w:pPr>
      <w:pStyle w:val="Header"/>
      <w:tabs>
        <w:tab w:val="clear" w:pos="4153"/>
        <w:tab w:val="clear" w:pos="8306"/>
        <w:tab w:val="right" w:pos="1304"/>
      </w:tabs>
      <w:spacing w:line="280" w:lineRule="exact"/>
      <w:ind w:firstLine="0"/>
      <w:rPr>
        <w:rFonts w:ascii="Times New Roman" w:hAnsi="Times New Roman"/>
        <w:i/>
        <w:sz w:val="22"/>
      </w:rPr>
    </w:pPr>
  </w:p>
  <w:p w14:paraId="495008A0" w14:textId="77777777" w:rsidR="003C3645" w:rsidRDefault="003C3645" w:rsidP="00E2584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57</w:t>
    </w:r>
    <w:r>
      <w:rPr>
        <w:rFonts w:ascii="Times New Roman" w:hAnsi="Times New Roman"/>
        <w:sz w:val="22"/>
      </w:rPr>
      <w:fldChar w:fldCharType="end"/>
    </w:r>
    <w:r>
      <w:rPr>
        <w:rFonts w:ascii="Times New Roman" w:hAnsi="Times New Roman"/>
        <w:sz w:val="22"/>
      </w:rPr>
      <w:t>.</w:t>
    </w:r>
  </w:p>
  <w:p w14:paraId="1E67D13F" w14:textId="77777777" w:rsidR="003C3645" w:rsidRPr="00E25845" w:rsidRDefault="003C3645" w:rsidP="00E2584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F5C2" w14:textId="77777777" w:rsidR="003C3645" w:rsidRDefault="003C3645" w:rsidP="00E2584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224AD903" w14:textId="77777777" w:rsidR="003C3645" w:rsidRDefault="003C3645" w:rsidP="00E25845">
    <w:pPr>
      <w:pStyle w:val="Header"/>
      <w:tabs>
        <w:tab w:val="clear" w:pos="4153"/>
        <w:tab w:val="clear" w:pos="8306"/>
        <w:tab w:val="left" w:pos="7200"/>
        <w:tab w:val="right" w:pos="8504"/>
      </w:tabs>
      <w:spacing w:line="280" w:lineRule="exact"/>
      <w:jc w:val="right"/>
      <w:rPr>
        <w:rFonts w:ascii="Times New Roman" w:hAnsi="Times New Roman"/>
        <w:i/>
        <w:sz w:val="22"/>
      </w:rPr>
    </w:pPr>
  </w:p>
  <w:p w14:paraId="2C741125" w14:textId="77777777" w:rsidR="003C3645" w:rsidRDefault="003C3645" w:rsidP="00E2584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57</w:t>
    </w:r>
    <w:r>
      <w:rPr>
        <w:rFonts w:ascii="Times New Roman" w:hAnsi="Times New Roman"/>
        <w:sz w:val="22"/>
      </w:rPr>
      <w:fldChar w:fldCharType="end"/>
    </w:r>
    <w:r>
      <w:rPr>
        <w:rFonts w:ascii="Times New Roman" w:hAnsi="Times New Roman"/>
        <w:sz w:val="22"/>
      </w:rPr>
      <w:t>.</w:t>
    </w:r>
  </w:p>
  <w:p w14:paraId="7BC29619" w14:textId="77777777" w:rsidR="003C3645" w:rsidRPr="00E25845" w:rsidRDefault="003C3645" w:rsidP="00E2584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A7E8"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5CD1314B"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605CE50F" w14:textId="77777777" w:rsidR="003C36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p w14:paraId="66CC4FFB" w14:textId="77777777" w:rsidR="003C3645" w:rsidRPr="00E25845" w:rsidRDefault="003C3645" w:rsidP="00E2584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B6475"/>
    <w:multiLevelType w:val="hybridMultilevel"/>
    <w:tmpl w:val="4B625762"/>
    <w:lvl w:ilvl="0" w:tplc="B00AF3B2">
      <w:start w:val="1"/>
      <w:numFmt w:val="bullet"/>
      <w:lvlText w:val=""/>
      <w:lvlJc w:val="left"/>
      <w:pPr>
        <w:ind w:left="720" w:hanging="360"/>
      </w:pPr>
      <w:rPr>
        <w:rFonts w:ascii="Symbol" w:hAnsi="Symbol"/>
      </w:rPr>
    </w:lvl>
    <w:lvl w:ilvl="1" w:tplc="AA864704">
      <w:start w:val="1"/>
      <w:numFmt w:val="bullet"/>
      <w:lvlText w:val=""/>
      <w:lvlJc w:val="left"/>
      <w:pPr>
        <w:ind w:left="720" w:hanging="360"/>
      </w:pPr>
      <w:rPr>
        <w:rFonts w:ascii="Symbol" w:hAnsi="Symbol"/>
      </w:rPr>
    </w:lvl>
    <w:lvl w:ilvl="2" w:tplc="C4AA5E54">
      <w:start w:val="1"/>
      <w:numFmt w:val="bullet"/>
      <w:lvlText w:val=""/>
      <w:lvlJc w:val="left"/>
      <w:pPr>
        <w:ind w:left="720" w:hanging="360"/>
      </w:pPr>
      <w:rPr>
        <w:rFonts w:ascii="Symbol" w:hAnsi="Symbol"/>
      </w:rPr>
    </w:lvl>
    <w:lvl w:ilvl="3" w:tplc="3536C184">
      <w:start w:val="1"/>
      <w:numFmt w:val="bullet"/>
      <w:lvlText w:val=""/>
      <w:lvlJc w:val="left"/>
      <w:pPr>
        <w:ind w:left="720" w:hanging="360"/>
      </w:pPr>
      <w:rPr>
        <w:rFonts w:ascii="Symbol" w:hAnsi="Symbol"/>
      </w:rPr>
    </w:lvl>
    <w:lvl w:ilvl="4" w:tplc="64C8ABA0">
      <w:start w:val="1"/>
      <w:numFmt w:val="bullet"/>
      <w:lvlText w:val=""/>
      <w:lvlJc w:val="left"/>
      <w:pPr>
        <w:ind w:left="720" w:hanging="360"/>
      </w:pPr>
      <w:rPr>
        <w:rFonts w:ascii="Symbol" w:hAnsi="Symbol"/>
      </w:rPr>
    </w:lvl>
    <w:lvl w:ilvl="5" w:tplc="A3AA22D6">
      <w:start w:val="1"/>
      <w:numFmt w:val="bullet"/>
      <w:lvlText w:val=""/>
      <w:lvlJc w:val="left"/>
      <w:pPr>
        <w:ind w:left="720" w:hanging="360"/>
      </w:pPr>
      <w:rPr>
        <w:rFonts w:ascii="Symbol" w:hAnsi="Symbol"/>
      </w:rPr>
    </w:lvl>
    <w:lvl w:ilvl="6" w:tplc="F4C85B64">
      <w:start w:val="1"/>
      <w:numFmt w:val="bullet"/>
      <w:lvlText w:val=""/>
      <w:lvlJc w:val="left"/>
      <w:pPr>
        <w:ind w:left="720" w:hanging="360"/>
      </w:pPr>
      <w:rPr>
        <w:rFonts w:ascii="Symbol" w:hAnsi="Symbol"/>
      </w:rPr>
    </w:lvl>
    <w:lvl w:ilvl="7" w:tplc="67A0ED72">
      <w:start w:val="1"/>
      <w:numFmt w:val="bullet"/>
      <w:lvlText w:val=""/>
      <w:lvlJc w:val="left"/>
      <w:pPr>
        <w:ind w:left="720" w:hanging="360"/>
      </w:pPr>
      <w:rPr>
        <w:rFonts w:ascii="Symbol" w:hAnsi="Symbol"/>
      </w:rPr>
    </w:lvl>
    <w:lvl w:ilvl="8" w:tplc="BA980FF4">
      <w:start w:val="1"/>
      <w:numFmt w:val="bullet"/>
      <w:lvlText w:val=""/>
      <w:lvlJc w:val="left"/>
      <w:pPr>
        <w:ind w:left="720" w:hanging="360"/>
      </w:pPr>
      <w:rPr>
        <w:rFonts w:ascii="Symbol" w:hAnsi="Symbol"/>
      </w:r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0E65EA"/>
    <w:multiLevelType w:val="hybridMultilevel"/>
    <w:tmpl w:val="065C4A20"/>
    <w:lvl w:ilvl="0" w:tplc="1BD0726E">
      <w:start w:val="1"/>
      <w:numFmt w:val="bullet"/>
      <w:lvlText w:val=""/>
      <w:lvlJc w:val="left"/>
      <w:pPr>
        <w:ind w:left="720" w:hanging="360"/>
      </w:pPr>
      <w:rPr>
        <w:rFonts w:ascii="Symbol" w:hAnsi="Symbol"/>
      </w:rPr>
    </w:lvl>
    <w:lvl w:ilvl="1" w:tplc="59A8E238">
      <w:start w:val="1"/>
      <w:numFmt w:val="bullet"/>
      <w:lvlText w:val=""/>
      <w:lvlJc w:val="left"/>
      <w:pPr>
        <w:ind w:left="720" w:hanging="360"/>
      </w:pPr>
      <w:rPr>
        <w:rFonts w:ascii="Symbol" w:hAnsi="Symbol"/>
      </w:rPr>
    </w:lvl>
    <w:lvl w:ilvl="2" w:tplc="17B61F90">
      <w:start w:val="1"/>
      <w:numFmt w:val="bullet"/>
      <w:lvlText w:val=""/>
      <w:lvlJc w:val="left"/>
      <w:pPr>
        <w:ind w:left="720" w:hanging="360"/>
      </w:pPr>
      <w:rPr>
        <w:rFonts w:ascii="Symbol" w:hAnsi="Symbol"/>
      </w:rPr>
    </w:lvl>
    <w:lvl w:ilvl="3" w:tplc="3C8E89CC">
      <w:start w:val="1"/>
      <w:numFmt w:val="bullet"/>
      <w:lvlText w:val=""/>
      <w:lvlJc w:val="left"/>
      <w:pPr>
        <w:ind w:left="720" w:hanging="360"/>
      </w:pPr>
      <w:rPr>
        <w:rFonts w:ascii="Symbol" w:hAnsi="Symbol"/>
      </w:rPr>
    </w:lvl>
    <w:lvl w:ilvl="4" w:tplc="E4A67A7E">
      <w:start w:val="1"/>
      <w:numFmt w:val="bullet"/>
      <w:lvlText w:val=""/>
      <w:lvlJc w:val="left"/>
      <w:pPr>
        <w:ind w:left="720" w:hanging="360"/>
      </w:pPr>
      <w:rPr>
        <w:rFonts w:ascii="Symbol" w:hAnsi="Symbol"/>
      </w:rPr>
    </w:lvl>
    <w:lvl w:ilvl="5" w:tplc="D5CECE6E">
      <w:start w:val="1"/>
      <w:numFmt w:val="bullet"/>
      <w:lvlText w:val=""/>
      <w:lvlJc w:val="left"/>
      <w:pPr>
        <w:ind w:left="720" w:hanging="360"/>
      </w:pPr>
      <w:rPr>
        <w:rFonts w:ascii="Symbol" w:hAnsi="Symbol"/>
      </w:rPr>
    </w:lvl>
    <w:lvl w:ilvl="6" w:tplc="D488F534">
      <w:start w:val="1"/>
      <w:numFmt w:val="bullet"/>
      <w:lvlText w:val=""/>
      <w:lvlJc w:val="left"/>
      <w:pPr>
        <w:ind w:left="720" w:hanging="360"/>
      </w:pPr>
      <w:rPr>
        <w:rFonts w:ascii="Symbol" w:hAnsi="Symbol"/>
      </w:rPr>
    </w:lvl>
    <w:lvl w:ilvl="7" w:tplc="52C49A42">
      <w:start w:val="1"/>
      <w:numFmt w:val="bullet"/>
      <w:lvlText w:val=""/>
      <w:lvlJc w:val="left"/>
      <w:pPr>
        <w:ind w:left="720" w:hanging="360"/>
      </w:pPr>
      <w:rPr>
        <w:rFonts w:ascii="Symbol" w:hAnsi="Symbol"/>
      </w:rPr>
    </w:lvl>
    <w:lvl w:ilvl="8" w:tplc="7CF2F642">
      <w:start w:val="1"/>
      <w:numFmt w:val="bullet"/>
      <w:lvlText w:val=""/>
      <w:lvlJc w:val="left"/>
      <w:pPr>
        <w:ind w:left="720" w:hanging="360"/>
      </w:pPr>
      <w:rPr>
        <w:rFonts w:ascii="Symbol" w:hAnsi="Symbol"/>
      </w:rPr>
    </w:lvl>
  </w:abstractNum>
  <w:abstractNum w:abstractNumId="14" w15:restartNumberingAfterBreak="0">
    <w:nsid w:val="179E2F06"/>
    <w:multiLevelType w:val="hybridMultilevel"/>
    <w:tmpl w:val="4CEC631E"/>
    <w:lvl w:ilvl="0" w:tplc="EE48E49C">
      <w:start w:val="1"/>
      <w:numFmt w:val="bullet"/>
      <w:lvlText w:val=""/>
      <w:lvlJc w:val="left"/>
      <w:pPr>
        <w:ind w:left="720" w:hanging="360"/>
      </w:pPr>
      <w:rPr>
        <w:rFonts w:ascii="Symbol" w:hAnsi="Symbol"/>
      </w:rPr>
    </w:lvl>
    <w:lvl w:ilvl="1" w:tplc="C3D8D8EE">
      <w:start w:val="1"/>
      <w:numFmt w:val="bullet"/>
      <w:lvlText w:val=""/>
      <w:lvlJc w:val="left"/>
      <w:pPr>
        <w:ind w:left="720" w:hanging="360"/>
      </w:pPr>
      <w:rPr>
        <w:rFonts w:ascii="Symbol" w:hAnsi="Symbol"/>
      </w:rPr>
    </w:lvl>
    <w:lvl w:ilvl="2" w:tplc="AB72A544">
      <w:start w:val="1"/>
      <w:numFmt w:val="bullet"/>
      <w:lvlText w:val=""/>
      <w:lvlJc w:val="left"/>
      <w:pPr>
        <w:ind w:left="720" w:hanging="360"/>
      </w:pPr>
      <w:rPr>
        <w:rFonts w:ascii="Symbol" w:hAnsi="Symbol"/>
      </w:rPr>
    </w:lvl>
    <w:lvl w:ilvl="3" w:tplc="BE0661D8">
      <w:start w:val="1"/>
      <w:numFmt w:val="bullet"/>
      <w:lvlText w:val=""/>
      <w:lvlJc w:val="left"/>
      <w:pPr>
        <w:ind w:left="720" w:hanging="360"/>
      </w:pPr>
      <w:rPr>
        <w:rFonts w:ascii="Symbol" w:hAnsi="Symbol"/>
      </w:rPr>
    </w:lvl>
    <w:lvl w:ilvl="4" w:tplc="157C76AC">
      <w:start w:val="1"/>
      <w:numFmt w:val="bullet"/>
      <w:lvlText w:val=""/>
      <w:lvlJc w:val="left"/>
      <w:pPr>
        <w:ind w:left="720" w:hanging="360"/>
      </w:pPr>
      <w:rPr>
        <w:rFonts w:ascii="Symbol" w:hAnsi="Symbol"/>
      </w:rPr>
    </w:lvl>
    <w:lvl w:ilvl="5" w:tplc="0E4618E2">
      <w:start w:val="1"/>
      <w:numFmt w:val="bullet"/>
      <w:lvlText w:val=""/>
      <w:lvlJc w:val="left"/>
      <w:pPr>
        <w:ind w:left="720" w:hanging="360"/>
      </w:pPr>
      <w:rPr>
        <w:rFonts w:ascii="Symbol" w:hAnsi="Symbol"/>
      </w:rPr>
    </w:lvl>
    <w:lvl w:ilvl="6" w:tplc="071AD4D6">
      <w:start w:val="1"/>
      <w:numFmt w:val="bullet"/>
      <w:lvlText w:val=""/>
      <w:lvlJc w:val="left"/>
      <w:pPr>
        <w:ind w:left="720" w:hanging="360"/>
      </w:pPr>
      <w:rPr>
        <w:rFonts w:ascii="Symbol" w:hAnsi="Symbol"/>
      </w:rPr>
    </w:lvl>
    <w:lvl w:ilvl="7" w:tplc="A56EF58C">
      <w:start w:val="1"/>
      <w:numFmt w:val="bullet"/>
      <w:lvlText w:val=""/>
      <w:lvlJc w:val="left"/>
      <w:pPr>
        <w:ind w:left="720" w:hanging="360"/>
      </w:pPr>
      <w:rPr>
        <w:rFonts w:ascii="Symbol" w:hAnsi="Symbol"/>
      </w:rPr>
    </w:lvl>
    <w:lvl w:ilvl="8" w:tplc="9CE69E98">
      <w:start w:val="1"/>
      <w:numFmt w:val="bullet"/>
      <w:lvlText w:val=""/>
      <w:lvlJc w:val="left"/>
      <w:pPr>
        <w:ind w:left="720" w:hanging="360"/>
      </w:pPr>
      <w:rPr>
        <w:rFonts w:ascii="Symbol" w:hAnsi="Symbol"/>
      </w:rPr>
    </w:lvl>
  </w:abstractNum>
  <w:abstractNum w:abstractNumId="15" w15:restartNumberingAfterBreak="0">
    <w:nsid w:val="18B51B95"/>
    <w:multiLevelType w:val="hybridMultilevel"/>
    <w:tmpl w:val="975C249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1EF5578A"/>
    <w:multiLevelType w:val="hybridMultilevel"/>
    <w:tmpl w:val="E29651CC"/>
    <w:lvl w:ilvl="0" w:tplc="6E286E54">
      <w:start w:val="1"/>
      <w:numFmt w:val="decimal"/>
      <w:pStyle w:val="NormalHC"/>
      <w:lvlText w:val="%1."/>
      <w:lvlJc w:val="left"/>
      <w:pPr>
        <w:ind w:left="720" w:hanging="1440"/>
      </w:pPr>
      <w:rPr>
        <w:rFonts w:hint="default"/>
        <w:b w:val="0"/>
        <w:bCs w:val="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9892D27"/>
    <w:multiLevelType w:val="hybridMultilevel"/>
    <w:tmpl w:val="D6143790"/>
    <w:lvl w:ilvl="0" w:tplc="F37EB44A">
      <w:start w:val="1"/>
      <w:numFmt w:val="bullet"/>
      <w:lvlText w:val=""/>
      <w:lvlJc w:val="left"/>
      <w:pPr>
        <w:ind w:left="720" w:hanging="360"/>
      </w:pPr>
      <w:rPr>
        <w:rFonts w:ascii="Symbol" w:hAnsi="Symbol"/>
      </w:rPr>
    </w:lvl>
    <w:lvl w:ilvl="1" w:tplc="FF4EF64E">
      <w:start w:val="1"/>
      <w:numFmt w:val="bullet"/>
      <w:lvlText w:val=""/>
      <w:lvlJc w:val="left"/>
      <w:pPr>
        <w:ind w:left="720" w:hanging="360"/>
      </w:pPr>
      <w:rPr>
        <w:rFonts w:ascii="Symbol" w:hAnsi="Symbol"/>
      </w:rPr>
    </w:lvl>
    <w:lvl w:ilvl="2" w:tplc="95D0B588">
      <w:start w:val="1"/>
      <w:numFmt w:val="bullet"/>
      <w:lvlText w:val=""/>
      <w:lvlJc w:val="left"/>
      <w:pPr>
        <w:ind w:left="720" w:hanging="360"/>
      </w:pPr>
      <w:rPr>
        <w:rFonts w:ascii="Symbol" w:hAnsi="Symbol"/>
      </w:rPr>
    </w:lvl>
    <w:lvl w:ilvl="3" w:tplc="A5589E52">
      <w:start w:val="1"/>
      <w:numFmt w:val="bullet"/>
      <w:lvlText w:val=""/>
      <w:lvlJc w:val="left"/>
      <w:pPr>
        <w:ind w:left="720" w:hanging="360"/>
      </w:pPr>
      <w:rPr>
        <w:rFonts w:ascii="Symbol" w:hAnsi="Symbol"/>
      </w:rPr>
    </w:lvl>
    <w:lvl w:ilvl="4" w:tplc="56BE266C">
      <w:start w:val="1"/>
      <w:numFmt w:val="bullet"/>
      <w:lvlText w:val=""/>
      <w:lvlJc w:val="left"/>
      <w:pPr>
        <w:ind w:left="720" w:hanging="360"/>
      </w:pPr>
      <w:rPr>
        <w:rFonts w:ascii="Symbol" w:hAnsi="Symbol"/>
      </w:rPr>
    </w:lvl>
    <w:lvl w:ilvl="5" w:tplc="68C6CD66">
      <w:start w:val="1"/>
      <w:numFmt w:val="bullet"/>
      <w:lvlText w:val=""/>
      <w:lvlJc w:val="left"/>
      <w:pPr>
        <w:ind w:left="720" w:hanging="360"/>
      </w:pPr>
      <w:rPr>
        <w:rFonts w:ascii="Symbol" w:hAnsi="Symbol"/>
      </w:rPr>
    </w:lvl>
    <w:lvl w:ilvl="6" w:tplc="4F2C99FC">
      <w:start w:val="1"/>
      <w:numFmt w:val="bullet"/>
      <w:lvlText w:val=""/>
      <w:lvlJc w:val="left"/>
      <w:pPr>
        <w:ind w:left="720" w:hanging="360"/>
      </w:pPr>
      <w:rPr>
        <w:rFonts w:ascii="Symbol" w:hAnsi="Symbol"/>
      </w:rPr>
    </w:lvl>
    <w:lvl w:ilvl="7" w:tplc="CB646472">
      <w:start w:val="1"/>
      <w:numFmt w:val="bullet"/>
      <w:lvlText w:val=""/>
      <w:lvlJc w:val="left"/>
      <w:pPr>
        <w:ind w:left="720" w:hanging="360"/>
      </w:pPr>
      <w:rPr>
        <w:rFonts w:ascii="Symbol" w:hAnsi="Symbol"/>
      </w:rPr>
    </w:lvl>
    <w:lvl w:ilvl="8" w:tplc="EF0E92FE">
      <w:start w:val="1"/>
      <w:numFmt w:val="bullet"/>
      <w:lvlText w:val=""/>
      <w:lvlJc w:val="left"/>
      <w:pPr>
        <w:ind w:left="720" w:hanging="360"/>
      </w:pPr>
      <w:rPr>
        <w:rFonts w:ascii="Symbol" w:hAnsi="Symbol"/>
      </w:rPr>
    </w:lvl>
  </w:abstractNum>
  <w:abstractNum w:abstractNumId="18" w15:restartNumberingAfterBreak="0">
    <w:nsid w:val="2C322C6F"/>
    <w:multiLevelType w:val="hybridMultilevel"/>
    <w:tmpl w:val="AA982BE8"/>
    <w:lvl w:ilvl="0" w:tplc="ACFEF722">
      <w:start w:val="1"/>
      <w:numFmt w:val="bullet"/>
      <w:lvlText w:val=""/>
      <w:lvlJc w:val="left"/>
      <w:pPr>
        <w:ind w:left="720" w:hanging="360"/>
      </w:pPr>
      <w:rPr>
        <w:rFonts w:ascii="Symbol" w:hAnsi="Symbol"/>
      </w:rPr>
    </w:lvl>
    <w:lvl w:ilvl="1" w:tplc="76FAF49A">
      <w:start w:val="1"/>
      <w:numFmt w:val="bullet"/>
      <w:lvlText w:val=""/>
      <w:lvlJc w:val="left"/>
      <w:pPr>
        <w:ind w:left="720" w:hanging="360"/>
      </w:pPr>
      <w:rPr>
        <w:rFonts w:ascii="Symbol" w:hAnsi="Symbol"/>
      </w:rPr>
    </w:lvl>
    <w:lvl w:ilvl="2" w:tplc="61B01DAA">
      <w:start w:val="1"/>
      <w:numFmt w:val="bullet"/>
      <w:lvlText w:val=""/>
      <w:lvlJc w:val="left"/>
      <w:pPr>
        <w:ind w:left="720" w:hanging="360"/>
      </w:pPr>
      <w:rPr>
        <w:rFonts w:ascii="Symbol" w:hAnsi="Symbol"/>
      </w:rPr>
    </w:lvl>
    <w:lvl w:ilvl="3" w:tplc="7C22C540">
      <w:start w:val="1"/>
      <w:numFmt w:val="bullet"/>
      <w:lvlText w:val=""/>
      <w:lvlJc w:val="left"/>
      <w:pPr>
        <w:ind w:left="720" w:hanging="360"/>
      </w:pPr>
      <w:rPr>
        <w:rFonts w:ascii="Symbol" w:hAnsi="Symbol"/>
      </w:rPr>
    </w:lvl>
    <w:lvl w:ilvl="4" w:tplc="C14AA5E8">
      <w:start w:val="1"/>
      <w:numFmt w:val="bullet"/>
      <w:lvlText w:val=""/>
      <w:lvlJc w:val="left"/>
      <w:pPr>
        <w:ind w:left="720" w:hanging="360"/>
      </w:pPr>
      <w:rPr>
        <w:rFonts w:ascii="Symbol" w:hAnsi="Symbol"/>
      </w:rPr>
    </w:lvl>
    <w:lvl w:ilvl="5" w:tplc="68D2BBF6">
      <w:start w:val="1"/>
      <w:numFmt w:val="bullet"/>
      <w:lvlText w:val=""/>
      <w:lvlJc w:val="left"/>
      <w:pPr>
        <w:ind w:left="720" w:hanging="360"/>
      </w:pPr>
      <w:rPr>
        <w:rFonts w:ascii="Symbol" w:hAnsi="Symbol"/>
      </w:rPr>
    </w:lvl>
    <w:lvl w:ilvl="6" w:tplc="7C985FCC">
      <w:start w:val="1"/>
      <w:numFmt w:val="bullet"/>
      <w:lvlText w:val=""/>
      <w:lvlJc w:val="left"/>
      <w:pPr>
        <w:ind w:left="720" w:hanging="360"/>
      </w:pPr>
      <w:rPr>
        <w:rFonts w:ascii="Symbol" w:hAnsi="Symbol"/>
      </w:rPr>
    </w:lvl>
    <w:lvl w:ilvl="7" w:tplc="87543514">
      <w:start w:val="1"/>
      <w:numFmt w:val="bullet"/>
      <w:lvlText w:val=""/>
      <w:lvlJc w:val="left"/>
      <w:pPr>
        <w:ind w:left="720" w:hanging="360"/>
      </w:pPr>
      <w:rPr>
        <w:rFonts w:ascii="Symbol" w:hAnsi="Symbol"/>
      </w:rPr>
    </w:lvl>
    <w:lvl w:ilvl="8" w:tplc="A48057F6">
      <w:start w:val="1"/>
      <w:numFmt w:val="bullet"/>
      <w:lvlText w:val=""/>
      <w:lvlJc w:val="left"/>
      <w:pPr>
        <w:ind w:left="720" w:hanging="360"/>
      </w:pPr>
      <w:rPr>
        <w:rFonts w:ascii="Symbol" w:hAnsi="Symbol"/>
      </w:rPr>
    </w:lvl>
  </w:abstractNum>
  <w:abstractNum w:abstractNumId="19"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C3E5B"/>
    <w:multiLevelType w:val="hybridMultilevel"/>
    <w:tmpl w:val="D730E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2"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8D1FEA"/>
    <w:multiLevelType w:val="hybridMultilevel"/>
    <w:tmpl w:val="20FA75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457F09"/>
    <w:multiLevelType w:val="multilevel"/>
    <w:tmpl w:val="20B63864"/>
    <w:lvl w:ilvl="0">
      <w:start w:val="1"/>
      <w:numFmt w:val="upperLetter"/>
      <w:lvlText w:val="%1"/>
      <w:lvlJc w:val="left"/>
      <w:pPr>
        <w:ind w:left="720" w:hanging="720"/>
      </w:pPr>
      <w:rPr>
        <w:rFonts w:hint="default"/>
        <w:b/>
        <w:bCs/>
        <w:i w:val="0"/>
      </w:rPr>
    </w:lvl>
    <w:lvl w:ilvl="1">
      <w:start w:val="1"/>
      <w:numFmt w:val="decimal"/>
      <w:lvlRestart w:val="0"/>
      <w:lvlText w:val="%2"/>
      <w:lvlJc w:val="left"/>
      <w:pPr>
        <w:ind w:left="720" w:hanging="720"/>
      </w:pPr>
      <w:rPr>
        <w:i w:val="0"/>
        <w:iCs w:val="0"/>
      </w:rPr>
    </w:lvl>
    <w:lvl w:ilvl="2">
      <w:start w:val="1"/>
      <w:numFmt w:val="decimal"/>
      <w:lvlText w:val="%2.%3"/>
      <w:lvlJc w:val="left"/>
      <w:pPr>
        <w:ind w:left="1418" w:hanging="709"/>
      </w:pPr>
      <w:rPr>
        <w:rFonts w:hint="default"/>
        <w:b w:val="0"/>
        <w:i w:val="0"/>
      </w:rPr>
    </w:lvl>
    <w:lvl w:ilvl="3">
      <w:start w:val="1"/>
      <w:numFmt w:val="lowerRoman"/>
      <w:lvlText w:val="%4."/>
      <w:lvlJc w:val="right"/>
      <w:pPr>
        <w:ind w:left="2268" w:hanging="567"/>
      </w:pPr>
      <w:rPr>
        <w:rFonts w:hint="default"/>
        <w:b w:val="0"/>
        <w:bCs w:val="0"/>
        <w:i w:val="0"/>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26" w15:restartNumberingAfterBreak="0">
    <w:nsid w:val="5FEA5E98"/>
    <w:multiLevelType w:val="hybridMultilevel"/>
    <w:tmpl w:val="4A1EAE70"/>
    <w:lvl w:ilvl="0" w:tplc="94B09AD4">
      <w:start w:val="1"/>
      <w:numFmt w:val="bullet"/>
      <w:lvlText w:val=""/>
      <w:lvlJc w:val="left"/>
      <w:pPr>
        <w:ind w:left="720" w:hanging="360"/>
      </w:pPr>
      <w:rPr>
        <w:rFonts w:ascii="Symbol" w:hAnsi="Symbol"/>
      </w:rPr>
    </w:lvl>
    <w:lvl w:ilvl="1" w:tplc="3EA6FA58">
      <w:start w:val="1"/>
      <w:numFmt w:val="bullet"/>
      <w:lvlText w:val=""/>
      <w:lvlJc w:val="left"/>
      <w:pPr>
        <w:ind w:left="720" w:hanging="360"/>
      </w:pPr>
      <w:rPr>
        <w:rFonts w:ascii="Symbol" w:hAnsi="Symbol"/>
      </w:rPr>
    </w:lvl>
    <w:lvl w:ilvl="2" w:tplc="98EC140E">
      <w:start w:val="1"/>
      <w:numFmt w:val="bullet"/>
      <w:lvlText w:val=""/>
      <w:lvlJc w:val="left"/>
      <w:pPr>
        <w:ind w:left="720" w:hanging="360"/>
      </w:pPr>
      <w:rPr>
        <w:rFonts w:ascii="Symbol" w:hAnsi="Symbol"/>
      </w:rPr>
    </w:lvl>
    <w:lvl w:ilvl="3" w:tplc="D270C2B4">
      <w:start w:val="1"/>
      <w:numFmt w:val="bullet"/>
      <w:lvlText w:val=""/>
      <w:lvlJc w:val="left"/>
      <w:pPr>
        <w:ind w:left="720" w:hanging="360"/>
      </w:pPr>
      <w:rPr>
        <w:rFonts w:ascii="Symbol" w:hAnsi="Symbol"/>
      </w:rPr>
    </w:lvl>
    <w:lvl w:ilvl="4" w:tplc="101423EA">
      <w:start w:val="1"/>
      <w:numFmt w:val="bullet"/>
      <w:lvlText w:val=""/>
      <w:lvlJc w:val="left"/>
      <w:pPr>
        <w:ind w:left="720" w:hanging="360"/>
      </w:pPr>
      <w:rPr>
        <w:rFonts w:ascii="Symbol" w:hAnsi="Symbol"/>
      </w:rPr>
    </w:lvl>
    <w:lvl w:ilvl="5" w:tplc="381E401C">
      <w:start w:val="1"/>
      <w:numFmt w:val="bullet"/>
      <w:lvlText w:val=""/>
      <w:lvlJc w:val="left"/>
      <w:pPr>
        <w:ind w:left="720" w:hanging="360"/>
      </w:pPr>
      <w:rPr>
        <w:rFonts w:ascii="Symbol" w:hAnsi="Symbol"/>
      </w:rPr>
    </w:lvl>
    <w:lvl w:ilvl="6" w:tplc="D438E478">
      <w:start w:val="1"/>
      <w:numFmt w:val="bullet"/>
      <w:lvlText w:val=""/>
      <w:lvlJc w:val="left"/>
      <w:pPr>
        <w:ind w:left="720" w:hanging="360"/>
      </w:pPr>
      <w:rPr>
        <w:rFonts w:ascii="Symbol" w:hAnsi="Symbol"/>
      </w:rPr>
    </w:lvl>
    <w:lvl w:ilvl="7" w:tplc="874279A2">
      <w:start w:val="1"/>
      <w:numFmt w:val="bullet"/>
      <w:lvlText w:val=""/>
      <w:lvlJc w:val="left"/>
      <w:pPr>
        <w:ind w:left="720" w:hanging="360"/>
      </w:pPr>
      <w:rPr>
        <w:rFonts w:ascii="Symbol" w:hAnsi="Symbol"/>
      </w:rPr>
    </w:lvl>
    <w:lvl w:ilvl="8" w:tplc="B94AF9B6">
      <w:start w:val="1"/>
      <w:numFmt w:val="bullet"/>
      <w:lvlText w:val=""/>
      <w:lvlJc w:val="left"/>
      <w:pPr>
        <w:ind w:left="720" w:hanging="360"/>
      </w:pPr>
      <w:rPr>
        <w:rFonts w:ascii="Symbol" w:hAnsi="Symbol"/>
      </w:rPr>
    </w:lvl>
  </w:abstractNum>
  <w:abstractNum w:abstractNumId="27" w15:restartNumberingAfterBreak="0">
    <w:nsid w:val="643A4C26"/>
    <w:multiLevelType w:val="hybridMultilevel"/>
    <w:tmpl w:val="364C4D56"/>
    <w:lvl w:ilvl="0" w:tplc="4704FA48">
      <w:start w:val="1"/>
      <w:numFmt w:val="bullet"/>
      <w:lvlText w:val=""/>
      <w:lvlJc w:val="left"/>
      <w:pPr>
        <w:ind w:left="720" w:hanging="360"/>
      </w:pPr>
      <w:rPr>
        <w:rFonts w:ascii="Symbol" w:hAnsi="Symbol"/>
      </w:rPr>
    </w:lvl>
    <w:lvl w:ilvl="1" w:tplc="35E87E8C">
      <w:start w:val="1"/>
      <w:numFmt w:val="bullet"/>
      <w:lvlText w:val=""/>
      <w:lvlJc w:val="left"/>
      <w:pPr>
        <w:ind w:left="720" w:hanging="360"/>
      </w:pPr>
      <w:rPr>
        <w:rFonts w:ascii="Symbol" w:hAnsi="Symbol"/>
      </w:rPr>
    </w:lvl>
    <w:lvl w:ilvl="2" w:tplc="594E766A">
      <w:start w:val="1"/>
      <w:numFmt w:val="bullet"/>
      <w:lvlText w:val=""/>
      <w:lvlJc w:val="left"/>
      <w:pPr>
        <w:ind w:left="720" w:hanging="360"/>
      </w:pPr>
      <w:rPr>
        <w:rFonts w:ascii="Symbol" w:hAnsi="Symbol"/>
      </w:rPr>
    </w:lvl>
    <w:lvl w:ilvl="3" w:tplc="3670F41C">
      <w:start w:val="1"/>
      <w:numFmt w:val="bullet"/>
      <w:lvlText w:val=""/>
      <w:lvlJc w:val="left"/>
      <w:pPr>
        <w:ind w:left="720" w:hanging="360"/>
      </w:pPr>
      <w:rPr>
        <w:rFonts w:ascii="Symbol" w:hAnsi="Symbol"/>
      </w:rPr>
    </w:lvl>
    <w:lvl w:ilvl="4" w:tplc="770A3E54">
      <w:start w:val="1"/>
      <w:numFmt w:val="bullet"/>
      <w:lvlText w:val=""/>
      <w:lvlJc w:val="left"/>
      <w:pPr>
        <w:ind w:left="720" w:hanging="360"/>
      </w:pPr>
      <w:rPr>
        <w:rFonts w:ascii="Symbol" w:hAnsi="Symbol"/>
      </w:rPr>
    </w:lvl>
    <w:lvl w:ilvl="5" w:tplc="68E4514E">
      <w:start w:val="1"/>
      <w:numFmt w:val="bullet"/>
      <w:lvlText w:val=""/>
      <w:lvlJc w:val="left"/>
      <w:pPr>
        <w:ind w:left="720" w:hanging="360"/>
      </w:pPr>
      <w:rPr>
        <w:rFonts w:ascii="Symbol" w:hAnsi="Symbol"/>
      </w:rPr>
    </w:lvl>
    <w:lvl w:ilvl="6" w:tplc="7B18A63E">
      <w:start w:val="1"/>
      <w:numFmt w:val="bullet"/>
      <w:lvlText w:val=""/>
      <w:lvlJc w:val="left"/>
      <w:pPr>
        <w:ind w:left="720" w:hanging="360"/>
      </w:pPr>
      <w:rPr>
        <w:rFonts w:ascii="Symbol" w:hAnsi="Symbol"/>
      </w:rPr>
    </w:lvl>
    <w:lvl w:ilvl="7" w:tplc="15B0477E">
      <w:start w:val="1"/>
      <w:numFmt w:val="bullet"/>
      <w:lvlText w:val=""/>
      <w:lvlJc w:val="left"/>
      <w:pPr>
        <w:ind w:left="720" w:hanging="360"/>
      </w:pPr>
      <w:rPr>
        <w:rFonts w:ascii="Symbol" w:hAnsi="Symbol"/>
      </w:rPr>
    </w:lvl>
    <w:lvl w:ilvl="8" w:tplc="19AC460E">
      <w:start w:val="1"/>
      <w:numFmt w:val="bullet"/>
      <w:lvlText w:val=""/>
      <w:lvlJc w:val="left"/>
      <w:pPr>
        <w:ind w:left="720" w:hanging="360"/>
      </w:pPr>
      <w:rPr>
        <w:rFonts w:ascii="Symbol" w:hAnsi="Symbol"/>
      </w:rPr>
    </w:lvl>
  </w:abstractNum>
  <w:abstractNum w:abstractNumId="28" w15:restartNumberingAfterBreak="0">
    <w:nsid w:val="66410F95"/>
    <w:multiLevelType w:val="hybridMultilevel"/>
    <w:tmpl w:val="D0D6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8C27A2"/>
    <w:multiLevelType w:val="hybridMultilevel"/>
    <w:tmpl w:val="56F4398C"/>
    <w:lvl w:ilvl="0" w:tplc="3740E78E">
      <w:start w:val="1"/>
      <w:numFmt w:val="bullet"/>
      <w:lvlText w:val=""/>
      <w:lvlJc w:val="left"/>
      <w:pPr>
        <w:ind w:left="720" w:hanging="360"/>
      </w:pPr>
      <w:rPr>
        <w:rFonts w:ascii="Symbol" w:hAnsi="Symbol"/>
      </w:rPr>
    </w:lvl>
    <w:lvl w:ilvl="1" w:tplc="E988ACD2">
      <w:start w:val="1"/>
      <w:numFmt w:val="bullet"/>
      <w:lvlText w:val=""/>
      <w:lvlJc w:val="left"/>
      <w:pPr>
        <w:ind w:left="720" w:hanging="360"/>
      </w:pPr>
      <w:rPr>
        <w:rFonts w:ascii="Symbol" w:hAnsi="Symbol"/>
      </w:rPr>
    </w:lvl>
    <w:lvl w:ilvl="2" w:tplc="9B4C420C">
      <w:start w:val="1"/>
      <w:numFmt w:val="bullet"/>
      <w:lvlText w:val=""/>
      <w:lvlJc w:val="left"/>
      <w:pPr>
        <w:ind w:left="720" w:hanging="360"/>
      </w:pPr>
      <w:rPr>
        <w:rFonts w:ascii="Symbol" w:hAnsi="Symbol"/>
      </w:rPr>
    </w:lvl>
    <w:lvl w:ilvl="3" w:tplc="4A9E2356">
      <w:start w:val="1"/>
      <w:numFmt w:val="bullet"/>
      <w:lvlText w:val=""/>
      <w:lvlJc w:val="left"/>
      <w:pPr>
        <w:ind w:left="720" w:hanging="360"/>
      </w:pPr>
      <w:rPr>
        <w:rFonts w:ascii="Symbol" w:hAnsi="Symbol"/>
      </w:rPr>
    </w:lvl>
    <w:lvl w:ilvl="4" w:tplc="14FC8B6E">
      <w:start w:val="1"/>
      <w:numFmt w:val="bullet"/>
      <w:lvlText w:val=""/>
      <w:lvlJc w:val="left"/>
      <w:pPr>
        <w:ind w:left="720" w:hanging="360"/>
      </w:pPr>
      <w:rPr>
        <w:rFonts w:ascii="Symbol" w:hAnsi="Symbol"/>
      </w:rPr>
    </w:lvl>
    <w:lvl w:ilvl="5" w:tplc="925A0C92">
      <w:start w:val="1"/>
      <w:numFmt w:val="bullet"/>
      <w:lvlText w:val=""/>
      <w:lvlJc w:val="left"/>
      <w:pPr>
        <w:ind w:left="720" w:hanging="360"/>
      </w:pPr>
      <w:rPr>
        <w:rFonts w:ascii="Symbol" w:hAnsi="Symbol"/>
      </w:rPr>
    </w:lvl>
    <w:lvl w:ilvl="6" w:tplc="AC90BDEC">
      <w:start w:val="1"/>
      <w:numFmt w:val="bullet"/>
      <w:lvlText w:val=""/>
      <w:lvlJc w:val="left"/>
      <w:pPr>
        <w:ind w:left="720" w:hanging="360"/>
      </w:pPr>
      <w:rPr>
        <w:rFonts w:ascii="Symbol" w:hAnsi="Symbol"/>
      </w:rPr>
    </w:lvl>
    <w:lvl w:ilvl="7" w:tplc="A5146700">
      <w:start w:val="1"/>
      <w:numFmt w:val="bullet"/>
      <w:lvlText w:val=""/>
      <w:lvlJc w:val="left"/>
      <w:pPr>
        <w:ind w:left="720" w:hanging="360"/>
      </w:pPr>
      <w:rPr>
        <w:rFonts w:ascii="Symbol" w:hAnsi="Symbol"/>
      </w:rPr>
    </w:lvl>
    <w:lvl w:ilvl="8" w:tplc="C3E0151A">
      <w:start w:val="1"/>
      <w:numFmt w:val="bullet"/>
      <w:lvlText w:val=""/>
      <w:lvlJc w:val="left"/>
      <w:pPr>
        <w:ind w:left="720" w:hanging="360"/>
      </w:pPr>
      <w:rPr>
        <w:rFonts w:ascii="Symbol" w:hAnsi="Symbol"/>
      </w:rPr>
    </w:lvl>
  </w:abstractNum>
  <w:abstractNum w:abstractNumId="30" w15:restartNumberingAfterBreak="0">
    <w:nsid w:val="6F39265F"/>
    <w:multiLevelType w:val="hybridMultilevel"/>
    <w:tmpl w:val="7F7AD07A"/>
    <w:lvl w:ilvl="0" w:tplc="6762A28A">
      <w:start w:val="1"/>
      <w:numFmt w:val="bullet"/>
      <w:lvlText w:val=""/>
      <w:lvlJc w:val="left"/>
      <w:pPr>
        <w:ind w:left="720" w:hanging="360"/>
      </w:pPr>
      <w:rPr>
        <w:rFonts w:ascii="Symbol" w:hAnsi="Symbol"/>
      </w:rPr>
    </w:lvl>
    <w:lvl w:ilvl="1" w:tplc="13A29EB2">
      <w:start w:val="1"/>
      <w:numFmt w:val="bullet"/>
      <w:lvlText w:val=""/>
      <w:lvlJc w:val="left"/>
      <w:pPr>
        <w:ind w:left="720" w:hanging="360"/>
      </w:pPr>
      <w:rPr>
        <w:rFonts w:ascii="Symbol" w:hAnsi="Symbol"/>
      </w:rPr>
    </w:lvl>
    <w:lvl w:ilvl="2" w:tplc="B6F8CAE6">
      <w:start w:val="1"/>
      <w:numFmt w:val="bullet"/>
      <w:lvlText w:val=""/>
      <w:lvlJc w:val="left"/>
      <w:pPr>
        <w:ind w:left="720" w:hanging="360"/>
      </w:pPr>
      <w:rPr>
        <w:rFonts w:ascii="Symbol" w:hAnsi="Symbol"/>
      </w:rPr>
    </w:lvl>
    <w:lvl w:ilvl="3" w:tplc="95B4A8BC">
      <w:start w:val="1"/>
      <w:numFmt w:val="bullet"/>
      <w:lvlText w:val=""/>
      <w:lvlJc w:val="left"/>
      <w:pPr>
        <w:ind w:left="720" w:hanging="360"/>
      </w:pPr>
      <w:rPr>
        <w:rFonts w:ascii="Symbol" w:hAnsi="Symbol"/>
      </w:rPr>
    </w:lvl>
    <w:lvl w:ilvl="4" w:tplc="DD7A1698">
      <w:start w:val="1"/>
      <w:numFmt w:val="bullet"/>
      <w:lvlText w:val=""/>
      <w:lvlJc w:val="left"/>
      <w:pPr>
        <w:ind w:left="720" w:hanging="360"/>
      </w:pPr>
      <w:rPr>
        <w:rFonts w:ascii="Symbol" w:hAnsi="Symbol"/>
      </w:rPr>
    </w:lvl>
    <w:lvl w:ilvl="5" w:tplc="086C96B6">
      <w:start w:val="1"/>
      <w:numFmt w:val="bullet"/>
      <w:lvlText w:val=""/>
      <w:lvlJc w:val="left"/>
      <w:pPr>
        <w:ind w:left="720" w:hanging="360"/>
      </w:pPr>
      <w:rPr>
        <w:rFonts w:ascii="Symbol" w:hAnsi="Symbol"/>
      </w:rPr>
    </w:lvl>
    <w:lvl w:ilvl="6" w:tplc="6AD62290">
      <w:start w:val="1"/>
      <w:numFmt w:val="bullet"/>
      <w:lvlText w:val=""/>
      <w:lvlJc w:val="left"/>
      <w:pPr>
        <w:ind w:left="720" w:hanging="360"/>
      </w:pPr>
      <w:rPr>
        <w:rFonts w:ascii="Symbol" w:hAnsi="Symbol"/>
      </w:rPr>
    </w:lvl>
    <w:lvl w:ilvl="7" w:tplc="2F82DE0E">
      <w:start w:val="1"/>
      <w:numFmt w:val="bullet"/>
      <w:lvlText w:val=""/>
      <w:lvlJc w:val="left"/>
      <w:pPr>
        <w:ind w:left="720" w:hanging="360"/>
      </w:pPr>
      <w:rPr>
        <w:rFonts w:ascii="Symbol" w:hAnsi="Symbol"/>
      </w:rPr>
    </w:lvl>
    <w:lvl w:ilvl="8" w:tplc="71846A0E">
      <w:start w:val="1"/>
      <w:numFmt w:val="bullet"/>
      <w:lvlText w:val=""/>
      <w:lvlJc w:val="left"/>
      <w:pPr>
        <w:ind w:left="720" w:hanging="360"/>
      </w:pPr>
      <w:rPr>
        <w:rFonts w:ascii="Symbol" w:hAnsi="Symbol"/>
      </w:rPr>
    </w:lvl>
  </w:abstractNum>
  <w:abstractNum w:abstractNumId="31" w15:restartNumberingAfterBreak="0">
    <w:nsid w:val="716E6B89"/>
    <w:multiLevelType w:val="hybridMultilevel"/>
    <w:tmpl w:val="6CFC8D64"/>
    <w:lvl w:ilvl="0" w:tplc="D09201FC">
      <w:start w:val="1"/>
      <w:numFmt w:val="bullet"/>
      <w:lvlText w:val=""/>
      <w:lvlJc w:val="left"/>
      <w:pPr>
        <w:ind w:left="720" w:hanging="360"/>
      </w:pPr>
      <w:rPr>
        <w:rFonts w:ascii="Symbol" w:hAnsi="Symbol"/>
      </w:rPr>
    </w:lvl>
    <w:lvl w:ilvl="1" w:tplc="A0348760">
      <w:start w:val="1"/>
      <w:numFmt w:val="bullet"/>
      <w:lvlText w:val=""/>
      <w:lvlJc w:val="left"/>
      <w:pPr>
        <w:ind w:left="720" w:hanging="360"/>
      </w:pPr>
      <w:rPr>
        <w:rFonts w:ascii="Symbol" w:hAnsi="Symbol"/>
      </w:rPr>
    </w:lvl>
    <w:lvl w:ilvl="2" w:tplc="EBFCE808">
      <w:start w:val="1"/>
      <w:numFmt w:val="bullet"/>
      <w:lvlText w:val=""/>
      <w:lvlJc w:val="left"/>
      <w:pPr>
        <w:ind w:left="720" w:hanging="360"/>
      </w:pPr>
      <w:rPr>
        <w:rFonts w:ascii="Symbol" w:hAnsi="Symbol"/>
      </w:rPr>
    </w:lvl>
    <w:lvl w:ilvl="3" w:tplc="1B887204">
      <w:start w:val="1"/>
      <w:numFmt w:val="bullet"/>
      <w:lvlText w:val=""/>
      <w:lvlJc w:val="left"/>
      <w:pPr>
        <w:ind w:left="720" w:hanging="360"/>
      </w:pPr>
      <w:rPr>
        <w:rFonts w:ascii="Symbol" w:hAnsi="Symbol"/>
      </w:rPr>
    </w:lvl>
    <w:lvl w:ilvl="4" w:tplc="A5926B3E">
      <w:start w:val="1"/>
      <w:numFmt w:val="bullet"/>
      <w:lvlText w:val=""/>
      <w:lvlJc w:val="left"/>
      <w:pPr>
        <w:ind w:left="720" w:hanging="360"/>
      </w:pPr>
      <w:rPr>
        <w:rFonts w:ascii="Symbol" w:hAnsi="Symbol"/>
      </w:rPr>
    </w:lvl>
    <w:lvl w:ilvl="5" w:tplc="A4747DDC">
      <w:start w:val="1"/>
      <w:numFmt w:val="bullet"/>
      <w:lvlText w:val=""/>
      <w:lvlJc w:val="left"/>
      <w:pPr>
        <w:ind w:left="720" w:hanging="360"/>
      </w:pPr>
      <w:rPr>
        <w:rFonts w:ascii="Symbol" w:hAnsi="Symbol"/>
      </w:rPr>
    </w:lvl>
    <w:lvl w:ilvl="6" w:tplc="C7964BF0">
      <w:start w:val="1"/>
      <w:numFmt w:val="bullet"/>
      <w:lvlText w:val=""/>
      <w:lvlJc w:val="left"/>
      <w:pPr>
        <w:ind w:left="720" w:hanging="360"/>
      </w:pPr>
      <w:rPr>
        <w:rFonts w:ascii="Symbol" w:hAnsi="Symbol"/>
      </w:rPr>
    </w:lvl>
    <w:lvl w:ilvl="7" w:tplc="9DA8C1C6">
      <w:start w:val="1"/>
      <w:numFmt w:val="bullet"/>
      <w:lvlText w:val=""/>
      <w:lvlJc w:val="left"/>
      <w:pPr>
        <w:ind w:left="720" w:hanging="360"/>
      </w:pPr>
      <w:rPr>
        <w:rFonts w:ascii="Symbol" w:hAnsi="Symbol"/>
      </w:rPr>
    </w:lvl>
    <w:lvl w:ilvl="8" w:tplc="71DC94B4">
      <w:start w:val="1"/>
      <w:numFmt w:val="bullet"/>
      <w:lvlText w:val=""/>
      <w:lvlJc w:val="left"/>
      <w:pPr>
        <w:ind w:left="720" w:hanging="360"/>
      </w:pPr>
      <w:rPr>
        <w:rFonts w:ascii="Symbol" w:hAnsi="Symbol"/>
      </w:rPr>
    </w:lvl>
  </w:abstractNum>
  <w:abstractNum w:abstractNumId="32" w15:restartNumberingAfterBreak="0">
    <w:nsid w:val="7956204D"/>
    <w:multiLevelType w:val="hybridMultilevel"/>
    <w:tmpl w:val="E61EC92E"/>
    <w:lvl w:ilvl="0" w:tplc="A5426C44">
      <w:start w:val="1"/>
      <w:numFmt w:val="bullet"/>
      <w:lvlText w:val=""/>
      <w:lvlJc w:val="left"/>
      <w:pPr>
        <w:ind w:left="720" w:hanging="360"/>
      </w:pPr>
      <w:rPr>
        <w:rFonts w:ascii="Symbol" w:hAnsi="Symbol"/>
      </w:rPr>
    </w:lvl>
    <w:lvl w:ilvl="1" w:tplc="FEE65630">
      <w:start w:val="1"/>
      <w:numFmt w:val="bullet"/>
      <w:lvlText w:val=""/>
      <w:lvlJc w:val="left"/>
      <w:pPr>
        <w:ind w:left="720" w:hanging="360"/>
      </w:pPr>
      <w:rPr>
        <w:rFonts w:ascii="Symbol" w:hAnsi="Symbol"/>
      </w:rPr>
    </w:lvl>
    <w:lvl w:ilvl="2" w:tplc="D49AA846">
      <w:start w:val="1"/>
      <w:numFmt w:val="bullet"/>
      <w:lvlText w:val=""/>
      <w:lvlJc w:val="left"/>
      <w:pPr>
        <w:ind w:left="720" w:hanging="360"/>
      </w:pPr>
      <w:rPr>
        <w:rFonts w:ascii="Symbol" w:hAnsi="Symbol"/>
      </w:rPr>
    </w:lvl>
    <w:lvl w:ilvl="3" w:tplc="169E14D0">
      <w:start w:val="1"/>
      <w:numFmt w:val="bullet"/>
      <w:lvlText w:val=""/>
      <w:lvlJc w:val="left"/>
      <w:pPr>
        <w:ind w:left="720" w:hanging="360"/>
      </w:pPr>
      <w:rPr>
        <w:rFonts w:ascii="Symbol" w:hAnsi="Symbol"/>
      </w:rPr>
    </w:lvl>
    <w:lvl w:ilvl="4" w:tplc="E544F560">
      <w:start w:val="1"/>
      <w:numFmt w:val="bullet"/>
      <w:lvlText w:val=""/>
      <w:lvlJc w:val="left"/>
      <w:pPr>
        <w:ind w:left="720" w:hanging="360"/>
      </w:pPr>
      <w:rPr>
        <w:rFonts w:ascii="Symbol" w:hAnsi="Symbol"/>
      </w:rPr>
    </w:lvl>
    <w:lvl w:ilvl="5" w:tplc="1ADCCD88">
      <w:start w:val="1"/>
      <w:numFmt w:val="bullet"/>
      <w:lvlText w:val=""/>
      <w:lvlJc w:val="left"/>
      <w:pPr>
        <w:ind w:left="720" w:hanging="360"/>
      </w:pPr>
      <w:rPr>
        <w:rFonts w:ascii="Symbol" w:hAnsi="Symbol"/>
      </w:rPr>
    </w:lvl>
    <w:lvl w:ilvl="6" w:tplc="514E8BA0">
      <w:start w:val="1"/>
      <w:numFmt w:val="bullet"/>
      <w:lvlText w:val=""/>
      <w:lvlJc w:val="left"/>
      <w:pPr>
        <w:ind w:left="720" w:hanging="360"/>
      </w:pPr>
      <w:rPr>
        <w:rFonts w:ascii="Symbol" w:hAnsi="Symbol"/>
      </w:rPr>
    </w:lvl>
    <w:lvl w:ilvl="7" w:tplc="0136DD5C">
      <w:start w:val="1"/>
      <w:numFmt w:val="bullet"/>
      <w:lvlText w:val=""/>
      <w:lvlJc w:val="left"/>
      <w:pPr>
        <w:ind w:left="720" w:hanging="360"/>
      </w:pPr>
      <w:rPr>
        <w:rFonts w:ascii="Symbol" w:hAnsi="Symbol"/>
      </w:rPr>
    </w:lvl>
    <w:lvl w:ilvl="8" w:tplc="CF0E0370">
      <w:start w:val="1"/>
      <w:numFmt w:val="bullet"/>
      <w:lvlText w:val=""/>
      <w:lvlJc w:val="left"/>
      <w:pPr>
        <w:ind w:left="720" w:hanging="360"/>
      </w:pPr>
      <w:rPr>
        <w:rFonts w:ascii="Symbol" w:hAnsi="Symbol"/>
      </w:rPr>
    </w:lvl>
  </w:abstractNum>
  <w:abstractNum w:abstractNumId="33" w15:restartNumberingAfterBreak="0">
    <w:nsid w:val="7B111419"/>
    <w:multiLevelType w:val="hybridMultilevel"/>
    <w:tmpl w:val="7A0EE8C8"/>
    <w:lvl w:ilvl="0" w:tplc="DEBA1234">
      <w:start w:val="1"/>
      <w:numFmt w:val="bullet"/>
      <w:lvlText w:val=""/>
      <w:lvlJc w:val="left"/>
      <w:pPr>
        <w:ind w:left="720" w:hanging="360"/>
      </w:pPr>
      <w:rPr>
        <w:rFonts w:ascii="Symbol" w:hAnsi="Symbol"/>
      </w:rPr>
    </w:lvl>
    <w:lvl w:ilvl="1" w:tplc="944466AC">
      <w:start w:val="1"/>
      <w:numFmt w:val="bullet"/>
      <w:lvlText w:val=""/>
      <w:lvlJc w:val="left"/>
      <w:pPr>
        <w:ind w:left="720" w:hanging="360"/>
      </w:pPr>
      <w:rPr>
        <w:rFonts w:ascii="Symbol" w:hAnsi="Symbol"/>
      </w:rPr>
    </w:lvl>
    <w:lvl w:ilvl="2" w:tplc="31AE6758">
      <w:start w:val="1"/>
      <w:numFmt w:val="bullet"/>
      <w:lvlText w:val=""/>
      <w:lvlJc w:val="left"/>
      <w:pPr>
        <w:ind w:left="720" w:hanging="360"/>
      </w:pPr>
      <w:rPr>
        <w:rFonts w:ascii="Symbol" w:hAnsi="Symbol"/>
      </w:rPr>
    </w:lvl>
    <w:lvl w:ilvl="3" w:tplc="03A8B988">
      <w:start w:val="1"/>
      <w:numFmt w:val="bullet"/>
      <w:lvlText w:val=""/>
      <w:lvlJc w:val="left"/>
      <w:pPr>
        <w:ind w:left="720" w:hanging="360"/>
      </w:pPr>
      <w:rPr>
        <w:rFonts w:ascii="Symbol" w:hAnsi="Symbol"/>
      </w:rPr>
    </w:lvl>
    <w:lvl w:ilvl="4" w:tplc="0F047F22">
      <w:start w:val="1"/>
      <w:numFmt w:val="bullet"/>
      <w:lvlText w:val=""/>
      <w:lvlJc w:val="left"/>
      <w:pPr>
        <w:ind w:left="720" w:hanging="360"/>
      </w:pPr>
      <w:rPr>
        <w:rFonts w:ascii="Symbol" w:hAnsi="Symbol"/>
      </w:rPr>
    </w:lvl>
    <w:lvl w:ilvl="5" w:tplc="CCE06502">
      <w:start w:val="1"/>
      <w:numFmt w:val="bullet"/>
      <w:lvlText w:val=""/>
      <w:lvlJc w:val="left"/>
      <w:pPr>
        <w:ind w:left="720" w:hanging="360"/>
      </w:pPr>
      <w:rPr>
        <w:rFonts w:ascii="Symbol" w:hAnsi="Symbol"/>
      </w:rPr>
    </w:lvl>
    <w:lvl w:ilvl="6" w:tplc="91F01352">
      <w:start w:val="1"/>
      <w:numFmt w:val="bullet"/>
      <w:lvlText w:val=""/>
      <w:lvlJc w:val="left"/>
      <w:pPr>
        <w:ind w:left="720" w:hanging="360"/>
      </w:pPr>
      <w:rPr>
        <w:rFonts w:ascii="Symbol" w:hAnsi="Symbol"/>
      </w:rPr>
    </w:lvl>
    <w:lvl w:ilvl="7" w:tplc="A94433AA">
      <w:start w:val="1"/>
      <w:numFmt w:val="bullet"/>
      <w:lvlText w:val=""/>
      <w:lvlJc w:val="left"/>
      <w:pPr>
        <w:ind w:left="720" w:hanging="360"/>
      </w:pPr>
      <w:rPr>
        <w:rFonts w:ascii="Symbol" w:hAnsi="Symbol"/>
      </w:rPr>
    </w:lvl>
    <w:lvl w:ilvl="8" w:tplc="77B49290">
      <w:start w:val="1"/>
      <w:numFmt w:val="bullet"/>
      <w:lvlText w:val=""/>
      <w:lvlJc w:val="left"/>
      <w:pPr>
        <w:ind w:left="720" w:hanging="360"/>
      </w:pPr>
      <w:rPr>
        <w:rFonts w:ascii="Symbol" w:hAnsi="Symbol"/>
      </w:rPr>
    </w:lvl>
  </w:abstractNum>
  <w:abstractNum w:abstractNumId="3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21"/>
  </w:num>
  <w:num w:numId="3" w16cid:durableId="1375159326">
    <w:abstractNumId w:val="34"/>
  </w:num>
  <w:num w:numId="4" w16cid:durableId="1020468450">
    <w:abstractNumId w:val="19"/>
  </w:num>
  <w:num w:numId="5" w16cid:durableId="298609604">
    <w:abstractNumId w:val="24"/>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2"/>
  </w:num>
  <w:num w:numId="18" w16cid:durableId="586305847">
    <w:abstractNumId w:val="12"/>
  </w:num>
  <w:num w:numId="19" w16cid:durableId="650985869">
    <w:abstractNumId w:val="12"/>
  </w:num>
  <w:num w:numId="20" w16cid:durableId="1183665450">
    <w:abstractNumId w:val="25"/>
  </w:num>
  <w:num w:numId="21" w16cid:durableId="1041785257">
    <w:abstractNumId w:val="28"/>
  </w:num>
  <w:num w:numId="22" w16cid:durableId="641736940">
    <w:abstractNumId w:val="20"/>
  </w:num>
  <w:num w:numId="23" w16cid:durableId="1235815638">
    <w:abstractNumId w:val="23"/>
  </w:num>
  <w:num w:numId="24" w16cid:durableId="522324823">
    <w:abstractNumId w:val="15"/>
  </w:num>
  <w:num w:numId="25" w16cid:durableId="829251906">
    <w:abstractNumId w:val="26"/>
  </w:num>
  <w:num w:numId="26" w16cid:durableId="403072106">
    <w:abstractNumId w:val="30"/>
  </w:num>
  <w:num w:numId="27" w16cid:durableId="487215501">
    <w:abstractNumId w:val="33"/>
  </w:num>
  <w:num w:numId="28" w16cid:durableId="565184003">
    <w:abstractNumId w:val="31"/>
  </w:num>
  <w:num w:numId="29" w16cid:durableId="1928541227">
    <w:abstractNumId w:val="29"/>
  </w:num>
  <w:num w:numId="30" w16cid:durableId="1485123251">
    <w:abstractNumId w:val="14"/>
  </w:num>
  <w:num w:numId="31" w16cid:durableId="196551974">
    <w:abstractNumId w:val="27"/>
  </w:num>
  <w:num w:numId="32" w16cid:durableId="1376857582">
    <w:abstractNumId w:val="17"/>
  </w:num>
  <w:num w:numId="33" w16cid:durableId="1656296583">
    <w:abstractNumId w:val="13"/>
  </w:num>
  <w:num w:numId="34" w16cid:durableId="656422686">
    <w:abstractNumId w:val="32"/>
  </w:num>
  <w:num w:numId="35" w16cid:durableId="615063346">
    <w:abstractNumId w:val="10"/>
  </w:num>
  <w:num w:numId="36" w16cid:durableId="2004309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1E"/>
    <w:rsid w:val="000000D7"/>
    <w:rsid w:val="000001E6"/>
    <w:rsid w:val="00000232"/>
    <w:rsid w:val="0000026A"/>
    <w:rsid w:val="000003AE"/>
    <w:rsid w:val="0000041F"/>
    <w:rsid w:val="0000049B"/>
    <w:rsid w:val="00000909"/>
    <w:rsid w:val="00000A10"/>
    <w:rsid w:val="00000B48"/>
    <w:rsid w:val="00000D61"/>
    <w:rsid w:val="00000F97"/>
    <w:rsid w:val="000011C0"/>
    <w:rsid w:val="0000129A"/>
    <w:rsid w:val="00001390"/>
    <w:rsid w:val="000014FF"/>
    <w:rsid w:val="00001584"/>
    <w:rsid w:val="0000187A"/>
    <w:rsid w:val="000018E4"/>
    <w:rsid w:val="00001B0B"/>
    <w:rsid w:val="00001D96"/>
    <w:rsid w:val="00001EE2"/>
    <w:rsid w:val="00002069"/>
    <w:rsid w:val="00002186"/>
    <w:rsid w:val="0000228A"/>
    <w:rsid w:val="00002331"/>
    <w:rsid w:val="0000234F"/>
    <w:rsid w:val="0000260E"/>
    <w:rsid w:val="00002741"/>
    <w:rsid w:val="00002955"/>
    <w:rsid w:val="00002B22"/>
    <w:rsid w:val="00002CE6"/>
    <w:rsid w:val="00002ED3"/>
    <w:rsid w:val="00003106"/>
    <w:rsid w:val="0000316A"/>
    <w:rsid w:val="0000317A"/>
    <w:rsid w:val="00003643"/>
    <w:rsid w:val="000037F4"/>
    <w:rsid w:val="00003E73"/>
    <w:rsid w:val="00003F18"/>
    <w:rsid w:val="00004082"/>
    <w:rsid w:val="000040FE"/>
    <w:rsid w:val="00004341"/>
    <w:rsid w:val="000047A2"/>
    <w:rsid w:val="00004840"/>
    <w:rsid w:val="000048FB"/>
    <w:rsid w:val="000049B7"/>
    <w:rsid w:val="00004A3E"/>
    <w:rsid w:val="00004B48"/>
    <w:rsid w:val="00004B96"/>
    <w:rsid w:val="00004CE1"/>
    <w:rsid w:val="00004DEC"/>
    <w:rsid w:val="0000500D"/>
    <w:rsid w:val="00005070"/>
    <w:rsid w:val="000052B1"/>
    <w:rsid w:val="00005568"/>
    <w:rsid w:val="00005784"/>
    <w:rsid w:val="00005A3E"/>
    <w:rsid w:val="00005D06"/>
    <w:rsid w:val="000062AC"/>
    <w:rsid w:val="00006532"/>
    <w:rsid w:val="00006572"/>
    <w:rsid w:val="000066A3"/>
    <w:rsid w:val="000066D4"/>
    <w:rsid w:val="00006837"/>
    <w:rsid w:val="00006B43"/>
    <w:rsid w:val="00006C39"/>
    <w:rsid w:val="000070F4"/>
    <w:rsid w:val="00007149"/>
    <w:rsid w:val="0000729A"/>
    <w:rsid w:val="000072AD"/>
    <w:rsid w:val="0000735E"/>
    <w:rsid w:val="00007409"/>
    <w:rsid w:val="0000763A"/>
    <w:rsid w:val="0000773E"/>
    <w:rsid w:val="0000781F"/>
    <w:rsid w:val="0000791E"/>
    <w:rsid w:val="00007B68"/>
    <w:rsid w:val="00007BA8"/>
    <w:rsid w:val="00007BEE"/>
    <w:rsid w:val="00007C6E"/>
    <w:rsid w:val="00007F8D"/>
    <w:rsid w:val="00010117"/>
    <w:rsid w:val="000102CE"/>
    <w:rsid w:val="0001041E"/>
    <w:rsid w:val="000104CA"/>
    <w:rsid w:val="0001088D"/>
    <w:rsid w:val="000108D1"/>
    <w:rsid w:val="00010CC1"/>
    <w:rsid w:val="00010E49"/>
    <w:rsid w:val="00011050"/>
    <w:rsid w:val="000111B5"/>
    <w:rsid w:val="00011235"/>
    <w:rsid w:val="000114ED"/>
    <w:rsid w:val="0001153C"/>
    <w:rsid w:val="00011641"/>
    <w:rsid w:val="000116E6"/>
    <w:rsid w:val="000117C1"/>
    <w:rsid w:val="000117F8"/>
    <w:rsid w:val="00011BD5"/>
    <w:rsid w:val="00011C80"/>
    <w:rsid w:val="00011E26"/>
    <w:rsid w:val="00011FD9"/>
    <w:rsid w:val="000120D7"/>
    <w:rsid w:val="000124C8"/>
    <w:rsid w:val="000125AC"/>
    <w:rsid w:val="0001279A"/>
    <w:rsid w:val="00012A36"/>
    <w:rsid w:val="00012A69"/>
    <w:rsid w:val="00012C25"/>
    <w:rsid w:val="00012D0A"/>
    <w:rsid w:val="00012D41"/>
    <w:rsid w:val="00012F33"/>
    <w:rsid w:val="0001307E"/>
    <w:rsid w:val="00013619"/>
    <w:rsid w:val="0001363A"/>
    <w:rsid w:val="00013868"/>
    <w:rsid w:val="00013B8E"/>
    <w:rsid w:val="00013D9E"/>
    <w:rsid w:val="00013F12"/>
    <w:rsid w:val="00013F4A"/>
    <w:rsid w:val="00013FA4"/>
    <w:rsid w:val="00014119"/>
    <w:rsid w:val="00014175"/>
    <w:rsid w:val="000141CA"/>
    <w:rsid w:val="00014382"/>
    <w:rsid w:val="00014476"/>
    <w:rsid w:val="00014502"/>
    <w:rsid w:val="000145A6"/>
    <w:rsid w:val="00014650"/>
    <w:rsid w:val="0001474C"/>
    <w:rsid w:val="000147CF"/>
    <w:rsid w:val="00014B34"/>
    <w:rsid w:val="00014B85"/>
    <w:rsid w:val="00014CC9"/>
    <w:rsid w:val="00014E39"/>
    <w:rsid w:val="00014E4D"/>
    <w:rsid w:val="00014EFF"/>
    <w:rsid w:val="00014F14"/>
    <w:rsid w:val="00015037"/>
    <w:rsid w:val="0001507D"/>
    <w:rsid w:val="000150FB"/>
    <w:rsid w:val="00015252"/>
    <w:rsid w:val="000152E7"/>
    <w:rsid w:val="00015413"/>
    <w:rsid w:val="000155DE"/>
    <w:rsid w:val="00015857"/>
    <w:rsid w:val="000159EF"/>
    <w:rsid w:val="00015A48"/>
    <w:rsid w:val="00015CB5"/>
    <w:rsid w:val="00015F1E"/>
    <w:rsid w:val="00015FC6"/>
    <w:rsid w:val="00015FE2"/>
    <w:rsid w:val="00016033"/>
    <w:rsid w:val="000162A7"/>
    <w:rsid w:val="000163BF"/>
    <w:rsid w:val="00016474"/>
    <w:rsid w:val="0001648F"/>
    <w:rsid w:val="000165F7"/>
    <w:rsid w:val="000168C9"/>
    <w:rsid w:val="00016A8F"/>
    <w:rsid w:val="00016C20"/>
    <w:rsid w:val="00016C3C"/>
    <w:rsid w:val="00016CDA"/>
    <w:rsid w:val="00016DBB"/>
    <w:rsid w:val="00016E2E"/>
    <w:rsid w:val="00017009"/>
    <w:rsid w:val="00017144"/>
    <w:rsid w:val="000179F6"/>
    <w:rsid w:val="00017BE1"/>
    <w:rsid w:val="00017D07"/>
    <w:rsid w:val="0002030F"/>
    <w:rsid w:val="00020434"/>
    <w:rsid w:val="0002058A"/>
    <w:rsid w:val="000205BA"/>
    <w:rsid w:val="000206F0"/>
    <w:rsid w:val="00020CFC"/>
    <w:rsid w:val="00020D1E"/>
    <w:rsid w:val="00020F13"/>
    <w:rsid w:val="00021252"/>
    <w:rsid w:val="000213F3"/>
    <w:rsid w:val="00021581"/>
    <w:rsid w:val="000215BC"/>
    <w:rsid w:val="000216B6"/>
    <w:rsid w:val="00021797"/>
    <w:rsid w:val="000217E9"/>
    <w:rsid w:val="000219A0"/>
    <w:rsid w:val="00021B77"/>
    <w:rsid w:val="00021B9A"/>
    <w:rsid w:val="00021C4D"/>
    <w:rsid w:val="00021CB8"/>
    <w:rsid w:val="00021E80"/>
    <w:rsid w:val="00022188"/>
    <w:rsid w:val="000224BB"/>
    <w:rsid w:val="000226DA"/>
    <w:rsid w:val="00022790"/>
    <w:rsid w:val="00022A53"/>
    <w:rsid w:val="00022B72"/>
    <w:rsid w:val="00022BB9"/>
    <w:rsid w:val="00022D91"/>
    <w:rsid w:val="00022ECC"/>
    <w:rsid w:val="00023169"/>
    <w:rsid w:val="00023450"/>
    <w:rsid w:val="000237A1"/>
    <w:rsid w:val="0002382A"/>
    <w:rsid w:val="00023848"/>
    <w:rsid w:val="00023B9E"/>
    <w:rsid w:val="00023CBE"/>
    <w:rsid w:val="00023CC3"/>
    <w:rsid w:val="00023F39"/>
    <w:rsid w:val="00024062"/>
    <w:rsid w:val="000244A8"/>
    <w:rsid w:val="000244F1"/>
    <w:rsid w:val="00024534"/>
    <w:rsid w:val="000248E9"/>
    <w:rsid w:val="0002491D"/>
    <w:rsid w:val="00024CC3"/>
    <w:rsid w:val="00024D38"/>
    <w:rsid w:val="00024E48"/>
    <w:rsid w:val="00024F2D"/>
    <w:rsid w:val="000250AF"/>
    <w:rsid w:val="00025490"/>
    <w:rsid w:val="000255A8"/>
    <w:rsid w:val="0002561E"/>
    <w:rsid w:val="000256ED"/>
    <w:rsid w:val="0002575A"/>
    <w:rsid w:val="00025960"/>
    <w:rsid w:val="0002597B"/>
    <w:rsid w:val="00025B83"/>
    <w:rsid w:val="00025D2A"/>
    <w:rsid w:val="00026206"/>
    <w:rsid w:val="00026260"/>
    <w:rsid w:val="00026474"/>
    <w:rsid w:val="00026659"/>
    <w:rsid w:val="000266DE"/>
    <w:rsid w:val="00026834"/>
    <w:rsid w:val="000268E1"/>
    <w:rsid w:val="00026A24"/>
    <w:rsid w:val="00026AFC"/>
    <w:rsid w:val="00026AFF"/>
    <w:rsid w:val="00026B06"/>
    <w:rsid w:val="00026C8D"/>
    <w:rsid w:val="00026E41"/>
    <w:rsid w:val="00026E46"/>
    <w:rsid w:val="00026E5F"/>
    <w:rsid w:val="00026EA6"/>
    <w:rsid w:val="00026F8C"/>
    <w:rsid w:val="0002715B"/>
    <w:rsid w:val="000273F2"/>
    <w:rsid w:val="0002741A"/>
    <w:rsid w:val="0002754B"/>
    <w:rsid w:val="00027823"/>
    <w:rsid w:val="0002785A"/>
    <w:rsid w:val="000278F1"/>
    <w:rsid w:val="00027AF8"/>
    <w:rsid w:val="00027CD6"/>
    <w:rsid w:val="0003004B"/>
    <w:rsid w:val="000301CC"/>
    <w:rsid w:val="00030295"/>
    <w:rsid w:val="00030357"/>
    <w:rsid w:val="0003042C"/>
    <w:rsid w:val="000304A5"/>
    <w:rsid w:val="0003077E"/>
    <w:rsid w:val="00030820"/>
    <w:rsid w:val="00030A4F"/>
    <w:rsid w:val="00030B80"/>
    <w:rsid w:val="00030C2C"/>
    <w:rsid w:val="00030E30"/>
    <w:rsid w:val="00031021"/>
    <w:rsid w:val="000311B1"/>
    <w:rsid w:val="00031325"/>
    <w:rsid w:val="000313A5"/>
    <w:rsid w:val="00031421"/>
    <w:rsid w:val="000314E5"/>
    <w:rsid w:val="00031627"/>
    <w:rsid w:val="000316D3"/>
    <w:rsid w:val="00031B61"/>
    <w:rsid w:val="00031D2F"/>
    <w:rsid w:val="00031DB7"/>
    <w:rsid w:val="00032386"/>
    <w:rsid w:val="000323EA"/>
    <w:rsid w:val="0003242A"/>
    <w:rsid w:val="00032725"/>
    <w:rsid w:val="000329BC"/>
    <w:rsid w:val="00032A00"/>
    <w:rsid w:val="00032AB6"/>
    <w:rsid w:val="00032B71"/>
    <w:rsid w:val="00032C65"/>
    <w:rsid w:val="00032CD6"/>
    <w:rsid w:val="00032D2B"/>
    <w:rsid w:val="00032DF6"/>
    <w:rsid w:val="0003300F"/>
    <w:rsid w:val="000330C2"/>
    <w:rsid w:val="000331B3"/>
    <w:rsid w:val="000334CA"/>
    <w:rsid w:val="00033862"/>
    <w:rsid w:val="000339E6"/>
    <w:rsid w:val="00033EEB"/>
    <w:rsid w:val="00033F53"/>
    <w:rsid w:val="00034077"/>
    <w:rsid w:val="0003453E"/>
    <w:rsid w:val="00034565"/>
    <w:rsid w:val="00034655"/>
    <w:rsid w:val="0003473C"/>
    <w:rsid w:val="0003478A"/>
    <w:rsid w:val="00034865"/>
    <w:rsid w:val="00034869"/>
    <w:rsid w:val="00034904"/>
    <w:rsid w:val="000349FD"/>
    <w:rsid w:val="00034AA3"/>
    <w:rsid w:val="00034B47"/>
    <w:rsid w:val="00034B95"/>
    <w:rsid w:val="00035118"/>
    <w:rsid w:val="00035169"/>
    <w:rsid w:val="000352B5"/>
    <w:rsid w:val="00035696"/>
    <w:rsid w:val="0003575A"/>
    <w:rsid w:val="000357DF"/>
    <w:rsid w:val="00035838"/>
    <w:rsid w:val="00035900"/>
    <w:rsid w:val="00035923"/>
    <w:rsid w:val="00035BBA"/>
    <w:rsid w:val="00035D03"/>
    <w:rsid w:val="00036069"/>
    <w:rsid w:val="00036091"/>
    <w:rsid w:val="000360EB"/>
    <w:rsid w:val="00036142"/>
    <w:rsid w:val="00036189"/>
    <w:rsid w:val="000362EE"/>
    <w:rsid w:val="000365F4"/>
    <w:rsid w:val="00036658"/>
    <w:rsid w:val="00036B08"/>
    <w:rsid w:val="00036B9E"/>
    <w:rsid w:val="00036C61"/>
    <w:rsid w:val="00036EB8"/>
    <w:rsid w:val="00036EBE"/>
    <w:rsid w:val="000370E9"/>
    <w:rsid w:val="000375B8"/>
    <w:rsid w:val="0003791B"/>
    <w:rsid w:val="00037A5F"/>
    <w:rsid w:val="00037ABE"/>
    <w:rsid w:val="00037B00"/>
    <w:rsid w:val="00037B30"/>
    <w:rsid w:val="00037BB5"/>
    <w:rsid w:val="00037BF1"/>
    <w:rsid w:val="00037C4D"/>
    <w:rsid w:val="00037CD2"/>
    <w:rsid w:val="00037D72"/>
    <w:rsid w:val="00037D7E"/>
    <w:rsid w:val="00037D87"/>
    <w:rsid w:val="00037EA2"/>
    <w:rsid w:val="00037F2D"/>
    <w:rsid w:val="00040954"/>
    <w:rsid w:val="00040ED7"/>
    <w:rsid w:val="00041238"/>
    <w:rsid w:val="00041535"/>
    <w:rsid w:val="000418C9"/>
    <w:rsid w:val="00041930"/>
    <w:rsid w:val="00041A89"/>
    <w:rsid w:val="00041D90"/>
    <w:rsid w:val="00041E94"/>
    <w:rsid w:val="00041F98"/>
    <w:rsid w:val="00042464"/>
    <w:rsid w:val="000425B9"/>
    <w:rsid w:val="000428DB"/>
    <w:rsid w:val="00042A60"/>
    <w:rsid w:val="00042B15"/>
    <w:rsid w:val="00042D68"/>
    <w:rsid w:val="00042DE5"/>
    <w:rsid w:val="00042EF3"/>
    <w:rsid w:val="00043072"/>
    <w:rsid w:val="000431D9"/>
    <w:rsid w:val="000434F4"/>
    <w:rsid w:val="0004358B"/>
    <w:rsid w:val="000437CA"/>
    <w:rsid w:val="00043A0D"/>
    <w:rsid w:val="00043A3E"/>
    <w:rsid w:val="00043BEB"/>
    <w:rsid w:val="00043C7B"/>
    <w:rsid w:val="00043D2C"/>
    <w:rsid w:val="00043FB8"/>
    <w:rsid w:val="00044499"/>
    <w:rsid w:val="00044647"/>
    <w:rsid w:val="00044854"/>
    <w:rsid w:val="000449BD"/>
    <w:rsid w:val="00044E3B"/>
    <w:rsid w:val="00044F62"/>
    <w:rsid w:val="00044F8C"/>
    <w:rsid w:val="00045124"/>
    <w:rsid w:val="00045168"/>
    <w:rsid w:val="000451EE"/>
    <w:rsid w:val="00045270"/>
    <w:rsid w:val="000454E8"/>
    <w:rsid w:val="00045637"/>
    <w:rsid w:val="0004568D"/>
    <w:rsid w:val="000456D5"/>
    <w:rsid w:val="00045B72"/>
    <w:rsid w:val="00045F01"/>
    <w:rsid w:val="000460F5"/>
    <w:rsid w:val="000462EE"/>
    <w:rsid w:val="000463A1"/>
    <w:rsid w:val="000465C8"/>
    <w:rsid w:val="00046812"/>
    <w:rsid w:val="00046D0F"/>
    <w:rsid w:val="00046D4A"/>
    <w:rsid w:val="00047090"/>
    <w:rsid w:val="000472E7"/>
    <w:rsid w:val="0004733F"/>
    <w:rsid w:val="00047700"/>
    <w:rsid w:val="00047A58"/>
    <w:rsid w:val="00047AB6"/>
    <w:rsid w:val="00047EBE"/>
    <w:rsid w:val="000501D9"/>
    <w:rsid w:val="00050312"/>
    <w:rsid w:val="000503F8"/>
    <w:rsid w:val="0005069B"/>
    <w:rsid w:val="00050B55"/>
    <w:rsid w:val="00050B8E"/>
    <w:rsid w:val="00050C8F"/>
    <w:rsid w:val="00050CDC"/>
    <w:rsid w:val="00050D9F"/>
    <w:rsid w:val="00050F4D"/>
    <w:rsid w:val="00050FCC"/>
    <w:rsid w:val="00051267"/>
    <w:rsid w:val="0005143F"/>
    <w:rsid w:val="000515FB"/>
    <w:rsid w:val="0005179B"/>
    <w:rsid w:val="000519D6"/>
    <w:rsid w:val="00051C05"/>
    <w:rsid w:val="00051D3D"/>
    <w:rsid w:val="00051ED9"/>
    <w:rsid w:val="00051F1F"/>
    <w:rsid w:val="00052214"/>
    <w:rsid w:val="0005245E"/>
    <w:rsid w:val="00052624"/>
    <w:rsid w:val="00052643"/>
    <w:rsid w:val="0005274F"/>
    <w:rsid w:val="00052825"/>
    <w:rsid w:val="00052958"/>
    <w:rsid w:val="00052E07"/>
    <w:rsid w:val="0005323E"/>
    <w:rsid w:val="00053319"/>
    <w:rsid w:val="000533A1"/>
    <w:rsid w:val="00053511"/>
    <w:rsid w:val="00053613"/>
    <w:rsid w:val="00053747"/>
    <w:rsid w:val="00053750"/>
    <w:rsid w:val="000539EC"/>
    <w:rsid w:val="00053A65"/>
    <w:rsid w:val="00053D88"/>
    <w:rsid w:val="00053EC1"/>
    <w:rsid w:val="0005402A"/>
    <w:rsid w:val="00054035"/>
    <w:rsid w:val="000541DE"/>
    <w:rsid w:val="000544FE"/>
    <w:rsid w:val="00054566"/>
    <w:rsid w:val="000546D2"/>
    <w:rsid w:val="0005478E"/>
    <w:rsid w:val="00054851"/>
    <w:rsid w:val="00054A17"/>
    <w:rsid w:val="00054A2A"/>
    <w:rsid w:val="00054AE6"/>
    <w:rsid w:val="00054B85"/>
    <w:rsid w:val="00054DA7"/>
    <w:rsid w:val="00055012"/>
    <w:rsid w:val="00055135"/>
    <w:rsid w:val="00055354"/>
    <w:rsid w:val="000553FF"/>
    <w:rsid w:val="00055937"/>
    <w:rsid w:val="00055974"/>
    <w:rsid w:val="00055ACD"/>
    <w:rsid w:val="00055B4C"/>
    <w:rsid w:val="00055E21"/>
    <w:rsid w:val="00055F0E"/>
    <w:rsid w:val="00056309"/>
    <w:rsid w:val="000565DE"/>
    <w:rsid w:val="00056603"/>
    <w:rsid w:val="00056623"/>
    <w:rsid w:val="00056704"/>
    <w:rsid w:val="00056715"/>
    <w:rsid w:val="000567E0"/>
    <w:rsid w:val="00056B50"/>
    <w:rsid w:val="00056C8F"/>
    <w:rsid w:val="00056DEE"/>
    <w:rsid w:val="00056EA2"/>
    <w:rsid w:val="00056F27"/>
    <w:rsid w:val="000573AF"/>
    <w:rsid w:val="00057445"/>
    <w:rsid w:val="00057494"/>
    <w:rsid w:val="000574E8"/>
    <w:rsid w:val="000575D0"/>
    <w:rsid w:val="0005779A"/>
    <w:rsid w:val="00057B3C"/>
    <w:rsid w:val="00057BC9"/>
    <w:rsid w:val="00057EEF"/>
    <w:rsid w:val="00057FC6"/>
    <w:rsid w:val="000600FC"/>
    <w:rsid w:val="00060163"/>
    <w:rsid w:val="0006016F"/>
    <w:rsid w:val="000604E7"/>
    <w:rsid w:val="000604F9"/>
    <w:rsid w:val="00060664"/>
    <w:rsid w:val="000606DC"/>
    <w:rsid w:val="00060769"/>
    <w:rsid w:val="0006097A"/>
    <w:rsid w:val="00060B1B"/>
    <w:rsid w:val="00060C59"/>
    <w:rsid w:val="00060F1C"/>
    <w:rsid w:val="000610AD"/>
    <w:rsid w:val="000611B3"/>
    <w:rsid w:val="00061203"/>
    <w:rsid w:val="00061236"/>
    <w:rsid w:val="0006142F"/>
    <w:rsid w:val="000615DC"/>
    <w:rsid w:val="0006169E"/>
    <w:rsid w:val="000617B7"/>
    <w:rsid w:val="000617EA"/>
    <w:rsid w:val="000618CC"/>
    <w:rsid w:val="00061931"/>
    <w:rsid w:val="00061932"/>
    <w:rsid w:val="00061AF7"/>
    <w:rsid w:val="00061B40"/>
    <w:rsid w:val="00061EBB"/>
    <w:rsid w:val="00061F93"/>
    <w:rsid w:val="000620A2"/>
    <w:rsid w:val="000622B0"/>
    <w:rsid w:val="000624BD"/>
    <w:rsid w:val="000624D6"/>
    <w:rsid w:val="00062682"/>
    <w:rsid w:val="000626FD"/>
    <w:rsid w:val="00062B04"/>
    <w:rsid w:val="00062BDB"/>
    <w:rsid w:val="00062D1E"/>
    <w:rsid w:val="00062DE6"/>
    <w:rsid w:val="00062F3C"/>
    <w:rsid w:val="0006328C"/>
    <w:rsid w:val="00063629"/>
    <w:rsid w:val="0006375F"/>
    <w:rsid w:val="00063895"/>
    <w:rsid w:val="00063997"/>
    <w:rsid w:val="00063D46"/>
    <w:rsid w:val="00063D99"/>
    <w:rsid w:val="00063D9A"/>
    <w:rsid w:val="00063DDB"/>
    <w:rsid w:val="00064156"/>
    <w:rsid w:val="00064289"/>
    <w:rsid w:val="0006432B"/>
    <w:rsid w:val="000645E7"/>
    <w:rsid w:val="00064649"/>
    <w:rsid w:val="00064C2E"/>
    <w:rsid w:val="00064CC2"/>
    <w:rsid w:val="00064DDD"/>
    <w:rsid w:val="00064EEF"/>
    <w:rsid w:val="000651B8"/>
    <w:rsid w:val="00065386"/>
    <w:rsid w:val="000653D4"/>
    <w:rsid w:val="000653DC"/>
    <w:rsid w:val="000654AE"/>
    <w:rsid w:val="000654C4"/>
    <w:rsid w:val="00065535"/>
    <w:rsid w:val="0006570A"/>
    <w:rsid w:val="00065840"/>
    <w:rsid w:val="00065842"/>
    <w:rsid w:val="00065AD3"/>
    <w:rsid w:val="00065D62"/>
    <w:rsid w:val="00065E10"/>
    <w:rsid w:val="0006667C"/>
    <w:rsid w:val="00066D36"/>
    <w:rsid w:val="00066D50"/>
    <w:rsid w:val="00066E37"/>
    <w:rsid w:val="0006729D"/>
    <w:rsid w:val="000674A1"/>
    <w:rsid w:val="0006782E"/>
    <w:rsid w:val="00067934"/>
    <w:rsid w:val="00067953"/>
    <w:rsid w:val="00067D07"/>
    <w:rsid w:val="00067D82"/>
    <w:rsid w:val="00070289"/>
    <w:rsid w:val="00070477"/>
    <w:rsid w:val="0007048B"/>
    <w:rsid w:val="00070785"/>
    <w:rsid w:val="00070842"/>
    <w:rsid w:val="000709BD"/>
    <w:rsid w:val="00070A36"/>
    <w:rsid w:val="00070C48"/>
    <w:rsid w:val="00070D97"/>
    <w:rsid w:val="00070DF0"/>
    <w:rsid w:val="00070F04"/>
    <w:rsid w:val="00070F4C"/>
    <w:rsid w:val="000711FD"/>
    <w:rsid w:val="000714D7"/>
    <w:rsid w:val="000715A7"/>
    <w:rsid w:val="000717A9"/>
    <w:rsid w:val="00071955"/>
    <w:rsid w:val="00071B40"/>
    <w:rsid w:val="00071C35"/>
    <w:rsid w:val="00071E3D"/>
    <w:rsid w:val="000720E3"/>
    <w:rsid w:val="0007221A"/>
    <w:rsid w:val="00072768"/>
    <w:rsid w:val="000728AF"/>
    <w:rsid w:val="00072CB9"/>
    <w:rsid w:val="00072DD5"/>
    <w:rsid w:val="00072F60"/>
    <w:rsid w:val="00072F85"/>
    <w:rsid w:val="00073079"/>
    <w:rsid w:val="000734C6"/>
    <w:rsid w:val="0007369A"/>
    <w:rsid w:val="0007382B"/>
    <w:rsid w:val="00073A8B"/>
    <w:rsid w:val="00073BAF"/>
    <w:rsid w:val="00073E4A"/>
    <w:rsid w:val="000741C2"/>
    <w:rsid w:val="0007470A"/>
    <w:rsid w:val="00074A92"/>
    <w:rsid w:val="00074BC1"/>
    <w:rsid w:val="00074C41"/>
    <w:rsid w:val="00074E98"/>
    <w:rsid w:val="00074F67"/>
    <w:rsid w:val="00074FE1"/>
    <w:rsid w:val="000753D5"/>
    <w:rsid w:val="000756C3"/>
    <w:rsid w:val="000758E3"/>
    <w:rsid w:val="00075ABD"/>
    <w:rsid w:val="00075AF6"/>
    <w:rsid w:val="00075D30"/>
    <w:rsid w:val="00075F50"/>
    <w:rsid w:val="00075F6F"/>
    <w:rsid w:val="00076325"/>
    <w:rsid w:val="00076407"/>
    <w:rsid w:val="0007642D"/>
    <w:rsid w:val="00076500"/>
    <w:rsid w:val="00076778"/>
    <w:rsid w:val="000767F7"/>
    <w:rsid w:val="000769B5"/>
    <w:rsid w:val="00076A24"/>
    <w:rsid w:val="00076AA1"/>
    <w:rsid w:val="00076B5C"/>
    <w:rsid w:val="00076ED5"/>
    <w:rsid w:val="00076FA8"/>
    <w:rsid w:val="000772B1"/>
    <w:rsid w:val="000772F1"/>
    <w:rsid w:val="00077387"/>
    <w:rsid w:val="000774BE"/>
    <w:rsid w:val="000776DB"/>
    <w:rsid w:val="0007770C"/>
    <w:rsid w:val="00077AFB"/>
    <w:rsid w:val="00077CDD"/>
    <w:rsid w:val="00077CF8"/>
    <w:rsid w:val="00077FE4"/>
    <w:rsid w:val="0008038D"/>
    <w:rsid w:val="000806D0"/>
    <w:rsid w:val="00080755"/>
    <w:rsid w:val="0008093A"/>
    <w:rsid w:val="00080955"/>
    <w:rsid w:val="00080BCE"/>
    <w:rsid w:val="00080D77"/>
    <w:rsid w:val="00080DBF"/>
    <w:rsid w:val="00080E1D"/>
    <w:rsid w:val="00080E6E"/>
    <w:rsid w:val="00081293"/>
    <w:rsid w:val="000812F4"/>
    <w:rsid w:val="00081359"/>
    <w:rsid w:val="00081464"/>
    <w:rsid w:val="0008154E"/>
    <w:rsid w:val="000816A2"/>
    <w:rsid w:val="00081789"/>
    <w:rsid w:val="00081B19"/>
    <w:rsid w:val="00081C63"/>
    <w:rsid w:val="00081CFD"/>
    <w:rsid w:val="000820BF"/>
    <w:rsid w:val="000821CB"/>
    <w:rsid w:val="0008243E"/>
    <w:rsid w:val="00082614"/>
    <w:rsid w:val="00082877"/>
    <w:rsid w:val="00082BD8"/>
    <w:rsid w:val="00082CC4"/>
    <w:rsid w:val="00082E02"/>
    <w:rsid w:val="00082F3B"/>
    <w:rsid w:val="00082F72"/>
    <w:rsid w:val="00083139"/>
    <w:rsid w:val="00083261"/>
    <w:rsid w:val="0008333E"/>
    <w:rsid w:val="000833E3"/>
    <w:rsid w:val="000836CC"/>
    <w:rsid w:val="000837CA"/>
    <w:rsid w:val="00083878"/>
    <w:rsid w:val="0008395F"/>
    <w:rsid w:val="00083A48"/>
    <w:rsid w:val="00083C7E"/>
    <w:rsid w:val="00083CEF"/>
    <w:rsid w:val="00083D18"/>
    <w:rsid w:val="000840B7"/>
    <w:rsid w:val="0008435D"/>
    <w:rsid w:val="00084470"/>
    <w:rsid w:val="0008492C"/>
    <w:rsid w:val="000849E1"/>
    <w:rsid w:val="00084B6E"/>
    <w:rsid w:val="00084D86"/>
    <w:rsid w:val="00084F51"/>
    <w:rsid w:val="000851EB"/>
    <w:rsid w:val="0008526D"/>
    <w:rsid w:val="000852EA"/>
    <w:rsid w:val="000854C6"/>
    <w:rsid w:val="0008558C"/>
    <w:rsid w:val="00085B38"/>
    <w:rsid w:val="00085EE0"/>
    <w:rsid w:val="00085F13"/>
    <w:rsid w:val="00085FD0"/>
    <w:rsid w:val="00085FDC"/>
    <w:rsid w:val="000861CD"/>
    <w:rsid w:val="00086364"/>
    <w:rsid w:val="0008657D"/>
    <w:rsid w:val="000866A9"/>
    <w:rsid w:val="00086D07"/>
    <w:rsid w:val="00086F60"/>
    <w:rsid w:val="00086FE1"/>
    <w:rsid w:val="0008768F"/>
    <w:rsid w:val="000876AB"/>
    <w:rsid w:val="0008774D"/>
    <w:rsid w:val="000877BA"/>
    <w:rsid w:val="00087859"/>
    <w:rsid w:val="000878EB"/>
    <w:rsid w:val="00087993"/>
    <w:rsid w:val="00087C6B"/>
    <w:rsid w:val="00087EFB"/>
    <w:rsid w:val="0009013E"/>
    <w:rsid w:val="00090310"/>
    <w:rsid w:val="0009048B"/>
    <w:rsid w:val="000908AC"/>
    <w:rsid w:val="00090A38"/>
    <w:rsid w:val="00090D5F"/>
    <w:rsid w:val="00091051"/>
    <w:rsid w:val="000913F1"/>
    <w:rsid w:val="00091604"/>
    <w:rsid w:val="0009168A"/>
    <w:rsid w:val="000917DB"/>
    <w:rsid w:val="00091881"/>
    <w:rsid w:val="00091995"/>
    <w:rsid w:val="00091A13"/>
    <w:rsid w:val="00091E9A"/>
    <w:rsid w:val="00091F3A"/>
    <w:rsid w:val="00092057"/>
    <w:rsid w:val="00092159"/>
    <w:rsid w:val="0009215D"/>
    <w:rsid w:val="0009232E"/>
    <w:rsid w:val="0009282E"/>
    <w:rsid w:val="00092832"/>
    <w:rsid w:val="000928DF"/>
    <w:rsid w:val="00092947"/>
    <w:rsid w:val="00092FA0"/>
    <w:rsid w:val="00092FCC"/>
    <w:rsid w:val="00093062"/>
    <w:rsid w:val="00093233"/>
    <w:rsid w:val="00093273"/>
    <w:rsid w:val="000932C4"/>
    <w:rsid w:val="00093403"/>
    <w:rsid w:val="000937D5"/>
    <w:rsid w:val="0009388F"/>
    <w:rsid w:val="00093A46"/>
    <w:rsid w:val="00093CA2"/>
    <w:rsid w:val="00093D62"/>
    <w:rsid w:val="00093D86"/>
    <w:rsid w:val="00094259"/>
    <w:rsid w:val="000942EA"/>
    <w:rsid w:val="00094371"/>
    <w:rsid w:val="0009475A"/>
    <w:rsid w:val="00094A1E"/>
    <w:rsid w:val="00094A29"/>
    <w:rsid w:val="00094C58"/>
    <w:rsid w:val="00094DE3"/>
    <w:rsid w:val="00094FDD"/>
    <w:rsid w:val="00095760"/>
    <w:rsid w:val="0009580A"/>
    <w:rsid w:val="00095ADB"/>
    <w:rsid w:val="00095D13"/>
    <w:rsid w:val="00095EE3"/>
    <w:rsid w:val="00096232"/>
    <w:rsid w:val="000962EF"/>
    <w:rsid w:val="00096337"/>
    <w:rsid w:val="0009639E"/>
    <w:rsid w:val="00096412"/>
    <w:rsid w:val="0009687F"/>
    <w:rsid w:val="00096A7B"/>
    <w:rsid w:val="00096B11"/>
    <w:rsid w:val="00096B25"/>
    <w:rsid w:val="00096BCD"/>
    <w:rsid w:val="00096D43"/>
    <w:rsid w:val="00096E9F"/>
    <w:rsid w:val="00096EFB"/>
    <w:rsid w:val="00097211"/>
    <w:rsid w:val="0009739B"/>
    <w:rsid w:val="00097421"/>
    <w:rsid w:val="0009744A"/>
    <w:rsid w:val="000974F0"/>
    <w:rsid w:val="00097876"/>
    <w:rsid w:val="000979A5"/>
    <w:rsid w:val="000979CC"/>
    <w:rsid w:val="000979F4"/>
    <w:rsid w:val="00097ABD"/>
    <w:rsid w:val="00097E28"/>
    <w:rsid w:val="00097E79"/>
    <w:rsid w:val="00097F78"/>
    <w:rsid w:val="000A034A"/>
    <w:rsid w:val="000A049F"/>
    <w:rsid w:val="000A07F4"/>
    <w:rsid w:val="000A0BEB"/>
    <w:rsid w:val="000A0C6C"/>
    <w:rsid w:val="000A0CDB"/>
    <w:rsid w:val="000A1106"/>
    <w:rsid w:val="000A131C"/>
    <w:rsid w:val="000A1350"/>
    <w:rsid w:val="000A144D"/>
    <w:rsid w:val="000A1469"/>
    <w:rsid w:val="000A1A2F"/>
    <w:rsid w:val="000A1AE2"/>
    <w:rsid w:val="000A1AF1"/>
    <w:rsid w:val="000A1C3E"/>
    <w:rsid w:val="000A205A"/>
    <w:rsid w:val="000A2340"/>
    <w:rsid w:val="000A25E0"/>
    <w:rsid w:val="000A2748"/>
    <w:rsid w:val="000A279D"/>
    <w:rsid w:val="000A2816"/>
    <w:rsid w:val="000A28D4"/>
    <w:rsid w:val="000A2ABD"/>
    <w:rsid w:val="000A2B11"/>
    <w:rsid w:val="000A2B15"/>
    <w:rsid w:val="000A2B27"/>
    <w:rsid w:val="000A2CCC"/>
    <w:rsid w:val="000A2CFE"/>
    <w:rsid w:val="000A2DA8"/>
    <w:rsid w:val="000A2E6F"/>
    <w:rsid w:val="000A2E85"/>
    <w:rsid w:val="000A2EB4"/>
    <w:rsid w:val="000A2F29"/>
    <w:rsid w:val="000A2F5E"/>
    <w:rsid w:val="000A321C"/>
    <w:rsid w:val="000A3414"/>
    <w:rsid w:val="000A350D"/>
    <w:rsid w:val="000A37F6"/>
    <w:rsid w:val="000A3BCD"/>
    <w:rsid w:val="000A3C67"/>
    <w:rsid w:val="000A3C71"/>
    <w:rsid w:val="000A3D1E"/>
    <w:rsid w:val="000A3D43"/>
    <w:rsid w:val="000A3DA3"/>
    <w:rsid w:val="000A3E69"/>
    <w:rsid w:val="000A3E7D"/>
    <w:rsid w:val="000A3F92"/>
    <w:rsid w:val="000A4194"/>
    <w:rsid w:val="000A42A9"/>
    <w:rsid w:val="000A44EF"/>
    <w:rsid w:val="000A44F1"/>
    <w:rsid w:val="000A4A2C"/>
    <w:rsid w:val="000A4BEA"/>
    <w:rsid w:val="000A4E87"/>
    <w:rsid w:val="000A4EA2"/>
    <w:rsid w:val="000A50B1"/>
    <w:rsid w:val="000A5487"/>
    <w:rsid w:val="000A54BA"/>
    <w:rsid w:val="000A5942"/>
    <w:rsid w:val="000A5C2E"/>
    <w:rsid w:val="000A5CC6"/>
    <w:rsid w:val="000A5DC8"/>
    <w:rsid w:val="000A5EF1"/>
    <w:rsid w:val="000A5FC1"/>
    <w:rsid w:val="000A5FFF"/>
    <w:rsid w:val="000A61D2"/>
    <w:rsid w:val="000A63C6"/>
    <w:rsid w:val="000A668F"/>
    <w:rsid w:val="000A6795"/>
    <w:rsid w:val="000A6BE5"/>
    <w:rsid w:val="000A6EC9"/>
    <w:rsid w:val="000A6EFF"/>
    <w:rsid w:val="000A6F92"/>
    <w:rsid w:val="000A7126"/>
    <w:rsid w:val="000A717C"/>
    <w:rsid w:val="000A7247"/>
    <w:rsid w:val="000A72E1"/>
    <w:rsid w:val="000A7315"/>
    <w:rsid w:val="000A7377"/>
    <w:rsid w:val="000A73BB"/>
    <w:rsid w:val="000A748B"/>
    <w:rsid w:val="000A75E8"/>
    <w:rsid w:val="000A75EC"/>
    <w:rsid w:val="000A79AB"/>
    <w:rsid w:val="000A7A0A"/>
    <w:rsid w:val="000B0822"/>
    <w:rsid w:val="000B0F60"/>
    <w:rsid w:val="000B11D1"/>
    <w:rsid w:val="000B12A9"/>
    <w:rsid w:val="000B155B"/>
    <w:rsid w:val="000B15B6"/>
    <w:rsid w:val="000B1840"/>
    <w:rsid w:val="000B1A99"/>
    <w:rsid w:val="000B1CDA"/>
    <w:rsid w:val="000B1E7A"/>
    <w:rsid w:val="000B1EAD"/>
    <w:rsid w:val="000B1EAE"/>
    <w:rsid w:val="000B1ECD"/>
    <w:rsid w:val="000B2062"/>
    <w:rsid w:val="000B208F"/>
    <w:rsid w:val="000B21E6"/>
    <w:rsid w:val="000B25F2"/>
    <w:rsid w:val="000B2726"/>
    <w:rsid w:val="000B2758"/>
    <w:rsid w:val="000B29BD"/>
    <w:rsid w:val="000B2A7D"/>
    <w:rsid w:val="000B2C8A"/>
    <w:rsid w:val="000B2DA8"/>
    <w:rsid w:val="000B2DC7"/>
    <w:rsid w:val="000B315F"/>
    <w:rsid w:val="000B343C"/>
    <w:rsid w:val="000B3C23"/>
    <w:rsid w:val="000B3C2B"/>
    <w:rsid w:val="000B3D55"/>
    <w:rsid w:val="000B3D94"/>
    <w:rsid w:val="000B3DB6"/>
    <w:rsid w:val="000B3F12"/>
    <w:rsid w:val="000B404E"/>
    <w:rsid w:val="000B43FD"/>
    <w:rsid w:val="000B4630"/>
    <w:rsid w:val="000B47C9"/>
    <w:rsid w:val="000B4848"/>
    <w:rsid w:val="000B497F"/>
    <w:rsid w:val="000B4A76"/>
    <w:rsid w:val="000B4D33"/>
    <w:rsid w:val="000B4D9A"/>
    <w:rsid w:val="000B4EAC"/>
    <w:rsid w:val="000B5264"/>
    <w:rsid w:val="000B5457"/>
    <w:rsid w:val="000B548F"/>
    <w:rsid w:val="000B54EE"/>
    <w:rsid w:val="000B5555"/>
    <w:rsid w:val="000B5581"/>
    <w:rsid w:val="000B5613"/>
    <w:rsid w:val="000B580D"/>
    <w:rsid w:val="000B5812"/>
    <w:rsid w:val="000B5CFE"/>
    <w:rsid w:val="000B5E82"/>
    <w:rsid w:val="000B5FAA"/>
    <w:rsid w:val="000B62D3"/>
    <w:rsid w:val="000B6D90"/>
    <w:rsid w:val="000B6EA0"/>
    <w:rsid w:val="000B6F54"/>
    <w:rsid w:val="000B6F5E"/>
    <w:rsid w:val="000B710D"/>
    <w:rsid w:val="000B71AC"/>
    <w:rsid w:val="000B74C4"/>
    <w:rsid w:val="000B7558"/>
    <w:rsid w:val="000B76BB"/>
    <w:rsid w:val="000B77FC"/>
    <w:rsid w:val="000B7C64"/>
    <w:rsid w:val="000B7C71"/>
    <w:rsid w:val="000B7D25"/>
    <w:rsid w:val="000C04DC"/>
    <w:rsid w:val="000C06CF"/>
    <w:rsid w:val="000C0CF0"/>
    <w:rsid w:val="000C0D98"/>
    <w:rsid w:val="000C1764"/>
    <w:rsid w:val="000C1953"/>
    <w:rsid w:val="000C19C0"/>
    <w:rsid w:val="000C1B46"/>
    <w:rsid w:val="000C1B92"/>
    <w:rsid w:val="000C1CB2"/>
    <w:rsid w:val="000C1DA2"/>
    <w:rsid w:val="000C1E01"/>
    <w:rsid w:val="000C1FAC"/>
    <w:rsid w:val="000C2156"/>
    <w:rsid w:val="000C2245"/>
    <w:rsid w:val="000C278A"/>
    <w:rsid w:val="000C28FC"/>
    <w:rsid w:val="000C2A08"/>
    <w:rsid w:val="000C2B6B"/>
    <w:rsid w:val="000C2CFD"/>
    <w:rsid w:val="000C2D38"/>
    <w:rsid w:val="000C2D56"/>
    <w:rsid w:val="000C320A"/>
    <w:rsid w:val="000C334C"/>
    <w:rsid w:val="000C34DB"/>
    <w:rsid w:val="000C3F2C"/>
    <w:rsid w:val="000C3F85"/>
    <w:rsid w:val="000C40AA"/>
    <w:rsid w:val="000C40C6"/>
    <w:rsid w:val="000C42A6"/>
    <w:rsid w:val="000C4617"/>
    <w:rsid w:val="000C4F84"/>
    <w:rsid w:val="000C4F9F"/>
    <w:rsid w:val="000C5041"/>
    <w:rsid w:val="000C505D"/>
    <w:rsid w:val="000C5336"/>
    <w:rsid w:val="000C5762"/>
    <w:rsid w:val="000C57E9"/>
    <w:rsid w:val="000C587A"/>
    <w:rsid w:val="000C58AC"/>
    <w:rsid w:val="000C58AD"/>
    <w:rsid w:val="000C5AAE"/>
    <w:rsid w:val="000C5CFE"/>
    <w:rsid w:val="000C639F"/>
    <w:rsid w:val="000C652B"/>
    <w:rsid w:val="000C6530"/>
    <w:rsid w:val="000C658F"/>
    <w:rsid w:val="000C66E1"/>
    <w:rsid w:val="000C66F4"/>
    <w:rsid w:val="000C675D"/>
    <w:rsid w:val="000C69AF"/>
    <w:rsid w:val="000C69EA"/>
    <w:rsid w:val="000C6D55"/>
    <w:rsid w:val="000C6D7E"/>
    <w:rsid w:val="000C6F2D"/>
    <w:rsid w:val="000C6F35"/>
    <w:rsid w:val="000C6FB0"/>
    <w:rsid w:val="000C7250"/>
    <w:rsid w:val="000C742D"/>
    <w:rsid w:val="000C7786"/>
    <w:rsid w:val="000C7BAD"/>
    <w:rsid w:val="000D0180"/>
    <w:rsid w:val="000D0305"/>
    <w:rsid w:val="000D03C1"/>
    <w:rsid w:val="000D03D6"/>
    <w:rsid w:val="000D0693"/>
    <w:rsid w:val="000D076F"/>
    <w:rsid w:val="000D0A1B"/>
    <w:rsid w:val="000D10CF"/>
    <w:rsid w:val="000D10FA"/>
    <w:rsid w:val="000D115A"/>
    <w:rsid w:val="000D118F"/>
    <w:rsid w:val="000D11A2"/>
    <w:rsid w:val="000D12B5"/>
    <w:rsid w:val="000D1314"/>
    <w:rsid w:val="000D1722"/>
    <w:rsid w:val="000D1731"/>
    <w:rsid w:val="000D1870"/>
    <w:rsid w:val="000D1916"/>
    <w:rsid w:val="000D1A79"/>
    <w:rsid w:val="000D1AF4"/>
    <w:rsid w:val="000D1D53"/>
    <w:rsid w:val="000D1E80"/>
    <w:rsid w:val="000D24D0"/>
    <w:rsid w:val="000D24F1"/>
    <w:rsid w:val="000D25E6"/>
    <w:rsid w:val="000D268C"/>
    <w:rsid w:val="000D2768"/>
    <w:rsid w:val="000D27CD"/>
    <w:rsid w:val="000D2936"/>
    <w:rsid w:val="000D2B42"/>
    <w:rsid w:val="000D2C97"/>
    <w:rsid w:val="000D3021"/>
    <w:rsid w:val="000D30FA"/>
    <w:rsid w:val="000D32A8"/>
    <w:rsid w:val="000D3303"/>
    <w:rsid w:val="000D3645"/>
    <w:rsid w:val="000D3BFC"/>
    <w:rsid w:val="000D3C1F"/>
    <w:rsid w:val="000D3C54"/>
    <w:rsid w:val="000D3D35"/>
    <w:rsid w:val="000D4003"/>
    <w:rsid w:val="000D4173"/>
    <w:rsid w:val="000D424F"/>
    <w:rsid w:val="000D427F"/>
    <w:rsid w:val="000D4488"/>
    <w:rsid w:val="000D4714"/>
    <w:rsid w:val="000D488F"/>
    <w:rsid w:val="000D493E"/>
    <w:rsid w:val="000D4AE8"/>
    <w:rsid w:val="000D4B4C"/>
    <w:rsid w:val="000D4D23"/>
    <w:rsid w:val="000D4E8A"/>
    <w:rsid w:val="000D4EB0"/>
    <w:rsid w:val="000D4FB8"/>
    <w:rsid w:val="000D5079"/>
    <w:rsid w:val="000D5375"/>
    <w:rsid w:val="000D53C8"/>
    <w:rsid w:val="000D54A7"/>
    <w:rsid w:val="000D570C"/>
    <w:rsid w:val="000D5724"/>
    <w:rsid w:val="000D5D49"/>
    <w:rsid w:val="000D6180"/>
    <w:rsid w:val="000D61FE"/>
    <w:rsid w:val="000D640F"/>
    <w:rsid w:val="000D6543"/>
    <w:rsid w:val="000D6B55"/>
    <w:rsid w:val="000D6C83"/>
    <w:rsid w:val="000D6D9D"/>
    <w:rsid w:val="000D70C8"/>
    <w:rsid w:val="000D7348"/>
    <w:rsid w:val="000D7539"/>
    <w:rsid w:val="000D7DD9"/>
    <w:rsid w:val="000E030B"/>
    <w:rsid w:val="000E0438"/>
    <w:rsid w:val="000E085B"/>
    <w:rsid w:val="000E0F3E"/>
    <w:rsid w:val="000E0F5A"/>
    <w:rsid w:val="000E1096"/>
    <w:rsid w:val="000E10D7"/>
    <w:rsid w:val="000E1A87"/>
    <w:rsid w:val="000E1BA0"/>
    <w:rsid w:val="000E1BF2"/>
    <w:rsid w:val="000E1CE4"/>
    <w:rsid w:val="000E1DF7"/>
    <w:rsid w:val="000E1E45"/>
    <w:rsid w:val="000E20C8"/>
    <w:rsid w:val="000E20D3"/>
    <w:rsid w:val="000E2133"/>
    <w:rsid w:val="000E2562"/>
    <w:rsid w:val="000E291A"/>
    <w:rsid w:val="000E295B"/>
    <w:rsid w:val="000E2964"/>
    <w:rsid w:val="000E2BE9"/>
    <w:rsid w:val="000E2D3D"/>
    <w:rsid w:val="000E2F75"/>
    <w:rsid w:val="000E2F7A"/>
    <w:rsid w:val="000E3049"/>
    <w:rsid w:val="000E3310"/>
    <w:rsid w:val="000E36B3"/>
    <w:rsid w:val="000E38D1"/>
    <w:rsid w:val="000E3CAF"/>
    <w:rsid w:val="000E3D0F"/>
    <w:rsid w:val="000E3D5A"/>
    <w:rsid w:val="000E3D8D"/>
    <w:rsid w:val="000E3ECE"/>
    <w:rsid w:val="000E3F27"/>
    <w:rsid w:val="000E4410"/>
    <w:rsid w:val="000E45EA"/>
    <w:rsid w:val="000E4661"/>
    <w:rsid w:val="000E46B8"/>
    <w:rsid w:val="000E4838"/>
    <w:rsid w:val="000E5018"/>
    <w:rsid w:val="000E5092"/>
    <w:rsid w:val="000E514D"/>
    <w:rsid w:val="000E5456"/>
    <w:rsid w:val="000E5597"/>
    <w:rsid w:val="000E55A1"/>
    <w:rsid w:val="000E55DF"/>
    <w:rsid w:val="000E5602"/>
    <w:rsid w:val="000E5626"/>
    <w:rsid w:val="000E584F"/>
    <w:rsid w:val="000E5925"/>
    <w:rsid w:val="000E597C"/>
    <w:rsid w:val="000E5B0B"/>
    <w:rsid w:val="000E5BC3"/>
    <w:rsid w:val="000E5D2B"/>
    <w:rsid w:val="000E5D87"/>
    <w:rsid w:val="000E5D96"/>
    <w:rsid w:val="000E5DCC"/>
    <w:rsid w:val="000E5EAD"/>
    <w:rsid w:val="000E5F53"/>
    <w:rsid w:val="000E60A9"/>
    <w:rsid w:val="000E610B"/>
    <w:rsid w:val="000E6213"/>
    <w:rsid w:val="000E63B7"/>
    <w:rsid w:val="000E6583"/>
    <w:rsid w:val="000E65F7"/>
    <w:rsid w:val="000E69E6"/>
    <w:rsid w:val="000E70C6"/>
    <w:rsid w:val="000E712D"/>
    <w:rsid w:val="000E7179"/>
    <w:rsid w:val="000E721F"/>
    <w:rsid w:val="000E7322"/>
    <w:rsid w:val="000E758D"/>
    <w:rsid w:val="000E77FD"/>
    <w:rsid w:val="000E79F6"/>
    <w:rsid w:val="000E7C88"/>
    <w:rsid w:val="000E7D8B"/>
    <w:rsid w:val="000E7DC3"/>
    <w:rsid w:val="000E7DD7"/>
    <w:rsid w:val="000E7E41"/>
    <w:rsid w:val="000E7EE2"/>
    <w:rsid w:val="000E7F6F"/>
    <w:rsid w:val="000E7F9A"/>
    <w:rsid w:val="000F002B"/>
    <w:rsid w:val="000F00F3"/>
    <w:rsid w:val="000F013A"/>
    <w:rsid w:val="000F0147"/>
    <w:rsid w:val="000F0308"/>
    <w:rsid w:val="000F0339"/>
    <w:rsid w:val="000F0478"/>
    <w:rsid w:val="000F077B"/>
    <w:rsid w:val="000F07D1"/>
    <w:rsid w:val="000F0A27"/>
    <w:rsid w:val="000F0B24"/>
    <w:rsid w:val="000F0BB6"/>
    <w:rsid w:val="000F0D34"/>
    <w:rsid w:val="000F0F49"/>
    <w:rsid w:val="000F12BE"/>
    <w:rsid w:val="000F1345"/>
    <w:rsid w:val="000F13D8"/>
    <w:rsid w:val="000F1460"/>
    <w:rsid w:val="000F14E2"/>
    <w:rsid w:val="000F18F7"/>
    <w:rsid w:val="000F1987"/>
    <w:rsid w:val="000F19B1"/>
    <w:rsid w:val="000F1BA6"/>
    <w:rsid w:val="000F246A"/>
    <w:rsid w:val="000F25A0"/>
    <w:rsid w:val="000F26B2"/>
    <w:rsid w:val="000F28D7"/>
    <w:rsid w:val="000F29C8"/>
    <w:rsid w:val="000F2A9E"/>
    <w:rsid w:val="000F2ADC"/>
    <w:rsid w:val="000F2E90"/>
    <w:rsid w:val="000F2F6C"/>
    <w:rsid w:val="000F31EF"/>
    <w:rsid w:val="000F3631"/>
    <w:rsid w:val="000F36F1"/>
    <w:rsid w:val="000F372A"/>
    <w:rsid w:val="000F39BA"/>
    <w:rsid w:val="000F3AE6"/>
    <w:rsid w:val="000F3BB3"/>
    <w:rsid w:val="000F3DB4"/>
    <w:rsid w:val="000F3F0D"/>
    <w:rsid w:val="000F3FAE"/>
    <w:rsid w:val="000F40F1"/>
    <w:rsid w:val="000F4323"/>
    <w:rsid w:val="000F4372"/>
    <w:rsid w:val="000F438B"/>
    <w:rsid w:val="000F472B"/>
    <w:rsid w:val="000F47C3"/>
    <w:rsid w:val="000F4A75"/>
    <w:rsid w:val="000F4AA5"/>
    <w:rsid w:val="000F4C88"/>
    <w:rsid w:val="000F4EC1"/>
    <w:rsid w:val="000F4F4F"/>
    <w:rsid w:val="000F5038"/>
    <w:rsid w:val="000F52DC"/>
    <w:rsid w:val="000F5388"/>
    <w:rsid w:val="000F5515"/>
    <w:rsid w:val="000F57D8"/>
    <w:rsid w:val="000F587D"/>
    <w:rsid w:val="000F593E"/>
    <w:rsid w:val="000F5C11"/>
    <w:rsid w:val="000F5FAA"/>
    <w:rsid w:val="000F60F7"/>
    <w:rsid w:val="000F61CB"/>
    <w:rsid w:val="000F65BC"/>
    <w:rsid w:val="000F679B"/>
    <w:rsid w:val="000F67B0"/>
    <w:rsid w:val="000F6C68"/>
    <w:rsid w:val="000F6D93"/>
    <w:rsid w:val="000F6F98"/>
    <w:rsid w:val="000F71E1"/>
    <w:rsid w:val="000F7F22"/>
    <w:rsid w:val="001000D2"/>
    <w:rsid w:val="001001B9"/>
    <w:rsid w:val="0010023E"/>
    <w:rsid w:val="001002C1"/>
    <w:rsid w:val="001004A8"/>
    <w:rsid w:val="0010073B"/>
    <w:rsid w:val="0010079E"/>
    <w:rsid w:val="00100AB9"/>
    <w:rsid w:val="00100E4C"/>
    <w:rsid w:val="001013AF"/>
    <w:rsid w:val="0010153A"/>
    <w:rsid w:val="001015CF"/>
    <w:rsid w:val="0010185E"/>
    <w:rsid w:val="00101A48"/>
    <w:rsid w:val="00101B33"/>
    <w:rsid w:val="00101C3F"/>
    <w:rsid w:val="00101CE6"/>
    <w:rsid w:val="00102023"/>
    <w:rsid w:val="00102091"/>
    <w:rsid w:val="0010214D"/>
    <w:rsid w:val="00102254"/>
    <w:rsid w:val="001022A7"/>
    <w:rsid w:val="00102627"/>
    <w:rsid w:val="00102992"/>
    <w:rsid w:val="00102AAE"/>
    <w:rsid w:val="00102B63"/>
    <w:rsid w:val="00102C6E"/>
    <w:rsid w:val="00102DA5"/>
    <w:rsid w:val="00102DB5"/>
    <w:rsid w:val="00102DFD"/>
    <w:rsid w:val="00103254"/>
    <w:rsid w:val="00103294"/>
    <w:rsid w:val="001033D0"/>
    <w:rsid w:val="001033FE"/>
    <w:rsid w:val="0010343B"/>
    <w:rsid w:val="001038AE"/>
    <w:rsid w:val="001038F0"/>
    <w:rsid w:val="001039B8"/>
    <w:rsid w:val="00103A45"/>
    <w:rsid w:val="00103AE1"/>
    <w:rsid w:val="00103D33"/>
    <w:rsid w:val="00103F95"/>
    <w:rsid w:val="0010403E"/>
    <w:rsid w:val="00104040"/>
    <w:rsid w:val="00104351"/>
    <w:rsid w:val="0010441F"/>
    <w:rsid w:val="001048BE"/>
    <w:rsid w:val="0010497B"/>
    <w:rsid w:val="00104D9D"/>
    <w:rsid w:val="00104E74"/>
    <w:rsid w:val="00104FD3"/>
    <w:rsid w:val="0010511A"/>
    <w:rsid w:val="00105760"/>
    <w:rsid w:val="00105801"/>
    <w:rsid w:val="00105803"/>
    <w:rsid w:val="001059DD"/>
    <w:rsid w:val="00105B93"/>
    <w:rsid w:val="00105E2B"/>
    <w:rsid w:val="00105FE2"/>
    <w:rsid w:val="001062BC"/>
    <w:rsid w:val="0010631D"/>
    <w:rsid w:val="00106474"/>
    <w:rsid w:val="001066FB"/>
    <w:rsid w:val="00106AAD"/>
    <w:rsid w:val="00106F6F"/>
    <w:rsid w:val="0010702C"/>
    <w:rsid w:val="00107396"/>
    <w:rsid w:val="00107445"/>
    <w:rsid w:val="00107764"/>
    <w:rsid w:val="00107769"/>
    <w:rsid w:val="001078BF"/>
    <w:rsid w:val="001078D7"/>
    <w:rsid w:val="001079F8"/>
    <w:rsid w:val="00107A14"/>
    <w:rsid w:val="00107CD0"/>
    <w:rsid w:val="00107EE7"/>
    <w:rsid w:val="001100AD"/>
    <w:rsid w:val="001100B7"/>
    <w:rsid w:val="00110373"/>
    <w:rsid w:val="001107D2"/>
    <w:rsid w:val="001108C5"/>
    <w:rsid w:val="00110970"/>
    <w:rsid w:val="00110DD9"/>
    <w:rsid w:val="00110F0E"/>
    <w:rsid w:val="00110F6A"/>
    <w:rsid w:val="0011127E"/>
    <w:rsid w:val="0011142B"/>
    <w:rsid w:val="0011155A"/>
    <w:rsid w:val="00111568"/>
    <w:rsid w:val="0011170F"/>
    <w:rsid w:val="0011171C"/>
    <w:rsid w:val="001117B7"/>
    <w:rsid w:val="00111968"/>
    <w:rsid w:val="00111A5E"/>
    <w:rsid w:val="00111D70"/>
    <w:rsid w:val="00111F13"/>
    <w:rsid w:val="00111FB0"/>
    <w:rsid w:val="001120C0"/>
    <w:rsid w:val="0011282C"/>
    <w:rsid w:val="00112AA5"/>
    <w:rsid w:val="00112AB9"/>
    <w:rsid w:val="00112B63"/>
    <w:rsid w:val="00112C3A"/>
    <w:rsid w:val="00112CC9"/>
    <w:rsid w:val="00112D81"/>
    <w:rsid w:val="00112DBB"/>
    <w:rsid w:val="00112E67"/>
    <w:rsid w:val="00112F52"/>
    <w:rsid w:val="00113024"/>
    <w:rsid w:val="0011314A"/>
    <w:rsid w:val="00113223"/>
    <w:rsid w:val="0011325B"/>
    <w:rsid w:val="0011340E"/>
    <w:rsid w:val="001134E8"/>
    <w:rsid w:val="00113502"/>
    <w:rsid w:val="00113617"/>
    <w:rsid w:val="001139AE"/>
    <w:rsid w:val="00113D3A"/>
    <w:rsid w:val="00113DB2"/>
    <w:rsid w:val="00113ED5"/>
    <w:rsid w:val="00114069"/>
    <w:rsid w:val="00114269"/>
    <w:rsid w:val="00114538"/>
    <w:rsid w:val="001146D2"/>
    <w:rsid w:val="0011499D"/>
    <w:rsid w:val="001150BF"/>
    <w:rsid w:val="001151D0"/>
    <w:rsid w:val="001153E1"/>
    <w:rsid w:val="001155C4"/>
    <w:rsid w:val="001156C3"/>
    <w:rsid w:val="00115B91"/>
    <w:rsid w:val="00115BEE"/>
    <w:rsid w:val="00115CB0"/>
    <w:rsid w:val="00115EB0"/>
    <w:rsid w:val="001166FB"/>
    <w:rsid w:val="001168F2"/>
    <w:rsid w:val="00116A52"/>
    <w:rsid w:val="00116C7E"/>
    <w:rsid w:val="00116DE5"/>
    <w:rsid w:val="00116E25"/>
    <w:rsid w:val="00116F9E"/>
    <w:rsid w:val="00117004"/>
    <w:rsid w:val="00117232"/>
    <w:rsid w:val="0011726F"/>
    <w:rsid w:val="00117298"/>
    <w:rsid w:val="001172DB"/>
    <w:rsid w:val="0011732A"/>
    <w:rsid w:val="00117350"/>
    <w:rsid w:val="00117502"/>
    <w:rsid w:val="001175F9"/>
    <w:rsid w:val="00117981"/>
    <w:rsid w:val="00120185"/>
    <w:rsid w:val="00120207"/>
    <w:rsid w:val="001203E0"/>
    <w:rsid w:val="001205CE"/>
    <w:rsid w:val="001205E1"/>
    <w:rsid w:val="001207EA"/>
    <w:rsid w:val="00120ADE"/>
    <w:rsid w:val="00120D1E"/>
    <w:rsid w:val="00120E0F"/>
    <w:rsid w:val="00121047"/>
    <w:rsid w:val="00121209"/>
    <w:rsid w:val="0012151A"/>
    <w:rsid w:val="00121532"/>
    <w:rsid w:val="00121846"/>
    <w:rsid w:val="0012198C"/>
    <w:rsid w:val="00121996"/>
    <w:rsid w:val="0012199A"/>
    <w:rsid w:val="0012215D"/>
    <w:rsid w:val="001221C5"/>
    <w:rsid w:val="00122350"/>
    <w:rsid w:val="0012235A"/>
    <w:rsid w:val="001225C8"/>
    <w:rsid w:val="0012268B"/>
    <w:rsid w:val="00122880"/>
    <w:rsid w:val="0012289C"/>
    <w:rsid w:val="00122AE3"/>
    <w:rsid w:val="00122C1A"/>
    <w:rsid w:val="00122E74"/>
    <w:rsid w:val="00122EA6"/>
    <w:rsid w:val="001231CC"/>
    <w:rsid w:val="00123212"/>
    <w:rsid w:val="001234EA"/>
    <w:rsid w:val="0012350E"/>
    <w:rsid w:val="00123BEC"/>
    <w:rsid w:val="00123C1B"/>
    <w:rsid w:val="00123C56"/>
    <w:rsid w:val="00123C8E"/>
    <w:rsid w:val="00123DC6"/>
    <w:rsid w:val="00123E2B"/>
    <w:rsid w:val="001240BC"/>
    <w:rsid w:val="001241EB"/>
    <w:rsid w:val="0012457D"/>
    <w:rsid w:val="0012493A"/>
    <w:rsid w:val="00124AEE"/>
    <w:rsid w:val="00124B4A"/>
    <w:rsid w:val="00124C8C"/>
    <w:rsid w:val="00124D9A"/>
    <w:rsid w:val="00124EF9"/>
    <w:rsid w:val="00124F04"/>
    <w:rsid w:val="00124FA2"/>
    <w:rsid w:val="001250CF"/>
    <w:rsid w:val="0012520A"/>
    <w:rsid w:val="001253AD"/>
    <w:rsid w:val="00125699"/>
    <w:rsid w:val="00125763"/>
    <w:rsid w:val="001258C7"/>
    <w:rsid w:val="001259F5"/>
    <w:rsid w:val="00125A66"/>
    <w:rsid w:val="00125C8E"/>
    <w:rsid w:val="00125E3C"/>
    <w:rsid w:val="00125E81"/>
    <w:rsid w:val="00126441"/>
    <w:rsid w:val="0012659D"/>
    <w:rsid w:val="001265A8"/>
    <w:rsid w:val="001267C9"/>
    <w:rsid w:val="0012681D"/>
    <w:rsid w:val="0012685A"/>
    <w:rsid w:val="00126C36"/>
    <w:rsid w:val="00126EA2"/>
    <w:rsid w:val="00126EC1"/>
    <w:rsid w:val="00126EDC"/>
    <w:rsid w:val="00126FA7"/>
    <w:rsid w:val="00127019"/>
    <w:rsid w:val="0012704A"/>
    <w:rsid w:val="0012708E"/>
    <w:rsid w:val="00127154"/>
    <w:rsid w:val="00127379"/>
    <w:rsid w:val="001273AE"/>
    <w:rsid w:val="00127479"/>
    <w:rsid w:val="001274A4"/>
    <w:rsid w:val="00127665"/>
    <w:rsid w:val="0012768F"/>
    <w:rsid w:val="00127769"/>
    <w:rsid w:val="001279A9"/>
    <w:rsid w:val="00127DC8"/>
    <w:rsid w:val="00127DEA"/>
    <w:rsid w:val="00127E34"/>
    <w:rsid w:val="00127E9D"/>
    <w:rsid w:val="00127FF5"/>
    <w:rsid w:val="0013015E"/>
    <w:rsid w:val="0013030A"/>
    <w:rsid w:val="00130621"/>
    <w:rsid w:val="001306DB"/>
    <w:rsid w:val="00130ADA"/>
    <w:rsid w:val="00130D08"/>
    <w:rsid w:val="00130D1C"/>
    <w:rsid w:val="00130FC1"/>
    <w:rsid w:val="0013107F"/>
    <w:rsid w:val="0013128C"/>
    <w:rsid w:val="00131C9D"/>
    <w:rsid w:val="00131F57"/>
    <w:rsid w:val="00132375"/>
    <w:rsid w:val="001323E8"/>
    <w:rsid w:val="0013245E"/>
    <w:rsid w:val="001325AC"/>
    <w:rsid w:val="00132691"/>
    <w:rsid w:val="00132699"/>
    <w:rsid w:val="00132893"/>
    <w:rsid w:val="001328A0"/>
    <w:rsid w:val="00132A66"/>
    <w:rsid w:val="00132CC3"/>
    <w:rsid w:val="00132E73"/>
    <w:rsid w:val="00133108"/>
    <w:rsid w:val="001335E4"/>
    <w:rsid w:val="00133744"/>
    <w:rsid w:val="00133892"/>
    <w:rsid w:val="00133904"/>
    <w:rsid w:val="00133A48"/>
    <w:rsid w:val="00133E7C"/>
    <w:rsid w:val="00133E7E"/>
    <w:rsid w:val="00133EFB"/>
    <w:rsid w:val="0013456F"/>
    <w:rsid w:val="00134768"/>
    <w:rsid w:val="0013490E"/>
    <w:rsid w:val="0013493C"/>
    <w:rsid w:val="00134B10"/>
    <w:rsid w:val="00134BDA"/>
    <w:rsid w:val="00134F79"/>
    <w:rsid w:val="00134F8D"/>
    <w:rsid w:val="001351C8"/>
    <w:rsid w:val="001353E4"/>
    <w:rsid w:val="00135414"/>
    <w:rsid w:val="00135503"/>
    <w:rsid w:val="00135779"/>
    <w:rsid w:val="0013667E"/>
    <w:rsid w:val="001366B7"/>
    <w:rsid w:val="00136788"/>
    <w:rsid w:val="00136D2F"/>
    <w:rsid w:val="00136D6C"/>
    <w:rsid w:val="00136DD7"/>
    <w:rsid w:val="00137066"/>
    <w:rsid w:val="001373AF"/>
    <w:rsid w:val="001374F2"/>
    <w:rsid w:val="0013756D"/>
    <w:rsid w:val="001375EC"/>
    <w:rsid w:val="00137815"/>
    <w:rsid w:val="00137C49"/>
    <w:rsid w:val="00140029"/>
    <w:rsid w:val="00140503"/>
    <w:rsid w:val="00140722"/>
    <w:rsid w:val="001407A9"/>
    <w:rsid w:val="00140A0B"/>
    <w:rsid w:val="00140B6D"/>
    <w:rsid w:val="00140B96"/>
    <w:rsid w:val="00140CD8"/>
    <w:rsid w:val="00140E31"/>
    <w:rsid w:val="00140FD0"/>
    <w:rsid w:val="00140FE0"/>
    <w:rsid w:val="00141140"/>
    <w:rsid w:val="0014115A"/>
    <w:rsid w:val="00141191"/>
    <w:rsid w:val="00141285"/>
    <w:rsid w:val="00141483"/>
    <w:rsid w:val="00141597"/>
    <w:rsid w:val="00141DF3"/>
    <w:rsid w:val="00141E32"/>
    <w:rsid w:val="00141ECD"/>
    <w:rsid w:val="00141ECE"/>
    <w:rsid w:val="00142072"/>
    <w:rsid w:val="001420DD"/>
    <w:rsid w:val="00142254"/>
    <w:rsid w:val="00142488"/>
    <w:rsid w:val="001424F3"/>
    <w:rsid w:val="00142503"/>
    <w:rsid w:val="0014254D"/>
    <w:rsid w:val="00142599"/>
    <w:rsid w:val="0014268C"/>
    <w:rsid w:val="00142B02"/>
    <w:rsid w:val="00142DEC"/>
    <w:rsid w:val="00142E2E"/>
    <w:rsid w:val="0014334D"/>
    <w:rsid w:val="001434ED"/>
    <w:rsid w:val="00143540"/>
    <w:rsid w:val="0014375C"/>
    <w:rsid w:val="00143DEA"/>
    <w:rsid w:val="00143EBA"/>
    <w:rsid w:val="00143EE3"/>
    <w:rsid w:val="00143FCB"/>
    <w:rsid w:val="00144305"/>
    <w:rsid w:val="00144417"/>
    <w:rsid w:val="0014444D"/>
    <w:rsid w:val="0014453D"/>
    <w:rsid w:val="00144755"/>
    <w:rsid w:val="001447A8"/>
    <w:rsid w:val="001448CD"/>
    <w:rsid w:val="00144935"/>
    <w:rsid w:val="00144A20"/>
    <w:rsid w:val="00144B4D"/>
    <w:rsid w:val="00144D76"/>
    <w:rsid w:val="00144E4C"/>
    <w:rsid w:val="00144F26"/>
    <w:rsid w:val="00144FEF"/>
    <w:rsid w:val="0014505D"/>
    <w:rsid w:val="0014505F"/>
    <w:rsid w:val="00145337"/>
    <w:rsid w:val="0014544A"/>
    <w:rsid w:val="001455DB"/>
    <w:rsid w:val="00145627"/>
    <w:rsid w:val="001456B7"/>
    <w:rsid w:val="0014571E"/>
    <w:rsid w:val="00145880"/>
    <w:rsid w:val="001458A9"/>
    <w:rsid w:val="00145A01"/>
    <w:rsid w:val="00145A1B"/>
    <w:rsid w:val="00145A21"/>
    <w:rsid w:val="00145A29"/>
    <w:rsid w:val="00145C6D"/>
    <w:rsid w:val="00145E1B"/>
    <w:rsid w:val="00145FD0"/>
    <w:rsid w:val="00145FDD"/>
    <w:rsid w:val="00146257"/>
    <w:rsid w:val="001462D4"/>
    <w:rsid w:val="001463F6"/>
    <w:rsid w:val="001465EB"/>
    <w:rsid w:val="0014661F"/>
    <w:rsid w:val="00146A41"/>
    <w:rsid w:val="00146AAD"/>
    <w:rsid w:val="00146BAA"/>
    <w:rsid w:val="00146E6B"/>
    <w:rsid w:val="00146E6C"/>
    <w:rsid w:val="00147078"/>
    <w:rsid w:val="0014728E"/>
    <w:rsid w:val="001475D1"/>
    <w:rsid w:val="00147601"/>
    <w:rsid w:val="0014764E"/>
    <w:rsid w:val="001476E4"/>
    <w:rsid w:val="00147803"/>
    <w:rsid w:val="0014799F"/>
    <w:rsid w:val="00147D51"/>
    <w:rsid w:val="00147E20"/>
    <w:rsid w:val="00147F0B"/>
    <w:rsid w:val="00150004"/>
    <w:rsid w:val="001500C7"/>
    <w:rsid w:val="00150231"/>
    <w:rsid w:val="00150258"/>
    <w:rsid w:val="0015031C"/>
    <w:rsid w:val="00150579"/>
    <w:rsid w:val="0015059A"/>
    <w:rsid w:val="0015083A"/>
    <w:rsid w:val="00150923"/>
    <w:rsid w:val="00150943"/>
    <w:rsid w:val="00150D9A"/>
    <w:rsid w:val="00150F40"/>
    <w:rsid w:val="00150FF6"/>
    <w:rsid w:val="00151226"/>
    <w:rsid w:val="00151285"/>
    <w:rsid w:val="00151309"/>
    <w:rsid w:val="00151394"/>
    <w:rsid w:val="001515E2"/>
    <w:rsid w:val="00151679"/>
    <w:rsid w:val="0015189A"/>
    <w:rsid w:val="00151D8D"/>
    <w:rsid w:val="00151E1B"/>
    <w:rsid w:val="00152104"/>
    <w:rsid w:val="001523CA"/>
    <w:rsid w:val="00152419"/>
    <w:rsid w:val="001525CD"/>
    <w:rsid w:val="001528EE"/>
    <w:rsid w:val="00152996"/>
    <w:rsid w:val="001529C7"/>
    <w:rsid w:val="0015304C"/>
    <w:rsid w:val="0015307F"/>
    <w:rsid w:val="001530FF"/>
    <w:rsid w:val="0015318E"/>
    <w:rsid w:val="00153265"/>
    <w:rsid w:val="001533B2"/>
    <w:rsid w:val="001533C7"/>
    <w:rsid w:val="001533CA"/>
    <w:rsid w:val="00153469"/>
    <w:rsid w:val="00153754"/>
    <w:rsid w:val="001537B7"/>
    <w:rsid w:val="00153859"/>
    <w:rsid w:val="001538FF"/>
    <w:rsid w:val="00153A2C"/>
    <w:rsid w:val="00153C07"/>
    <w:rsid w:val="0015401C"/>
    <w:rsid w:val="00154570"/>
    <w:rsid w:val="001546F9"/>
    <w:rsid w:val="00154806"/>
    <w:rsid w:val="00154ABB"/>
    <w:rsid w:val="00154D30"/>
    <w:rsid w:val="00154DD2"/>
    <w:rsid w:val="00154F43"/>
    <w:rsid w:val="00154F6F"/>
    <w:rsid w:val="001551C1"/>
    <w:rsid w:val="00155529"/>
    <w:rsid w:val="0015578A"/>
    <w:rsid w:val="0015589E"/>
    <w:rsid w:val="00155BAF"/>
    <w:rsid w:val="00155D2A"/>
    <w:rsid w:val="00155E58"/>
    <w:rsid w:val="00155E78"/>
    <w:rsid w:val="00155FB3"/>
    <w:rsid w:val="00156003"/>
    <w:rsid w:val="0015615A"/>
    <w:rsid w:val="0015616E"/>
    <w:rsid w:val="001561BF"/>
    <w:rsid w:val="00156382"/>
    <w:rsid w:val="001565BE"/>
    <w:rsid w:val="0015676E"/>
    <w:rsid w:val="00156905"/>
    <w:rsid w:val="00156982"/>
    <w:rsid w:val="00156B7E"/>
    <w:rsid w:val="00156B98"/>
    <w:rsid w:val="00156DA2"/>
    <w:rsid w:val="00156E66"/>
    <w:rsid w:val="00156EAE"/>
    <w:rsid w:val="00156FCF"/>
    <w:rsid w:val="001570A9"/>
    <w:rsid w:val="00157628"/>
    <w:rsid w:val="0015783E"/>
    <w:rsid w:val="00157AD3"/>
    <w:rsid w:val="00157C4D"/>
    <w:rsid w:val="00157E31"/>
    <w:rsid w:val="00157FE6"/>
    <w:rsid w:val="00160041"/>
    <w:rsid w:val="0016016B"/>
    <w:rsid w:val="001601DC"/>
    <w:rsid w:val="001601E3"/>
    <w:rsid w:val="00160426"/>
    <w:rsid w:val="00160583"/>
    <w:rsid w:val="00160898"/>
    <w:rsid w:val="001609C9"/>
    <w:rsid w:val="00160D03"/>
    <w:rsid w:val="00160D2D"/>
    <w:rsid w:val="00160E25"/>
    <w:rsid w:val="00160EFC"/>
    <w:rsid w:val="00160F4F"/>
    <w:rsid w:val="00161594"/>
    <w:rsid w:val="001616D0"/>
    <w:rsid w:val="001616FB"/>
    <w:rsid w:val="0016174D"/>
    <w:rsid w:val="00161ADB"/>
    <w:rsid w:val="00161B53"/>
    <w:rsid w:val="00161F3F"/>
    <w:rsid w:val="0016232E"/>
    <w:rsid w:val="00162347"/>
    <w:rsid w:val="001623BA"/>
    <w:rsid w:val="0016248E"/>
    <w:rsid w:val="001624EA"/>
    <w:rsid w:val="0016268F"/>
    <w:rsid w:val="00162B16"/>
    <w:rsid w:val="00162C80"/>
    <w:rsid w:val="00162CA4"/>
    <w:rsid w:val="00162D07"/>
    <w:rsid w:val="00162D98"/>
    <w:rsid w:val="00163009"/>
    <w:rsid w:val="00163764"/>
    <w:rsid w:val="00163A43"/>
    <w:rsid w:val="00163B6D"/>
    <w:rsid w:val="00163C2E"/>
    <w:rsid w:val="00163D92"/>
    <w:rsid w:val="00163E37"/>
    <w:rsid w:val="00163EC0"/>
    <w:rsid w:val="00163FAE"/>
    <w:rsid w:val="00164144"/>
    <w:rsid w:val="001641BD"/>
    <w:rsid w:val="00164235"/>
    <w:rsid w:val="001646E2"/>
    <w:rsid w:val="00164853"/>
    <w:rsid w:val="00164A0F"/>
    <w:rsid w:val="00164D34"/>
    <w:rsid w:val="00164E58"/>
    <w:rsid w:val="0016503E"/>
    <w:rsid w:val="0016508C"/>
    <w:rsid w:val="001650E5"/>
    <w:rsid w:val="001651E5"/>
    <w:rsid w:val="00165230"/>
    <w:rsid w:val="0016539A"/>
    <w:rsid w:val="0016547E"/>
    <w:rsid w:val="00165517"/>
    <w:rsid w:val="0016575A"/>
    <w:rsid w:val="00165C41"/>
    <w:rsid w:val="00165CCB"/>
    <w:rsid w:val="00165F78"/>
    <w:rsid w:val="00166152"/>
    <w:rsid w:val="0016641B"/>
    <w:rsid w:val="00166480"/>
    <w:rsid w:val="001664BC"/>
    <w:rsid w:val="001665C6"/>
    <w:rsid w:val="00166801"/>
    <w:rsid w:val="00166816"/>
    <w:rsid w:val="0016698F"/>
    <w:rsid w:val="001669EC"/>
    <w:rsid w:val="001673B8"/>
    <w:rsid w:val="00167954"/>
    <w:rsid w:val="00167970"/>
    <w:rsid w:val="00167B2C"/>
    <w:rsid w:val="0017018D"/>
    <w:rsid w:val="00170195"/>
    <w:rsid w:val="001708DE"/>
    <w:rsid w:val="00170AFB"/>
    <w:rsid w:val="00170E24"/>
    <w:rsid w:val="0017106F"/>
    <w:rsid w:val="0017109C"/>
    <w:rsid w:val="00171444"/>
    <w:rsid w:val="001714D0"/>
    <w:rsid w:val="00171663"/>
    <w:rsid w:val="00171861"/>
    <w:rsid w:val="001718E9"/>
    <w:rsid w:val="00171BFF"/>
    <w:rsid w:val="00171CB7"/>
    <w:rsid w:val="00171D5C"/>
    <w:rsid w:val="00171F96"/>
    <w:rsid w:val="0017200C"/>
    <w:rsid w:val="0017207A"/>
    <w:rsid w:val="00172124"/>
    <w:rsid w:val="001725A5"/>
    <w:rsid w:val="001725C2"/>
    <w:rsid w:val="001726D9"/>
    <w:rsid w:val="00172813"/>
    <w:rsid w:val="00172814"/>
    <w:rsid w:val="0017284F"/>
    <w:rsid w:val="0017299D"/>
    <w:rsid w:val="00172ADE"/>
    <w:rsid w:val="00172D18"/>
    <w:rsid w:val="00172F51"/>
    <w:rsid w:val="00173160"/>
    <w:rsid w:val="001731A7"/>
    <w:rsid w:val="001731EA"/>
    <w:rsid w:val="001731F7"/>
    <w:rsid w:val="00173275"/>
    <w:rsid w:val="00173397"/>
    <w:rsid w:val="001733FD"/>
    <w:rsid w:val="00173413"/>
    <w:rsid w:val="00173483"/>
    <w:rsid w:val="001735F0"/>
    <w:rsid w:val="0017377D"/>
    <w:rsid w:val="001737EE"/>
    <w:rsid w:val="00173A6A"/>
    <w:rsid w:val="00173D3F"/>
    <w:rsid w:val="00173DDA"/>
    <w:rsid w:val="00173E02"/>
    <w:rsid w:val="00173E9B"/>
    <w:rsid w:val="00173ECB"/>
    <w:rsid w:val="00173FD8"/>
    <w:rsid w:val="00174178"/>
    <w:rsid w:val="001742CD"/>
    <w:rsid w:val="001746E8"/>
    <w:rsid w:val="00174841"/>
    <w:rsid w:val="00174AED"/>
    <w:rsid w:val="00174C56"/>
    <w:rsid w:val="00174EFE"/>
    <w:rsid w:val="0017522F"/>
    <w:rsid w:val="00175267"/>
    <w:rsid w:val="00175326"/>
    <w:rsid w:val="00175703"/>
    <w:rsid w:val="0017588E"/>
    <w:rsid w:val="001758DE"/>
    <w:rsid w:val="00175A93"/>
    <w:rsid w:val="00175B6D"/>
    <w:rsid w:val="00175B86"/>
    <w:rsid w:val="00175EBD"/>
    <w:rsid w:val="00175F67"/>
    <w:rsid w:val="00175FD9"/>
    <w:rsid w:val="0017604C"/>
    <w:rsid w:val="001760C7"/>
    <w:rsid w:val="001761A6"/>
    <w:rsid w:val="0017631E"/>
    <w:rsid w:val="0017645B"/>
    <w:rsid w:val="0017647E"/>
    <w:rsid w:val="001765DC"/>
    <w:rsid w:val="00176B2F"/>
    <w:rsid w:val="00176D25"/>
    <w:rsid w:val="00176DD5"/>
    <w:rsid w:val="00176EA3"/>
    <w:rsid w:val="00176ED6"/>
    <w:rsid w:val="00176F17"/>
    <w:rsid w:val="0017701B"/>
    <w:rsid w:val="0017706B"/>
    <w:rsid w:val="001770D0"/>
    <w:rsid w:val="001773D0"/>
    <w:rsid w:val="0017747A"/>
    <w:rsid w:val="00177889"/>
    <w:rsid w:val="00177AA4"/>
    <w:rsid w:val="00177CA4"/>
    <w:rsid w:val="00177D14"/>
    <w:rsid w:val="0018070B"/>
    <w:rsid w:val="00180712"/>
    <w:rsid w:val="00180801"/>
    <w:rsid w:val="00180928"/>
    <w:rsid w:val="0018096D"/>
    <w:rsid w:val="00180A24"/>
    <w:rsid w:val="00180AC5"/>
    <w:rsid w:val="00180CBE"/>
    <w:rsid w:val="00180DFB"/>
    <w:rsid w:val="00180E1C"/>
    <w:rsid w:val="00180E22"/>
    <w:rsid w:val="00181072"/>
    <w:rsid w:val="001813C9"/>
    <w:rsid w:val="00181617"/>
    <w:rsid w:val="00181717"/>
    <w:rsid w:val="001817AE"/>
    <w:rsid w:val="00181D8E"/>
    <w:rsid w:val="00182318"/>
    <w:rsid w:val="00182712"/>
    <w:rsid w:val="00183034"/>
    <w:rsid w:val="001830EF"/>
    <w:rsid w:val="0018333B"/>
    <w:rsid w:val="0018342E"/>
    <w:rsid w:val="001834BF"/>
    <w:rsid w:val="0018350E"/>
    <w:rsid w:val="00183628"/>
    <w:rsid w:val="00183901"/>
    <w:rsid w:val="00183B17"/>
    <w:rsid w:val="00183CAB"/>
    <w:rsid w:val="00183CD8"/>
    <w:rsid w:val="00183F91"/>
    <w:rsid w:val="001840C2"/>
    <w:rsid w:val="0018415D"/>
    <w:rsid w:val="00184240"/>
    <w:rsid w:val="001845DD"/>
    <w:rsid w:val="0018471D"/>
    <w:rsid w:val="0018472F"/>
    <w:rsid w:val="00184B3E"/>
    <w:rsid w:val="00184B46"/>
    <w:rsid w:val="00184B6B"/>
    <w:rsid w:val="00184C64"/>
    <w:rsid w:val="00184E24"/>
    <w:rsid w:val="00185077"/>
    <w:rsid w:val="00185298"/>
    <w:rsid w:val="00185305"/>
    <w:rsid w:val="001853F1"/>
    <w:rsid w:val="00185620"/>
    <w:rsid w:val="001856C9"/>
    <w:rsid w:val="00185939"/>
    <w:rsid w:val="00185B11"/>
    <w:rsid w:val="00185C47"/>
    <w:rsid w:val="00185FCD"/>
    <w:rsid w:val="001861D7"/>
    <w:rsid w:val="0018629B"/>
    <w:rsid w:val="00186316"/>
    <w:rsid w:val="0018644D"/>
    <w:rsid w:val="001865CE"/>
    <w:rsid w:val="00186607"/>
    <w:rsid w:val="00186643"/>
    <w:rsid w:val="001868F2"/>
    <w:rsid w:val="00186A34"/>
    <w:rsid w:val="00186D82"/>
    <w:rsid w:val="00186D85"/>
    <w:rsid w:val="0018731D"/>
    <w:rsid w:val="00187377"/>
    <w:rsid w:val="00187388"/>
    <w:rsid w:val="001875C0"/>
    <w:rsid w:val="0018762B"/>
    <w:rsid w:val="001876F6"/>
    <w:rsid w:val="0018787C"/>
    <w:rsid w:val="00187982"/>
    <w:rsid w:val="001879D3"/>
    <w:rsid w:val="00187D88"/>
    <w:rsid w:val="00187DAB"/>
    <w:rsid w:val="00190011"/>
    <w:rsid w:val="001900BB"/>
    <w:rsid w:val="00190307"/>
    <w:rsid w:val="0019032F"/>
    <w:rsid w:val="001908C8"/>
    <w:rsid w:val="00190C08"/>
    <w:rsid w:val="00190C2E"/>
    <w:rsid w:val="00190F29"/>
    <w:rsid w:val="001914CB"/>
    <w:rsid w:val="001915EC"/>
    <w:rsid w:val="00191A2A"/>
    <w:rsid w:val="00191BC8"/>
    <w:rsid w:val="00191DC4"/>
    <w:rsid w:val="00191E23"/>
    <w:rsid w:val="00192115"/>
    <w:rsid w:val="0019218D"/>
    <w:rsid w:val="00192825"/>
    <w:rsid w:val="00192BDB"/>
    <w:rsid w:val="001932E7"/>
    <w:rsid w:val="00193363"/>
    <w:rsid w:val="00193394"/>
    <w:rsid w:val="001934D5"/>
    <w:rsid w:val="00193F2A"/>
    <w:rsid w:val="00194009"/>
    <w:rsid w:val="00194048"/>
    <w:rsid w:val="001940B0"/>
    <w:rsid w:val="001940E1"/>
    <w:rsid w:val="00194657"/>
    <w:rsid w:val="0019466E"/>
    <w:rsid w:val="0019475F"/>
    <w:rsid w:val="001947A5"/>
    <w:rsid w:val="001947E9"/>
    <w:rsid w:val="001948AD"/>
    <w:rsid w:val="001949E2"/>
    <w:rsid w:val="00194D5D"/>
    <w:rsid w:val="00194E73"/>
    <w:rsid w:val="00194FBB"/>
    <w:rsid w:val="0019521D"/>
    <w:rsid w:val="001953B1"/>
    <w:rsid w:val="0019542C"/>
    <w:rsid w:val="00195503"/>
    <w:rsid w:val="001955EE"/>
    <w:rsid w:val="0019570B"/>
    <w:rsid w:val="00195907"/>
    <w:rsid w:val="00195965"/>
    <w:rsid w:val="0019598B"/>
    <w:rsid w:val="00195D18"/>
    <w:rsid w:val="00195D5A"/>
    <w:rsid w:val="0019620A"/>
    <w:rsid w:val="001962D1"/>
    <w:rsid w:val="001963C0"/>
    <w:rsid w:val="0019668E"/>
    <w:rsid w:val="001967B9"/>
    <w:rsid w:val="00196C0A"/>
    <w:rsid w:val="00196E4F"/>
    <w:rsid w:val="00197321"/>
    <w:rsid w:val="001973A2"/>
    <w:rsid w:val="001973C2"/>
    <w:rsid w:val="0019747D"/>
    <w:rsid w:val="001974BF"/>
    <w:rsid w:val="001976F2"/>
    <w:rsid w:val="00197831"/>
    <w:rsid w:val="00197834"/>
    <w:rsid w:val="001978C8"/>
    <w:rsid w:val="0019793E"/>
    <w:rsid w:val="00197956"/>
    <w:rsid w:val="00197A82"/>
    <w:rsid w:val="00197D10"/>
    <w:rsid w:val="00197DB5"/>
    <w:rsid w:val="00197E38"/>
    <w:rsid w:val="00197E61"/>
    <w:rsid w:val="00197FCF"/>
    <w:rsid w:val="001A0FB7"/>
    <w:rsid w:val="001A1381"/>
    <w:rsid w:val="001A1773"/>
    <w:rsid w:val="001A182C"/>
    <w:rsid w:val="001A1AAB"/>
    <w:rsid w:val="001A1BE0"/>
    <w:rsid w:val="001A1D9E"/>
    <w:rsid w:val="001A1DBC"/>
    <w:rsid w:val="001A1E2A"/>
    <w:rsid w:val="001A2195"/>
    <w:rsid w:val="001A24FC"/>
    <w:rsid w:val="001A2740"/>
    <w:rsid w:val="001A29AE"/>
    <w:rsid w:val="001A2C95"/>
    <w:rsid w:val="001A2D70"/>
    <w:rsid w:val="001A2DF9"/>
    <w:rsid w:val="001A314E"/>
    <w:rsid w:val="001A3203"/>
    <w:rsid w:val="001A399A"/>
    <w:rsid w:val="001A3D06"/>
    <w:rsid w:val="001A3DD4"/>
    <w:rsid w:val="001A3E12"/>
    <w:rsid w:val="001A3F54"/>
    <w:rsid w:val="001A4084"/>
    <w:rsid w:val="001A409D"/>
    <w:rsid w:val="001A40EE"/>
    <w:rsid w:val="001A446E"/>
    <w:rsid w:val="001A45B5"/>
    <w:rsid w:val="001A47B3"/>
    <w:rsid w:val="001A47D2"/>
    <w:rsid w:val="001A47EE"/>
    <w:rsid w:val="001A4AAD"/>
    <w:rsid w:val="001A4C12"/>
    <w:rsid w:val="001A4CEA"/>
    <w:rsid w:val="001A4D7C"/>
    <w:rsid w:val="001A4F06"/>
    <w:rsid w:val="001A5237"/>
    <w:rsid w:val="001A5595"/>
    <w:rsid w:val="001A5E31"/>
    <w:rsid w:val="001A5E83"/>
    <w:rsid w:val="001A5E8F"/>
    <w:rsid w:val="001A5F11"/>
    <w:rsid w:val="001A5FC7"/>
    <w:rsid w:val="001A5FEC"/>
    <w:rsid w:val="001A60FA"/>
    <w:rsid w:val="001A6224"/>
    <w:rsid w:val="001A6321"/>
    <w:rsid w:val="001A6430"/>
    <w:rsid w:val="001A65BA"/>
    <w:rsid w:val="001A68E7"/>
    <w:rsid w:val="001A6954"/>
    <w:rsid w:val="001A6AC4"/>
    <w:rsid w:val="001A6B13"/>
    <w:rsid w:val="001A6BB6"/>
    <w:rsid w:val="001A6BC8"/>
    <w:rsid w:val="001A6C0F"/>
    <w:rsid w:val="001A6C2C"/>
    <w:rsid w:val="001A6D6B"/>
    <w:rsid w:val="001A6F21"/>
    <w:rsid w:val="001A6F9F"/>
    <w:rsid w:val="001A7126"/>
    <w:rsid w:val="001A73F3"/>
    <w:rsid w:val="001A7409"/>
    <w:rsid w:val="001A7454"/>
    <w:rsid w:val="001A752D"/>
    <w:rsid w:val="001A75BA"/>
    <w:rsid w:val="001A7840"/>
    <w:rsid w:val="001A793E"/>
    <w:rsid w:val="001A7A76"/>
    <w:rsid w:val="001A7B59"/>
    <w:rsid w:val="001A7C9A"/>
    <w:rsid w:val="001A7D68"/>
    <w:rsid w:val="001A7DEE"/>
    <w:rsid w:val="001A7E96"/>
    <w:rsid w:val="001B0010"/>
    <w:rsid w:val="001B0505"/>
    <w:rsid w:val="001B059B"/>
    <w:rsid w:val="001B05C5"/>
    <w:rsid w:val="001B0605"/>
    <w:rsid w:val="001B06C8"/>
    <w:rsid w:val="001B0929"/>
    <w:rsid w:val="001B0CB6"/>
    <w:rsid w:val="001B105A"/>
    <w:rsid w:val="001B116E"/>
    <w:rsid w:val="001B13F2"/>
    <w:rsid w:val="001B155E"/>
    <w:rsid w:val="001B1574"/>
    <w:rsid w:val="001B1676"/>
    <w:rsid w:val="001B17A8"/>
    <w:rsid w:val="001B18AD"/>
    <w:rsid w:val="001B18D1"/>
    <w:rsid w:val="001B1B70"/>
    <w:rsid w:val="001B1D28"/>
    <w:rsid w:val="001B1E22"/>
    <w:rsid w:val="001B2031"/>
    <w:rsid w:val="001B2252"/>
    <w:rsid w:val="001B23D3"/>
    <w:rsid w:val="001B25C0"/>
    <w:rsid w:val="001B2BF8"/>
    <w:rsid w:val="001B2C1D"/>
    <w:rsid w:val="001B3100"/>
    <w:rsid w:val="001B3391"/>
    <w:rsid w:val="001B3538"/>
    <w:rsid w:val="001B3A12"/>
    <w:rsid w:val="001B3B20"/>
    <w:rsid w:val="001B3B79"/>
    <w:rsid w:val="001B3E1F"/>
    <w:rsid w:val="001B3F3C"/>
    <w:rsid w:val="001B4018"/>
    <w:rsid w:val="001B4170"/>
    <w:rsid w:val="001B4237"/>
    <w:rsid w:val="001B42CF"/>
    <w:rsid w:val="001B443D"/>
    <w:rsid w:val="001B4659"/>
    <w:rsid w:val="001B4924"/>
    <w:rsid w:val="001B4975"/>
    <w:rsid w:val="001B4CA0"/>
    <w:rsid w:val="001B4D99"/>
    <w:rsid w:val="001B4DC0"/>
    <w:rsid w:val="001B4E52"/>
    <w:rsid w:val="001B4E64"/>
    <w:rsid w:val="001B5128"/>
    <w:rsid w:val="001B53B5"/>
    <w:rsid w:val="001B54FD"/>
    <w:rsid w:val="001B55C8"/>
    <w:rsid w:val="001B561D"/>
    <w:rsid w:val="001B5825"/>
    <w:rsid w:val="001B58BB"/>
    <w:rsid w:val="001B5989"/>
    <w:rsid w:val="001B5B09"/>
    <w:rsid w:val="001B5B4F"/>
    <w:rsid w:val="001B5CFF"/>
    <w:rsid w:val="001B5FF4"/>
    <w:rsid w:val="001B6128"/>
    <w:rsid w:val="001B6167"/>
    <w:rsid w:val="001B6268"/>
    <w:rsid w:val="001B63C6"/>
    <w:rsid w:val="001B661D"/>
    <w:rsid w:val="001B6757"/>
    <w:rsid w:val="001B6AAF"/>
    <w:rsid w:val="001B6C20"/>
    <w:rsid w:val="001B6CA7"/>
    <w:rsid w:val="001B70DF"/>
    <w:rsid w:val="001B73FC"/>
    <w:rsid w:val="001B747E"/>
    <w:rsid w:val="001B7956"/>
    <w:rsid w:val="001B79AE"/>
    <w:rsid w:val="001B79B4"/>
    <w:rsid w:val="001B7DEE"/>
    <w:rsid w:val="001B7E24"/>
    <w:rsid w:val="001C00AF"/>
    <w:rsid w:val="001C0218"/>
    <w:rsid w:val="001C0271"/>
    <w:rsid w:val="001C02E5"/>
    <w:rsid w:val="001C046B"/>
    <w:rsid w:val="001C072E"/>
    <w:rsid w:val="001C09C5"/>
    <w:rsid w:val="001C0A07"/>
    <w:rsid w:val="001C0E02"/>
    <w:rsid w:val="001C1007"/>
    <w:rsid w:val="001C10EA"/>
    <w:rsid w:val="001C1127"/>
    <w:rsid w:val="001C1490"/>
    <w:rsid w:val="001C164F"/>
    <w:rsid w:val="001C16F0"/>
    <w:rsid w:val="001C1780"/>
    <w:rsid w:val="001C192C"/>
    <w:rsid w:val="001C1948"/>
    <w:rsid w:val="001C1A3B"/>
    <w:rsid w:val="001C1CCF"/>
    <w:rsid w:val="001C1DCA"/>
    <w:rsid w:val="001C1EF5"/>
    <w:rsid w:val="001C2047"/>
    <w:rsid w:val="001C206F"/>
    <w:rsid w:val="001C2071"/>
    <w:rsid w:val="001C20EB"/>
    <w:rsid w:val="001C2475"/>
    <w:rsid w:val="001C252B"/>
    <w:rsid w:val="001C260F"/>
    <w:rsid w:val="001C272A"/>
    <w:rsid w:val="001C279F"/>
    <w:rsid w:val="001C27B0"/>
    <w:rsid w:val="001C2850"/>
    <w:rsid w:val="001C2F55"/>
    <w:rsid w:val="001C30F7"/>
    <w:rsid w:val="001C32A8"/>
    <w:rsid w:val="001C3308"/>
    <w:rsid w:val="001C386C"/>
    <w:rsid w:val="001C3908"/>
    <w:rsid w:val="001C3918"/>
    <w:rsid w:val="001C39E4"/>
    <w:rsid w:val="001C3A4C"/>
    <w:rsid w:val="001C3A60"/>
    <w:rsid w:val="001C3BBC"/>
    <w:rsid w:val="001C3BE9"/>
    <w:rsid w:val="001C3FC4"/>
    <w:rsid w:val="001C40CE"/>
    <w:rsid w:val="001C4119"/>
    <w:rsid w:val="001C4237"/>
    <w:rsid w:val="001C42B6"/>
    <w:rsid w:val="001C48D4"/>
    <w:rsid w:val="001C4BFC"/>
    <w:rsid w:val="001C4DFD"/>
    <w:rsid w:val="001C5092"/>
    <w:rsid w:val="001C542B"/>
    <w:rsid w:val="001C564F"/>
    <w:rsid w:val="001C5742"/>
    <w:rsid w:val="001C5BF7"/>
    <w:rsid w:val="001C5D66"/>
    <w:rsid w:val="001C6013"/>
    <w:rsid w:val="001C6C39"/>
    <w:rsid w:val="001C6F78"/>
    <w:rsid w:val="001C724A"/>
    <w:rsid w:val="001C7448"/>
    <w:rsid w:val="001C74A2"/>
    <w:rsid w:val="001C74CF"/>
    <w:rsid w:val="001C7650"/>
    <w:rsid w:val="001C785E"/>
    <w:rsid w:val="001C7A63"/>
    <w:rsid w:val="001C7A83"/>
    <w:rsid w:val="001C7A90"/>
    <w:rsid w:val="001C7C93"/>
    <w:rsid w:val="001C7DB1"/>
    <w:rsid w:val="001C7F2B"/>
    <w:rsid w:val="001C7F4A"/>
    <w:rsid w:val="001D0121"/>
    <w:rsid w:val="001D01D0"/>
    <w:rsid w:val="001D01F4"/>
    <w:rsid w:val="001D0240"/>
    <w:rsid w:val="001D024E"/>
    <w:rsid w:val="001D027E"/>
    <w:rsid w:val="001D0415"/>
    <w:rsid w:val="001D061C"/>
    <w:rsid w:val="001D06EC"/>
    <w:rsid w:val="001D07E4"/>
    <w:rsid w:val="001D08FE"/>
    <w:rsid w:val="001D0C7C"/>
    <w:rsid w:val="001D0CAD"/>
    <w:rsid w:val="001D0FDC"/>
    <w:rsid w:val="001D11B8"/>
    <w:rsid w:val="001D1315"/>
    <w:rsid w:val="001D1463"/>
    <w:rsid w:val="001D1902"/>
    <w:rsid w:val="001D1B92"/>
    <w:rsid w:val="001D1C1D"/>
    <w:rsid w:val="001D1D7D"/>
    <w:rsid w:val="001D1E1A"/>
    <w:rsid w:val="001D1E26"/>
    <w:rsid w:val="001D1EB9"/>
    <w:rsid w:val="001D2221"/>
    <w:rsid w:val="001D224E"/>
    <w:rsid w:val="001D239C"/>
    <w:rsid w:val="001D2530"/>
    <w:rsid w:val="001D25EF"/>
    <w:rsid w:val="001D26F1"/>
    <w:rsid w:val="001D293D"/>
    <w:rsid w:val="001D2BF9"/>
    <w:rsid w:val="001D2FCD"/>
    <w:rsid w:val="001D31D4"/>
    <w:rsid w:val="001D322C"/>
    <w:rsid w:val="001D36CD"/>
    <w:rsid w:val="001D394B"/>
    <w:rsid w:val="001D3A30"/>
    <w:rsid w:val="001D3AA2"/>
    <w:rsid w:val="001D3EB1"/>
    <w:rsid w:val="001D3F23"/>
    <w:rsid w:val="001D3F96"/>
    <w:rsid w:val="001D4236"/>
    <w:rsid w:val="001D4240"/>
    <w:rsid w:val="001D43C7"/>
    <w:rsid w:val="001D4448"/>
    <w:rsid w:val="001D4506"/>
    <w:rsid w:val="001D4649"/>
    <w:rsid w:val="001D479F"/>
    <w:rsid w:val="001D4C73"/>
    <w:rsid w:val="001D4ED8"/>
    <w:rsid w:val="001D4F17"/>
    <w:rsid w:val="001D4F49"/>
    <w:rsid w:val="001D50ED"/>
    <w:rsid w:val="001D5234"/>
    <w:rsid w:val="001D538B"/>
    <w:rsid w:val="001D58DF"/>
    <w:rsid w:val="001D5921"/>
    <w:rsid w:val="001D5976"/>
    <w:rsid w:val="001D599B"/>
    <w:rsid w:val="001D5AC6"/>
    <w:rsid w:val="001D5C27"/>
    <w:rsid w:val="001D5F92"/>
    <w:rsid w:val="001D61B8"/>
    <w:rsid w:val="001D620B"/>
    <w:rsid w:val="001D63FC"/>
    <w:rsid w:val="001D641C"/>
    <w:rsid w:val="001D6612"/>
    <w:rsid w:val="001D677C"/>
    <w:rsid w:val="001D67FC"/>
    <w:rsid w:val="001D6B42"/>
    <w:rsid w:val="001D6B59"/>
    <w:rsid w:val="001D6BE6"/>
    <w:rsid w:val="001D6D64"/>
    <w:rsid w:val="001D7066"/>
    <w:rsid w:val="001D7162"/>
    <w:rsid w:val="001D716F"/>
    <w:rsid w:val="001D7264"/>
    <w:rsid w:val="001D78A8"/>
    <w:rsid w:val="001D7982"/>
    <w:rsid w:val="001D79C8"/>
    <w:rsid w:val="001D7A44"/>
    <w:rsid w:val="001D7DB6"/>
    <w:rsid w:val="001D7EE0"/>
    <w:rsid w:val="001D7F37"/>
    <w:rsid w:val="001D7FBB"/>
    <w:rsid w:val="001E00D5"/>
    <w:rsid w:val="001E0158"/>
    <w:rsid w:val="001E01B4"/>
    <w:rsid w:val="001E0AB1"/>
    <w:rsid w:val="001E0C62"/>
    <w:rsid w:val="001E0F23"/>
    <w:rsid w:val="001E1007"/>
    <w:rsid w:val="001E1276"/>
    <w:rsid w:val="001E14DE"/>
    <w:rsid w:val="001E16E6"/>
    <w:rsid w:val="001E1761"/>
    <w:rsid w:val="001E1949"/>
    <w:rsid w:val="001E1A7E"/>
    <w:rsid w:val="001E1AE7"/>
    <w:rsid w:val="001E1B32"/>
    <w:rsid w:val="001E1D15"/>
    <w:rsid w:val="001E1D3D"/>
    <w:rsid w:val="001E1FB3"/>
    <w:rsid w:val="001E201D"/>
    <w:rsid w:val="001E2078"/>
    <w:rsid w:val="001E21DF"/>
    <w:rsid w:val="001E2241"/>
    <w:rsid w:val="001E2245"/>
    <w:rsid w:val="001E23B0"/>
    <w:rsid w:val="001E2853"/>
    <w:rsid w:val="001E2893"/>
    <w:rsid w:val="001E2AA9"/>
    <w:rsid w:val="001E328B"/>
    <w:rsid w:val="001E3383"/>
    <w:rsid w:val="001E350F"/>
    <w:rsid w:val="001E36DD"/>
    <w:rsid w:val="001E3852"/>
    <w:rsid w:val="001E387C"/>
    <w:rsid w:val="001E3A14"/>
    <w:rsid w:val="001E3A1B"/>
    <w:rsid w:val="001E3B0B"/>
    <w:rsid w:val="001E3C46"/>
    <w:rsid w:val="001E3D45"/>
    <w:rsid w:val="001E3EA5"/>
    <w:rsid w:val="001E3F1E"/>
    <w:rsid w:val="001E4161"/>
    <w:rsid w:val="001E4185"/>
    <w:rsid w:val="001E42ED"/>
    <w:rsid w:val="001E4652"/>
    <w:rsid w:val="001E47D1"/>
    <w:rsid w:val="001E4B44"/>
    <w:rsid w:val="001E4BA0"/>
    <w:rsid w:val="001E4DE8"/>
    <w:rsid w:val="001E4F81"/>
    <w:rsid w:val="001E55B0"/>
    <w:rsid w:val="001E57B4"/>
    <w:rsid w:val="001E5C44"/>
    <w:rsid w:val="001E5CFB"/>
    <w:rsid w:val="001E5D50"/>
    <w:rsid w:val="001E5DB6"/>
    <w:rsid w:val="001E5FFB"/>
    <w:rsid w:val="001E63C3"/>
    <w:rsid w:val="001E6470"/>
    <w:rsid w:val="001E6502"/>
    <w:rsid w:val="001E6867"/>
    <w:rsid w:val="001E6A64"/>
    <w:rsid w:val="001E6B0C"/>
    <w:rsid w:val="001E6D50"/>
    <w:rsid w:val="001E6E49"/>
    <w:rsid w:val="001E70F3"/>
    <w:rsid w:val="001E71AD"/>
    <w:rsid w:val="001E7276"/>
    <w:rsid w:val="001E7323"/>
    <w:rsid w:val="001E75C5"/>
    <w:rsid w:val="001E75E4"/>
    <w:rsid w:val="001E78DC"/>
    <w:rsid w:val="001E7AC9"/>
    <w:rsid w:val="001E7D60"/>
    <w:rsid w:val="001F0161"/>
    <w:rsid w:val="001F023B"/>
    <w:rsid w:val="001F0339"/>
    <w:rsid w:val="001F0382"/>
    <w:rsid w:val="001F0464"/>
    <w:rsid w:val="001F054B"/>
    <w:rsid w:val="001F06FC"/>
    <w:rsid w:val="001F082F"/>
    <w:rsid w:val="001F0CEE"/>
    <w:rsid w:val="001F0D15"/>
    <w:rsid w:val="001F0D51"/>
    <w:rsid w:val="001F0DB1"/>
    <w:rsid w:val="001F0EB0"/>
    <w:rsid w:val="001F1013"/>
    <w:rsid w:val="001F1188"/>
    <w:rsid w:val="001F1878"/>
    <w:rsid w:val="001F19C7"/>
    <w:rsid w:val="001F1A81"/>
    <w:rsid w:val="001F1B5F"/>
    <w:rsid w:val="001F1F58"/>
    <w:rsid w:val="001F1F9C"/>
    <w:rsid w:val="001F213E"/>
    <w:rsid w:val="001F2193"/>
    <w:rsid w:val="001F21FC"/>
    <w:rsid w:val="001F22B3"/>
    <w:rsid w:val="001F26DB"/>
    <w:rsid w:val="001F27D6"/>
    <w:rsid w:val="001F32A6"/>
    <w:rsid w:val="001F34CB"/>
    <w:rsid w:val="001F34DB"/>
    <w:rsid w:val="001F3520"/>
    <w:rsid w:val="001F3688"/>
    <w:rsid w:val="001F3A9F"/>
    <w:rsid w:val="001F3AC9"/>
    <w:rsid w:val="001F3D1C"/>
    <w:rsid w:val="001F3D4B"/>
    <w:rsid w:val="001F3EA0"/>
    <w:rsid w:val="001F3F2A"/>
    <w:rsid w:val="001F3FC4"/>
    <w:rsid w:val="001F3FF2"/>
    <w:rsid w:val="001F40F1"/>
    <w:rsid w:val="001F469B"/>
    <w:rsid w:val="001F4816"/>
    <w:rsid w:val="001F4820"/>
    <w:rsid w:val="001F4860"/>
    <w:rsid w:val="001F48D4"/>
    <w:rsid w:val="001F4C9E"/>
    <w:rsid w:val="001F504D"/>
    <w:rsid w:val="001F5088"/>
    <w:rsid w:val="001F5765"/>
    <w:rsid w:val="001F5B34"/>
    <w:rsid w:val="001F5E1F"/>
    <w:rsid w:val="001F5FBB"/>
    <w:rsid w:val="001F6317"/>
    <w:rsid w:val="001F63AB"/>
    <w:rsid w:val="001F64A8"/>
    <w:rsid w:val="001F6610"/>
    <w:rsid w:val="001F69C2"/>
    <w:rsid w:val="001F6B12"/>
    <w:rsid w:val="001F6BC1"/>
    <w:rsid w:val="001F6CDF"/>
    <w:rsid w:val="001F6E6B"/>
    <w:rsid w:val="001F6FE5"/>
    <w:rsid w:val="001F6FEA"/>
    <w:rsid w:val="001F7289"/>
    <w:rsid w:val="001F7350"/>
    <w:rsid w:val="001F73F9"/>
    <w:rsid w:val="001F74CE"/>
    <w:rsid w:val="001F74DD"/>
    <w:rsid w:val="001F758C"/>
    <w:rsid w:val="001F7632"/>
    <w:rsid w:val="001F76DC"/>
    <w:rsid w:val="001F7748"/>
    <w:rsid w:val="001F7828"/>
    <w:rsid w:val="001F784A"/>
    <w:rsid w:val="001F7A68"/>
    <w:rsid w:val="001F7E94"/>
    <w:rsid w:val="001F7F96"/>
    <w:rsid w:val="001F7F9E"/>
    <w:rsid w:val="0020034F"/>
    <w:rsid w:val="00200530"/>
    <w:rsid w:val="0020077A"/>
    <w:rsid w:val="00200C31"/>
    <w:rsid w:val="00200D7D"/>
    <w:rsid w:val="00200F07"/>
    <w:rsid w:val="00200F72"/>
    <w:rsid w:val="002010D9"/>
    <w:rsid w:val="002011C0"/>
    <w:rsid w:val="00201246"/>
    <w:rsid w:val="002013A9"/>
    <w:rsid w:val="002013F6"/>
    <w:rsid w:val="00201477"/>
    <w:rsid w:val="00201536"/>
    <w:rsid w:val="00201559"/>
    <w:rsid w:val="00201607"/>
    <w:rsid w:val="00201717"/>
    <w:rsid w:val="00201A9E"/>
    <w:rsid w:val="00201CED"/>
    <w:rsid w:val="00201F32"/>
    <w:rsid w:val="00202159"/>
    <w:rsid w:val="002023EC"/>
    <w:rsid w:val="002023ED"/>
    <w:rsid w:val="0020291E"/>
    <w:rsid w:val="00202B4E"/>
    <w:rsid w:val="00203201"/>
    <w:rsid w:val="002033F3"/>
    <w:rsid w:val="00203612"/>
    <w:rsid w:val="0020369E"/>
    <w:rsid w:val="002036E0"/>
    <w:rsid w:val="00203706"/>
    <w:rsid w:val="0020383E"/>
    <w:rsid w:val="00203F04"/>
    <w:rsid w:val="00203F39"/>
    <w:rsid w:val="00203FFF"/>
    <w:rsid w:val="00204789"/>
    <w:rsid w:val="002048D1"/>
    <w:rsid w:val="00204A60"/>
    <w:rsid w:val="00204CE2"/>
    <w:rsid w:val="00204FBC"/>
    <w:rsid w:val="002050EA"/>
    <w:rsid w:val="002054B2"/>
    <w:rsid w:val="00205808"/>
    <w:rsid w:val="00205A1E"/>
    <w:rsid w:val="00205AED"/>
    <w:rsid w:val="00205C31"/>
    <w:rsid w:val="00205C7C"/>
    <w:rsid w:val="00205CF4"/>
    <w:rsid w:val="00205DFA"/>
    <w:rsid w:val="00205F20"/>
    <w:rsid w:val="00206031"/>
    <w:rsid w:val="00206092"/>
    <w:rsid w:val="002066CC"/>
    <w:rsid w:val="00206864"/>
    <w:rsid w:val="0020687E"/>
    <w:rsid w:val="002068E7"/>
    <w:rsid w:val="002069E4"/>
    <w:rsid w:val="00206AD3"/>
    <w:rsid w:val="00206B48"/>
    <w:rsid w:val="00206B8C"/>
    <w:rsid w:val="00206D18"/>
    <w:rsid w:val="00206DA8"/>
    <w:rsid w:val="00206EA4"/>
    <w:rsid w:val="00206ED8"/>
    <w:rsid w:val="00207013"/>
    <w:rsid w:val="00207052"/>
    <w:rsid w:val="002070CB"/>
    <w:rsid w:val="0020711F"/>
    <w:rsid w:val="00207198"/>
    <w:rsid w:val="00207306"/>
    <w:rsid w:val="0020731D"/>
    <w:rsid w:val="002075C1"/>
    <w:rsid w:val="002075FE"/>
    <w:rsid w:val="0020770F"/>
    <w:rsid w:val="002078B4"/>
    <w:rsid w:val="00207970"/>
    <w:rsid w:val="002079CB"/>
    <w:rsid w:val="00207E3A"/>
    <w:rsid w:val="002101B8"/>
    <w:rsid w:val="002103C4"/>
    <w:rsid w:val="0021076E"/>
    <w:rsid w:val="002107FA"/>
    <w:rsid w:val="0021096E"/>
    <w:rsid w:val="00210CC1"/>
    <w:rsid w:val="00210DE8"/>
    <w:rsid w:val="00211254"/>
    <w:rsid w:val="002112B7"/>
    <w:rsid w:val="002113CA"/>
    <w:rsid w:val="00211472"/>
    <w:rsid w:val="00211544"/>
    <w:rsid w:val="0021158F"/>
    <w:rsid w:val="00211B87"/>
    <w:rsid w:val="00211D73"/>
    <w:rsid w:val="002121CC"/>
    <w:rsid w:val="00212285"/>
    <w:rsid w:val="002122E7"/>
    <w:rsid w:val="00212A3E"/>
    <w:rsid w:val="00212B86"/>
    <w:rsid w:val="00212BC5"/>
    <w:rsid w:val="00212DE8"/>
    <w:rsid w:val="00213173"/>
    <w:rsid w:val="002133FE"/>
    <w:rsid w:val="00213422"/>
    <w:rsid w:val="002134C8"/>
    <w:rsid w:val="002137E9"/>
    <w:rsid w:val="00213847"/>
    <w:rsid w:val="00213A49"/>
    <w:rsid w:val="00213D6C"/>
    <w:rsid w:val="00213D98"/>
    <w:rsid w:val="00213E9C"/>
    <w:rsid w:val="00213EEF"/>
    <w:rsid w:val="00213F0C"/>
    <w:rsid w:val="00213F59"/>
    <w:rsid w:val="00213F62"/>
    <w:rsid w:val="00214069"/>
    <w:rsid w:val="00214098"/>
    <w:rsid w:val="00214310"/>
    <w:rsid w:val="002144A8"/>
    <w:rsid w:val="002144AF"/>
    <w:rsid w:val="0021462C"/>
    <w:rsid w:val="00214666"/>
    <w:rsid w:val="0021496F"/>
    <w:rsid w:val="00214BF2"/>
    <w:rsid w:val="00214E2F"/>
    <w:rsid w:val="00214F0F"/>
    <w:rsid w:val="0021502A"/>
    <w:rsid w:val="002153AD"/>
    <w:rsid w:val="0021573D"/>
    <w:rsid w:val="00215763"/>
    <w:rsid w:val="00215797"/>
    <w:rsid w:val="002158CD"/>
    <w:rsid w:val="00215900"/>
    <w:rsid w:val="00215907"/>
    <w:rsid w:val="002159F8"/>
    <w:rsid w:val="00215A7F"/>
    <w:rsid w:val="00215B18"/>
    <w:rsid w:val="00215D89"/>
    <w:rsid w:val="00215DD3"/>
    <w:rsid w:val="00215F53"/>
    <w:rsid w:val="00216320"/>
    <w:rsid w:val="002163DC"/>
    <w:rsid w:val="00216466"/>
    <w:rsid w:val="00216469"/>
    <w:rsid w:val="00216522"/>
    <w:rsid w:val="002166FE"/>
    <w:rsid w:val="00216759"/>
    <w:rsid w:val="002167FA"/>
    <w:rsid w:val="00216835"/>
    <w:rsid w:val="00216A40"/>
    <w:rsid w:val="00216CBE"/>
    <w:rsid w:val="00216ED4"/>
    <w:rsid w:val="002171C2"/>
    <w:rsid w:val="00217358"/>
    <w:rsid w:val="002173E7"/>
    <w:rsid w:val="00217523"/>
    <w:rsid w:val="0021770E"/>
    <w:rsid w:val="00217CB3"/>
    <w:rsid w:val="00217CDF"/>
    <w:rsid w:val="00217F54"/>
    <w:rsid w:val="002201E7"/>
    <w:rsid w:val="00220289"/>
    <w:rsid w:val="0022054F"/>
    <w:rsid w:val="002205E2"/>
    <w:rsid w:val="002209DC"/>
    <w:rsid w:val="002209EF"/>
    <w:rsid w:val="00220AB9"/>
    <w:rsid w:val="00220C0B"/>
    <w:rsid w:val="00220DA8"/>
    <w:rsid w:val="00220E8A"/>
    <w:rsid w:val="00220F10"/>
    <w:rsid w:val="00220F2C"/>
    <w:rsid w:val="002210CC"/>
    <w:rsid w:val="002211A3"/>
    <w:rsid w:val="0022129B"/>
    <w:rsid w:val="00221732"/>
    <w:rsid w:val="0022178C"/>
    <w:rsid w:val="00221947"/>
    <w:rsid w:val="00221C7A"/>
    <w:rsid w:val="00221CA0"/>
    <w:rsid w:val="00221D19"/>
    <w:rsid w:val="00221E8E"/>
    <w:rsid w:val="00221EFE"/>
    <w:rsid w:val="00221FF6"/>
    <w:rsid w:val="0022220E"/>
    <w:rsid w:val="002225FA"/>
    <w:rsid w:val="00222611"/>
    <w:rsid w:val="0022272B"/>
    <w:rsid w:val="0022276A"/>
    <w:rsid w:val="0022276C"/>
    <w:rsid w:val="002229BB"/>
    <w:rsid w:val="00222A85"/>
    <w:rsid w:val="00222B0F"/>
    <w:rsid w:val="00222B6B"/>
    <w:rsid w:val="00222CA6"/>
    <w:rsid w:val="00222EE7"/>
    <w:rsid w:val="0022316B"/>
    <w:rsid w:val="00223181"/>
    <w:rsid w:val="00223B32"/>
    <w:rsid w:val="00223B3B"/>
    <w:rsid w:val="00223B4A"/>
    <w:rsid w:val="00223BBB"/>
    <w:rsid w:val="00223BD5"/>
    <w:rsid w:val="00223D6C"/>
    <w:rsid w:val="00223E83"/>
    <w:rsid w:val="002246BE"/>
    <w:rsid w:val="0022473B"/>
    <w:rsid w:val="00224902"/>
    <w:rsid w:val="002249A7"/>
    <w:rsid w:val="002249C9"/>
    <w:rsid w:val="00224A36"/>
    <w:rsid w:val="00224DC2"/>
    <w:rsid w:val="00224DE6"/>
    <w:rsid w:val="00224E5F"/>
    <w:rsid w:val="00225041"/>
    <w:rsid w:val="00225687"/>
    <w:rsid w:val="0022575B"/>
    <w:rsid w:val="002257FE"/>
    <w:rsid w:val="002259CF"/>
    <w:rsid w:val="00225B5E"/>
    <w:rsid w:val="00225D3D"/>
    <w:rsid w:val="00225D4E"/>
    <w:rsid w:val="00226188"/>
    <w:rsid w:val="00226669"/>
    <w:rsid w:val="0022666B"/>
    <w:rsid w:val="002267C1"/>
    <w:rsid w:val="00226DB9"/>
    <w:rsid w:val="00226DD6"/>
    <w:rsid w:val="00226F1F"/>
    <w:rsid w:val="00226F89"/>
    <w:rsid w:val="00226F9D"/>
    <w:rsid w:val="0022708A"/>
    <w:rsid w:val="002271FF"/>
    <w:rsid w:val="0022734D"/>
    <w:rsid w:val="0022738E"/>
    <w:rsid w:val="0022764F"/>
    <w:rsid w:val="00227C4F"/>
    <w:rsid w:val="00227D9B"/>
    <w:rsid w:val="00227F7F"/>
    <w:rsid w:val="00230087"/>
    <w:rsid w:val="00230273"/>
    <w:rsid w:val="002305C6"/>
    <w:rsid w:val="00230FDD"/>
    <w:rsid w:val="002314AE"/>
    <w:rsid w:val="00231594"/>
    <w:rsid w:val="00231811"/>
    <w:rsid w:val="002319A4"/>
    <w:rsid w:val="00231C4C"/>
    <w:rsid w:val="00232255"/>
    <w:rsid w:val="002323A0"/>
    <w:rsid w:val="002324EA"/>
    <w:rsid w:val="00232766"/>
    <w:rsid w:val="00232804"/>
    <w:rsid w:val="00232E6D"/>
    <w:rsid w:val="00232FFC"/>
    <w:rsid w:val="00233612"/>
    <w:rsid w:val="00233624"/>
    <w:rsid w:val="002336E7"/>
    <w:rsid w:val="00233765"/>
    <w:rsid w:val="00233809"/>
    <w:rsid w:val="00233AEA"/>
    <w:rsid w:val="00233C33"/>
    <w:rsid w:val="00233D85"/>
    <w:rsid w:val="00233E76"/>
    <w:rsid w:val="00233EBB"/>
    <w:rsid w:val="00233FCB"/>
    <w:rsid w:val="00234206"/>
    <w:rsid w:val="00234398"/>
    <w:rsid w:val="00234454"/>
    <w:rsid w:val="0023447F"/>
    <w:rsid w:val="00234643"/>
    <w:rsid w:val="0023468F"/>
    <w:rsid w:val="002347D6"/>
    <w:rsid w:val="002348EA"/>
    <w:rsid w:val="00234BFA"/>
    <w:rsid w:val="00234EEC"/>
    <w:rsid w:val="00234F10"/>
    <w:rsid w:val="00234FCD"/>
    <w:rsid w:val="002350B3"/>
    <w:rsid w:val="002350CC"/>
    <w:rsid w:val="002350D5"/>
    <w:rsid w:val="002351AE"/>
    <w:rsid w:val="002353F3"/>
    <w:rsid w:val="00235A20"/>
    <w:rsid w:val="00235A72"/>
    <w:rsid w:val="00235C4C"/>
    <w:rsid w:val="00235F89"/>
    <w:rsid w:val="00236337"/>
    <w:rsid w:val="00236396"/>
    <w:rsid w:val="002364D0"/>
    <w:rsid w:val="00236507"/>
    <w:rsid w:val="002365CB"/>
    <w:rsid w:val="00236651"/>
    <w:rsid w:val="00236769"/>
    <w:rsid w:val="0023692E"/>
    <w:rsid w:val="00236997"/>
    <w:rsid w:val="002369AB"/>
    <w:rsid w:val="00236B48"/>
    <w:rsid w:val="00236B4C"/>
    <w:rsid w:val="00236C12"/>
    <w:rsid w:val="00236DD3"/>
    <w:rsid w:val="00236E28"/>
    <w:rsid w:val="00236FA3"/>
    <w:rsid w:val="002377BC"/>
    <w:rsid w:val="0023798E"/>
    <w:rsid w:val="00237A85"/>
    <w:rsid w:val="00237AE1"/>
    <w:rsid w:val="00237B4D"/>
    <w:rsid w:val="00237B64"/>
    <w:rsid w:val="00237B83"/>
    <w:rsid w:val="00237C4B"/>
    <w:rsid w:val="00237CF5"/>
    <w:rsid w:val="00237DE6"/>
    <w:rsid w:val="00237F0F"/>
    <w:rsid w:val="00237F99"/>
    <w:rsid w:val="00237FB1"/>
    <w:rsid w:val="00240279"/>
    <w:rsid w:val="002402C4"/>
    <w:rsid w:val="002402C8"/>
    <w:rsid w:val="002404EF"/>
    <w:rsid w:val="0024053A"/>
    <w:rsid w:val="00240918"/>
    <w:rsid w:val="00240B9D"/>
    <w:rsid w:val="00240D40"/>
    <w:rsid w:val="00240DAD"/>
    <w:rsid w:val="00240DDC"/>
    <w:rsid w:val="00240E12"/>
    <w:rsid w:val="00240E4E"/>
    <w:rsid w:val="00240E55"/>
    <w:rsid w:val="00240EA8"/>
    <w:rsid w:val="00240F3E"/>
    <w:rsid w:val="0024110F"/>
    <w:rsid w:val="0024119D"/>
    <w:rsid w:val="0024120E"/>
    <w:rsid w:val="002413BB"/>
    <w:rsid w:val="002414CA"/>
    <w:rsid w:val="0024160E"/>
    <w:rsid w:val="00241A87"/>
    <w:rsid w:val="00241B5D"/>
    <w:rsid w:val="00241B86"/>
    <w:rsid w:val="00241DE3"/>
    <w:rsid w:val="00241E35"/>
    <w:rsid w:val="00241EF0"/>
    <w:rsid w:val="00241F13"/>
    <w:rsid w:val="00241FA1"/>
    <w:rsid w:val="00242198"/>
    <w:rsid w:val="002423C5"/>
    <w:rsid w:val="002428B3"/>
    <w:rsid w:val="002429E5"/>
    <w:rsid w:val="00242D4F"/>
    <w:rsid w:val="00242E45"/>
    <w:rsid w:val="00242EE4"/>
    <w:rsid w:val="00242FEF"/>
    <w:rsid w:val="002430BD"/>
    <w:rsid w:val="002431F9"/>
    <w:rsid w:val="00243386"/>
    <w:rsid w:val="002434F6"/>
    <w:rsid w:val="002435DD"/>
    <w:rsid w:val="00243722"/>
    <w:rsid w:val="002437A1"/>
    <w:rsid w:val="002438F1"/>
    <w:rsid w:val="00243957"/>
    <w:rsid w:val="00243BB2"/>
    <w:rsid w:val="00243BEB"/>
    <w:rsid w:val="00243BF5"/>
    <w:rsid w:val="00243EDF"/>
    <w:rsid w:val="00243F3B"/>
    <w:rsid w:val="00244293"/>
    <w:rsid w:val="0024447F"/>
    <w:rsid w:val="002445A9"/>
    <w:rsid w:val="0024462E"/>
    <w:rsid w:val="002446E0"/>
    <w:rsid w:val="00244732"/>
    <w:rsid w:val="00244886"/>
    <w:rsid w:val="00244CDB"/>
    <w:rsid w:val="00244E8D"/>
    <w:rsid w:val="00245087"/>
    <w:rsid w:val="002450F1"/>
    <w:rsid w:val="00245185"/>
    <w:rsid w:val="002451FC"/>
    <w:rsid w:val="002453F6"/>
    <w:rsid w:val="0024543C"/>
    <w:rsid w:val="002455D9"/>
    <w:rsid w:val="00245655"/>
    <w:rsid w:val="002456E8"/>
    <w:rsid w:val="0024590B"/>
    <w:rsid w:val="002459D7"/>
    <w:rsid w:val="00245D6B"/>
    <w:rsid w:val="00245E18"/>
    <w:rsid w:val="00245E58"/>
    <w:rsid w:val="00246952"/>
    <w:rsid w:val="00246A39"/>
    <w:rsid w:val="00246E58"/>
    <w:rsid w:val="00246FAB"/>
    <w:rsid w:val="0024707C"/>
    <w:rsid w:val="0024737A"/>
    <w:rsid w:val="002474FA"/>
    <w:rsid w:val="0024778A"/>
    <w:rsid w:val="002478A6"/>
    <w:rsid w:val="00247A05"/>
    <w:rsid w:val="00247B86"/>
    <w:rsid w:val="00247CD4"/>
    <w:rsid w:val="00247E0A"/>
    <w:rsid w:val="00247F6C"/>
    <w:rsid w:val="0025047C"/>
    <w:rsid w:val="00250491"/>
    <w:rsid w:val="002505C1"/>
    <w:rsid w:val="002506F4"/>
    <w:rsid w:val="00250842"/>
    <w:rsid w:val="00250900"/>
    <w:rsid w:val="00250C96"/>
    <w:rsid w:val="002512ED"/>
    <w:rsid w:val="002514CF"/>
    <w:rsid w:val="00251820"/>
    <w:rsid w:val="00251843"/>
    <w:rsid w:val="00251A00"/>
    <w:rsid w:val="00251A65"/>
    <w:rsid w:val="00251AD5"/>
    <w:rsid w:val="00251C8B"/>
    <w:rsid w:val="00251DC4"/>
    <w:rsid w:val="00251F1B"/>
    <w:rsid w:val="00251F6B"/>
    <w:rsid w:val="00252170"/>
    <w:rsid w:val="0025242A"/>
    <w:rsid w:val="002524E4"/>
    <w:rsid w:val="00252872"/>
    <w:rsid w:val="00252AB6"/>
    <w:rsid w:val="00252B2A"/>
    <w:rsid w:val="00252C9D"/>
    <w:rsid w:val="00252CEE"/>
    <w:rsid w:val="00252F76"/>
    <w:rsid w:val="00253074"/>
    <w:rsid w:val="002531B7"/>
    <w:rsid w:val="00253204"/>
    <w:rsid w:val="0025340D"/>
    <w:rsid w:val="00253493"/>
    <w:rsid w:val="00253540"/>
    <w:rsid w:val="00253685"/>
    <w:rsid w:val="00253CD7"/>
    <w:rsid w:val="00253DA2"/>
    <w:rsid w:val="00253DE9"/>
    <w:rsid w:val="00253EF2"/>
    <w:rsid w:val="00253FA8"/>
    <w:rsid w:val="002540D4"/>
    <w:rsid w:val="00254521"/>
    <w:rsid w:val="002545FF"/>
    <w:rsid w:val="002546E3"/>
    <w:rsid w:val="0025471A"/>
    <w:rsid w:val="00254815"/>
    <w:rsid w:val="00254A50"/>
    <w:rsid w:val="00254A92"/>
    <w:rsid w:val="00254C49"/>
    <w:rsid w:val="0025502F"/>
    <w:rsid w:val="002551AE"/>
    <w:rsid w:val="0025525D"/>
    <w:rsid w:val="002552E0"/>
    <w:rsid w:val="002553E1"/>
    <w:rsid w:val="002554C5"/>
    <w:rsid w:val="00255796"/>
    <w:rsid w:val="00255887"/>
    <w:rsid w:val="00255A1A"/>
    <w:rsid w:val="00255A39"/>
    <w:rsid w:val="00255AA3"/>
    <w:rsid w:val="00255AF9"/>
    <w:rsid w:val="00255D12"/>
    <w:rsid w:val="00255E8E"/>
    <w:rsid w:val="002560F4"/>
    <w:rsid w:val="00256162"/>
    <w:rsid w:val="00256252"/>
    <w:rsid w:val="0025627B"/>
    <w:rsid w:val="0025653D"/>
    <w:rsid w:val="00256606"/>
    <w:rsid w:val="002566DF"/>
    <w:rsid w:val="002569AB"/>
    <w:rsid w:val="00256B18"/>
    <w:rsid w:val="00256B88"/>
    <w:rsid w:val="00256F3F"/>
    <w:rsid w:val="00257169"/>
    <w:rsid w:val="002573CF"/>
    <w:rsid w:val="002579F1"/>
    <w:rsid w:val="00257A46"/>
    <w:rsid w:val="00257AFB"/>
    <w:rsid w:val="00257B26"/>
    <w:rsid w:val="00257BBD"/>
    <w:rsid w:val="00257C82"/>
    <w:rsid w:val="00257E14"/>
    <w:rsid w:val="00257ECC"/>
    <w:rsid w:val="00257F2A"/>
    <w:rsid w:val="00257FF4"/>
    <w:rsid w:val="002600CA"/>
    <w:rsid w:val="0026014D"/>
    <w:rsid w:val="00260270"/>
    <w:rsid w:val="002602F5"/>
    <w:rsid w:val="00260A73"/>
    <w:rsid w:val="00260AB7"/>
    <w:rsid w:val="00260BAC"/>
    <w:rsid w:val="00260C07"/>
    <w:rsid w:val="00260CC9"/>
    <w:rsid w:val="00260E97"/>
    <w:rsid w:val="00261159"/>
    <w:rsid w:val="0026153A"/>
    <w:rsid w:val="002615CC"/>
    <w:rsid w:val="00261621"/>
    <w:rsid w:val="0026167F"/>
    <w:rsid w:val="00261A01"/>
    <w:rsid w:val="00261A99"/>
    <w:rsid w:val="00261C7D"/>
    <w:rsid w:val="00261E29"/>
    <w:rsid w:val="00262116"/>
    <w:rsid w:val="00262319"/>
    <w:rsid w:val="002623A6"/>
    <w:rsid w:val="00262462"/>
    <w:rsid w:val="0026273B"/>
    <w:rsid w:val="00262783"/>
    <w:rsid w:val="00262805"/>
    <w:rsid w:val="0026293D"/>
    <w:rsid w:val="00262A0B"/>
    <w:rsid w:val="00262A68"/>
    <w:rsid w:val="00262AD1"/>
    <w:rsid w:val="00262B71"/>
    <w:rsid w:val="00262CFF"/>
    <w:rsid w:val="00262D5E"/>
    <w:rsid w:val="00262DF4"/>
    <w:rsid w:val="00262ED5"/>
    <w:rsid w:val="00263147"/>
    <w:rsid w:val="002631EC"/>
    <w:rsid w:val="00263468"/>
    <w:rsid w:val="002634C4"/>
    <w:rsid w:val="002635FC"/>
    <w:rsid w:val="002638B9"/>
    <w:rsid w:val="00263A57"/>
    <w:rsid w:val="00263A74"/>
    <w:rsid w:val="00263C70"/>
    <w:rsid w:val="00263CD2"/>
    <w:rsid w:val="00263F81"/>
    <w:rsid w:val="0026407D"/>
    <w:rsid w:val="00264232"/>
    <w:rsid w:val="00264289"/>
    <w:rsid w:val="00264443"/>
    <w:rsid w:val="002644EE"/>
    <w:rsid w:val="00264B1A"/>
    <w:rsid w:val="00264B4F"/>
    <w:rsid w:val="00264B54"/>
    <w:rsid w:val="00264F3D"/>
    <w:rsid w:val="00264FCD"/>
    <w:rsid w:val="002651B1"/>
    <w:rsid w:val="0026525F"/>
    <w:rsid w:val="00265395"/>
    <w:rsid w:val="00265554"/>
    <w:rsid w:val="0026586A"/>
    <w:rsid w:val="002658B2"/>
    <w:rsid w:val="00265982"/>
    <w:rsid w:val="00265A39"/>
    <w:rsid w:val="00265BBD"/>
    <w:rsid w:val="00265BDB"/>
    <w:rsid w:val="00265EA0"/>
    <w:rsid w:val="00266069"/>
    <w:rsid w:val="00266451"/>
    <w:rsid w:val="002666C5"/>
    <w:rsid w:val="0026685A"/>
    <w:rsid w:val="00266A87"/>
    <w:rsid w:val="00266FA2"/>
    <w:rsid w:val="002673C5"/>
    <w:rsid w:val="002673FE"/>
    <w:rsid w:val="00267442"/>
    <w:rsid w:val="00267AF7"/>
    <w:rsid w:val="00267C78"/>
    <w:rsid w:val="00270003"/>
    <w:rsid w:val="002700E1"/>
    <w:rsid w:val="0027010E"/>
    <w:rsid w:val="00270154"/>
    <w:rsid w:val="00270B28"/>
    <w:rsid w:val="00270CC2"/>
    <w:rsid w:val="00270EF3"/>
    <w:rsid w:val="002710CA"/>
    <w:rsid w:val="00271140"/>
    <w:rsid w:val="00271330"/>
    <w:rsid w:val="00271409"/>
    <w:rsid w:val="00271490"/>
    <w:rsid w:val="00271A26"/>
    <w:rsid w:val="00271CB8"/>
    <w:rsid w:val="00271F70"/>
    <w:rsid w:val="002720A3"/>
    <w:rsid w:val="00272106"/>
    <w:rsid w:val="002722A9"/>
    <w:rsid w:val="00272489"/>
    <w:rsid w:val="0027258D"/>
    <w:rsid w:val="002725EA"/>
    <w:rsid w:val="00272BC2"/>
    <w:rsid w:val="00272EEC"/>
    <w:rsid w:val="00272F3D"/>
    <w:rsid w:val="0027304A"/>
    <w:rsid w:val="0027309D"/>
    <w:rsid w:val="00273185"/>
    <w:rsid w:val="00273201"/>
    <w:rsid w:val="0027324A"/>
    <w:rsid w:val="00273319"/>
    <w:rsid w:val="0027340F"/>
    <w:rsid w:val="002737E4"/>
    <w:rsid w:val="00273979"/>
    <w:rsid w:val="00273AB3"/>
    <w:rsid w:val="00273CAA"/>
    <w:rsid w:val="00274031"/>
    <w:rsid w:val="0027408B"/>
    <w:rsid w:val="002740B5"/>
    <w:rsid w:val="00274459"/>
    <w:rsid w:val="002744F6"/>
    <w:rsid w:val="0027451E"/>
    <w:rsid w:val="00274633"/>
    <w:rsid w:val="0027474B"/>
    <w:rsid w:val="00274753"/>
    <w:rsid w:val="00274867"/>
    <w:rsid w:val="00274A2C"/>
    <w:rsid w:val="00274A86"/>
    <w:rsid w:val="00274C47"/>
    <w:rsid w:val="00274C6A"/>
    <w:rsid w:val="00274C8F"/>
    <w:rsid w:val="00275018"/>
    <w:rsid w:val="002759AB"/>
    <w:rsid w:val="00275A2E"/>
    <w:rsid w:val="00275AD9"/>
    <w:rsid w:val="00275AE1"/>
    <w:rsid w:val="00275B29"/>
    <w:rsid w:val="00275B7A"/>
    <w:rsid w:val="00275BFC"/>
    <w:rsid w:val="00275CA5"/>
    <w:rsid w:val="00275CE6"/>
    <w:rsid w:val="00275D10"/>
    <w:rsid w:val="00275D93"/>
    <w:rsid w:val="00275DBE"/>
    <w:rsid w:val="00275DFB"/>
    <w:rsid w:val="00275F79"/>
    <w:rsid w:val="00276109"/>
    <w:rsid w:val="002762DA"/>
    <w:rsid w:val="00276410"/>
    <w:rsid w:val="0027661B"/>
    <w:rsid w:val="0027674A"/>
    <w:rsid w:val="002768F7"/>
    <w:rsid w:val="00276B56"/>
    <w:rsid w:val="00276EB7"/>
    <w:rsid w:val="00277400"/>
    <w:rsid w:val="00277470"/>
    <w:rsid w:val="002778AA"/>
    <w:rsid w:val="002778C3"/>
    <w:rsid w:val="002779D6"/>
    <w:rsid w:val="00277A73"/>
    <w:rsid w:val="00277AFA"/>
    <w:rsid w:val="00277B15"/>
    <w:rsid w:val="00277D00"/>
    <w:rsid w:val="00280032"/>
    <w:rsid w:val="002803D1"/>
    <w:rsid w:val="00280522"/>
    <w:rsid w:val="00280740"/>
    <w:rsid w:val="00280801"/>
    <w:rsid w:val="0028091E"/>
    <w:rsid w:val="00280959"/>
    <w:rsid w:val="00280D8E"/>
    <w:rsid w:val="00280E06"/>
    <w:rsid w:val="00280E17"/>
    <w:rsid w:val="00280F46"/>
    <w:rsid w:val="00280FF9"/>
    <w:rsid w:val="00281255"/>
    <w:rsid w:val="00281312"/>
    <w:rsid w:val="0028138B"/>
    <w:rsid w:val="002815CF"/>
    <w:rsid w:val="0028174C"/>
    <w:rsid w:val="002819FD"/>
    <w:rsid w:val="00281AA0"/>
    <w:rsid w:val="00281EE3"/>
    <w:rsid w:val="0028208F"/>
    <w:rsid w:val="00282204"/>
    <w:rsid w:val="00282239"/>
    <w:rsid w:val="0028257D"/>
    <w:rsid w:val="0028260E"/>
    <w:rsid w:val="002827FE"/>
    <w:rsid w:val="00282805"/>
    <w:rsid w:val="002829EF"/>
    <w:rsid w:val="00282ACF"/>
    <w:rsid w:val="00282BD3"/>
    <w:rsid w:val="00282BF5"/>
    <w:rsid w:val="00282EB8"/>
    <w:rsid w:val="00282FAA"/>
    <w:rsid w:val="00283085"/>
    <w:rsid w:val="00283187"/>
    <w:rsid w:val="002834F0"/>
    <w:rsid w:val="00283530"/>
    <w:rsid w:val="00283555"/>
    <w:rsid w:val="002835B9"/>
    <w:rsid w:val="002836BB"/>
    <w:rsid w:val="002837F3"/>
    <w:rsid w:val="0028389E"/>
    <w:rsid w:val="002838A1"/>
    <w:rsid w:val="0028395D"/>
    <w:rsid w:val="00283AE6"/>
    <w:rsid w:val="00283C14"/>
    <w:rsid w:val="00283EF4"/>
    <w:rsid w:val="00283F12"/>
    <w:rsid w:val="00283F9C"/>
    <w:rsid w:val="002841BD"/>
    <w:rsid w:val="002843FF"/>
    <w:rsid w:val="00284584"/>
    <w:rsid w:val="0028460E"/>
    <w:rsid w:val="0028469B"/>
    <w:rsid w:val="0028487B"/>
    <w:rsid w:val="00284AC9"/>
    <w:rsid w:val="00284D79"/>
    <w:rsid w:val="00285028"/>
    <w:rsid w:val="00285109"/>
    <w:rsid w:val="00285448"/>
    <w:rsid w:val="00285476"/>
    <w:rsid w:val="00285685"/>
    <w:rsid w:val="002856A1"/>
    <w:rsid w:val="0028583A"/>
    <w:rsid w:val="002858DA"/>
    <w:rsid w:val="00285ED3"/>
    <w:rsid w:val="00285F0A"/>
    <w:rsid w:val="0028634A"/>
    <w:rsid w:val="0028638E"/>
    <w:rsid w:val="00286465"/>
    <w:rsid w:val="0028650A"/>
    <w:rsid w:val="0028662B"/>
    <w:rsid w:val="002869F8"/>
    <w:rsid w:val="00286B73"/>
    <w:rsid w:val="00286BA5"/>
    <w:rsid w:val="00287026"/>
    <w:rsid w:val="00287368"/>
    <w:rsid w:val="0028760D"/>
    <w:rsid w:val="00287623"/>
    <w:rsid w:val="00287873"/>
    <w:rsid w:val="00287A7D"/>
    <w:rsid w:val="0029016C"/>
    <w:rsid w:val="002904B7"/>
    <w:rsid w:val="00290A52"/>
    <w:rsid w:val="00290A7A"/>
    <w:rsid w:val="00290B50"/>
    <w:rsid w:val="00290BBE"/>
    <w:rsid w:val="00290C6D"/>
    <w:rsid w:val="00291177"/>
    <w:rsid w:val="0029120B"/>
    <w:rsid w:val="002916CC"/>
    <w:rsid w:val="00291947"/>
    <w:rsid w:val="00291C51"/>
    <w:rsid w:val="00292100"/>
    <w:rsid w:val="002926D1"/>
    <w:rsid w:val="0029278C"/>
    <w:rsid w:val="002927CA"/>
    <w:rsid w:val="00292A47"/>
    <w:rsid w:val="00292B23"/>
    <w:rsid w:val="00292C6E"/>
    <w:rsid w:val="00292E65"/>
    <w:rsid w:val="00293135"/>
    <w:rsid w:val="0029314D"/>
    <w:rsid w:val="00293340"/>
    <w:rsid w:val="0029337D"/>
    <w:rsid w:val="002934E3"/>
    <w:rsid w:val="00293562"/>
    <w:rsid w:val="00293702"/>
    <w:rsid w:val="00293871"/>
    <w:rsid w:val="002939A4"/>
    <w:rsid w:val="002940FA"/>
    <w:rsid w:val="00294265"/>
    <w:rsid w:val="00294296"/>
    <w:rsid w:val="002943DC"/>
    <w:rsid w:val="002944E8"/>
    <w:rsid w:val="002945F3"/>
    <w:rsid w:val="00295079"/>
    <w:rsid w:val="00295470"/>
    <w:rsid w:val="002955E0"/>
    <w:rsid w:val="002957AA"/>
    <w:rsid w:val="002958C3"/>
    <w:rsid w:val="00295941"/>
    <w:rsid w:val="00295A94"/>
    <w:rsid w:val="00295E4F"/>
    <w:rsid w:val="00295EAA"/>
    <w:rsid w:val="00295F74"/>
    <w:rsid w:val="0029630E"/>
    <w:rsid w:val="002965CE"/>
    <w:rsid w:val="0029679E"/>
    <w:rsid w:val="00296815"/>
    <w:rsid w:val="00296846"/>
    <w:rsid w:val="0029697C"/>
    <w:rsid w:val="0029697E"/>
    <w:rsid w:val="00297171"/>
    <w:rsid w:val="00297407"/>
    <w:rsid w:val="00297451"/>
    <w:rsid w:val="0029780D"/>
    <w:rsid w:val="002979F1"/>
    <w:rsid w:val="00297BF9"/>
    <w:rsid w:val="00297D02"/>
    <w:rsid w:val="00297D8C"/>
    <w:rsid w:val="00297DC8"/>
    <w:rsid w:val="002A0170"/>
    <w:rsid w:val="002A0240"/>
    <w:rsid w:val="002A0249"/>
    <w:rsid w:val="002A03D4"/>
    <w:rsid w:val="002A044A"/>
    <w:rsid w:val="002A05CF"/>
    <w:rsid w:val="002A0631"/>
    <w:rsid w:val="002A07D3"/>
    <w:rsid w:val="002A0A70"/>
    <w:rsid w:val="002A0A7C"/>
    <w:rsid w:val="002A0ADF"/>
    <w:rsid w:val="002A0C3B"/>
    <w:rsid w:val="002A0CC8"/>
    <w:rsid w:val="002A0CDF"/>
    <w:rsid w:val="002A0EBF"/>
    <w:rsid w:val="002A12EA"/>
    <w:rsid w:val="002A1377"/>
    <w:rsid w:val="002A13E1"/>
    <w:rsid w:val="002A175B"/>
    <w:rsid w:val="002A1992"/>
    <w:rsid w:val="002A1A24"/>
    <w:rsid w:val="002A1AD1"/>
    <w:rsid w:val="002A1D4A"/>
    <w:rsid w:val="002A20D1"/>
    <w:rsid w:val="002A244F"/>
    <w:rsid w:val="002A24B8"/>
    <w:rsid w:val="002A269E"/>
    <w:rsid w:val="002A278C"/>
    <w:rsid w:val="002A27AE"/>
    <w:rsid w:val="002A2B81"/>
    <w:rsid w:val="002A2B85"/>
    <w:rsid w:val="002A2DF0"/>
    <w:rsid w:val="002A2E52"/>
    <w:rsid w:val="002A2EA0"/>
    <w:rsid w:val="002A3248"/>
    <w:rsid w:val="002A326F"/>
    <w:rsid w:val="002A327E"/>
    <w:rsid w:val="002A3603"/>
    <w:rsid w:val="002A37B3"/>
    <w:rsid w:val="002A3BB3"/>
    <w:rsid w:val="002A4666"/>
    <w:rsid w:val="002A46C8"/>
    <w:rsid w:val="002A47FE"/>
    <w:rsid w:val="002A4B8A"/>
    <w:rsid w:val="002A4F5D"/>
    <w:rsid w:val="002A54E4"/>
    <w:rsid w:val="002A5555"/>
    <w:rsid w:val="002A5641"/>
    <w:rsid w:val="002A565F"/>
    <w:rsid w:val="002A567C"/>
    <w:rsid w:val="002A570B"/>
    <w:rsid w:val="002A577D"/>
    <w:rsid w:val="002A57F0"/>
    <w:rsid w:val="002A59BA"/>
    <w:rsid w:val="002A5C63"/>
    <w:rsid w:val="002A5D8C"/>
    <w:rsid w:val="002A5EB6"/>
    <w:rsid w:val="002A5EC7"/>
    <w:rsid w:val="002A63D1"/>
    <w:rsid w:val="002A6776"/>
    <w:rsid w:val="002A6808"/>
    <w:rsid w:val="002A685B"/>
    <w:rsid w:val="002A68D3"/>
    <w:rsid w:val="002A6C77"/>
    <w:rsid w:val="002A6CDA"/>
    <w:rsid w:val="002A6E65"/>
    <w:rsid w:val="002A702B"/>
    <w:rsid w:val="002A703C"/>
    <w:rsid w:val="002A70DC"/>
    <w:rsid w:val="002A7545"/>
    <w:rsid w:val="002A757A"/>
    <w:rsid w:val="002A764D"/>
    <w:rsid w:val="002A767B"/>
    <w:rsid w:val="002A7A35"/>
    <w:rsid w:val="002A7A8E"/>
    <w:rsid w:val="002A7AC4"/>
    <w:rsid w:val="002A7C4D"/>
    <w:rsid w:val="002A7E3E"/>
    <w:rsid w:val="002B00F1"/>
    <w:rsid w:val="002B016B"/>
    <w:rsid w:val="002B0639"/>
    <w:rsid w:val="002B07A1"/>
    <w:rsid w:val="002B07BF"/>
    <w:rsid w:val="002B0846"/>
    <w:rsid w:val="002B088C"/>
    <w:rsid w:val="002B09BA"/>
    <w:rsid w:val="002B0ACF"/>
    <w:rsid w:val="002B0EBF"/>
    <w:rsid w:val="002B1215"/>
    <w:rsid w:val="002B128B"/>
    <w:rsid w:val="002B1304"/>
    <w:rsid w:val="002B187F"/>
    <w:rsid w:val="002B1A8B"/>
    <w:rsid w:val="002B1ABF"/>
    <w:rsid w:val="002B1B34"/>
    <w:rsid w:val="002B1BCD"/>
    <w:rsid w:val="002B1E0B"/>
    <w:rsid w:val="002B1F21"/>
    <w:rsid w:val="002B2032"/>
    <w:rsid w:val="002B242B"/>
    <w:rsid w:val="002B2598"/>
    <w:rsid w:val="002B2CE2"/>
    <w:rsid w:val="002B2DDA"/>
    <w:rsid w:val="002B2E56"/>
    <w:rsid w:val="002B2F3F"/>
    <w:rsid w:val="002B2FAA"/>
    <w:rsid w:val="002B312D"/>
    <w:rsid w:val="002B3183"/>
    <w:rsid w:val="002B330A"/>
    <w:rsid w:val="002B372B"/>
    <w:rsid w:val="002B3863"/>
    <w:rsid w:val="002B3942"/>
    <w:rsid w:val="002B3967"/>
    <w:rsid w:val="002B39A4"/>
    <w:rsid w:val="002B3C34"/>
    <w:rsid w:val="002B3E79"/>
    <w:rsid w:val="002B4233"/>
    <w:rsid w:val="002B42DC"/>
    <w:rsid w:val="002B4511"/>
    <w:rsid w:val="002B4555"/>
    <w:rsid w:val="002B45B1"/>
    <w:rsid w:val="002B45C4"/>
    <w:rsid w:val="002B493D"/>
    <w:rsid w:val="002B4996"/>
    <w:rsid w:val="002B4BAB"/>
    <w:rsid w:val="002B4CB2"/>
    <w:rsid w:val="002B50BF"/>
    <w:rsid w:val="002B50E5"/>
    <w:rsid w:val="002B51AC"/>
    <w:rsid w:val="002B522D"/>
    <w:rsid w:val="002B525B"/>
    <w:rsid w:val="002B52C7"/>
    <w:rsid w:val="002B548D"/>
    <w:rsid w:val="002B54E9"/>
    <w:rsid w:val="002B5C26"/>
    <w:rsid w:val="002B5C87"/>
    <w:rsid w:val="002B600C"/>
    <w:rsid w:val="002B60AD"/>
    <w:rsid w:val="002B6403"/>
    <w:rsid w:val="002B663A"/>
    <w:rsid w:val="002B6738"/>
    <w:rsid w:val="002B6A9E"/>
    <w:rsid w:val="002B6B33"/>
    <w:rsid w:val="002B6CAA"/>
    <w:rsid w:val="002B6EE7"/>
    <w:rsid w:val="002B6F56"/>
    <w:rsid w:val="002B700C"/>
    <w:rsid w:val="002B7159"/>
    <w:rsid w:val="002B7379"/>
    <w:rsid w:val="002B739A"/>
    <w:rsid w:val="002B7476"/>
    <w:rsid w:val="002B773C"/>
    <w:rsid w:val="002B78DB"/>
    <w:rsid w:val="002B7B38"/>
    <w:rsid w:val="002B7CDF"/>
    <w:rsid w:val="002B7E03"/>
    <w:rsid w:val="002B7E44"/>
    <w:rsid w:val="002B7E7D"/>
    <w:rsid w:val="002C0191"/>
    <w:rsid w:val="002C0483"/>
    <w:rsid w:val="002C0485"/>
    <w:rsid w:val="002C04ED"/>
    <w:rsid w:val="002C0501"/>
    <w:rsid w:val="002C05FD"/>
    <w:rsid w:val="002C0799"/>
    <w:rsid w:val="002C07E4"/>
    <w:rsid w:val="002C09AB"/>
    <w:rsid w:val="002C0A51"/>
    <w:rsid w:val="002C0D52"/>
    <w:rsid w:val="002C0E70"/>
    <w:rsid w:val="002C1161"/>
    <w:rsid w:val="002C118A"/>
    <w:rsid w:val="002C130B"/>
    <w:rsid w:val="002C1424"/>
    <w:rsid w:val="002C154C"/>
    <w:rsid w:val="002C155C"/>
    <w:rsid w:val="002C1777"/>
    <w:rsid w:val="002C1E53"/>
    <w:rsid w:val="002C1EDE"/>
    <w:rsid w:val="002C1F06"/>
    <w:rsid w:val="002C2000"/>
    <w:rsid w:val="002C246B"/>
    <w:rsid w:val="002C2493"/>
    <w:rsid w:val="002C256F"/>
    <w:rsid w:val="002C25C4"/>
    <w:rsid w:val="002C28D0"/>
    <w:rsid w:val="002C2908"/>
    <w:rsid w:val="002C2ACF"/>
    <w:rsid w:val="002C2E20"/>
    <w:rsid w:val="002C31B3"/>
    <w:rsid w:val="002C3664"/>
    <w:rsid w:val="002C377B"/>
    <w:rsid w:val="002C3845"/>
    <w:rsid w:val="002C3BEC"/>
    <w:rsid w:val="002C3D13"/>
    <w:rsid w:val="002C3D3A"/>
    <w:rsid w:val="002C3E15"/>
    <w:rsid w:val="002C3E54"/>
    <w:rsid w:val="002C4285"/>
    <w:rsid w:val="002C42B5"/>
    <w:rsid w:val="002C4398"/>
    <w:rsid w:val="002C45EA"/>
    <w:rsid w:val="002C4779"/>
    <w:rsid w:val="002C47E0"/>
    <w:rsid w:val="002C48CC"/>
    <w:rsid w:val="002C4BE1"/>
    <w:rsid w:val="002C4C97"/>
    <w:rsid w:val="002C4CB8"/>
    <w:rsid w:val="002C4CEA"/>
    <w:rsid w:val="002C4DFC"/>
    <w:rsid w:val="002C509B"/>
    <w:rsid w:val="002C51C7"/>
    <w:rsid w:val="002C5307"/>
    <w:rsid w:val="002C53A2"/>
    <w:rsid w:val="002C557E"/>
    <w:rsid w:val="002C5773"/>
    <w:rsid w:val="002C58B2"/>
    <w:rsid w:val="002C5981"/>
    <w:rsid w:val="002C5C8E"/>
    <w:rsid w:val="002C5E5A"/>
    <w:rsid w:val="002C5F9A"/>
    <w:rsid w:val="002C60A5"/>
    <w:rsid w:val="002C6306"/>
    <w:rsid w:val="002C63FB"/>
    <w:rsid w:val="002C6407"/>
    <w:rsid w:val="002C64A9"/>
    <w:rsid w:val="002C6869"/>
    <w:rsid w:val="002C68AA"/>
    <w:rsid w:val="002C6B97"/>
    <w:rsid w:val="002C6D10"/>
    <w:rsid w:val="002C6F45"/>
    <w:rsid w:val="002C6FCA"/>
    <w:rsid w:val="002C7307"/>
    <w:rsid w:val="002C7619"/>
    <w:rsid w:val="002C776C"/>
    <w:rsid w:val="002C7A5D"/>
    <w:rsid w:val="002C7B5F"/>
    <w:rsid w:val="002C7D51"/>
    <w:rsid w:val="002C7E04"/>
    <w:rsid w:val="002C7EEF"/>
    <w:rsid w:val="002C7F35"/>
    <w:rsid w:val="002C7FC3"/>
    <w:rsid w:val="002D021A"/>
    <w:rsid w:val="002D0244"/>
    <w:rsid w:val="002D0410"/>
    <w:rsid w:val="002D0411"/>
    <w:rsid w:val="002D05AA"/>
    <w:rsid w:val="002D0899"/>
    <w:rsid w:val="002D09BF"/>
    <w:rsid w:val="002D0A3E"/>
    <w:rsid w:val="002D0A3F"/>
    <w:rsid w:val="002D0E35"/>
    <w:rsid w:val="002D0E73"/>
    <w:rsid w:val="002D12A4"/>
    <w:rsid w:val="002D1535"/>
    <w:rsid w:val="002D1660"/>
    <w:rsid w:val="002D1707"/>
    <w:rsid w:val="002D17E2"/>
    <w:rsid w:val="002D1B5B"/>
    <w:rsid w:val="002D1B64"/>
    <w:rsid w:val="002D1C67"/>
    <w:rsid w:val="002D1D58"/>
    <w:rsid w:val="002D1F87"/>
    <w:rsid w:val="002D2063"/>
    <w:rsid w:val="002D234B"/>
    <w:rsid w:val="002D244F"/>
    <w:rsid w:val="002D25D8"/>
    <w:rsid w:val="002D25EA"/>
    <w:rsid w:val="002D2646"/>
    <w:rsid w:val="002D2683"/>
    <w:rsid w:val="002D28E6"/>
    <w:rsid w:val="002D2E4E"/>
    <w:rsid w:val="002D2F3D"/>
    <w:rsid w:val="002D303A"/>
    <w:rsid w:val="002D3645"/>
    <w:rsid w:val="002D3739"/>
    <w:rsid w:val="002D389F"/>
    <w:rsid w:val="002D3B8F"/>
    <w:rsid w:val="002D3E5C"/>
    <w:rsid w:val="002D3F5B"/>
    <w:rsid w:val="002D3F8C"/>
    <w:rsid w:val="002D40E9"/>
    <w:rsid w:val="002D4136"/>
    <w:rsid w:val="002D4216"/>
    <w:rsid w:val="002D4338"/>
    <w:rsid w:val="002D4359"/>
    <w:rsid w:val="002D4396"/>
    <w:rsid w:val="002D46F6"/>
    <w:rsid w:val="002D4846"/>
    <w:rsid w:val="002D4A1C"/>
    <w:rsid w:val="002D4AA4"/>
    <w:rsid w:val="002D4D75"/>
    <w:rsid w:val="002D5172"/>
    <w:rsid w:val="002D5174"/>
    <w:rsid w:val="002D5223"/>
    <w:rsid w:val="002D5228"/>
    <w:rsid w:val="002D5555"/>
    <w:rsid w:val="002D5596"/>
    <w:rsid w:val="002D5611"/>
    <w:rsid w:val="002D5664"/>
    <w:rsid w:val="002D58EB"/>
    <w:rsid w:val="002D5902"/>
    <w:rsid w:val="002D5A1B"/>
    <w:rsid w:val="002D5B9A"/>
    <w:rsid w:val="002D5CC1"/>
    <w:rsid w:val="002D5DB8"/>
    <w:rsid w:val="002D6392"/>
    <w:rsid w:val="002D6BB3"/>
    <w:rsid w:val="002D6DFF"/>
    <w:rsid w:val="002D6E64"/>
    <w:rsid w:val="002D6EB7"/>
    <w:rsid w:val="002D70BC"/>
    <w:rsid w:val="002D7261"/>
    <w:rsid w:val="002D753D"/>
    <w:rsid w:val="002D765E"/>
    <w:rsid w:val="002D7700"/>
    <w:rsid w:val="002D77AB"/>
    <w:rsid w:val="002D7865"/>
    <w:rsid w:val="002D7A09"/>
    <w:rsid w:val="002D7BC9"/>
    <w:rsid w:val="002D7FF4"/>
    <w:rsid w:val="002E002F"/>
    <w:rsid w:val="002E0084"/>
    <w:rsid w:val="002E01BC"/>
    <w:rsid w:val="002E036A"/>
    <w:rsid w:val="002E044D"/>
    <w:rsid w:val="002E047E"/>
    <w:rsid w:val="002E04F0"/>
    <w:rsid w:val="002E05B3"/>
    <w:rsid w:val="002E0649"/>
    <w:rsid w:val="002E075F"/>
    <w:rsid w:val="002E08D9"/>
    <w:rsid w:val="002E0B70"/>
    <w:rsid w:val="002E0C23"/>
    <w:rsid w:val="002E0EC8"/>
    <w:rsid w:val="002E0FB2"/>
    <w:rsid w:val="002E111E"/>
    <w:rsid w:val="002E11B1"/>
    <w:rsid w:val="002E1422"/>
    <w:rsid w:val="002E14E0"/>
    <w:rsid w:val="002E186D"/>
    <w:rsid w:val="002E1D41"/>
    <w:rsid w:val="002E1D6D"/>
    <w:rsid w:val="002E1EA6"/>
    <w:rsid w:val="002E1F65"/>
    <w:rsid w:val="002E1FA0"/>
    <w:rsid w:val="002E22CC"/>
    <w:rsid w:val="002E24BA"/>
    <w:rsid w:val="002E25DB"/>
    <w:rsid w:val="002E26AB"/>
    <w:rsid w:val="002E278F"/>
    <w:rsid w:val="002E2799"/>
    <w:rsid w:val="002E2AF2"/>
    <w:rsid w:val="002E2C32"/>
    <w:rsid w:val="002E2D65"/>
    <w:rsid w:val="002E3732"/>
    <w:rsid w:val="002E3B4D"/>
    <w:rsid w:val="002E3BF1"/>
    <w:rsid w:val="002E3FD0"/>
    <w:rsid w:val="002E42DB"/>
    <w:rsid w:val="002E43B7"/>
    <w:rsid w:val="002E4893"/>
    <w:rsid w:val="002E4A61"/>
    <w:rsid w:val="002E4F88"/>
    <w:rsid w:val="002E50DE"/>
    <w:rsid w:val="002E50ED"/>
    <w:rsid w:val="002E5106"/>
    <w:rsid w:val="002E527E"/>
    <w:rsid w:val="002E55F4"/>
    <w:rsid w:val="002E5626"/>
    <w:rsid w:val="002E5695"/>
    <w:rsid w:val="002E58A7"/>
    <w:rsid w:val="002E5905"/>
    <w:rsid w:val="002E59BB"/>
    <w:rsid w:val="002E5AB9"/>
    <w:rsid w:val="002E5AC0"/>
    <w:rsid w:val="002E5DBB"/>
    <w:rsid w:val="002E6093"/>
    <w:rsid w:val="002E60A6"/>
    <w:rsid w:val="002E61D0"/>
    <w:rsid w:val="002E6390"/>
    <w:rsid w:val="002E64C6"/>
    <w:rsid w:val="002E652D"/>
    <w:rsid w:val="002E65A6"/>
    <w:rsid w:val="002E65AA"/>
    <w:rsid w:val="002E6969"/>
    <w:rsid w:val="002E6B3E"/>
    <w:rsid w:val="002E6C2F"/>
    <w:rsid w:val="002E6C73"/>
    <w:rsid w:val="002E6D21"/>
    <w:rsid w:val="002E6FD5"/>
    <w:rsid w:val="002E7124"/>
    <w:rsid w:val="002E7242"/>
    <w:rsid w:val="002E7583"/>
    <w:rsid w:val="002E7880"/>
    <w:rsid w:val="002E7950"/>
    <w:rsid w:val="002E7B58"/>
    <w:rsid w:val="002E7E69"/>
    <w:rsid w:val="002F02DF"/>
    <w:rsid w:val="002F0522"/>
    <w:rsid w:val="002F0539"/>
    <w:rsid w:val="002F0614"/>
    <w:rsid w:val="002F0734"/>
    <w:rsid w:val="002F0A67"/>
    <w:rsid w:val="002F0E46"/>
    <w:rsid w:val="002F11F5"/>
    <w:rsid w:val="002F134E"/>
    <w:rsid w:val="002F13C2"/>
    <w:rsid w:val="002F1467"/>
    <w:rsid w:val="002F14B1"/>
    <w:rsid w:val="002F1838"/>
    <w:rsid w:val="002F193E"/>
    <w:rsid w:val="002F1952"/>
    <w:rsid w:val="002F19B2"/>
    <w:rsid w:val="002F1AA5"/>
    <w:rsid w:val="002F1C4C"/>
    <w:rsid w:val="002F1C63"/>
    <w:rsid w:val="002F2028"/>
    <w:rsid w:val="002F204D"/>
    <w:rsid w:val="002F21A4"/>
    <w:rsid w:val="002F23F0"/>
    <w:rsid w:val="002F25B0"/>
    <w:rsid w:val="002F25EF"/>
    <w:rsid w:val="002F2712"/>
    <w:rsid w:val="002F27D1"/>
    <w:rsid w:val="002F27EB"/>
    <w:rsid w:val="002F2A2B"/>
    <w:rsid w:val="002F3319"/>
    <w:rsid w:val="002F3430"/>
    <w:rsid w:val="002F3516"/>
    <w:rsid w:val="002F36EE"/>
    <w:rsid w:val="002F37F3"/>
    <w:rsid w:val="002F380E"/>
    <w:rsid w:val="002F3AE3"/>
    <w:rsid w:val="002F3BA8"/>
    <w:rsid w:val="002F3C66"/>
    <w:rsid w:val="002F40CC"/>
    <w:rsid w:val="002F420A"/>
    <w:rsid w:val="002F4B0C"/>
    <w:rsid w:val="002F4D77"/>
    <w:rsid w:val="002F4EA0"/>
    <w:rsid w:val="002F4EB7"/>
    <w:rsid w:val="002F51A6"/>
    <w:rsid w:val="002F51C6"/>
    <w:rsid w:val="002F52ED"/>
    <w:rsid w:val="002F547A"/>
    <w:rsid w:val="002F5B02"/>
    <w:rsid w:val="002F5D71"/>
    <w:rsid w:val="002F5DD5"/>
    <w:rsid w:val="002F5FDC"/>
    <w:rsid w:val="002F6081"/>
    <w:rsid w:val="002F6131"/>
    <w:rsid w:val="002F6256"/>
    <w:rsid w:val="002F63E7"/>
    <w:rsid w:val="002F65A5"/>
    <w:rsid w:val="002F6861"/>
    <w:rsid w:val="002F7227"/>
    <w:rsid w:val="002F725C"/>
    <w:rsid w:val="002F7263"/>
    <w:rsid w:val="002F73E2"/>
    <w:rsid w:val="002F7416"/>
    <w:rsid w:val="002F7566"/>
    <w:rsid w:val="002F75B6"/>
    <w:rsid w:val="002F76AB"/>
    <w:rsid w:val="002F7C70"/>
    <w:rsid w:val="002F7FA3"/>
    <w:rsid w:val="003000C2"/>
    <w:rsid w:val="00300102"/>
    <w:rsid w:val="0030026A"/>
    <w:rsid w:val="0030027D"/>
    <w:rsid w:val="00300329"/>
    <w:rsid w:val="003003A6"/>
    <w:rsid w:val="003003B0"/>
    <w:rsid w:val="0030044E"/>
    <w:rsid w:val="00300457"/>
    <w:rsid w:val="003007B9"/>
    <w:rsid w:val="00300A87"/>
    <w:rsid w:val="00300B2F"/>
    <w:rsid w:val="00300D2A"/>
    <w:rsid w:val="00300F76"/>
    <w:rsid w:val="00300F7E"/>
    <w:rsid w:val="0030112D"/>
    <w:rsid w:val="00301833"/>
    <w:rsid w:val="00301975"/>
    <w:rsid w:val="003019ED"/>
    <w:rsid w:val="00301C3B"/>
    <w:rsid w:val="00301EAD"/>
    <w:rsid w:val="0030208E"/>
    <w:rsid w:val="003021CA"/>
    <w:rsid w:val="003022B6"/>
    <w:rsid w:val="0030254E"/>
    <w:rsid w:val="003025D3"/>
    <w:rsid w:val="00302AAA"/>
    <w:rsid w:val="00302B0F"/>
    <w:rsid w:val="00302F23"/>
    <w:rsid w:val="00302FDF"/>
    <w:rsid w:val="003031DD"/>
    <w:rsid w:val="00303331"/>
    <w:rsid w:val="003033E1"/>
    <w:rsid w:val="00303400"/>
    <w:rsid w:val="0030390B"/>
    <w:rsid w:val="00303A33"/>
    <w:rsid w:val="00303D43"/>
    <w:rsid w:val="00303D49"/>
    <w:rsid w:val="00303F4A"/>
    <w:rsid w:val="00303FF2"/>
    <w:rsid w:val="00304043"/>
    <w:rsid w:val="003040FA"/>
    <w:rsid w:val="003042B3"/>
    <w:rsid w:val="0030458E"/>
    <w:rsid w:val="00304C37"/>
    <w:rsid w:val="00304DB6"/>
    <w:rsid w:val="00304DEC"/>
    <w:rsid w:val="00304EF5"/>
    <w:rsid w:val="00304F39"/>
    <w:rsid w:val="00305285"/>
    <w:rsid w:val="0030542C"/>
    <w:rsid w:val="0030544B"/>
    <w:rsid w:val="00305570"/>
    <w:rsid w:val="003058F1"/>
    <w:rsid w:val="003059F5"/>
    <w:rsid w:val="00305A47"/>
    <w:rsid w:val="00305A4F"/>
    <w:rsid w:val="00305C9B"/>
    <w:rsid w:val="0030630D"/>
    <w:rsid w:val="00306421"/>
    <w:rsid w:val="00306613"/>
    <w:rsid w:val="00306614"/>
    <w:rsid w:val="003066EC"/>
    <w:rsid w:val="003067DD"/>
    <w:rsid w:val="0030686A"/>
    <w:rsid w:val="003068CE"/>
    <w:rsid w:val="0030690E"/>
    <w:rsid w:val="00306B18"/>
    <w:rsid w:val="00307084"/>
    <w:rsid w:val="003071A0"/>
    <w:rsid w:val="003072A6"/>
    <w:rsid w:val="00307393"/>
    <w:rsid w:val="00307569"/>
    <w:rsid w:val="003075ED"/>
    <w:rsid w:val="003079E1"/>
    <w:rsid w:val="003079FE"/>
    <w:rsid w:val="00307AAB"/>
    <w:rsid w:val="00307D81"/>
    <w:rsid w:val="00307DE2"/>
    <w:rsid w:val="0031003A"/>
    <w:rsid w:val="003100CE"/>
    <w:rsid w:val="00310163"/>
    <w:rsid w:val="00310190"/>
    <w:rsid w:val="00310267"/>
    <w:rsid w:val="00310357"/>
    <w:rsid w:val="00310418"/>
    <w:rsid w:val="0031065F"/>
    <w:rsid w:val="00310673"/>
    <w:rsid w:val="00310A0D"/>
    <w:rsid w:val="00310CFA"/>
    <w:rsid w:val="00310E96"/>
    <w:rsid w:val="00310EF8"/>
    <w:rsid w:val="00311188"/>
    <w:rsid w:val="0031119D"/>
    <w:rsid w:val="0031122E"/>
    <w:rsid w:val="00311270"/>
    <w:rsid w:val="00311286"/>
    <w:rsid w:val="00311337"/>
    <w:rsid w:val="003113A1"/>
    <w:rsid w:val="003113E2"/>
    <w:rsid w:val="00311482"/>
    <w:rsid w:val="0031161D"/>
    <w:rsid w:val="0031163B"/>
    <w:rsid w:val="00311894"/>
    <w:rsid w:val="00311998"/>
    <w:rsid w:val="00311ACD"/>
    <w:rsid w:val="00311BB8"/>
    <w:rsid w:val="00311C01"/>
    <w:rsid w:val="00311F8B"/>
    <w:rsid w:val="003122A0"/>
    <w:rsid w:val="003127C7"/>
    <w:rsid w:val="00312993"/>
    <w:rsid w:val="0031299B"/>
    <w:rsid w:val="003129CF"/>
    <w:rsid w:val="00312A58"/>
    <w:rsid w:val="00312B37"/>
    <w:rsid w:val="00312C29"/>
    <w:rsid w:val="00312C91"/>
    <w:rsid w:val="00312F7D"/>
    <w:rsid w:val="00312FD4"/>
    <w:rsid w:val="00312FFC"/>
    <w:rsid w:val="00313275"/>
    <w:rsid w:val="00313397"/>
    <w:rsid w:val="0031354F"/>
    <w:rsid w:val="00313704"/>
    <w:rsid w:val="00313CAD"/>
    <w:rsid w:val="00313EED"/>
    <w:rsid w:val="0031403F"/>
    <w:rsid w:val="0031427C"/>
    <w:rsid w:val="0031438E"/>
    <w:rsid w:val="003143E2"/>
    <w:rsid w:val="003144AE"/>
    <w:rsid w:val="0031457D"/>
    <w:rsid w:val="00314671"/>
    <w:rsid w:val="003148B0"/>
    <w:rsid w:val="00314988"/>
    <w:rsid w:val="00314BE7"/>
    <w:rsid w:val="00314DA7"/>
    <w:rsid w:val="00314FDE"/>
    <w:rsid w:val="003150BF"/>
    <w:rsid w:val="003150CE"/>
    <w:rsid w:val="003150D3"/>
    <w:rsid w:val="003151D7"/>
    <w:rsid w:val="0031543B"/>
    <w:rsid w:val="003154E8"/>
    <w:rsid w:val="00315825"/>
    <w:rsid w:val="00315833"/>
    <w:rsid w:val="003159E7"/>
    <w:rsid w:val="00315A1C"/>
    <w:rsid w:val="00315E92"/>
    <w:rsid w:val="00316128"/>
    <w:rsid w:val="0031631E"/>
    <w:rsid w:val="0031637E"/>
    <w:rsid w:val="003165B3"/>
    <w:rsid w:val="0031662B"/>
    <w:rsid w:val="003167AD"/>
    <w:rsid w:val="003167F1"/>
    <w:rsid w:val="00316986"/>
    <w:rsid w:val="00316A6E"/>
    <w:rsid w:val="00316A98"/>
    <w:rsid w:val="00316DA0"/>
    <w:rsid w:val="00316DD3"/>
    <w:rsid w:val="00316E9A"/>
    <w:rsid w:val="0031701D"/>
    <w:rsid w:val="0031704D"/>
    <w:rsid w:val="00317155"/>
    <w:rsid w:val="00317191"/>
    <w:rsid w:val="00317395"/>
    <w:rsid w:val="003173C1"/>
    <w:rsid w:val="003173EA"/>
    <w:rsid w:val="0031783C"/>
    <w:rsid w:val="00317901"/>
    <w:rsid w:val="0031796E"/>
    <w:rsid w:val="00317C2B"/>
    <w:rsid w:val="00317E34"/>
    <w:rsid w:val="00317EE8"/>
    <w:rsid w:val="00320082"/>
    <w:rsid w:val="00320147"/>
    <w:rsid w:val="00320541"/>
    <w:rsid w:val="00320866"/>
    <w:rsid w:val="00320B30"/>
    <w:rsid w:val="00320E80"/>
    <w:rsid w:val="00320EBD"/>
    <w:rsid w:val="0032155D"/>
    <w:rsid w:val="003215F5"/>
    <w:rsid w:val="003215FB"/>
    <w:rsid w:val="003217E4"/>
    <w:rsid w:val="003218B6"/>
    <w:rsid w:val="003218FF"/>
    <w:rsid w:val="0032195B"/>
    <w:rsid w:val="003219A7"/>
    <w:rsid w:val="003219EE"/>
    <w:rsid w:val="00321FAB"/>
    <w:rsid w:val="00322073"/>
    <w:rsid w:val="00322523"/>
    <w:rsid w:val="003226A4"/>
    <w:rsid w:val="003226AF"/>
    <w:rsid w:val="003228A4"/>
    <w:rsid w:val="003228DD"/>
    <w:rsid w:val="00322A68"/>
    <w:rsid w:val="00322AF6"/>
    <w:rsid w:val="00322BF6"/>
    <w:rsid w:val="00322D66"/>
    <w:rsid w:val="00322E10"/>
    <w:rsid w:val="00322EB3"/>
    <w:rsid w:val="003230AE"/>
    <w:rsid w:val="003232C9"/>
    <w:rsid w:val="0032354A"/>
    <w:rsid w:val="0032359A"/>
    <w:rsid w:val="00323819"/>
    <w:rsid w:val="0032381C"/>
    <w:rsid w:val="00323843"/>
    <w:rsid w:val="003238B9"/>
    <w:rsid w:val="0032394F"/>
    <w:rsid w:val="003239D2"/>
    <w:rsid w:val="00323B9E"/>
    <w:rsid w:val="00324094"/>
    <w:rsid w:val="0032428C"/>
    <w:rsid w:val="00324355"/>
    <w:rsid w:val="00324462"/>
    <w:rsid w:val="0032448E"/>
    <w:rsid w:val="00324603"/>
    <w:rsid w:val="00324755"/>
    <w:rsid w:val="00324C5A"/>
    <w:rsid w:val="00324CBA"/>
    <w:rsid w:val="00324E1E"/>
    <w:rsid w:val="00324E8B"/>
    <w:rsid w:val="00324FBD"/>
    <w:rsid w:val="00325341"/>
    <w:rsid w:val="003253EB"/>
    <w:rsid w:val="003254EB"/>
    <w:rsid w:val="00325570"/>
    <w:rsid w:val="003257E1"/>
    <w:rsid w:val="0032595F"/>
    <w:rsid w:val="00325BCA"/>
    <w:rsid w:val="00325EA9"/>
    <w:rsid w:val="00325EF7"/>
    <w:rsid w:val="00326090"/>
    <w:rsid w:val="003268B5"/>
    <w:rsid w:val="0032690F"/>
    <w:rsid w:val="00326C22"/>
    <w:rsid w:val="00326C3E"/>
    <w:rsid w:val="00326CE2"/>
    <w:rsid w:val="00326CFF"/>
    <w:rsid w:val="00326DC0"/>
    <w:rsid w:val="00326E49"/>
    <w:rsid w:val="00326FCA"/>
    <w:rsid w:val="00327056"/>
    <w:rsid w:val="003270B4"/>
    <w:rsid w:val="00327211"/>
    <w:rsid w:val="003272CD"/>
    <w:rsid w:val="00327576"/>
    <w:rsid w:val="0032767C"/>
    <w:rsid w:val="00327C4D"/>
    <w:rsid w:val="00327C78"/>
    <w:rsid w:val="0033029E"/>
    <w:rsid w:val="00330559"/>
    <w:rsid w:val="0033064F"/>
    <w:rsid w:val="003306AE"/>
    <w:rsid w:val="003306E2"/>
    <w:rsid w:val="00330804"/>
    <w:rsid w:val="003308D3"/>
    <w:rsid w:val="003308FA"/>
    <w:rsid w:val="003309C4"/>
    <w:rsid w:val="00330A43"/>
    <w:rsid w:val="00330A6A"/>
    <w:rsid w:val="0033102F"/>
    <w:rsid w:val="00331326"/>
    <w:rsid w:val="00331803"/>
    <w:rsid w:val="00331809"/>
    <w:rsid w:val="00331829"/>
    <w:rsid w:val="003319F3"/>
    <w:rsid w:val="00331BD8"/>
    <w:rsid w:val="00331CF9"/>
    <w:rsid w:val="00331D88"/>
    <w:rsid w:val="00331E1E"/>
    <w:rsid w:val="00331E83"/>
    <w:rsid w:val="00332101"/>
    <w:rsid w:val="00332393"/>
    <w:rsid w:val="0033248C"/>
    <w:rsid w:val="00332597"/>
    <w:rsid w:val="00332949"/>
    <w:rsid w:val="00332B28"/>
    <w:rsid w:val="00332C4F"/>
    <w:rsid w:val="00332CD0"/>
    <w:rsid w:val="00332CDB"/>
    <w:rsid w:val="00332DE1"/>
    <w:rsid w:val="00332EF6"/>
    <w:rsid w:val="0033301F"/>
    <w:rsid w:val="00333370"/>
    <w:rsid w:val="003333D6"/>
    <w:rsid w:val="0033342D"/>
    <w:rsid w:val="00333953"/>
    <w:rsid w:val="00333B07"/>
    <w:rsid w:val="00333CD1"/>
    <w:rsid w:val="00333D11"/>
    <w:rsid w:val="00333D4B"/>
    <w:rsid w:val="00333D58"/>
    <w:rsid w:val="00333EF6"/>
    <w:rsid w:val="0033400E"/>
    <w:rsid w:val="00334039"/>
    <w:rsid w:val="003342EC"/>
    <w:rsid w:val="0033435D"/>
    <w:rsid w:val="00334373"/>
    <w:rsid w:val="00334398"/>
    <w:rsid w:val="00334651"/>
    <w:rsid w:val="00334920"/>
    <w:rsid w:val="00334A4B"/>
    <w:rsid w:val="00334A6B"/>
    <w:rsid w:val="00334ECE"/>
    <w:rsid w:val="00334F4F"/>
    <w:rsid w:val="00335033"/>
    <w:rsid w:val="00335077"/>
    <w:rsid w:val="00335187"/>
    <w:rsid w:val="00335220"/>
    <w:rsid w:val="003356A2"/>
    <w:rsid w:val="00335756"/>
    <w:rsid w:val="003357FB"/>
    <w:rsid w:val="0033592C"/>
    <w:rsid w:val="00335A55"/>
    <w:rsid w:val="00335BD0"/>
    <w:rsid w:val="00335F13"/>
    <w:rsid w:val="00335F25"/>
    <w:rsid w:val="0033612D"/>
    <w:rsid w:val="00336131"/>
    <w:rsid w:val="00336281"/>
    <w:rsid w:val="003366B2"/>
    <w:rsid w:val="003368F9"/>
    <w:rsid w:val="00336932"/>
    <w:rsid w:val="00336AB2"/>
    <w:rsid w:val="003375C6"/>
    <w:rsid w:val="00337989"/>
    <w:rsid w:val="00337BB0"/>
    <w:rsid w:val="00337C0D"/>
    <w:rsid w:val="00337DFF"/>
    <w:rsid w:val="00340066"/>
    <w:rsid w:val="003402C7"/>
    <w:rsid w:val="003404A1"/>
    <w:rsid w:val="00340510"/>
    <w:rsid w:val="0034066E"/>
    <w:rsid w:val="003406C9"/>
    <w:rsid w:val="00340892"/>
    <w:rsid w:val="00340A03"/>
    <w:rsid w:val="00340AB7"/>
    <w:rsid w:val="00340D28"/>
    <w:rsid w:val="00340D38"/>
    <w:rsid w:val="0034122D"/>
    <w:rsid w:val="00341313"/>
    <w:rsid w:val="0034132D"/>
    <w:rsid w:val="00341421"/>
    <w:rsid w:val="00341423"/>
    <w:rsid w:val="003415DD"/>
    <w:rsid w:val="0034167B"/>
    <w:rsid w:val="003416AC"/>
    <w:rsid w:val="00341863"/>
    <w:rsid w:val="00341A51"/>
    <w:rsid w:val="00341D66"/>
    <w:rsid w:val="00341E9C"/>
    <w:rsid w:val="003421B9"/>
    <w:rsid w:val="003423CD"/>
    <w:rsid w:val="003423E9"/>
    <w:rsid w:val="00342452"/>
    <w:rsid w:val="0034272E"/>
    <w:rsid w:val="0034288B"/>
    <w:rsid w:val="00342981"/>
    <w:rsid w:val="00342D1C"/>
    <w:rsid w:val="00342D7B"/>
    <w:rsid w:val="00342F85"/>
    <w:rsid w:val="0034306A"/>
    <w:rsid w:val="0034332B"/>
    <w:rsid w:val="00343339"/>
    <w:rsid w:val="003433D8"/>
    <w:rsid w:val="00343496"/>
    <w:rsid w:val="00343843"/>
    <w:rsid w:val="0034393D"/>
    <w:rsid w:val="00343A4A"/>
    <w:rsid w:val="00343CB2"/>
    <w:rsid w:val="00343FA4"/>
    <w:rsid w:val="00344021"/>
    <w:rsid w:val="00344509"/>
    <w:rsid w:val="0034450B"/>
    <w:rsid w:val="00344711"/>
    <w:rsid w:val="00344760"/>
    <w:rsid w:val="0034484A"/>
    <w:rsid w:val="00344A8E"/>
    <w:rsid w:val="00344ACD"/>
    <w:rsid w:val="003455C8"/>
    <w:rsid w:val="003456F5"/>
    <w:rsid w:val="003457A5"/>
    <w:rsid w:val="00345919"/>
    <w:rsid w:val="00345BEB"/>
    <w:rsid w:val="00345DD6"/>
    <w:rsid w:val="00345EEC"/>
    <w:rsid w:val="0034617B"/>
    <w:rsid w:val="00346215"/>
    <w:rsid w:val="0034628B"/>
    <w:rsid w:val="00346296"/>
    <w:rsid w:val="00346431"/>
    <w:rsid w:val="00346538"/>
    <w:rsid w:val="003466CE"/>
    <w:rsid w:val="003467C2"/>
    <w:rsid w:val="003467EA"/>
    <w:rsid w:val="0034681C"/>
    <w:rsid w:val="00346B4A"/>
    <w:rsid w:val="00346CF1"/>
    <w:rsid w:val="00346EB1"/>
    <w:rsid w:val="00347048"/>
    <w:rsid w:val="003471FE"/>
    <w:rsid w:val="00347207"/>
    <w:rsid w:val="0034744E"/>
    <w:rsid w:val="00347484"/>
    <w:rsid w:val="003479A1"/>
    <w:rsid w:val="00347B6B"/>
    <w:rsid w:val="00347D50"/>
    <w:rsid w:val="003501AE"/>
    <w:rsid w:val="003504D3"/>
    <w:rsid w:val="003507CF"/>
    <w:rsid w:val="00350831"/>
    <w:rsid w:val="0035084F"/>
    <w:rsid w:val="00350856"/>
    <w:rsid w:val="00350BBB"/>
    <w:rsid w:val="00350C2A"/>
    <w:rsid w:val="00350E3D"/>
    <w:rsid w:val="00351007"/>
    <w:rsid w:val="003514B3"/>
    <w:rsid w:val="00351559"/>
    <w:rsid w:val="0035180F"/>
    <w:rsid w:val="00351904"/>
    <w:rsid w:val="00351A23"/>
    <w:rsid w:val="0035201F"/>
    <w:rsid w:val="0035217A"/>
    <w:rsid w:val="003522FE"/>
    <w:rsid w:val="00352A5B"/>
    <w:rsid w:val="00352C55"/>
    <w:rsid w:val="00352C9F"/>
    <w:rsid w:val="00352D02"/>
    <w:rsid w:val="00352DF8"/>
    <w:rsid w:val="0035323B"/>
    <w:rsid w:val="003535AB"/>
    <w:rsid w:val="003535D6"/>
    <w:rsid w:val="0035389F"/>
    <w:rsid w:val="003538E8"/>
    <w:rsid w:val="00353906"/>
    <w:rsid w:val="00353944"/>
    <w:rsid w:val="00353D08"/>
    <w:rsid w:val="00353D82"/>
    <w:rsid w:val="00353DF1"/>
    <w:rsid w:val="003542C5"/>
    <w:rsid w:val="00354E90"/>
    <w:rsid w:val="0035505B"/>
    <w:rsid w:val="00355153"/>
    <w:rsid w:val="0035523F"/>
    <w:rsid w:val="0035524D"/>
    <w:rsid w:val="003556EA"/>
    <w:rsid w:val="0035583F"/>
    <w:rsid w:val="00355AEB"/>
    <w:rsid w:val="00355F95"/>
    <w:rsid w:val="00356115"/>
    <w:rsid w:val="003562A1"/>
    <w:rsid w:val="003563E2"/>
    <w:rsid w:val="00356669"/>
    <w:rsid w:val="00356760"/>
    <w:rsid w:val="003569B0"/>
    <w:rsid w:val="003569FB"/>
    <w:rsid w:val="00356A26"/>
    <w:rsid w:val="00356B36"/>
    <w:rsid w:val="00356CEB"/>
    <w:rsid w:val="00357064"/>
    <w:rsid w:val="003574C8"/>
    <w:rsid w:val="003576C1"/>
    <w:rsid w:val="00357CE8"/>
    <w:rsid w:val="00360096"/>
    <w:rsid w:val="003600A8"/>
    <w:rsid w:val="00360400"/>
    <w:rsid w:val="003604F2"/>
    <w:rsid w:val="0036052B"/>
    <w:rsid w:val="003606EC"/>
    <w:rsid w:val="00360C51"/>
    <w:rsid w:val="00360DEC"/>
    <w:rsid w:val="0036101C"/>
    <w:rsid w:val="003611E5"/>
    <w:rsid w:val="003612F0"/>
    <w:rsid w:val="00361512"/>
    <w:rsid w:val="00361559"/>
    <w:rsid w:val="0036168D"/>
    <w:rsid w:val="0036178D"/>
    <w:rsid w:val="00361A30"/>
    <w:rsid w:val="00361C29"/>
    <w:rsid w:val="00361D96"/>
    <w:rsid w:val="00361DB6"/>
    <w:rsid w:val="00361DC4"/>
    <w:rsid w:val="00361F04"/>
    <w:rsid w:val="003621A8"/>
    <w:rsid w:val="003621CA"/>
    <w:rsid w:val="003622D0"/>
    <w:rsid w:val="00362648"/>
    <w:rsid w:val="0036265B"/>
    <w:rsid w:val="0036271F"/>
    <w:rsid w:val="0036280C"/>
    <w:rsid w:val="0036284D"/>
    <w:rsid w:val="0036286F"/>
    <w:rsid w:val="00362C50"/>
    <w:rsid w:val="00362E56"/>
    <w:rsid w:val="00362EB5"/>
    <w:rsid w:val="00362FAE"/>
    <w:rsid w:val="00362FCC"/>
    <w:rsid w:val="003630AF"/>
    <w:rsid w:val="003630FD"/>
    <w:rsid w:val="0036333E"/>
    <w:rsid w:val="00363593"/>
    <w:rsid w:val="003637B5"/>
    <w:rsid w:val="00363820"/>
    <w:rsid w:val="003638CF"/>
    <w:rsid w:val="00363996"/>
    <w:rsid w:val="00363F9C"/>
    <w:rsid w:val="003641F2"/>
    <w:rsid w:val="00364407"/>
    <w:rsid w:val="0036459D"/>
    <w:rsid w:val="003646BA"/>
    <w:rsid w:val="0036480C"/>
    <w:rsid w:val="0036494C"/>
    <w:rsid w:val="00364C32"/>
    <w:rsid w:val="00364DB7"/>
    <w:rsid w:val="00364E3B"/>
    <w:rsid w:val="00364E5F"/>
    <w:rsid w:val="00364F54"/>
    <w:rsid w:val="00364FA3"/>
    <w:rsid w:val="00365048"/>
    <w:rsid w:val="00365256"/>
    <w:rsid w:val="0036534D"/>
    <w:rsid w:val="003655A3"/>
    <w:rsid w:val="0036562B"/>
    <w:rsid w:val="0036567E"/>
    <w:rsid w:val="003656A7"/>
    <w:rsid w:val="003659C7"/>
    <w:rsid w:val="003659CC"/>
    <w:rsid w:val="00365A8C"/>
    <w:rsid w:val="00365AB7"/>
    <w:rsid w:val="00365C0E"/>
    <w:rsid w:val="00365E49"/>
    <w:rsid w:val="0036613F"/>
    <w:rsid w:val="003662E2"/>
    <w:rsid w:val="003664EB"/>
    <w:rsid w:val="00366524"/>
    <w:rsid w:val="00366CB2"/>
    <w:rsid w:val="00366CFC"/>
    <w:rsid w:val="00366E5A"/>
    <w:rsid w:val="003670B6"/>
    <w:rsid w:val="00367340"/>
    <w:rsid w:val="003673EB"/>
    <w:rsid w:val="0036745C"/>
    <w:rsid w:val="00367583"/>
    <w:rsid w:val="003675BF"/>
    <w:rsid w:val="00367656"/>
    <w:rsid w:val="003679E4"/>
    <w:rsid w:val="00367BBE"/>
    <w:rsid w:val="00367BE3"/>
    <w:rsid w:val="00367DB3"/>
    <w:rsid w:val="00367EF7"/>
    <w:rsid w:val="00367FB9"/>
    <w:rsid w:val="00370039"/>
    <w:rsid w:val="003702C8"/>
    <w:rsid w:val="00370396"/>
    <w:rsid w:val="00370422"/>
    <w:rsid w:val="00370801"/>
    <w:rsid w:val="0037089D"/>
    <w:rsid w:val="003708B1"/>
    <w:rsid w:val="003708F2"/>
    <w:rsid w:val="00370BEB"/>
    <w:rsid w:val="00370DEA"/>
    <w:rsid w:val="00370E05"/>
    <w:rsid w:val="00371005"/>
    <w:rsid w:val="00371521"/>
    <w:rsid w:val="003716DE"/>
    <w:rsid w:val="00371771"/>
    <w:rsid w:val="003717E0"/>
    <w:rsid w:val="003718A0"/>
    <w:rsid w:val="00371B13"/>
    <w:rsid w:val="00371C69"/>
    <w:rsid w:val="00371EF9"/>
    <w:rsid w:val="00371F7E"/>
    <w:rsid w:val="00371FDD"/>
    <w:rsid w:val="0037200A"/>
    <w:rsid w:val="00372115"/>
    <w:rsid w:val="003723D7"/>
    <w:rsid w:val="003724F7"/>
    <w:rsid w:val="00372517"/>
    <w:rsid w:val="00372564"/>
    <w:rsid w:val="00372680"/>
    <w:rsid w:val="003729B9"/>
    <w:rsid w:val="003729FF"/>
    <w:rsid w:val="00372B15"/>
    <w:rsid w:val="00372B8A"/>
    <w:rsid w:val="00372F35"/>
    <w:rsid w:val="0037335D"/>
    <w:rsid w:val="00373524"/>
    <w:rsid w:val="003735CD"/>
    <w:rsid w:val="003738B6"/>
    <w:rsid w:val="003738BA"/>
    <w:rsid w:val="00373991"/>
    <w:rsid w:val="00373CD5"/>
    <w:rsid w:val="00373E58"/>
    <w:rsid w:val="00373EFC"/>
    <w:rsid w:val="003741ED"/>
    <w:rsid w:val="003742BF"/>
    <w:rsid w:val="003742E2"/>
    <w:rsid w:val="0037430F"/>
    <w:rsid w:val="003743BE"/>
    <w:rsid w:val="00374481"/>
    <w:rsid w:val="003744A6"/>
    <w:rsid w:val="003744DC"/>
    <w:rsid w:val="003745D2"/>
    <w:rsid w:val="00374612"/>
    <w:rsid w:val="003747D6"/>
    <w:rsid w:val="00374896"/>
    <w:rsid w:val="00374CB4"/>
    <w:rsid w:val="00374DDA"/>
    <w:rsid w:val="00374EB4"/>
    <w:rsid w:val="00375379"/>
    <w:rsid w:val="00375393"/>
    <w:rsid w:val="00375509"/>
    <w:rsid w:val="00375861"/>
    <w:rsid w:val="00375915"/>
    <w:rsid w:val="0037592F"/>
    <w:rsid w:val="00375997"/>
    <w:rsid w:val="00375A81"/>
    <w:rsid w:val="00375CF5"/>
    <w:rsid w:val="00375E70"/>
    <w:rsid w:val="00375E98"/>
    <w:rsid w:val="00375EDB"/>
    <w:rsid w:val="00375F3A"/>
    <w:rsid w:val="00376073"/>
    <w:rsid w:val="003762B2"/>
    <w:rsid w:val="00376580"/>
    <w:rsid w:val="00376742"/>
    <w:rsid w:val="00376790"/>
    <w:rsid w:val="00376865"/>
    <w:rsid w:val="00376C23"/>
    <w:rsid w:val="00377009"/>
    <w:rsid w:val="003772CF"/>
    <w:rsid w:val="00377306"/>
    <w:rsid w:val="00377452"/>
    <w:rsid w:val="00377697"/>
    <w:rsid w:val="00377802"/>
    <w:rsid w:val="003778DF"/>
    <w:rsid w:val="003778F8"/>
    <w:rsid w:val="00377905"/>
    <w:rsid w:val="00377A6F"/>
    <w:rsid w:val="00377C30"/>
    <w:rsid w:val="00377C75"/>
    <w:rsid w:val="00377CA8"/>
    <w:rsid w:val="00377D31"/>
    <w:rsid w:val="00377D4B"/>
    <w:rsid w:val="00377E11"/>
    <w:rsid w:val="00377F3D"/>
    <w:rsid w:val="00377FE7"/>
    <w:rsid w:val="0038002C"/>
    <w:rsid w:val="00380264"/>
    <w:rsid w:val="0038038B"/>
    <w:rsid w:val="00380414"/>
    <w:rsid w:val="00380440"/>
    <w:rsid w:val="003804B1"/>
    <w:rsid w:val="00380895"/>
    <w:rsid w:val="00380C12"/>
    <w:rsid w:val="00380C4A"/>
    <w:rsid w:val="00380D67"/>
    <w:rsid w:val="00380DF2"/>
    <w:rsid w:val="00381223"/>
    <w:rsid w:val="0038128E"/>
    <w:rsid w:val="00381778"/>
    <w:rsid w:val="003817C1"/>
    <w:rsid w:val="00381849"/>
    <w:rsid w:val="003819AF"/>
    <w:rsid w:val="00381DE9"/>
    <w:rsid w:val="00382109"/>
    <w:rsid w:val="003823A0"/>
    <w:rsid w:val="003824DA"/>
    <w:rsid w:val="00382518"/>
    <w:rsid w:val="00382775"/>
    <w:rsid w:val="003827D0"/>
    <w:rsid w:val="003827E8"/>
    <w:rsid w:val="00382CE9"/>
    <w:rsid w:val="00382F87"/>
    <w:rsid w:val="00382FAD"/>
    <w:rsid w:val="00383447"/>
    <w:rsid w:val="00383605"/>
    <w:rsid w:val="003836D6"/>
    <w:rsid w:val="00383755"/>
    <w:rsid w:val="0038381B"/>
    <w:rsid w:val="00383CA9"/>
    <w:rsid w:val="00383DFC"/>
    <w:rsid w:val="00383E39"/>
    <w:rsid w:val="00383E62"/>
    <w:rsid w:val="00384159"/>
    <w:rsid w:val="0038435F"/>
    <w:rsid w:val="003844DE"/>
    <w:rsid w:val="0038464D"/>
    <w:rsid w:val="00384670"/>
    <w:rsid w:val="00384713"/>
    <w:rsid w:val="00384926"/>
    <w:rsid w:val="00384934"/>
    <w:rsid w:val="003849EA"/>
    <w:rsid w:val="00384A01"/>
    <w:rsid w:val="00384B3C"/>
    <w:rsid w:val="00384C00"/>
    <w:rsid w:val="00384DF8"/>
    <w:rsid w:val="00384E27"/>
    <w:rsid w:val="00384F36"/>
    <w:rsid w:val="00384F62"/>
    <w:rsid w:val="00385271"/>
    <w:rsid w:val="00385302"/>
    <w:rsid w:val="00385604"/>
    <w:rsid w:val="00385629"/>
    <w:rsid w:val="003856D7"/>
    <w:rsid w:val="0038583C"/>
    <w:rsid w:val="003858AF"/>
    <w:rsid w:val="00385CFB"/>
    <w:rsid w:val="003860AA"/>
    <w:rsid w:val="0038618E"/>
    <w:rsid w:val="00386408"/>
    <w:rsid w:val="00386536"/>
    <w:rsid w:val="003865B1"/>
    <w:rsid w:val="00386725"/>
    <w:rsid w:val="0038690F"/>
    <w:rsid w:val="0038698F"/>
    <w:rsid w:val="00386A85"/>
    <w:rsid w:val="00386C6D"/>
    <w:rsid w:val="00386FAF"/>
    <w:rsid w:val="0038700E"/>
    <w:rsid w:val="00387077"/>
    <w:rsid w:val="0038731C"/>
    <w:rsid w:val="0038739A"/>
    <w:rsid w:val="00387404"/>
    <w:rsid w:val="0038740A"/>
    <w:rsid w:val="00387B4B"/>
    <w:rsid w:val="00387F71"/>
    <w:rsid w:val="00390058"/>
    <w:rsid w:val="003902FA"/>
    <w:rsid w:val="00390301"/>
    <w:rsid w:val="00390345"/>
    <w:rsid w:val="00390460"/>
    <w:rsid w:val="0039057A"/>
    <w:rsid w:val="00390826"/>
    <w:rsid w:val="00390916"/>
    <w:rsid w:val="00390B95"/>
    <w:rsid w:val="00390C09"/>
    <w:rsid w:val="00390EAE"/>
    <w:rsid w:val="00390EEE"/>
    <w:rsid w:val="00390F19"/>
    <w:rsid w:val="00390F3D"/>
    <w:rsid w:val="003913B2"/>
    <w:rsid w:val="003913E6"/>
    <w:rsid w:val="0039143F"/>
    <w:rsid w:val="0039155C"/>
    <w:rsid w:val="0039167B"/>
    <w:rsid w:val="003917E0"/>
    <w:rsid w:val="00391856"/>
    <w:rsid w:val="0039185D"/>
    <w:rsid w:val="00391E20"/>
    <w:rsid w:val="00391EF6"/>
    <w:rsid w:val="0039226E"/>
    <w:rsid w:val="00392436"/>
    <w:rsid w:val="003924ED"/>
    <w:rsid w:val="0039250B"/>
    <w:rsid w:val="0039274C"/>
    <w:rsid w:val="0039275A"/>
    <w:rsid w:val="0039277D"/>
    <w:rsid w:val="003927D7"/>
    <w:rsid w:val="0039298E"/>
    <w:rsid w:val="00392A2E"/>
    <w:rsid w:val="00392B33"/>
    <w:rsid w:val="00392CC8"/>
    <w:rsid w:val="003930BC"/>
    <w:rsid w:val="0039311F"/>
    <w:rsid w:val="00393152"/>
    <w:rsid w:val="00393253"/>
    <w:rsid w:val="0039346E"/>
    <w:rsid w:val="003934F7"/>
    <w:rsid w:val="003936A3"/>
    <w:rsid w:val="003939FD"/>
    <w:rsid w:val="00393E08"/>
    <w:rsid w:val="003942EE"/>
    <w:rsid w:val="00394529"/>
    <w:rsid w:val="003945B5"/>
    <w:rsid w:val="00394E17"/>
    <w:rsid w:val="00394F24"/>
    <w:rsid w:val="003951B4"/>
    <w:rsid w:val="003951DB"/>
    <w:rsid w:val="003951F9"/>
    <w:rsid w:val="00395380"/>
    <w:rsid w:val="003954E2"/>
    <w:rsid w:val="00395772"/>
    <w:rsid w:val="0039597B"/>
    <w:rsid w:val="00395A5E"/>
    <w:rsid w:val="00395B61"/>
    <w:rsid w:val="00395B67"/>
    <w:rsid w:val="00395BDC"/>
    <w:rsid w:val="00395EDA"/>
    <w:rsid w:val="00395F70"/>
    <w:rsid w:val="00395FFE"/>
    <w:rsid w:val="003964EF"/>
    <w:rsid w:val="003965CC"/>
    <w:rsid w:val="003966A5"/>
    <w:rsid w:val="0039672D"/>
    <w:rsid w:val="0039689E"/>
    <w:rsid w:val="0039698A"/>
    <w:rsid w:val="00396AAD"/>
    <w:rsid w:val="00396B3E"/>
    <w:rsid w:val="00396D2B"/>
    <w:rsid w:val="0039700D"/>
    <w:rsid w:val="00397016"/>
    <w:rsid w:val="00397059"/>
    <w:rsid w:val="003972D4"/>
    <w:rsid w:val="003974E4"/>
    <w:rsid w:val="0039762B"/>
    <w:rsid w:val="00397684"/>
    <w:rsid w:val="00397686"/>
    <w:rsid w:val="00397708"/>
    <w:rsid w:val="00397A3A"/>
    <w:rsid w:val="00397B72"/>
    <w:rsid w:val="00397F84"/>
    <w:rsid w:val="003A007C"/>
    <w:rsid w:val="003A00CD"/>
    <w:rsid w:val="003A033A"/>
    <w:rsid w:val="003A0353"/>
    <w:rsid w:val="003A03CB"/>
    <w:rsid w:val="003A054E"/>
    <w:rsid w:val="003A05CE"/>
    <w:rsid w:val="003A090B"/>
    <w:rsid w:val="003A0A16"/>
    <w:rsid w:val="003A0C17"/>
    <w:rsid w:val="003A0D00"/>
    <w:rsid w:val="003A0D0F"/>
    <w:rsid w:val="003A0E92"/>
    <w:rsid w:val="003A1501"/>
    <w:rsid w:val="003A15B6"/>
    <w:rsid w:val="003A162E"/>
    <w:rsid w:val="003A18AC"/>
    <w:rsid w:val="003A1B0A"/>
    <w:rsid w:val="003A1C99"/>
    <w:rsid w:val="003A1E9A"/>
    <w:rsid w:val="003A2017"/>
    <w:rsid w:val="003A213B"/>
    <w:rsid w:val="003A249F"/>
    <w:rsid w:val="003A26B1"/>
    <w:rsid w:val="003A276C"/>
    <w:rsid w:val="003A282F"/>
    <w:rsid w:val="003A286E"/>
    <w:rsid w:val="003A2906"/>
    <w:rsid w:val="003A29F2"/>
    <w:rsid w:val="003A2A03"/>
    <w:rsid w:val="003A2C34"/>
    <w:rsid w:val="003A2E64"/>
    <w:rsid w:val="003A397E"/>
    <w:rsid w:val="003A3E8B"/>
    <w:rsid w:val="003A4089"/>
    <w:rsid w:val="003A4128"/>
    <w:rsid w:val="003A41C1"/>
    <w:rsid w:val="003A4248"/>
    <w:rsid w:val="003A4550"/>
    <w:rsid w:val="003A47C1"/>
    <w:rsid w:val="003A4806"/>
    <w:rsid w:val="003A48B0"/>
    <w:rsid w:val="003A48CC"/>
    <w:rsid w:val="003A4900"/>
    <w:rsid w:val="003A4B05"/>
    <w:rsid w:val="003A4B77"/>
    <w:rsid w:val="003A4D1F"/>
    <w:rsid w:val="003A536D"/>
    <w:rsid w:val="003A53F0"/>
    <w:rsid w:val="003A545D"/>
    <w:rsid w:val="003A5A05"/>
    <w:rsid w:val="003A60D0"/>
    <w:rsid w:val="003A640B"/>
    <w:rsid w:val="003A64B6"/>
    <w:rsid w:val="003A65FE"/>
    <w:rsid w:val="003A67AD"/>
    <w:rsid w:val="003A68D9"/>
    <w:rsid w:val="003A6D56"/>
    <w:rsid w:val="003A6D6B"/>
    <w:rsid w:val="003A6DF7"/>
    <w:rsid w:val="003A6E8B"/>
    <w:rsid w:val="003A72EF"/>
    <w:rsid w:val="003A753C"/>
    <w:rsid w:val="003A76FF"/>
    <w:rsid w:val="003A7847"/>
    <w:rsid w:val="003A78BC"/>
    <w:rsid w:val="003A78EE"/>
    <w:rsid w:val="003A7B03"/>
    <w:rsid w:val="003A7B7E"/>
    <w:rsid w:val="003A7E21"/>
    <w:rsid w:val="003A7F69"/>
    <w:rsid w:val="003B006A"/>
    <w:rsid w:val="003B02A7"/>
    <w:rsid w:val="003B03B1"/>
    <w:rsid w:val="003B03D1"/>
    <w:rsid w:val="003B0486"/>
    <w:rsid w:val="003B0490"/>
    <w:rsid w:val="003B0675"/>
    <w:rsid w:val="003B072B"/>
    <w:rsid w:val="003B07C5"/>
    <w:rsid w:val="003B0CA5"/>
    <w:rsid w:val="003B0CD0"/>
    <w:rsid w:val="003B0E9B"/>
    <w:rsid w:val="003B1032"/>
    <w:rsid w:val="003B11AB"/>
    <w:rsid w:val="003B1315"/>
    <w:rsid w:val="003B1326"/>
    <w:rsid w:val="003B143A"/>
    <w:rsid w:val="003B149F"/>
    <w:rsid w:val="003B14EC"/>
    <w:rsid w:val="003B154B"/>
    <w:rsid w:val="003B16C8"/>
    <w:rsid w:val="003B18A3"/>
    <w:rsid w:val="003B1BFF"/>
    <w:rsid w:val="003B1C71"/>
    <w:rsid w:val="003B1C80"/>
    <w:rsid w:val="003B203E"/>
    <w:rsid w:val="003B2177"/>
    <w:rsid w:val="003B2413"/>
    <w:rsid w:val="003B241C"/>
    <w:rsid w:val="003B267B"/>
    <w:rsid w:val="003B30C9"/>
    <w:rsid w:val="003B3135"/>
    <w:rsid w:val="003B3216"/>
    <w:rsid w:val="003B3380"/>
    <w:rsid w:val="003B344B"/>
    <w:rsid w:val="003B3593"/>
    <w:rsid w:val="003B3B0D"/>
    <w:rsid w:val="003B3C94"/>
    <w:rsid w:val="003B4097"/>
    <w:rsid w:val="003B410D"/>
    <w:rsid w:val="003B422C"/>
    <w:rsid w:val="003B4241"/>
    <w:rsid w:val="003B4341"/>
    <w:rsid w:val="003B436E"/>
    <w:rsid w:val="003B463C"/>
    <w:rsid w:val="003B4655"/>
    <w:rsid w:val="003B469C"/>
    <w:rsid w:val="003B4825"/>
    <w:rsid w:val="003B483E"/>
    <w:rsid w:val="003B48B0"/>
    <w:rsid w:val="003B48F7"/>
    <w:rsid w:val="003B49F4"/>
    <w:rsid w:val="003B4C2A"/>
    <w:rsid w:val="003B4EED"/>
    <w:rsid w:val="003B5074"/>
    <w:rsid w:val="003B555A"/>
    <w:rsid w:val="003B56DD"/>
    <w:rsid w:val="003B56F9"/>
    <w:rsid w:val="003B571E"/>
    <w:rsid w:val="003B5773"/>
    <w:rsid w:val="003B5809"/>
    <w:rsid w:val="003B5922"/>
    <w:rsid w:val="003B5936"/>
    <w:rsid w:val="003B5AA7"/>
    <w:rsid w:val="003B5B02"/>
    <w:rsid w:val="003B5BD5"/>
    <w:rsid w:val="003B5CCF"/>
    <w:rsid w:val="003B5F72"/>
    <w:rsid w:val="003B63D6"/>
    <w:rsid w:val="003B6597"/>
    <w:rsid w:val="003B692C"/>
    <w:rsid w:val="003B6A10"/>
    <w:rsid w:val="003B6A68"/>
    <w:rsid w:val="003B6B2C"/>
    <w:rsid w:val="003B6B97"/>
    <w:rsid w:val="003B6CDA"/>
    <w:rsid w:val="003B70A9"/>
    <w:rsid w:val="003B732F"/>
    <w:rsid w:val="003B7373"/>
    <w:rsid w:val="003B73A8"/>
    <w:rsid w:val="003B74C5"/>
    <w:rsid w:val="003B74F9"/>
    <w:rsid w:val="003B7548"/>
    <w:rsid w:val="003B758A"/>
    <w:rsid w:val="003B78DA"/>
    <w:rsid w:val="003B799F"/>
    <w:rsid w:val="003B79E8"/>
    <w:rsid w:val="003B7A4A"/>
    <w:rsid w:val="003B7DC1"/>
    <w:rsid w:val="003B7E4B"/>
    <w:rsid w:val="003B7F91"/>
    <w:rsid w:val="003B7FAF"/>
    <w:rsid w:val="003C005F"/>
    <w:rsid w:val="003C0121"/>
    <w:rsid w:val="003C01F7"/>
    <w:rsid w:val="003C02CF"/>
    <w:rsid w:val="003C04A5"/>
    <w:rsid w:val="003C0C9B"/>
    <w:rsid w:val="003C0D42"/>
    <w:rsid w:val="003C106F"/>
    <w:rsid w:val="003C10D2"/>
    <w:rsid w:val="003C11BF"/>
    <w:rsid w:val="003C13B2"/>
    <w:rsid w:val="003C166C"/>
    <w:rsid w:val="003C16B4"/>
    <w:rsid w:val="003C17A3"/>
    <w:rsid w:val="003C21DF"/>
    <w:rsid w:val="003C2201"/>
    <w:rsid w:val="003C244D"/>
    <w:rsid w:val="003C251F"/>
    <w:rsid w:val="003C266A"/>
    <w:rsid w:val="003C288A"/>
    <w:rsid w:val="003C28AA"/>
    <w:rsid w:val="003C28DA"/>
    <w:rsid w:val="003C29F2"/>
    <w:rsid w:val="003C2AA3"/>
    <w:rsid w:val="003C2AFA"/>
    <w:rsid w:val="003C2B9E"/>
    <w:rsid w:val="003C2C1C"/>
    <w:rsid w:val="003C2CD7"/>
    <w:rsid w:val="003C2F39"/>
    <w:rsid w:val="003C3088"/>
    <w:rsid w:val="003C3474"/>
    <w:rsid w:val="003C3551"/>
    <w:rsid w:val="003C3611"/>
    <w:rsid w:val="003C3645"/>
    <w:rsid w:val="003C396A"/>
    <w:rsid w:val="003C39DA"/>
    <w:rsid w:val="003C3C16"/>
    <w:rsid w:val="003C3C73"/>
    <w:rsid w:val="003C3C83"/>
    <w:rsid w:val="003C3CB9"/>
    <w:rsid w:val="003C3FA3"/>
    <w:rsid w:val="003C3FBE"/>
    <w:rsid w:val="003C4181"/>
    <w:rsid w:val="003C432A"/>
    <w:rsid w:val="003C4520"/>
    <w:rsid w:val="003C45B4"/>
    <w:rsid w:val="003C4798"/>
    <w:rsid w:val="003C4ACC"/>
    <w:rsid w:val="003C4B61"/>
    <w:rsid w:val="003C4E67"/>
    <w:rsid w:val="003C4E9E"/>
    <w:rsid w:val="003C4F7B"/>
    <w:rsid w:val="003C5413"/>
    <w:rsid w:val="003C547F"/>
    <w:rsid w:val="003C5547"/>
    <w:rsid w:val="003C5604"/>
    <w:rsid w:val="003C56F2"/>
    <w:rsid w:val="003C57AC"/>
    <w:rsid w:val="003C584A"/>
    <w:rsid w:val="003C5B51"/>
    <w:rsid w:val="003C5FB6"/>
    <w:rsid w:val="003C602A"/>
    <w:rsid w:val="003C6081"/>
    <w:rsid w:val="003C60DE"/>
    <w:rsid w:val="003C611F"/>
    <w:rsid w:val="003C621D"/>
    <w:rsid w:val="003C64BC"/>
    <w:rsid w:val="003C64E6"/>
    <w:rsid w:val="003C64E7"/>
    <w:rsid w:val="003C65A2"/>
    <w:rsid w:val="003C65F9"/>
    <w:rsid w:val="003C6660"/>
    <w:rsid w:val="003C66D5"/>
    <w:rsid w:val="003C679B"/>
    <w:rsid w:val="003C67D0"/>
    <w:rsid w:val="003C6AF6"/>
    <w:rsid w:val="003C6C62"/>
    <w:rsid w:val="003C6D31"/>
    <w:rsid w:val="003C6D70"/>
    <w:rsid w:val="003C6E4C"/>
    <w:rsid w:val="003C7235"/>
    <w:rsid w:val="003C77FA"/>
    <w:rsid w:val="003D00DD"/>
    <w:rsid w:val="003D0232"/>
    <w:rsid w:val="003D048B"/>
    <w:rsid w:val="003D0609"/>
    <w:rsid w:val="003D07C6"/>
    <w:rsid w:val="003D084A"/>
    <w:rsid w:val="003D0A64"/>
    <w:rsid w:val="003D0ABC"/>
    <w:rsid w:val="003D0B65"/>
    <w:rsid w:val="003D0B6A"/>
    <w:rsid w:val="003D0B8F"/>
    <w:rsid w:val="003D0C80"/>
    <w:rsid w:val="003D0D4B"/>
    <w:rsid w:val="003D102A"/>
    <w:rsid w:val="003D1079"/>
    <w:rsid w:val="003D1382"/>
    <w:rsid w:val="003D13CA"/>
    <w:rsid w:val="003D14FC"/>
    <w:rsid w:val="003D155B"/>
    <w:rsid w:val="003D1737"/>
    <w:rsid w:val="003D1759"/>
    <w:rsid w:val="003D1896"/>
    <w:rsid w:val="003D1DB5"/>
    <w:rsid w:val="003D1FF5"/>
    <w:rsid w:val="003D239D"/>
    <w:rsid w:val="003D24A4"/>
    <w:rsid w:val="003D262B"/>
    <w:rsid w:val="003D266D"/>
    <w:rsid w:val="003D283C"/>
    <w:rsid w:val="003D29F0"/>
    <w:rsid w:val="003D2CF5"/>
    <w:rsid w:val="003D2EBA"/>
    <w:rsid w:val="003D2F0A"/>
    <w:rsid w:val="003D3025"/>
    <w:rsid w:val="003D316B"/>
    <w:rsid w:val="003D32D3"/>
    <w:rsid w:val="003D32E7"/>
    <w:rsid w:val="003D3394"/>
    <w:rsid w:val="003D363A"/>
    <w:rsid w:val="003D37EC"/>
    <w:rsid w:val="003D3A17"/>
    <w:rsid w:val="003D3ACE"/>
    <w:rsid w:val="003D3AEE"/>
    <w:rsid w:val="003D3B14"/>
    <w:rsid w:val="003D3CB2"/>
    <w:rsid w:val="003D3CF2"/>
    <w:rsid w:val="003D3F9D"/>
    <w:rsid w:val="003D4084"/>
    <w:rsid w:val="003D4436"/>
    <w:rsid w:val="003D49E1"/>
    <w:rsid w:val="003D4A80"/>
    <w:rsid w:val="003D4D81"/>
    <w:rsid w:val="003D4EFB"/>
    <w:rsid w:val="003D51B8"/>
    <w:rsid w:val="003D52DD"/>
    <w:rsid w:val="003D52F4"/>
    <w:rsid w:val="003D546E"/>
    <w:rsid w:val="003D5533"/>
    <w:rsid w:val="003D5B0A"/>
    <w:rsid w:val="003D5BC2"/>
    <w:rsid w:val="003D5E48"/>
    <w:rsid w:val="003D607E"/>
    <w:rsid w:val="003D61CF"/>
    <w:rsid w:val="003D6233"/>
    <w:rsid w:val="003D6235"/>
    <w:rsid w:val="003D62F7"/>
    <w:rsid w:val="003D6431"/>
    <w:rsid w:val="003D6459"/>
    <w:rsid w:val="003D674D"/>
    <w:rsid w:val="003D677E"/>
    <w:rsid w:val="003D6AE7"/>
    <w:rsid w:val="003D6B28"/>
    <w:rsid w:val="003D714B"/>
    <w:rsid w:val="003D722E"/>
    <w:rsid w:val="003D7376"/>
    <w:rsid w:val="003D750E"/>
    <w:rsid w:val="003D7D3A"/>
    <w:rsid w:val="003D7E55"/>
    <w:rsid w:val="003D7E68"/>
    <w:rsid w:val="003E0117"/>
    <w:rsid w:val="003E028B"/>
    <w:rsid w:val="003E02CE"/>
    <w:rsid w:val="003E0346"/>
    <w:rsid w:val="003E034C"/>
    <w:rsid w:val="003E052B"/>
    <w:rsid w:val="003E0538"/>
    <w:rsid w:val="003E07BF"/>
    <w:rsid w:val="003E0AA0"/>
    <w:rsid w:val="003E0B83"/>
    <w:rsid w:val="003E0E00"/>
    <w:rsid w:val="003E0E12"/>
    <w:rsid w:val="003E1035"/>
    <w:rsid w:val="003E1471"/>
    <w:rsid w:val="003E15DF"/>
    <w:rsid w:val="003E17F2"/>
    <w:rsid w:val="003E18B6"/>
    <w:rsid w:val="003E19AE"/>
    <w:rsid w:val="003E19F7"/>
    <w:rsid w:val="003E1AF8"/>
    <w:rsid w:val="003E1B2C"/>
    <w:rsid w:val="003E1D07"/>
    <w:rsid w:val="003E1EB2"/>
    <w:rsid w:val="003E2144"/>
    <w:rsid w:val="003E2183"/>
    <w:rsid w:val="003E2254"/>
    <w:rsid w:val="003E25EF"/>
    <w:rsid w:val="003E2631"/>
    <w:rsid w:val="003E26DA"/>
    <w:rsid w:val="003E2750"/>
    <w:rsid w:val="003E2785"/>
    <w:rsid w:val="003E2885"/>
    <w:rsid w:val="003E2B2B"/>
    <w:rsid w:val="003E2B95"/>
    <w:rsid w:val="003E2D4E"/>
    <w:rsid w:val="003E2EF1"/>
    <w:rsid w:val="003E3136"/>
    <w:rsid w:val="003E331F"/>
    <w:rsid w:val="003E3400"/>
    <w:rsid w:val="003E3409"/>
    <w:rsid w:val="003E3708"/>
    <w:rsid w:val="003E374F"/>
    <w:rsid w:val="003E3A69"/>
    <w:rsid w:val="003E4035"/>
    <w:rsid w:val="003E40B9"/>
    <w:rsid w:val="003E4166"/>
    <w:rsid w:val="003E42C8"/>
    <w:rsid w:val="003E4668"/>
    <w:rsid w:val="003E47C9"/>
    <w:rsid w:val="003E487F"/>
    <w:rsid w:val="003E492C"/>
    <w:rsid w:val="003E49F7"/>
    <w:rsid w:val="003E4A0B"/>
    <w:rsid w:val="003E4B07"/>
    <w:rsid w:val="003E4B4F"/>
    <w:rsid w:val="003E4EF2"/>
    <w:rsid w:val="003E50DC"/>
    <w:rsid w:val="003E519C"/>
    <w:rsid w:val="003E51BC"/>
    <w:rsid w:val="003E53CF"/>
    <w:rsid w:val="003E545B"/>
    <w:rsid w:val="003E576B"/>
    <w:rsid w:val="003E5776"/>
    <w:rsid w:val="003E5893"/>
    <w:rsid w:val="003E5929"/>
    <w:rsid w:val="003E5960"/>
    <w:rsid w:val="003E5965"/>
    <w:rsid w:val="003E5ACA"/>
    <w:rsid w:val="003E5BB1"/>
    <w:rsid w:val="003E5FA9"/>
    <w:rsid w:val="003E6597"/>
    <w:rsid w:val="003E664D"/>
    <w:rsid w:val="003E66A8"/>
    <w:rsid w:val="003E68E2"/>
    <w:rsid w:val="003E692F"/>
    <w:rsid w:val="003E6B34"/>
    <w:rsid w:val="003E6CBE"/>
    <w:rsid w:val="003E70CA"/>
    <w:rsid w:val="003E710D"/>
    <w:rsid w:val="003E7294"/>
    <w:rsid w:val="003E72AE"/>
    <w:rsid w:val="003E72B9"/>
    <w:rsid w:val="003E7430"/>
    <w:rsid w:val="003E750C"/>
    <w:rsid w:val="003E761E"/>
    <w:rsid w:val="003E7708"/>
    <w:rsid w:val="003E783B"/>
    <w:rsid w:val="003E7A12"/>
    <w:rsid w:val="003E7A9C"/>
    <w:rsid w:val="003E7ABD"/>
    <w:rsid w:val="003E7B07"/>
    <w:rsid w:val="003E7EC2"/>
    <w:rsid w:val="003F0240"/>
    <w:rsid w:val="003F03D1"/>
    <w:rsid w:val="003F0767"/>
    <w:rsid w:val="003F08DD"/>
    <w:rsid w:val="003F09F3"/>
    <w:rsid w:val="003F0ABB"/>
    <w:rsid w:val="003F0CFC"/>
    <w:rsid w:val="003F0D70"/>
    <w:rsid w:val="003F0DB7"/>
    <w:rsid w:val="003F0DBD"/>
    <w:rsid w:val="003F10B9"/>
    <w:rsid w:val="003F121E"/>
    <w:rsid w:val="003F14AE"/>
    <w:rsid w:val="003F1552"/>
    <w:rsid w:val="003F1644"/>
    <w:rsid w:val="003F169F"/>
    <w:rsid w:val="003F17D9"/>
    <w:rsid w:val="003F182C"/>
    <w:rsid w:val="003F18F0"/>
    <w:rsid w:val="003F1A79"/>
    <w:rsid w:val="003F1AB4"/>
    <w:rsid w:val="003F1B13"/>
    <w:rsid w:val="003F1B78"/>
    <w:rsid w:val="003F1C95"/>
    <w:rsid w:val="003F2197"/>
    <w:rsid w:val="003F21A0"/>
    <w:rsid w:val="003F22EA"/>
    <w:rsid w:val="003F2530"/>
    <w:rsid w:val="003F2626"/>
    <w:rsid w:val="003F2657"/>
    <w:rsid w:val="003F2B98"/>
    <w:rsid w:val="003F2E99"/>
    <w:rsid w:val="003F305C"/>
    <w:rsid w:val="003F31D0"/>
    <w:rsid w:val="003F328F"/>
    <w:rsid w:val="003F33EA"/>
    <w:rsid w:val="003F353A"/>
    <w:rsid w:val="003F35C6"/>
    <w:rsid w:val="003F383B"/>
    <w:rsid w:val="003F3A6C"/>
    <w:rsid w:val="003F3AE6"/>
    <w:rsid w:val="003F3FB4"/>
    <w:rsid w:val="003F423F"/>
    <w:rsid w:val="003F42FA"/>
    <w:rsid w:val="003F4305"/>
    <w:rsid w:val="003F43A5"/>
    <w:rsid w:val="003F458D"/>
    <w:rsid w:val="003F4626"/>
    <w:rsid w:val="003F4708"/>
    <w:rsid w:val="003F4AD2"/>
    <w:rsid w:val="003F4D8D"/>
    <w:rsid w:val="003F50FB"/>
    <w:rsid w:val="003F5137"/>
    <w:rsid w:val="003F51B2"/>
    <w:rsid w:val="003F52A2"/>
    <w:rsid w:val="003F52BF"/>
    <w:rsid w:val="003F531A"/>
    <w:rsid w:val="003F55CC"/>
    <w:rsid w:val="003F567C"/>
    <w:rsid w:val="003F57BA"/>
    <w:rsid w:val="003F58E0"/>
    <w:rsid w:val="003F5C48"/>
    <w:rsid w:val="003F5F02"/>
    <w:rsid w:val="003F62A7"/>
    <w:rsid w:val="003F64D8"/>
    <w:rsid w:val="003F66BF"/>
    <w:rsid w:val="003F670E"/>
    <w:rsid w:val="003F683A"/>
    <w:rsid w:val="003F68A0"/>
    <w:rsid w:val="003F6943"/>
    <w:rsid w:val="003F6A14"/>
    <w:rsid w:val="003F6BAE"/>
    <w:rsid w:val="003F6CB6"/>
    <w:rsid w:val="003F6EF4"/>
    <w:rsid w:val="003F6F64"/>
    <w:rsid w:val="003F6F66"/>
    <w:rsid w:val="003F733E"/>
    <w:rsid w:val="003F74CE"/>
    <w:rsid w:val="003F77B5"/>
    <w:rsid w:val="003F7938"/>
    <w:rsid w:val="003F7959"/>
    <w:rsid w:val="003F7A19"/>
    <w:rsid w:val="003F7C61"/>
    <w:rsid w:val="003F7C9E"/>
    <w:rsid w:val="003F7CE6"/>
    <w:rsid w:val="003F7E70"/>
    <w:rsid w:val="003F7EF9"/>
    <w:rsid w:val="0040031A"/>
    <w:rsid w:val="0040032C"/>
    <w:rsid w:val="00400A38"/>
    <w:rsid w:val="00400B5D"/>
    <w:rsid w:val="00400FED"/>
    <w:rsid w:val="0040108C"/>
    <w:rsid w:val="00401311"/>
    <w:rsid w:val="00401390"/>
    <w:rsid w:val="004014B7"/>
    <w:rsid w:val="004014CC"/>
    <w:rsid w:val="00401863"/>
    <w:rsid w:val="004021EA"/>
    <w:rsid w:val="004021F1"/>
    <w:rsid w:val="0040245B"/>
    <w:rsid w:val="004024AA"/>
    <w:rsid w:val="004025E8"/>
    <w:rsid w:val="004026EC"/>
    <w:rsid w:val="00402768"/>
    <w:rsid w:val="00402953"/>
    <w:rsid w:val="00402B45"/>
    <w:rsid w:val="00402BC3"/>
    <w:rsid w:val="00402FED"/>
    <w:rsid w:val="00403416"/>
    <w:rsid w:val="004039C3"/>
    <w:rsid w:val="00403B33"/>
    <w:rsid w:val="00403B5A"/>
    <w:rsid w:val="00403CF0"/>
    <w:rsid w:val="00403E83"/>
    <w:rsid w:val="004041FE"/>
    <w:rsid w:val="004048F8"/>
    <w:rsid w:val="00404909"/>
    <w:rsid w:val="004049D4"/>
    <w:rsid w:val="00404BA1"/>
    <w:rsid w:val="00404BAE"/>
    <w:rsid w:val="00404C36"/>
    <w:rsid w:val="00404FB6"/>
    <w:rsid w:val="0040514F"/>
    <w:rsid w:val="00405152"/>
    <w:rsid w:val="0040522C"/>
    <w:rsid w:val="004053BB"/>
    <w:rsid w:val="00405620"/>
    <w:rsid w:val="004057C4"/>
    <w:rsid w:val="00405A9F"/>
    <w:rsid w:val="00405BD4"/>
    <w:rsid w:val="00405D43"/>
    <w:rsid w:val="00405F32"/>
    <w:rsid w:val="00405F96"/>
    <w:rsid w:val="00406309"/>
    <w:rsid w:val="00406919"/>
    <w:rsid w:val="00406A18"/>
    <w:rsid w:val="00406A30"/>
    <w:rsid w:val="00406C24"/>
    <w:rsid w:val="00406CF9"/>
    <w:rsid w:val="00406F38"/>
    <w:rsid w:val="004071AF"/>
    <w:rsid w:val="00407706"/>
    <w:rsid w:val="004077C0"/>
    <w:rsid w:val="004079A9"/>
    <w:rsid w:val="00407AAE"/>
    <w:rsid w:val="00407BB0"/>
    <w:rsid w:val="00407CA9"/>
    <w:rsid w:val="00407DB0"/>
    <w:rsid w:val="00410134"/>
    <w:rsid w:val="00410265"/>
    <w:rsid w:val="00410504"/>
    <w:rsid w:val="0041074D"/>
    <w:rsid w:val="004107CA"/>
    <w:rsid w:val="00410820"/>
    <w:rsid w:val="00410A3B"/>
    <w:rsid w:val="00410D06"/>
    <w:rsid w:val="00410F5B"/>
    <w:rsid w:val="004111BC"/>
    <w:rsid w:val="004113A5"/>
    <w:rsid w:val="00411415"/>
    <w:rsid w:val="004114CB"/>
    <w:rsid w:val="00411695"/>
    <w:rsid w:val="00411726"/>
    <w:rsid w:val="0041176D"/>
    <w:rsid w:val="00411934"/>
    <w:rsid w:val="00411EFB"/>
    <w:rsid w:val="00411F8C"/>
    <w:rsid w:val="00411FF6"/>
    <w:rsid w:val="00412509"/>
    <w:rsid w:val="004125F4"/>
    <w:rsid w:val="004126D4"/>
    <w:rsid w:val="00412912"/>
    <w:rsid w:val="004129A9"/>
    <w:rsid w:val="00412BC0"/>
    <w:rsid w:val="00412C56"/>
    <w:rsid w:val="00412E06"/>
    <w:rsid w:val="004132FD"/>
    <w:rsid w:val="004134D1"/>
    <w:rsid w:val="004134F4"/>
    <w:rsid w:val="00413542"/>
    <w:rsid w:val="00413596"/>
    <w:rsid w:val="004137E1"/>
    <w:rsid w:val="004137F5"/>
    <w:rsid w:val="00413A28"/>
    <w:rsid w:val="00413A6A"/>
    <w:rsid w:val="00414058"/>
    <w:rsid w:val="0041408A"/>
    <w:rsid w:val="004140C0"/>
    <w:rsid w:val="00414182"/>
    <w:rsid w:val="00414277"/>
    <w:rsid w:val="004142EE"/>
    <w:rsid w:val="004143D2"/>
    <w:rsid w:val="00414591"/>
    <w:rsid w:val="004145BE"/>
    <w:rsid w:val="00414703"/>
    <w:rsid w:val="004147FF"/>
    <w:rsid w:val="004149AB"/>
    <w:rsid w:val="00414A55"/>
    <w:rsid w:val="00414B4D"/>
    <w:rsid w:val="00414F8D"/>
    <w:rsid w:val="00414F99"/>
    <w:rsid w:val="00415142"/>
    <w:rsid w:val="00415445"/>
    <w:rsid w:val="00415BE9"/>
    <w:rsid w:val="00415D2B"/>
    <w:rsid w:val="0041626B"/>
    <w:rsid w:val="00416682"/>
    <w:rsid w:val="0041677A"/>
    <w:rsid w:val="004169AE"/>
    <w:rsid w:val="004169B9"/>
    <w:rsid w:val="004169DF"/>
    <w:rsid w:val="00416BBA"/>
    <w:rsid w:val="00416C0A"/>
    <w:rsid w:val="00416FF0"/>
    <w:rsid w:val="0041728E"/>
    <w:rsid w:val="0041734D"/>
    <w:rsid w:val="00417589"/>
    <w:rsid w:val="004175B2"/>
    <w:rsid w:val="004178EF"/>
    <w:rsid w:val="00417B97"/>
    <w:rsid w:val="00417CA9"/>
    <w:rsid w:val="00417DBB"/>
    <w:rsid w:val="0042014D"/>
    <w:rsid w:val="0042054A"/>
    <w:rsid w:val="00420654"/>
    <w:rsid w:val="00420671"/>
    <w:rsid w:val="0042083B"/>
    <w:rsid w:val="00420BC5"/>
    <w:rsid w:val="00420D44"/>
    <w:rsid w:val="00420D8F"/>
    <w:rsid w:val="00420F25"/>
    <w:rsid w:val="00421174"/>
    <w:rsid w:val="00421222"/>
    <w:rsid w:val="00421266"/>
    <w:rsid w:val="004215A0"/>
    <w:rsid w:val="004215BA"/>
    <w:rsid w:val="004215CC"/>
    <w:rsid w:val="004218ED"/>
    <w:rsid w:val="00421913"/>
    <w:rsid w:val="00421936"/>
    <w:rsid w:val="00421941"/>
    <w:rsid w:val="004219DC"/>
    <w:rsid w:val="00421A1F"/>
    <w:rsid w:val="00421AB6"/>
    <w:rsid w:val="00421D01"/>
    <w:rsid w:val="00421E86"/>
    <w:rsid w:val="00422215"/>
    <w:rsid w:val="0042271D"/>
    <w:rsid w:val="004227A3"/>
    <w:rsid w:val="0042280C"/>
    <w:rsid w:val="00422C38"/>
    <w:rsid w:val="00422FC5"/>
    <w:rsid w:val="00423016"/>
    <w:rsid w:val="00423162"/>
    <w:rsid w:val="0042317F"/>
    <w:rsid w:val="00423340"/>
    <w:rsid w:val="0042334C"/>
    <w:rsid w:val="004235F2"/>
    <w:rsid w:val="00423793"/>
    <w:rsid w:val="004238A4"/>
    <w:rsid w:val="00423A95"/>
    <w:rsid w:val="00423B4B"/>
    <w:rsid w:val="00423E95"/>
    <w:rsid w:val="00423FD5"/>
    <w:rsid w:val="004241EB"/>
    <w:rsid w:val="0042431C"/>
    <w:rsid w:val="004246AD"/>
    <w:rsid w:val="0042482C"/>
    <w:rsid w:val="0042489E"/>
    <w:rsid w:val="004248AF"/>
    <w:rsid w:val="004249CB"/>
    <w:rsid w:val="00424A18"/>
    <w:rsid w:val="00424DE2"/>
    <w:rsid w:val="00424DF1"/>
    <w:rsid w:val="00424EFA"/>
    <w:rsid w:val="004253E6"/>
    <w:rsid w:val="004257D2"/>
    <w:rsid w:val="00425922"/>
    <w:rsid w:val="00425B7A"/>
    <w:rsid w:val="00425B8E"/>
    <w:rsid w:val="00425F04"/>
    <w:rsid w:val="00425F31"/>
    <w:rsid w:val="0042603F"/>
    <w:rsid w:val="004263CC"/>
    <w:rsid w:val="004266D5"/>
    <w:rsid w:val="00426787"/>
    <w:rsid w:val="004267A6"/>
    <w:rsid w:val="00426913"/>
    <w:rsid w:val="00426921"/>
    <w:rsid w:val="00426D29"/>
    <w:rsid w:val="00426DF0"/>
    <w:rsid w:val="00426F8B"/>
    <w:rsid w:val="0042711E"/>
    <w:rsid w:val="00427586"/>
    <w:rsid w:val="004275BA"/>
    <w:rsid w:val="00427BA5"/>
    <w:rsid w:val="00427F88"/>
    <w:rsid w:val="00427FF3"/>
    <w:rsid w:val="0043031A"/>
    <w:rsid w:val="0043034A"/>
    <w:rsid w:val="004305B1"/>
    <w:rsid w:val="0043065E"/>
    <w:rsid w:val="004307E7"/>
    <w:rsid w:val="00430FB5"/>
    <w:rsid w:val="0043137D"/>
    <w:rsid w:val="004313F7"/>
    <w:rsid w:val="00431B28"/>
    <w:rsid w:val="00432153"/>
    <w:rsid w:val="00432178"/>
    <w:rsid w:val="004323BE"/>
    <w:rsid w:val="004323D8"/>
    <w:rsid w:val="0043240F"/>
    <w:rsid w:val="00432528"/>
    <w:rsid w:val="00432836"/>
    <w:rsid w:val="00432A20"/>
    <w:rsid w:val="00432A40"/>
    <w:rsid w:val="00432B57"/>
    <w:rsid w:val="00432D39"/>
    <w:rsid w:val="00432D5A"/>
    <w:rsid w:val="00432E73"/>
    <w:rsid w:val="004330BA"/>
    <w:rsid w:val="004330F8"/>
    <w:rsid w:val="00433585"/>
    <w:rsid w:val="00433687"/>
    <w:rsid w:val="00433807"/>
    <w:rsid w:val="00433868"/>
    <w:rsid w:val="004339A6"/>
    <w:rsid w:val="00433EB6"/>
    <w:rsid w:val="004341D5"/>
    <w:rsid w:val="00434728"/>
    <w:rsid w:val="004348D2"/>
    <w:rsid w:val="00434B29"/>
    <w:rsid w:val="00434BB0"/>
    <w:rsid w:val="00434EE3"/>
    <w:rsid w:val="00434F17"/>
    <w:rsid w:val="00434F7F"/>
    <w:rsid w:val="00435726"/>
    <w:rsid w:val="004357AE"/>
    <w:rsid w:val="004358D4"/>
    <w:rsid w:val="0043590E"/>
    <w:rsid w:val="00435A15"/>
    <w:rsid w:val="00435C89"/>
    <w:rsid w:val="00435DA3"/>
    <w:rsid w:val="0043608E"/>
    <w:rsid w:val="00436172"/>
    <w:rsid w:val="00436229"/>
    <w:rsid w:val="00436642"/>
    <w:rsid w:val="004367C1"/>
    <w:rsid w:val="004367C2"/>
    <w:rsid w:val="004368BC"/>
    <w:rsid w:val="00436993"/>
    <w:rsid w:val="00436A34"/>
    <w:rsid w:val="00436C66"/>
    <w:rsid w:val="00436D7A"/>
    <w:rsid w:val="00436DF7"/>
    <w:rsid w:val="00436F22"/>
    <w:rsid w:val="00436FB3"/>
    <w:rsid w:val="0043739A"/>
    <w:rsid w:val="004373B4"/>
    <w:rsid w:val="004373D1"/>
    <w:rsid w:val="004374FE"/>
    <w:rsid w:val="00437665"/>
    <w:rsid w:val="0043778D"/>
    <w:rsid w:val="0043781E"/>
    <w:rsid w:val="00437A1F"/>
    <w:rsid w:val="00437A26"/>
    <w:rsid w:val="00437D61"/>
    <w:rsid w:val="00437DAC"/>
    <w:rsid w:val="0044007E"/>
    <w:rsid w:val="00440136"/>
    <w:rsid w:val="00440586"/>
    <w:rsid w:val="004405BD"/>
    <w:rsid w:val="00440788"/>
    <w:rsid w:val="004407DD"/>
    <w:rsid w:val="00440834"/>
    <w:rsid w:val="00440850"/>
    <w:rsid w:val="00440BD5"/>
    <w:rsid w:val="00440ECE"/>
    <w:rsid w:val="004412C8"/>
    <w:rsid w:val="00441486"/>
    <w:rsid w:val="004414C2"/>
    <w:rsid w:val="0044167F"/>
    <w:rsid w:val="00441737"/>
    <w:rsid w:val="004417CF"/>
    <w:rsid w:val="004417D5"/>
    <w:rsid w:val="004417F5"/>
    <w:rsid w:val="00441938"/>
    <w:rsid w:val="00441957"/>
    <w:rsid w:val="004419E8"/>
    <w:rsid w:val="00441B41"/>
    <w:rsid w:val="00441BCF"/>
    <w:rsid w:val="00441C85"/>
    <w:rsid w:val="0044200B"/>
    <w:rsid w:val="004420B4"/>
    <w:rsid w:val="004420C0"/>
    <w:rsid w:val="0044242B"/>
    <w:rsid w:val="004424EB"/>
    <w:rsid w:val="0044289E"/>
    <w:rsid w:val="004430C8"/>
    <w:rsid w:val="0044354F"/>
    <w:rsid w:val="0044385A"/>
    <w:rsid w:val="00444122"/>
    <w:rsid w:val="004441EA"/>
    <w:rsid w:val="00444261"/>
    <w:rsid w:val="00444617"/>
    <w:rsid w:val="004447F2"/>
    <w:rsid w:val="00444821"/>
    <w:rsid w:val="00444909"/>
    <w:rsid w:val="00444F5D"/>
    <w:rsid w:val="00445162"/>
    <w:rsid w:val="004454C2"/>
    <w:rsid w:val="00445557"/>
    <w:rsid w:val="0044563E"/>
    <w:rsid w:val="00445ADC"/>
    <w:rsid w:val="00445B70"/>
    <w:rsid w:val="00445B99"/>
    <w:rsid w:val="00445C79"/>
    <w:rsid w:val="0044611F"/>
    <w:rsid w:val="004461BA"/>
    <w:rsid w:val="004461DC"/>
    <w:rsid w:val="0044635E"/>
    <w:rsid w:val="004463BE"/>
    <w:rsid w:val="0044650F"/>
    <w:rsid w:val="0044665B"/>
    <w:rsid w:val="00446901"/>
    <w:rsid w:val="004469E6"/>
    <w:rsid w:val="00446C40"/>
    <w:rsid w:val="00446DBA"/>
    <w:rsid w:val="00446E46"/>
    <w:rsid w:val="00446E51"/>
    <w:rsid w:val="00446E62"/>
    <w:rsid w:val="00447347"/>
    <w:rsid w:val="004473CB"/>
    <w:rsid w:val="004474B7"/>
    <w:rsid w:val="004475D4"/>
    <w:rsid w:val="0044788D"/>
    <w:rsid w:val="00447997"/>
    <w:rsid w:val="00447BD9"/>
    <w:rsid w:val="00447C0A"/>
    <w:rsid w:val="00447C8A"/>
    <w:rsid w:val="00447CFE"/>
    <w:rsid w:val="00447F33"/>
    <w:rsid w:val="004504B1"/>
    <w:rsid w:val="004505F5"/>
    <w:rsid w:val="0045070A"/>
    <w:rsid w:val="004507F2"/>
    <w:rsid w:val="00450A27"/>
    <w:rsid w:val="00450AB4"/>
    <w:rsid w:val="00450B6D"/>
    <w:rsid w:val="00450BFA"/>
    <w:rsid w:val="00450D0A"/>
    <w:rsid w:val="00450D4B"/>
    <w:rsid w:val="00450E54"/>
    <w:rsid w:val="0045146E"/>
    <w:rsid w:val="00451A6B"/>
    <w:rsid w:val="00451B42"/>
    <w:rsid w:val="00451BA0"/>
    <w:rsid w:val="00451D04"/>
    <w:rsid w:val="00451EC2"/>
    <w:rsid w:val="00451F95"/>
    <w:rsid w:val="0045213F"/>
    <w:rsid w:val="004521F8"/>
    <w:rsid w:val="00452ADA"/>
    <w:rsid w:val="00452B11"/>
    <w:rsid w:val="00452B36"/>
    <w:rsid w:val="00452B8E"/>
    <w:rsid w:val="00452E6C"/>
    <w:rsid w:val="00452EAA"/>
    <w:rsid w:val="00452F14"/>
    <w:rsid w:val="00453421"/>
    <w:rsid w:val="004535E5"/>
    <w:rsid w:val="00453688"/>
    <w:rsid w:val="00453862"/>
    <w:rsid w:val="00453935"/>
    <w:rsid w:val="00453AFE"/>
    <w:rsid w:val="00453B77"/>
    <w:rsid w:val="00453EEF"/>
    <w:rsid w:val="004540A5"/>
    <w:rsid w:val="00454165"/>
    <w:rsid w:val="004541B8"/>
    <w:rsid w:val="00454201"/>
    <w:rsid w:val="0045433D"/>
    <w:rsid w:val="00454377"/>
    <w:rsid w:val="0045481E"/>
    <w:rsid w:val="00454866"/>
    <w:rsid w:val="004549D3"/>
    <w:rsid w:val="00454DF9"/>
    <w:rsid w:val="00455140"/>
    <w:rsid w:val="004557D9"/>
    <w:rsid w:val="00455821"/>
    <w:rsid w:val="004558AA"/>
    <w:rsid w:val="004559C3"/>
    <w:rsid w:val="00455B49"/>
    <w:rsid w:val="00456496"/>
    <w:rsid w:val="00456626"/>
    <w:rsid w:val="0045672A"/>
    <w:rsid w:val="0045682B"/>
    <w:rsid w:val="0045684C"/>
    <w:rsid w:val="00456B51"/>
    <w:rsid w:val="00457538"/>
    <w:rsid w:val="00457894"/>
    <w:rsid w:val="00457A6E"/>
    <w:rsid w:val="00457ECE"/>
    <w:rsid w:val="00457F84"/>
    <w:rsid w:val="00457FCD"/>
    <w:rsid w:val="0046002B"/>
    <w:rsid w:val="0046039C"/>
    <w:rsid w:val="00460477"/>
    <w:rsid w:val="004612A2"/>
    <w:rsid w:val="00461300"/>
    <w:rsid w:val="004614FC"/>
    <w:rsid w:val="00461601"/>
    <w:rsid w:val="0046182A"/>
    <w:rsid w:val="00461846"/>
    <w:rsid w:val="004618F1"/>
    <w:rsid w:val="00461ACD"/>
    <w:rsid w:val="00461CD9"/>
    <w:rsid w:val="00461E96"/>
    <w:rsid w:val="00462266"/>
    <w:rsid w:val="00462378"/>
    <w:rsid w:val="00462489"/>
    <w:rsid w:val="004625E5"/>
    <w:rsid w:val="004625F6"/>
    <w:rsid w:val="0046271C"/>
    <w:rsid w:val="00462836"/>
    <w:rsid w:val="00462B51"/>
    <w:rsid w:val="00462BE6"/>
    <w:rsid w:val="00462C1A"/>
    <w:rsid w:val="00462D01"/>
    <w:rsid w:val="00462E5F"/>
    <w:rsid w:val="00462EF2"/>
    <w:rsid w:val="00462F64"/>
    <w:rsid w:val="0046302D"/>
    <w:rsid w:val="004631D3"/>
    <w:rsid w:val="00463357"/>
    <w:rsid w:val="00463570"/>
    <w:rsid w:val="00463872"/>
    <w:rsid w:val="00463A04"/>
    <w:rsid w:val="00463A5A"/>
    <w:rsid w:val="00463BF9"/>
    <w:rsid w:val="00463CE1"/>
    <w:rsid w:val="00464301"/>
    <w:rsid w:val="004643A9"/>
    <w:rsid w:val="00464549"/>
    <w:rsid w:val="004648C5"/>
    <w:rsid w:val="00464A7A"/>
    <w:rsid w:val="00464AD1"/>
    <w:rsid w:val="00464B20"/>
    <w:rsid w:val="00464D08"/>
    <w:rsid w:val="00465255"/>
    <w:rsid w:val="0046537E"/>
    <w:rsid w:val="00465534"/>
    <w:rsid w:val="0046573A"/>
    <w:rsid w:val="004657CD"/>
    <w:rsid w:val="00465820"/>
    <w:rsid w:val="00465DF5"/>
    <w:rsid w:val="00465ECC"/>
    <w:rsid w:val="004660B0"/>
    <w:rsid w:val="0046657F"/>
    <w:rsid w:val="004671B5"/>
    <w:rsid w:val="004672D0"/>
    <w:rsid w:val="00467A4A"/>
    <w:rsid w:val="00467B72"/>
    <w:rsid w:val="004700A9"/>
    <w:rsid w:val="004701F7"/>
    <w:rsid w:val="0047031A"/>
    <w:rsid w:val="004704C3"/>
    <w:rsid w:val="004705C0"/>
    <w:rsid w:val="00470618"/>
    <w:rsid w:val="004709C3"/>
    <w:rsid w:val="00470DDC"/>
    <w:rsid w:val="00470FE4"/>
    <w:rsid w:val="00471406"/>
    <w:rsid w:val="004714A8"/>
    <w:rsid w:val="004716CC"/>
    <w:rsid w:val="004718B7"/>
    <w:rsid w:val="00471A1E"/>
    <w:rsid w:val="00471C29"/>
    <w:rsid w:val="00471C77"/>
    <w:rsid w:val="00471FFD"/>
    <w:rsid w:val="00472345"/>
    <w:rsid w:val="00472362"/>
    <w:rsid w:val="00472370"/>
    <w:rsid w:val="004723DB"/>
    <w:rsid w:val="004724E2"/>
    <w:rsid w:val="0047252A"/>
    <w:rsid w:val="004725C5"/>
    <w:rsid w:val="004728D4"/>
    <w:rsid w:val="00472908"/>
    <w:rsid w:val="0047299F"/>
    <w:rsid w:val="00472B09"/>
    <w:rsid w:val="00472B51"/>
    <w:rsid w:val="00472E8E"/>
    <w:rsid w:val="00472E95"/>
    <w:rsid w:val="00472EB1"/>
    <w:rsid w:val="00472EE5"/>
    <w:rsid w:val="0047308F"/>
    <w:rsid w:val="004730A9"/>
    <w:rsid w:val="004730D4"/>
    <w:rsid w:val="00473109"/>
    <w:rsid w:val="004734FC"/>
    <w:rsid w:val="00473522"/>
    <w:rsid w:val="004736C4"/>
    <w:rsid w:val="00473718"/>
    <w:rsid w:val="00473806"/>
    <w:rsid w:val="00473869"/>
    <w:rsid w:val="00473934"/>
    <w:rsid w:val="00473946"/>
    <w:rsid w:val="00473968"/>
    <w:rsid w:val="00473CB9"/>
    <w:rsid w:val="00473FCE"/>
    <w:rsid w:val="0047410E"/>
    <w:rsid w:val="0047413E"/>
    <w:rsid w:val="0047441E"/>
    <w:rsid w:val="00474698"/>
    <w:rsid w:val="004748B7"/>
    <w:rsid w:val="00474AB2"/>
    <w:rsid w:val="00474BA4"/>
    <w:rsid w:val="00474C92"/>
    <w:rsid w:val="00474D91"/>
    <w:rsid w:val="004753A3"/>
    <w:rsid w:val="004755F9"/>
    <w:rsid w:val="00475774"/>
    <w:rsid w:val="0047582D"/>
    <w:rsid w:val="00475919"/>
    <w:rsid w:val="00475A46"/>
    <w:rsid w:val="00475B1F"/>
    <w:rsid w:val="00475F29"/>
    <w:rsid w:val="0047601B"/>
    <w:rsid w:val="00476336"/>
    <w:rsid w:val="00476457"/>
    <w:rsid w:val="004765F4"/>
    <w:rsid w:val="00476706"/>
    <w:rsid w:val="004767D8"/>
    <w:rsid w:val="0047690B"/>
    <w:rsid w:val="0047695B"/>
    <w:rsid w:val="00476A30"/>
    <w:rsid w:val="00476C87"/>
    <w:rsid w:val="00476EB4"/>
    <w:rsid w:val="00476F58"/>
    <w:rsid w:val="0047719E"/>
    <w:rsid w:val="004771C9"/>
    <w:rsid w:val="004771F6"/>
    <w:rsid w:val="004774DC"/>
    <w:rsid w:val="00477652"/>
    <w:rsid w:val="00477B6D"/>
    <w:rsid w:val="00477C22"/>
    <w:rsid w:val="00477E51"/>
    <w:rsid w:val="00477FCF"/>
    <w:rsid w:val="004801DB"/>
    <w:rsid w:val="0048054A"/>
    <w:rsid w:val="00480632"/>
    <w:rsid w:val="00480CB7"/>
    <w:rsid w:val="00480D01"/>
    <w:rsid w:val="00480DAC"/>
    <w:rsid w:val="00480FAD"/>
    <w:rsid w:val="00481027"/>
    <w:rsid w:val="004810E6"/>
    <w:rsid w:val="004811C0"/>
    <w:rsid w:val="004811DF"/>
    <w:rsid w:val="0048127E"/>
    <w:rsid w:val="004814B6"/>
    <w:rsid w:val="0048168C"/>
    <w:rsid w:val="00481894"/>
    <w:rsid w:val="004818E8"/>
    <w:rsid w:val="00481C79"/>
    <w:rsid w:val="00481D58"/>
    <w:rsid w:val="00481D6F"/>
    <w:rsid w:val="00481FE8"/>
    <w:rsid w:val="00482177"/>
    <w:rsid w:val="004821FF"/>
    <w:rsid w:val="00482245"/>
    <w:rsid w:val="00482440"/>
    <w:rsid w:val="00482442"/>
    <w:rsid w:val="0048250B"/>
    <w:rsid w:val="004825AA"/>
    <w:rsid w:val="0048260F"/>
    <w:rsid w:val="00482719"/>
    <w:rsid w:val="00482AAA"/>
    <w:rsid w:val="00482C24"/>
    <w:rsid w:val="00482CC8"/>
    <w:rsid w:val="00482F67"/>
    <w:rsid w:val="00483006"/>
    <w:rsid w:val="00483067"/>
    <w:rsid w:val="00483222"/>
    <w:rsid w:val="0048329C"/>
    <w:rsid w:val="004833D2"/>
    <w:rsid w:val="00483552"/>
    <w:rsid w:val="004835DF"/>
    <w:rsid w:val="0048385D"/>
    <w:rsid w:val="00483926"/>
    <w:rsid w:val="00483ADF"/>
    <w:rsid w:val="00483AED"/>
    <w:rsid w:val="00483C1E"/>
    <w:rsid w:val="00483D5B"/>
    <w:rsid w:val="00483FE5"/>
    <w:rsid w:val="00484101"/>
    <w:rsid w:val="00484254"/>
    <w:rsid w:val="00484669"/>
    <w:rsid w:val="004847D2"/>
    <w:rsid w:val="004848A5"/>
    <w:rsid w:val="004848AB"/>
    <w:rsid w:val="00484915"/>
    <w:rsid w:val="0048493C"/>
    <w:rsid w:val="00484D1A"/>
    <w:rsid w:val="00484D8F"/>
    <w:rsid w:val="0048505F"/>
    <w:rsid w:val="00485485"/>
    <w:rsid w:val="004854C9"/>
    <w:rsid w:val="00485601"/>
    <w:rsid w:val="00485708"/>
    <w:rsid w:val="00485736"/>
    <w:rsid w:val="00485915"/>
    <w:rsid w:val="00485961"/>
    <w:rsid w:val="004859CA"/>
    <w:rsid w:val="00485A01"/>
    <w:rsid w:val="00485A71"/>
    <w:rsid w:val="00485E39"/>
    <w:rsid w:val="00485E3E"/>
    <w:rsid w:val="00485F2B"/>
    <w:rsid w:val="00485F99"/>
    <w:rsid w:val="004860C1"/>
    <w:rsid w:val="004861AE"/>
    <w:rsid w:val="004862D3"/>
    <w:rsid w:val="004863C0"/>
    <w:rsid w:val="004863D5"/>
    <w:rsid w:val="00486430"/>
    <w:rsid w:val="0048691F"/>
    <w:rsid w:val="00486AF6"/>
    <w:rsid w:val="00486B4A"/>
    <w:rsid w:val="00486B5A"/>
    <w:rsid w:val="00486FAF"/>
    <w:rsid w:val="00487013"/>
    <w:rsid w:val="00487112"/>
    <w:rsid w:val="00487183"/>
    <w:rsid w:val="004871AB"/>
    <w:rsid w:val="004871BD"/>
    <w:rsid w:val="004872BA"/>
    <w:rsid w:val="00487387"/>
    <w:rsid w:val="0048768F"/>
    <w:rsid w:val="004878FB"/>
    <w:rsid w:val="00487993"/>
    <w:rsid w:val="004879C0"/>
    <w:rsid w:val="00487E18"/>
    <w:rsid w:val="00487F4D"/>
    <w:rsid w:val="004900C5"/>
    <w:rsid w:val="004900E1"/>
    <w:rsid w:val="0049018C"/>
    <w:rsid w:val="004901CE"/>
    <w:rsid w:val="004901D0"/>
    <w:rsid w:val="004901E8"/>
    <w:rsid w:val="00490426"/>
    <w:rsid w:val="00490439"/>
    <w:rsid w:val="004904C3"/>
    <w:rsid w:val="004905C4"/>
    <w:rsid w:val="004906C1"/>
    <w:rsid w:val="004906FB"/>
    <w:rsid w:val="00490871"/>
    <w:rsid w:val="004908A9"/>
    <w:rsid w:val="004908AD"/>
    <w:rsid w:val="004909A6"/>
    <w:rsid w:val="00490A3E"/>
    <w:rsid w:val="00490BAF"/>
    <w:rsid w:val="00490E50"/>
    <w:rsid w:val="004910C5"/>
    <w:rsid w:val="004911E1"/>
    <w:rsid w:val="004913A1"/>
    <w:rsid w:val="0049154C"/>
    <w:rsid w:val="00491897"/>
    <w:rsid w:val="004919FD"/>
    <w:rsid w:val="00491A3A"/>
    <w:rsid w:val="0049206C"/>
    <w:rsid w:val="004921B8"/>
    <w:rsid w:val="004921E3"/>
    <w:rsid w:val="0049224C"/>
    <w:rsid w:val="00492253"/>
    <w:rsid w:val="00492290"/>
    <w:rsid w:val="00492342"/>
    <w:rsid w:val="004924C0"/>
    <w:rsid w:val="004925E4"/>
    <w:rsid w:val="00492B30"/>
    <w:rsid w:val="00492E56"/>
    <w:rsid w:val="00493367"/>
    <w:rsid w:val="00493371"/>
    <w:rsid w:val="00493481"/>
    <w:rsid w:val="00493783"/>
    <w:rsid w:val="004939FE"/>
    <w:rsid w:val="00493E55"/>
    <w:rsid w:val="0049407D"/>
    <w:rsid w:val="004941A7"/>
    <w:rsid w:val="0049422D"/>
    <w:rsid w:val="00494323"/>
    <w:rsid w:val="00494401"/>
    <w:rsid w:val="00494446"/>
    <w:rsid w:val="00494A12"/>
    <w:rsid w:val="00494AA5"/>
    <w:rsid w:val="00494B07"/>
    <w:rsid w:val="00494B0D"/>
    <w:rsid w:val="00495148"/>
    <w:rsid w:val="00495179"/>
    <w:rsid w:val="00495210"/>
    <w:rsid w:val="00495479"/>
    <w:rsid w:val="0049557A"/>
    <w:rsid w:val="00495AC5"/>
    <w:rsid w:val="004964E7"/>
    <w:rsid w:val="0049659F"/>
    <w:rsid w:val="0049662A"/>
    <w:rsid w:val="00496AA1"/>
    <w:rsid w:val="00496AA6"/>
    <w:rsid w:val="00496BAE"/>
    <w:rsid w:val="00496C3C"/>
    <w:rsid w:val="00496CA1"/>
    <w:rsid w:val="00496E42"/>
    <w:rsid w:val="00496E5F"/>
    <w:rsid w:val="00496E8E"/>
    <w:rsid w:val="004975A4"/>
    <w:rsid w:val="004977BF"/>
    <w:rsid w:val="00497837"/>
    <w:rsid w:val="00497D2E"/>
    <w:rsid w:val="00497F4F"/>
    <w:rsid w:val="004A00FD"/>
    <w:rsid w:val="004A029A"/>
    <w:rsid w:val="004A04C5"/>
    <w:rsid w:val="004A05B0"/>
    <w:rsid w:val="004A06F9"/>
    <w:rsid w:val="004A06FC"/>
    <w:rsid w:val="004A0782"/>
    <w:rsid w:val="004A07C7"/>
    <w:rsid w:val="004A0812"/>
    <w:rsid w:val="004A09A2"/>
    <w:rsid w:val="004A0B23"/>
    <w:rsid w:val="004A0BC1"/>
    <w:rsid w:val="004A0BC8"/>
    <w:rsid w:val="004A0CA0"/>
    <w:rsid w:val="004A0D36"/>
    <w:rsid w:val="004A0F93"/>
    <w:rsid w:val="004A132C"/>
    <w:rsid w:val="004A1639"/>
    <w:rsid w:val="004A1705"/>
    <w:rsid w:val="004A1775"/>
    <w:rsid w:val="004A1911"/>
    <w:rsid w:val="004A199C"/>
    <w:rsid w:val="004A1A52"/>
    <w:rsid w:val="004A1B85"/>
    <w:rsid w:val="004A1BB0"/>
    <w:rsid w:val="004A1F0E"/>
    <w:rsid w:val="004A217E"/>
    <w:rsid w:val="004A235C"/>
    <w:rsid w:val="004A24D5"/>
    <w:rsid w:val="004A26BA"/>
    <w:rsid w:val="004A272B"/>
    <w:rsid w:val="004A2EE8"/>
    <w:rsid w:val="004A2F00"/>
    <w:rsid w:val="004A2F27"/>
    <w:rsid w:val="004A2F5A"/>
    <w:rsid w:val="004A311E"/>
    <w:rsid w:val="004A33E0"/>
    <w:rsid w:val="004A3424"/>
    <w:rsid w:val="004A38B1"/>
    <w:rsid w:val="004A3951"/>
    <w:rsid w:val="004A3DF0"/>
    <w:rsid w:val="004A3FF9"/>
    <w:rsid w:val="004A412F"/>
    <w:rsid w:val="004A46A4"/>
    <w:rsid w:val="004A4701"/>
    <w:rsid w:val="004A4807"/>
    <w:rsid w:val="004A49A6"/>
    <w:rsid w:val="004A4B8D"/>
    <w:rsid w:val="004A4DD3"/>
    <w:rsid w:val="004A4DD8"/>
    <w:rsid w:val="004A4F8F"/>
    <w:rsid w:val="004A5033"/>
    <w:rsid w:val="004A51E6"/>
    <w:rsid w:val="004A53D2"/>
    <w:rsid w:val="004A54DF"/>
    <w:rsid w:val="004A55D9"/>
    <w:rsid w:val="004A57B0"/>
    <w:rsid w:val="004A5956"/>
    <w:rsid w:val="004A5EC7"/>
    <w:rsid w:val="004A5ECB"/>
    <w:rsid w:val="004A606D"/>
    <w:rsid w:val="004A6295"/>
    <w:rsid w:val="004A63B6"/>
    <w:rsid w:val="004A668B"/>
    <w:rsid w:val="004A66A2"/>
    <w:rsid w:val="004A6778"/>
    <w:rsid w:val="004A6864"/>
    <w:rsid w:val="004A69E0"/>
    <w:rsid w:val="004A6C9C"/>
    <w:rsid w:val="004A6F8C"/>
    <w:rsid w:val="004A71B8"/>
    <w:rsid w:val="004A76D9"/>
    <w:rsid w:val="004A7802"/>
    <w:rsid w:val="004A7820"/>
    <w:rsid w:val="004A7956"/>
    <w:rsid w:val="004A7A31"/>
    <w:rsid w:val="004A7AAD"/>
    <w:rsid w:val="004A7D12"/>
    <w:rsid w:val="004A7D52"/>
    <w:rsid w:val="004A7E6F"/>
    <w:rsid w:val="004B0300"/>
    <w:rsid w:val="004B0862"/>
    <w:rsid w:val="004B08AD"/>
    <w:rsid w:val="004B08FE"/>
    <w:rsid w:val="004B0952"/>
    <w:rsid w:val="004B0FE2"/>
    <w:rsid w:val="004B101F"/>
    <w:rsid w:val="004B1237"/>
    <w:rsid w:val="004B141F"/>
    <w:rsid w:val="004B155E"/>
    <w:rsid w:val="004B160F"/>
    <w:rsid w:val="004B1844"/>
    <w:rsid w:val="004B1981"/>
    <w:rsid w:val="004B1B4D"/>
    <w:rsid w:val="004B1C4D"/>
    <w:rsid w:val="004B2183"/>
    <w:rsid w:val="004B23F3"/>
    <w:rsid w:val="004B26B7"/>
    <w:rsid w:val="004B26D9"/>
    <w:rsid w:val="004B2A3A"/>
    <w:rsid w:val="004B2A8B"/>
    <w:rsid w:val="004B2AEC"/>
    <w:rsid w:val="004B2C02"/>
    <w:rsid w:val="004B2C28"/>
    <w:rsid w:val="004B2C5E"/>
    <w:rsid w:val="004B2EA9"/>
    <w:rsid w:val="004B30AE"/>
    <w:rsid w:val="004B31A0"/>
    <w:rsid w:val="004B371D"/>
    <w:rsid w:val="004B380D"/>
    <w:rsid w:val="004B3AB5"/>
    <w:rsid w:val="004B3B3A"/>
    <w:rsid w:val="004B3BA0"/>
    <w:rsid w:val="004B3BD1"/>
    <w:rsid w:val="004B418B"/>
    <w:rsid w:val="004B41B5"/>
    <w:rsid w:val="004B426C"/>
    <w:rsid w:val="004B4573"/>
    <w:rsid w:val="004B4BAA"/>
    <w:rsid w:val="004B4BBF"/>
    <w:rsid w:val="004B4CE9"/>
    <w:rsid w:val="004B4DDE"/>
    <w:rsid w:val="004B4EB8"/>
    <w:rsid w:val="004B5047"/>
    <w:rsid w:val="004B52F4"/>
    <w:rsid w:val="004B5399"/>
    <w:rsid w:val="004B5834"/>
    <w:rsid w:val="004B5B65"/>
    <w:rsid w:val="004B5B8A"/>
    <w:rsid w:val="004B5BDC"/>
    <w:rsid w:val="004B613A"/>
    <w:rsid w:val="004B64D6"/>
    <w:rsid w:val="004B667F"/>
    <w:rsid w:val="004B684D"/>
    <w:rsid w:val="004B691D"/>
    <w:rsid w:val="004B6D14"/>
    <w:rsid w:val="004B6EFE"/>
    <w:rsid w:val="004B72D3"/>
    <w:rsid w:val="004B7435"/>
    <w:rsid w:val="004B7644"/>
    <w:rsid w:val="004B76C8"/>
    <w:rsid w:val="004B774B"/>
    <w:rsid w:val="004B7B81"/>
    <w:rsid w:val="004B7B9F"/>
    <w:rsid w:val="004B7BB8"/>
    <w:rsid w:val="004B7C66"/>
    <w:rsid w:val="004B7E5B"/>
    <w:rsid w:val="004B7EE3"/>
    <w:rsid w:val="004C0199"/>
    <w:rsid w:val="004C0229"/>
    <w:rsid w:val="004C04D7"/>
    <w:rsid w:val="004C0B84"/>
    <w:rsid w:val="004C0E7C"/>
    <w:rsid w:val="004C104D"/>
    <w:rsid w:val="004C17BC"/>
    <w:rsid w:val="004C183A"/>
    <w:rsid w:val="004C18EA"/>
    <w:rsid w:val="004C19F2"/>
    <w:rsid w:val="004C1F3B"/>
    <w:rsid w:val="004C21C7"/>
    <w:rsid w:val="004C2311"/>
    <w:rsid w:val="004C27FE"/>
    <w:rsid w:val="004C2BD1"/>
    <w:rsid w:val="004C2C90"/>
    <w:rsid w:val="004C2F03"/>
    <w:rsid w:val="004C3228"/>
    <w:rsid w:val="004C3362"/>
    <w:rsid w:val="004C35E7"/>
    <w:rsid w:val="004C369F"/>
    <w:rsid w:val="004C37B3"/>
    <w:rsid w:val="004C3862"/>
    <w:rsid w:val="004C3897"/>
    <w:rsid w:val="004C3A94"/>
    <w:rsid w:val="004C3FA1"/>
    <w:rsid w:val="004C403E"/>
    <w:rsid w:val="004C40D4"/>
    <w:rsid w:val="004C4370"/>
    <w:rsid w:val="004C4629"/>
    <w:rsid w:val="004C463A"/>
    <w:rsid w:val="004C4A13"/>
    <w:rsid w:val="004C4B71"/>
    <w:rsid w:val="004C4DBB"/>
    <w:rsid w:val="004C4ED0"/>
    <w:rsid w:val="004C557F"/>
    <w:rsid w:val="004C55C4"/>
    <w:rsid w:val="004C5609"/>
    <w:rsid w:val="004C5B7D"/>
    <w:rsid w:val="004C5DC1"/>
    <w:rsid w:val="004C5FEC"/>
    <w:rsid w:val="004C5FFB"/>
    <w:rsid w:val="004C62A4"/>
    <w:rsid w:val="004C63E6"/>
    <w:rsid w:val="004C6453"/>
    <w:rsid w:val="004C6511"/>
    <w:rsid w:val="004C6547"/>
    <w:rsid w:val="004C672F"/>
    <w:rsid w:val="004C678D"/>
    <w:rsid w:val="004C6B8F"/>
    <w:rsid w:val="004C7100"/>
    <w:rsid w:val="004C7177"/>
    <w:rsid w:val="004C72FE"/>
    <w:rsid w:val="004C7725"/>
    <w:rsid w:val="004C7742"/>
    <w:rsid w:val="004C77EB"/>
    <w:rsid w:val="004C7A1F"/>
    <w:rsid w:val="004C7A8D"/>
    <w:rsid w:val="004C7AF8"/>
    <w:rsid w:val="004C7BD6"/>
    <w:rsid w:val="004C7E56"/>
    <w:rsid w:val="004C7ECA"/>
    <w:rsid w:val="004C7FF0"/>
    <w:rsid w:val="004D00B8"/>
    <w:rsid w:val="004D0127"/>
    <w:rsid w:val="004D0128"/>
    <w:rsid w:val="004D0247"/>
    <w:rsid w:val="004D02B3"/>
    <w:rsid w:val="004D0567"/>
    <w:rsid w:val="004D0599"/>
    <w:rsid w:val="004D07B9"/>
    <w:rsid w:val="004D087E"/>
    <w:rsid w:val="004D0A05"/>
    <w:rsid w:val="004D0A2D"/>
    <w:rsid w:val="004D0D2F"/>
    <w:rsid w:val="004D0EEE"/>
    <w:rsid w:val="004D0F99"/>
    <w:rsid w:val="004D10D3"/>
    <w:rsid w:val="004D1206"/>
    <w:rsid w:val="004D1233"/>
    <w:rsid w:val="004D1257"/>
    <w:rsid w:val="004D13CF"/>
    <w:rsid w:val="004D1491"/>
    <w:rsid w:val="004D17C7"/>
    <w:rsid w:val="004D199E"/>
    <w:rsid w:val="004D19DB"/>
    <w:rsid w:val="004D19ED"/>
    <w:rsid w:val="004D1AF9"/>
    <w:rsid w:val="004D1C1A"/>
    <w:rsid w:val="004D1C1F"/>
    <w:rsid w:val="004D1E88"/>
    <w:rsid w:val="004D238B"/>
    <w:rsid w:val="004D23EA"/>
    <w:rsid w:val="004D24DD"/>
    <w:rsid w:val="004D261A"/>
    <w:rsid w:val="004D26EA"/>
    <w:rsid w:val="004D271E"/>
    <w:rsid w:val="004D274C"/>
    <w:rsid w:val="004D2791"/>
    <w:rsid w:val="004D2965"/>
    <w:rsid w:val="004D2F13"/>
    <w:rsid w:val="004D3231"/>
    <w:rsid w:val="004D3317"/>
    <w:rsid w:val="004D363B"/>
    <w:rsid w:val="004D3754"/>
    <w:rsid w:val="004D38A4"/>
    <w:rsid w:val="004D3A26"/>
    <w:rsid w:val="004D3C38"/>
    <w:rsid w:val="004D3C61"/>
    <w:rsid w:val="004D3CD7"/>
    <w:rsid w:val="004D3D2E"/>
    <w:rsid w:val="004D3E00"/>
    <w:rsid w:val="004D3E85"/>
    <w:rsid w:val="004D3F7D"/>
    <w:rsid w:val="004D4010"/>
    <w:rsid w:val="004D4641"/>
    <w:rsid w:val="004D470D"/>
    <w:rsid w:val="004D480B"/>
    <w:rsid w:val="004D48A9"/>
    <w:rsid w:val="004D49B6"/>
    <w:rsid w:val="004D4F30"/>
    <w:rsid w:val="004D50B1"/>
    <w:rsid w:val="004D5438"/>
    <w:rsid w:val="004D54A0"/>
    <w:rsid w:val="004D5519"/>
    <w:rsid w:val="004D5720"/>
    <w:rsid w:val="004D58DE"/>
    <w:rsid w:val="004D5929"/>
    <w:rsid w:val="004D5A4E"/>
    <w:rsid w:val="004D5BA8"/>
    <w:rsid w:val="004D5F83"/>
    <w:rsid w:val="004D6112"/>
    <w:rsid w:val="004D63E2"/>
    <w:rsid w:val="004D6591"/>
    <w:rsid w:val="004D66CB"/>
    <w:rsid w:val="004D6962"/>
    <w:rsid w:val="004D6A8E"/>
    <w:rsid w:val="004D6AFC"/>
    <w:rsid w:val="004D6D87"/>
    <w:rsid w:val="004D6E97"/>
    <w:rsid w:val="004D7445"/>
    <w:rsid w:val="004D77AE"/>
    <w:rsid w:val="004D7816"/>
    <w:rsid w:val="004D7AD6"/>
    <w:rsid w:val="004D7CD4"/>
    <w:rsid w:val="004D7F6C"/>
    <w:rsid w:val="004E0170"/>
    <w:rsid w:val="004E074D"/>
    <w:rsid w:val="004E097A"/>
    <w:rsid w:val="004E0AC3"/>
    <w:rsid w:val="004E0F1F"/>
    <w:rsid w:val="004E0F5D"/>
    <w:rsid w:val="004E1097"/>
    <w:rsid w:val="004E1170"/>
    <w:rsid w:val="004E123E"/>
    <w:rsid w:val="004E15CB"/>
    <w:rsid w:val="004E18F8"/>
    <w:rsid w:val="004E1A28"/>
    <w:rsid w:val="004E1C6C"/>
    <w:rsid w:val="004E1DF7"/>
    <w:rsid w:val="004E1F43"/>
    <w:rsid w:val="004E1F86"/>
    <w:rsid w:val="004E203B"/>
    <w:rsid w:val="004E2146"/>
    <w:rsid w:val="004E2291"/>
    <w:rsid w:val="004E230B"/>
    <w:rsid w:val="004E244E"/>
    <w:rsid w:val="004E24FA"/>
    <w:rsid w:val="004E2663"/>
    <w:rsid w:val="004E2754"/>
    <w:rsid w:val="004E2B3D"/>
    <w:rsid w:val="004E2FDE"/>
    <w:rsid w:val="004E3213"/>
    <w:rsid w:val="004E3278"/>
    <w:rsid w:val="004E3411"/>
    <w:rsid w:val="004E3803"/>
    <w:rsid w:val="004E3A31"/>
    <w:rsid w:val="004E3A75"/>
    <w:rsid w:val="004E3BA4"/>
    <w:rsid w:val="004E3C81"/>
    <w:rsid w:val="004E3F30"/>
    <w:rsid w:val="004E4151"/>
    <w:rsid w:val="004E43E5"/>
    <w:rsid w:val="004E46F8"/>
    <w:rsid w:val="004E47FF"/>
    <w:rsid w:val="004E4B6F"/>
    <w:rsid w:val="004E4CBC"/>
    <w:rsid w:val="004E4CDE"/>
    <w:rsid w:val="004E4D09"/>
    <w:rsid w:val="004E4FF7"/>
    <w:rsid w:val="004E50C8"/>
    <w:rsid w:val="004E525D"/>
    <w:rsid w:val="004E5291"/>
    <w:rsid w:val="004E52AA"/>
    <w:rsid w:val="004E53BA"/>
    <w:rsid w:val="004E544A"/>
    <w:rsid w:val="004E567C"/>
    <w:rsid w:val="004E56E9"/>
    <w:rsid w:val="004E58CE"/>
    <w:rsid w:val="004E59DA"/>
    <w:rsid w:val="004E6074"/>
    <w:rsid w:val="004E6213"/>
    <w:rsid w:val="004E653E"/>
    <w:rsid w:val="004E65B7"/>
    <w:rsid w:val="004E65F5"/>
    <w:rsid w:val="004E6904"/>
    <w:rsid w:val="004E6A20"/>
    <w:rsid w:val="004E737C"/>
    <w:rsid w:val="004E7475"/>
    <w:rsid w:val="004E76EE"/>
    <w:rsid w:val="004E7E2D"/>
    <w:rsid w:val="004F035E"/>
    <w:rsid w:val="004F0746"/>
    <w:rsid w:val="004F07A1"/>
    <w:rsid w:val="004F08AA"/>
    <w:rsid w:val="004F0B36"/>
    <w:rsid w:val="004F0E0B"/>
    <w:rsid w:val="004F0F63"/>
    <w:rsid w:val="004F11D8"/>
    <w:rsid w:val="004F12D2"/>
    <w:rsid w:val="004F15A1"/>
    <w:rsid w:val="004F1937"/>
    <w:rsid w:val="004F1948"/>
    <w:rsid w:val="004F1A35"/>
    <w:rsid w:val="004F1FA4"/>
    <w:rsid w:val="004F203A"/>
    <w:rsid w:val="004F2096"/>
    <w:rsid w:val="004F2469"/>
    <w:rsid w:val="004F267D"/>
    <w:rsid w:val="004F2991"/>
    <w:rsid w:val="004F29EB"/>
    <w:rsid w:val="004F2D77"/>
    <w:rsid w:val="004F2FBA"/>
    <w:rsid w:val="004F332B"/>
    <w:rsid w:val="004F3650"/>
    <w:rsid w:val="004F36C6"/>
    <w:rsid w:val="004F3B98"/>
    <w:rsid w:val="004F3C00"/>
    <w:rsid w:val="004F3DFA"/>
    <w:rsid w:val="004F3E28"/>
    <w:rsid w:val="004F40FF"/>
    <w:rsid w:val="004F41C5"/>
    <w:rsid w:val="004F4287"/>
    <w:rsid w:val="004F4452"/>
    <w:rsid w:val="004F4501"/>
    <w:rsid w:val="004F4952"/>
    <w:rsid w:val="004F49AE"/>
    <w:rsid w:val="004F4DEF"/>
    <w:rsid w:val="004F4EF6"/>
    <w:rsid w:val="004F5073"/>
    <w:rsid w:val="004F511D"/>
    <w:rsid w:val="004F5199"/>
    <w:rsid w:val="004F51DD"/>
    <w:rsid w:val="004F548D"/>
    <w:rsid w:val="004F5513"/>
    <w:rsid w:val="004F55B4"/>
    <w:rsid w:val="004F56B9"/>
    <w:rsid w:val="004F57B7"/>
    <w:rsid w:val="004F57D7"/>
    <w:rsid w:val="004F59D4"/>
    <w:rsid w:val="004F5BDC"/>
    <w:rsid w:val="004F5CFE"/>
    <w:rsid w:val="004F5E54"/>
    <w:rsid w:val="004F5E5F"/>
    <w:rsid w:val="004F5FAA"/>
    <w:rsid w:val="004F6066"/>
    <w:rsid w:val="004F621F"/>
    <w:rsid w:val="004F62D2"/>
    <w:rsid w:val="004F630A"/>
    <w:rsid w:val="004F64A8"/>
    <w:rsid w:val="004F6581"/>
    <w:rsid w:val="004F6655"/>
    <w:rsid w:val="004F6941"/>
    <w:rsid w:val="004F6AC7"/>
    <w:rsid w:val="004F6D59"/>
    <w:rsid w:val="004F6D98"/>
    <w:rsid w:val="004F6E7A"/>
    <w:rsid w:val="004F6EB1"/>
    <w:rsid w:val="004F6EBE"/>
    <w:rsid w:val="004F721A"/>
    <w:rsid w:val="004F7448"/>
    <w:rsid w:val="004F74E2"/>
    <w:rsid w:val="004F7629"/>
    <w:rsid w:val="004F788A"/>
    <w:rsid w:val="004F795A"/>
    <w:rsid w:val="004F7A5F"/>
    <w:rsid w:val="004F7CB9"/>
    <w:rsid w:val="004F7CC5"/>
    <w:rsid w:val="004F7E7A"/>
    <w:rsid w:val="004F7E98"/>
    <w:rsid w:val="004F7ED0"/>
    <w:rsid w:val="004F7EE6"/>
    <w:rsid w:val="00500067"/>
    <w:rsid w:val="00500619"/>
    <w:rsid w:val="005007D0"/>
    <w:rsid w:val="00500AC9"/>
    <w:rsid w:val="00500DB8"/>
    <w:rsid w:val="00501051"/>
    <w:rsid w:val="00501079"/>
    <w:rsid w:val="00501221"/>
    <w:rsid w:val="00501363"/>
    <w:rsid w:val="005014FE"/>
    <w:rsid w:val="005015E4"/>
    <w:rsid w:val="00501ABB"/>
    <w:rsid w:val="00501BFA"/>
    <w:rsid w:val="00501C09"/>
    <w:rsid w:val="00501DCC"/>
    <w:rsid w:val="00501EC8"/>
    <w:rsid w:val="00501F64"/>
    <w:rsid w:val="00502019"/>
    <w:rsid w:val="0050216A"/>
    <w:rsid w:val="0050219E"/>
    <w:rsid w:val="00502213"/>
    <w:rsid w:val="005022D6"/>
    <w:rsid w:val="005025F7"/>
    <w:rsid w:val="00502711"/>
    <w:rsid w:val="0050296D"/>
    <w:rsid w:val="00502B9D"/>
    <w:rsid w:val="00502DDF"/>
    <w:rsid w:val="00502EAE"/>
    <w:rsid w:val="00502ED8"/>
    <w:rsid w:val="00502F64"/>
    <w:rsid w:val="00503267"/>
    <w:rsid w:val="00503367"/>
    <w:rsid w:val="00503570"/>
    <w:rsid w:val="00503984"/>
    <w:rsid w:val="00503A05"/>
    <w:rsid w:val="00503A1B"/>
    <w:rsid w:val="00503E15"/>
    <w:rsid w:val="005041AD"/>
    <w:rsid w:val="005042A0"/>
    <w:rsid w:val="005042A4"/>
    <w:rsid w:val="005042F3"/>
    <w:rsid w:val="00504440"/>
    <w:rsid w:val="00504592"/>
    <w:rsid w:val="00504796"/>
    <w:rsid w:val="0050490E"/>
    <w:rsid w:val="0050500F"/>
    <w:rsid w:val="00505013"/>
    <w:rsid w:val="00505279"/>
    <w:rsid w:val="00505292"/>
    <w:rsid w:val="005052DF"/>
    <w:rsid w:val="00505317"/>
    <w:rsid w:val="00505781"/>
    <w:rsid w:val="0050583C"/>
    <w:rsid w:val="005058E4"/>
    <w:rsid w:val="00505A4E"/>
    <w:rsid w:val="00505E6B"/>
    <w:rsid w:val="00505F09"/>
    <w:rsid w:val="00505F73"/>
    <w:rsid w:val="005061B6"/>
    <w:rsid w:val="00506230"/>
    <w:rsid w:val="005063E1"/>
    <w:rsid w:val="00506453"/>
    <w:rsid w:val="00506552"/>
    <w:rsid w:val="00506586"/>
    <w:rsid w:val="005066E9"/>
    <w:rsid w:val="00506A43"/>
    <w:rsid w:val="00506D1D"/>
    <w:rsid w:val="00506D25"/>
    <w:rsid w:val="00506D4B"/>
    <w:rsid w:val="00506E64"/>
    <w:rsid w:val="00506EC2"/>
    <w:rsid w:val="00506F3D"/>
    <w:rsid w:val="00507515"/>
    <w:rsid w:val="00507764"/>
    <w:rsid w:val="005077CC"/>
    <w:rsid w:val="005079B9"/>
    <w:rsid w:val="00507BAF"/>
    <w:rsid w:val="00507CC5"/>
    <w:rsid w:val="00507F10"/>
    <w:rsid w:val="00507FFE"/>
    <w:rsid w:val="00510163"/>
    <w:rsid w:val="005106FB"/>
    <w:rsid w:val="00510939"/>
    <w:rsid w:val="00510B42"/>
    <w:rsid w:val="00510B87"/>
    <w:rsid w:val="00510C6F"/>
    <w:rsid w:val="00510D04"/>
    <w:rsid w:val="00510F2B"/>
    <w:rsid w:val="00511049"/>
    <w:rsid w:val="00511087"/>
    <w:rsid w:val="00511222"/>
    <w:rsid w:val="0051125D"/>
    <w:rsid w:val="0051149F"/>
    <w:rsid w:val="00511600"/>
    <w:rsid w:val="005117C6"/>
    <w:rsid w:val="005118FB"/>
    <w:rsid w:val="0051191B"/>
    <w:rsid w:val="00511A17"/>
    <w:rsid w:val="00511B43"/>
    <w:rsid w:val="00511B7D"/>
    <w:rsid w:val="00511E06"/>
    <w:rsid w:val="00511E41"/>
    <w:rsid w:val="005120DA"/>
    <w:rsid w:val="00512373"/>
    <w:rsid w:val="0051239B"/>
    <w:rsid w:val="00512720"/>
    <w:rsid w:val="0051291E"/>
    <w:rsid w:val="00512A52"/>
    <w:rsid w:val="00512AE4"/>
    <w:rsid w:val="00512C4B"/>
    <w:rsid w:val="00512D5E"/>
    <w:rsid w:val="00512E09"/>
    <w:rsid w:val="00512E88"/>
    <w:rsid w:val="00513121"/>
    <w:rsid w:val="005131B9"/>
    <w:rsid w:val="005133D7"/>
    <w:rsid w:val="0051348C"/>
    <w:rsid w:val="005135FA"/>
    <w:rsid w:val="0051393D"/>
    <w:rsid w:val="00513C5A"/>
    <w:rsid w:val="00513D86"/>
    <w:rsid w:val="0051466A"/>
    <w:rsid w:val="00514BD6"/>
    <w:rsid w:val="00514E9E"/>
    <w:rsid w:val="005151EE"/>
    <w:rsid w:val="0051531B"/>
    <w:rsid w:val="00515419"/>
    <w:rsid w:val="005154F3"/>
    <w:rsid w:val="00515590"/>
    <w:rsid w:val="005156DE"/>
    <w:rsid w:val="00515B29"/>
    <w:rsid w:val="00515C2D"/>
    <w:rsid w:val="00515E57"/>
    <w:rsid w:val="00515E9D"/>
    <w:rsid w:val="00516003"/>
    <w:rsid w:val="00516206"/>
    <w:rsid w:val="0051630D"/>
    <w:rsid w:val="005163AF"/>
    <w:rsid w:val="005163E8"/>
    <w:rsid w:val="0051690E"/>
    <w:rsid w:val="00516968"/>
    <w:rsid w:val="00516A1E"/>
    <w:rsid w:val="00516AC4"/>
    <w:rsid w:val="00516BBB"/>
    <w:rsid w:val="00517050"/>
    <w:rsid w:val="005170A7"/>
    <w:rsid w:val="00517111"/>
    <w:rsid w:val="005171B5"/>
    <w:rsid w:val="0051728B"/>
    <w:rsid w:val="00517443"/>
    <w:rsid w:val="00517567"/>
    <w:rsid w:val="00517866"/>
    <w:rsid w:val="0051787B"/>
    <w:rsid w:val="0051789D"/>
    <w:rsid w:val="00517DF9"/>
    <w:rsid w:val="00517F90"/>
    <w:rsid w:val="00520132"/>
    <w:rsid w:val="005202E7"/>
    <w:rsid w:val="0052042C"/>
    <w:rsid w:val="00520724"/>
    <w:rsid w:val="00520C36"/>
    <w:rsid w:val="00520EEC"/>
    <w:rsid w:val="00521101"/>
    <w:rsid w:val="00521425"/>
    <w:rsid w:val="005214CB"/>
    <w:rsid w:val="005216C6"/>
    <w:rsid w:val="005217B0"/>
    <w:rsid w:val="0052180B"/>
    <w:rsid w:val="00521819"/>
    <w:rsid w:val="00521856"/>
    <w:rsid w:val="00521CE7"/>
    <w:rsid w:val="00521CEF"/>
    <w:rsid w:val="00521D2F"/>
    <w:rsid w:val="00521EB1"/>
    <w:rsid w:val="0052219A"/>
    <w:rsid w:val="00522211"/>
    <w:rsid w:val="00522586"/>
    <w:rsid w:val="005228C6"/>
    <w:rsid w:val="00522A56"/>
    <w:rsid w:val="00522AC3"/>
    <w:rsid w:val="00522BFE"/>
    <w:rsid w:val="00522FE6"/>
    <w:rsid w:val="0052365A"/>
    <w:rsid w:val="00523719"/>
    <w:rsid w:val="0052388E"/>
    <w:rsid w:val="005239B9"/>
    <w:rsid w:val="00523B8F"/>
    <w:rsid w:val="00523CA6"/>
    <w:rsid w:val="00523DD7"/>
    <w:rsid w:val="00523E83"/>
    <w:rsid w:val="005246E8"/>
    <w:rsid w:val="00524811"/>
    <w:rsid w:val="0052487C"/>
    <w:rsid w:val="005248BB"/>
    <w:rsid w:val="005248BD"/>
    <w:rsid w:val="00524A4E"/>
    <w:rsid w:val="00524D7F"/>
    <w:rsid w:val="00524E9F"/>
    <w:rsid w:val="005250FC"/>
    <w:rsid w:val="00525567"/>
    <w:rsid w:val="005259DE"/>
    <w:rsid w:val="00525A2F"/>
    <w:rsid w:val="00525C31"/>
    <w:rsid w:val="00525EB0"/>
    <w:rsid w:val="00526010"/>
    <w:rsid w:val="00526107"/>
    <w:rsid w:val="00526234"/>
    <w:rsid w:val="005264A0"/>
    <w:rsid w:val="005269FD"/>
    <w:rsid w:val="00526BA6"/>
    <w:rsid w:val="00526D92"/>
    <w:rsid w:val="00526F52"/>
    <w:rsid w:val="0052700F"/>
    <w:rsid w:val="0052758F"/>
    <w:rsid w:val="00527689"/>
    <w:rsid w:val="005277FA"/>
    <w:rsid w:val="00527813"/>
    <w:rsid w:val="005279E2"/>
    <w:rsid w:val="00527A7B"/>
    <w:rsid w:val="00527A8F"/>
    <w:rsid w:val="00527D42"/>
    <w:rsid w:val="00527EF9"/>
    <w:rsid w:val="005301FD"/>
    <w:rsid w:val="00530394"/>
    <w:rsid w:val="0053050D"/>
    <w:rsid w:val="0053054B"/>
    <w:rsid w:val="00530648"/>
    <w:rsid w:val="0053088C"/>
    <w:rsid w:val="005308A5"/>
    <w:rsid w:val="005308F3"/>
    <w:rsid w:val="0053097F"/>
    <w:rsid w:val="005309E1"/>
    <w:rsid w:val="00530A98"/>
    <w:rsid w:val="00530D14"/>
    <w:rsid w:val="00530D53"/>
    <w:rsid w:val="00530E4B"/>
    <w:rsid w:val="00530FD0"/>
    <w:rsid w:val="005311CF"/>
    <w:rsid w:val="005314D1"/>
    <w:rsid w:val="005314E9"/>
    <w:rsid w:val="00531563"/>
    <w:rsid w:val="00531723"/>
    <w:rsid w:val="005317F6"/>
    <w:rsid w:val="0053188F"/>
    <w:rsid w:val="00531965"/>
    <w:rsid w:val="00531A2B"/>
    <w:rsid w:val="00531A98"/>
    <w:rsid w:val="00531EB7"/>
    <w:rsid w:val="00531EBA"/>
    <w:rsid w:val="00531FBD"/>
    <w:rsid w:val="00532060"/>
    <w:rsid w:val="005320CB"/>
    <w:rsid w:val="0053244F"/>
    <w:rsid w:val="00532452"/>
    <w:rsid w:val="00532590"/>
    <w:rsid w:val="005325A5"/>
    <w:rsid w:val="0053275E"/>
    <w:rsid w:val="0053285E"/>
    <w:rsid w:val="005328C6"/>
    <w:rsid w:val="00532B27"/>
    <w:rsid w:val="00532EDA"/>
    <w:rsid w:val="0053308C"/>
    <w:rsid w:val="0053324F"/>
    <w:rsid w:val="00533253"/>
    <w:rsid w:val="00533276"/>
    <w:rsid w:val="005334F4"/>
    <w:rsid w:val="005338EE"/>
    <w:rsid w:val="00533B3B"/>
    <w:rsid w:val="00533C0A"/>
    <w:rsid w:val="00533DAE"/>
    <w:rsid w:val="00533E02"/>
    <w:rsid w:val="00533ED7"/>
    <w:rsid w:val="00534151"/>
    <w:rsid w:val="0053421C"/>
    <w:rsid w:val="0053452A"/>
    <w:rsid w:val="0053456B"/>
    <w:rsid w:val="005345A2"/>
    <w:rsid w:val="00534650"/>
    <w:rsid w:val="005348BF"/>
    <w:rsid w:val="00534982"/>
    <w:rsid w:val="00534A0F"/>
    <w:rsid w:val="00534B18"/>
    <w:rsid w:val="00534D29"/>
    <w:rsid w:val="00534E34"/>
    <w:rsid w:val="00535014"/>
    <w:rsid w:val="00535030"/>
    <w:rsid w:val="005350E0"/>
    <w:rsid w:val="00535240"/>
    <w:rsid w:val="00535614"/>
    <w:rsid w:val="00535F22"/>
    <w:rsid w:val="00535FED"/>
    <w:rsid w:val="005360A3"/>
    <w:rsid w:val="005360AC"/>
    <w:rsid w:val="0053611F"/>
    <w:rsid w:val="0053632D"/>
    <w:rsid w:val="00536411"/>
    <w:rsid w:val="00536416"/>
    <w:rsid w:val="00536506"/>
    <w:rsid w:val="005367DB"/>
    <w:rsid w:val="00536AFD"/>
    <w:rsid w:val="00536B96"/>
    <w:rsid w:val="00536C63"/>
    <w:rsid w:val="00536D59"/>
    <w:rsid w:val="005374BB"/>
    <w:rsid w:val="005374DB"/>
    <w:rsid w:val="0053759F"/>
    <w:rsid w:val="00537638"/>
    <w:rsid w:val="005376A4"/>
    <w:rsid w:val="005376D2"/>
    <w:rsid w:val="005378FF"/>
    <w:rsid w:val="00537AF6"/>
    <w:rsid w:val="00537B2C"/>
    <w:rsid w:val="0054002F"/>
    <w:rsid w:val="00540324"/>
    <w:rsid w:val="00540656"/>
    <w:rsid w:val="0054068D"/>
    <w:rsid w:val="0054087A"/>
    <w:rsid w:val="00540970"/>
    <w:rsid w:val="005409AA"/>
    <w:rsid w:val="00540A91"/>
    <w:rsid w:val="00540BE1"/>
    <w:rsid w:val="00540FFE"/>
    <w:rsid w:val="00541549"/>
    <w:rsid w:val="005415FA"/>
    <w:rsid w:val="00541684"/>
    <w:rsid w:val="005416F2"/>
    <w:rsid w:val="00541740"/>
    <w:rsid w:val="005417C9"/>
    <w:rsid w:val="005419D2"/>
    <w:rsid w:val="00541BE5"/>
    <w:rsid w:val="00541E10"/>
    <w:rsid w:val="00541EAD"/>
    <w:rsid w:val="00541EF9"/>
    <w:rsid w:val="00541F6F"/>
    <w:rsid w:val="005423C3"/>
    <w:rsid w:val="005425FD"/>
    <w:rsid w:val="005426CF"/>
    <w:rsid w:val="00542826"/>
    <w:rsid w:val="005428AA"/>
    <w:rsid w:val="00542C8F"/>
    <w:rsid w:val="00542D73"/>
    <w:rsid w:val="00542F69"/>
    <w:rsid w:val="00542F91"/>
    <w:rsid w:val="00542FC7"/>
    <w:rsid w:val="005430E0"/>
    <w:rsid w:val="005431CF"/>
    <w:rsid w:val="00543484"/>
    <w:rsid w:val="0054389D"/>
    <w:rsid w:val="00543995"/>
    <w:rsid w:val="00543A74"/>
    <w:rsid w:val="00543B56"/>
    <w:rsid w:val="00543C37"/>
    <w:rsid w:val="00543D0A"/>
    <w:rsid w:val="005443B9"/>
    <w:rsid w:val="00544517"/>
    <w:rsid w:val="00544704"/>
    <w:rsid w:val="00544820"/>
    <w:rsid w:val="00544A3B"/>
    <w:rsid w:val="00544AB7"/>
    <w:rsid w:val="00544CB1"/>
    <w:rsid w:val="00544D38"/>
    <w:rsid w:val="00544EFB"/>
    <w:rsid w:val="0054520C"/>
    <w:rsid w:val="00545370"/>
    <w:rsid w:val="005454D3"/>
    <w:rsid w:val="005454F3"/>
    <w:rsid w:val="005455E5"/>
    <w:rsid w:val="0054563F"/>
    <w:rsid w:val="005457BE"/>
    <w:rsid w:val="00545E3E"/>
    <w:rsid w:val="00545E93"/>
    <w:rsid w:val="00545E9E"/>
    <w:rsid w:val="0054600F"/>
    <w:rsid w:val="00546246"/>
    <w:rsid w:val="00546302"/>
    <w:rsid w:val="005463D2"/>
    <w:rsid w:val="0054647B"/>
    <w:rsid w:val="005467C4"/>
    <w:rsid w:val="0054681B"/>
    <w:rsid w:val="00546A93"/>
    <w:rsid w:val="00546AF4"/>
    <w:rsid w:val="00546C30"/>
    <w:rsid w:val="00546DC0"/>
    <w:rsid w:val="00546FCC"/>
    <w:rsid w:val="00547436"/>
    <w:rsid w:val="0054779A"/>
    <w:rsid w:val="00547A98"/>
    <w:rsid w:val="00547AF2"/>
    <w:rsid w:val="00547BA1"/>
    <w:rsid w:val="00550110"/>
    <w:rsid w:val="005503A2"/>
    <w:rsid w:val="005506C8"/>
    <w:rsid w:val="00550835"/>
    <w:rsid w:val="00550AEC"/>
    <w:rsid w:val="00550D01"/>
    <w:rsid w:val="0055155D"/>
    <w:rsid w:val="0055173A"/>
    <w:rsid w:val="00551775"/>
    <w:rsid w:val="0055181F"/>
    <w:rsid w:val="00551966"/>
    <w:rsid w:val="00551D4C"/>
    <w:rsid w:val="00551DB8"/>
    <w:rsid w:val="00552067"/>
    <w:rsid w:val="0055249B"/>
    <w:rsid w:val="005524AF"/>
    <w:rsid w:val="0055258A"/>
    <w:rsid w:val="00552922"/>
    <w:rsid w:val="00552BDD"/>
    <w:rsid w:val="00552C9E"/>
    <w:rsid w:val="00552DFA"/>
    <w:rsid w:val="00552E4C"/>
    <w:rsid w:val="00552FD2"/>
    <w:rsid w:val="0055322F"/>
    <w:rsid w:val="0055345F"/>
    <w:rsid w:val="00553859"/>
    <w:rsid w:val="0055398F"/>
    <w:rsid w:val="00553AA4"/>
    <w:rsid w:val="00553B38"/>
    <w:rsid w:val="00553FB5"/>
    <w:rsid w:val="005540A8"/>
    <w:rsid w:val="0055423E"/>
    <w:rsid w:val="005542BB"/>
    <w:rsid w:val="005543FE"/>
    <w:rsid w:val="00554C04"/>
    <w:rsid w:val="00554C11"/>
    <w:rsid w:val="0055504B"/>
    <w:rsid w:val="00555241"/>
    <w:rsid w:val="00555347"/>
    <w:rsid w:val="00555416"/>
    <w:rsid w:val="00555B67"/>
    <w:rsid w:val="00555C4E"/>
    <w:rsid w:val="00555E44"/>
    <w:rsid w:val="00555FEB"/>
    <w:rsid w:val="00556101"/>
    <w:rsid w:val="00556193"/>
    <w:rsid w:val="005561E1"/>
    <w:rsid w:val="005562E7"/>
    <w:rsid w:val="00556317"/>
    <w:rsid w:val="005564AA"/>
    <w:rsid w:val="0055672D"/>
    <w:rsid w:val="005567A0"/>
    <w:rsid w:val="00556880"/>
    <w:rsid w:val="0055688A"/>
    <w:rsid w:val="005568E5"/>
    <w:rsid w:val="0055694F"/>
    <w:rsid w:val="005569DC"/>
    <w:rsid w:val="00556B67"/>
    <w:rsid w:val="00556D66"/>
    <w:rsid w:val="00556D6A"/>
    <w:rsid w:val="00556D6E"/>
    <w:rsid w:val="00556F92"/>
    <w:rsid w:val="005570C4"/>
    <w:rsid w:val="00557368"/>
    <w:rsid w:val="0055763F"/>
    <w:rsid w:val="005576F0"/>
    <w:rsid w:val="00557749"/>
    <w:rsid w:val="00557A11"/>
    <w:rsid w:val="00557AFE"/>
    <w:rsid w:val="00557CB1"/>
    <w:rsid w:val="00557E3B"/>
    <w:rsid w:val="00560141"/>
    <w:rsid w:val="005603A4"/>
    <w:rsid w:val="00560479"/>
    <w:rsid w:val="00560492"/>
    <w:rsid w:val="0056049E"/>
    <w:rsid w:val="00560661"/>
    <w:rsid w:val="0056072C"/>
    <w:rsid w:val="0056091E"/>
    <w:rsid w:val="00560B70"/>
    <w:rsid w:val="00561195"/>
    <w:rsid w:val="00561197"/>
    <w:rsid w:val="005612B2"/>
    <w:rsid w:val="00561371"/>
    <w:rsid w:val="0056141E"/>
    <w:rsid w:val="005615B1"/>
    <w:rsid w:val="0056172D"/>
    <w:rsid w:val="0056178F"/>
    <w:rsid w:val="00561BD1"/>
    <w:rsid w:val="0056200F"/>
    <w:rsid w:val="005621FA"/>
    <w:rsid w:val="005624D2"/>
    <w:rsid w:val="005626F4"/>
    <w:rsid w:val="00562FCB"/>
    <w:rsid w:val="00563230"/>
    <w:rsid w:val="005633DA"/>
    <w:rsid w:val="005633E5"/>
    <w:rsid w:val="00563415"/>
    <w:rsid w:val="00563488"/>
    <w:rsid w:val="00563569"/>
    <w:rsid w:val="005635F3"/>
    <w:rsid w:val="00563869"/>
    <w:rsid w:val="0056391B"/>
    <w:rsid w:val="005639CC"/>
    <w:rsid w:val="00563A19"/>
    <w:rsid w:val="00563AA7"/>
    <w:rsid w:val="00563B63"/>
    <w:rsid w:val="00563D52"/>
    <w:rsid w:val="0056411C"/>
    <w:rsid w:val="005642A7"/>
    <w:rsid w:val="0056431B"/>
    <w:rsid w:val="00564615"/>
    <w:rsid w:val="005646DC"/>
    <w:rsid w:val="005647C4"/>
    <w:rsid w:val="005649C5"/>
    <w:rsid w:val="00564D20"/>
    <w:rsid w:val="00564D3A"/>
    <w:rsid w:val="00565058"/>
    <w:rsid w:val="0056514B"/>
    <w:rsid w:val="0056597A"/>
    <w:rsid w:val="0056598D"/>
    <w:rsid w:val="005659C4"/>
    <w:rsid w:val="00565B4C"/>
    <w:rsid w:val="00565C3A"/>
    <w:rsid w:val="00565CBB"/>
    <w:rsid w:val="00565E35"/>
    <w:rsid w:val="0056600A"/>
    <w:rsid w:val="00566136"/>
    <w:rsid w:val="005663FF"/>
    <w:rsid w:val="0056654B"/>
    <w:rsid w:val="00566C95"/>
    <w:rsid w:val="00566FD7"/>
    <w:rsid w:val="00566FEF"/>
    <w:rsid w:val="00567082"/>
    <w:rsid w:val="005670AC"/>
    <w:rsid w:val="005670ED"/>
    <w:rsid w:val="00567246"/>
    <w:rsid w:val="005675EB"/>
    <w:rsid w:val="005675F4"/>
    <w:rsid w:val="005677E5"/>
    <w:rsid w:val="00567853"/>
    <w:rsid w:val="005678EC"/>
    <w:rsid w:val="00567992"/>
    <w:rsid w:val="00567DAE"/>
    <w:rsid w:val="00567E1B"/>
    <w:rsid w:val="00567E48"/>
    <w:rsid w:val="00567FD8"/>
    <w:rsid w:val="005700AE"/>
    <w:rsid w:val="00570490"/>
    <w:rsid w:val="00570A53"/>
    <w:rsid w:val="00570D24"/>
    <w:rsid w:val="00570D74"/>
    <w:rsid w:val="0057114A"/>
    <w:rsid w:val="005712E1"/>
    <w:rsid w:val="00571393"/>
    <w:rsid w:val="005716C2"/>
    <w:rsid w:val="00571919"/>
    <w:rsid w:val="00571A72"/>
    <w:rsid w:val="00571B84"/>
    <w:rsid w:val="00571BE0"/>
    <w:rsid w:val="00571C69"/>
    <w:rsid w:val="00571D83"/>
    <w:rsid w:val="00572086"/>
    <w:rsid w:val="00572347"/>
    <w:rsid w:val="00572BA4"/>
    <w:rsid w:val="00572F7E"/>
    <w:rsid w:val="0057365C"/>
    <w:rsid w:val="005738F5"/>
    <w:rsid w:val="00573A48"/>
    <w:rsid w:val="00573DDF"/>
    <w:rsid w:val="00573E0E"/>
    <w:rsid w:val="005740BC"/>
    <w:rsid w:val="0057417A"/>
    <w:rsid w:val="005741F4"/>
    <w:rsid w:val="00574216"/>
    <w:rsid w:val="00574329"/>
    <w:rsid w:val="005744C4"/>
    <w:rsid w:val="005745F1"/>
    <w:rsid w:val="005748B9"/>
    <w:rsid w:val="00574C1A"/>
    <w:rsid w:val="00575015"/>
    <w:rsid w:val="00575147"/>
    <w:rsid w:val="005753D7"/>
    <w:rsid w:val="0057598D"/>
    <w:rsid w:val="00575B56"/>
    <w:rsid w:val="005760A5"/>
    <w:rsid w:val="005760C5"/>
    <w:rsid w:val="005762EB"/>
    <w:rsid w:val="00576676"/>
    <w:rsid w:val="00576EEE"/>
    <w:rsid w:val="005770AE"/>
    <w:rsid w:val="005770D3"/>
    <w:rsid w:val="0057711A"/>
    <w:rsid w:val="005771E9"/>
    <w:rsid w:val="0057760F"/>
    <w:rsid w:val="0057788B"/>
    <w:rsid w:val="00577939"/>
    <w:rsid w:val="00577D1E"/>
    <w:rsid w:val="00577E4E"/>
    <w:rsid w:val="00580080"/>
    <w:rsid w:val="0058042F"/>
    <w:rsid w:val="005804F0"/>
    <w:rsid w:val="0058058A"/>
    <w:rsid w:val="00580685"/>
    <w:rsid w:val="005808A9"/>
    <w:rsid w:val="00580949"/>
    <w:rsid w:val="00580E6B"/>
    <w:rsid w:val="00580EEB"/>
    <w:rsid w:val="00580FCF"/>
    <w:rsid w:val="00581060"/>
    <w:rsid w:val="005810E1"/>
    <w:rsid w:val="0058146E"/>
    <w:rsid w:val="00581503"/>
    <w:rsid w:val="00581580"/>
    <w:rsid w:val="005815F0"/>
    <w:rsid w:val="00581728"/>
    <w:rsid w:val="00581865"/>
    <w:rsid w:val="00581A1D"/>
    <w:rsid w:val="00581C2E"/>
    <w:rsid w:val="00581C6F"/>
    <w:rsid w:val="00581DEB"/>
    <w:rsid w:val="00581F1E"/>
    <w:rsid w:val="00581FE6"/>
    <w:rsid w:val="0058212B"/>
    <w:rsid w:val="00582279"/>
    <w:rsid w:val="00582308"/>
    <w:rsid w:val="00582352"/>
    <w:rsid w:val="0058259B"/>
    <w:rsid w:val="005826C5"/>
    <w:rsid w:val="005826CA"/>
    <w:rsid w:val="00582A10"/>
    <w:rsid w:val="00582A62"/>
    <w:rsid w:val="00582B3E"/>
    <w:rsid w:val="00582D45"/>
    <w:rsid w:val="00582DB9"/>
    <w:rsid w:val="00583010"/>
    <w:rsid w:val="00583045"/>
    <w:rsid w:val="00583190"/>
    <w:rsid w:val="0058321C"/>
    <w:rsid w:val="00583269"/>
    <w:rsid w:val="005832FF"/>
    <w:rsid w:val="005833F4"/>
    <w:rsid w:val="0058340A"/>
    <w:rsid w:val="00583479"/>
    <w:rsid w:val="0058349A"/>
    <w:rsid w:val="00583673"/>
    <w:rsid w:val="0058383B"/>
    <w:rsid w:val="00583C9B"/>
    <w:rsid w:val="00583D08"/>
    <w:rsid w:val="00583D97"/>
    <w:rsid w:val="00584818"/>
    <w:rsid w:val="00584860"/>
    <w:rsid w:val="005849FA"/>
    <w:rsid w:val="00584CF9"/>
    <w:rsid w:val="00584D5F"/>
    <w:rsid w:val="0058524D"/>
    <w:rsid w:val="00585490"/>
    <w:rsid w:val="005854C5"/>
    <w:rsid w:val="005854D0"/>
    <w:rsid w:val="00585525"/>
    <w:rsid w:val="00585526"/>
    <w:rsid w:val="005857EF"/>
    <w:rsid w:val="00585C82"/>
    <w:rsid w:val="00585D14"/>
    <w:rsid w:val="00585FCC"/>
    <w:rsid w:val="0058642B"/>
    <w:rsid w:val="00586430"/>
    <w:rsid w:val="00586755"/>
    <w:rsid w:val="0058683B"/>
    <w:rsid w:val="005868E3"/>
    <w:rsid w:val="005868EF"/>
    <w:rsid w:val="00586A5D"/>
    <w:rsid w:val="00586A62"/>
    <w:rsid w:val="00586C76"/>
    <w:rsid w:val="00586D38"/>
    <w:rsid w:val="00586E06"/>
    <w:rsid w:val="00586E6A"/>
    <w:rsid w:val="00586EFC"/>
    <w:rsid w:val="00587229"/>
    <w:rsid w:val="005872A8"/>
    <w:rsid w:val="005873FA"/>
    <w:rsid w:val="005874AA"/>
    <w:rsid w:val="005875EA"/>
    <w:rsid w:val="005877BD"/>
    <w:rsid w:val="0058793D"/>
    <w:rsid w:val="00587967"/>
    <w:rsid w:val="00587ABB"/>
    <w:rsid w:val="00587BE7"/>
    <w:rsid w:val="00587BFD"/>
    <w:rsid w:val="00587CBC"/>
    <w:rsid w:val="00587D20"/>
    <w:rsid w:val="00587F91"/>
    <w:rsid w:val="005901C1"/>
    <w:rsid w:val="0059028D"/>
    <w:rsid w:val="005903E7"/>
    <w:rsid w:val="0059064D"/>
    <w:rsid w:val="00590652"/>
    <w:rsid w:val="00590797"/>
    <w:rsid w:val="00590AC0"/>
    <w:rsid w:val="00590AF4"/>
    <w:rsid w:val="00590C31"/>
    <w:rsid w:val="00590C85"/>
    <w:rsid w:val="00590D70"/>
    <w:rsid w:val="00590E8E"/>
    <w:rsid w:val="00590F45"/>
    <w:rsid w:val="00591067"/>
    <w:rsid w:val="00591189"/>
    <w:rsid w:val="005912B9"/>
    <w:rsid w:val="005914C7"/>
    <w:rsid w:val="005914E3"/>
    <w:rsid w:val="0059176A"/>
    <w:rsid w:val="0059186B"/>
    <w:rsid w:val="005918E6"/>
    <w:rsid w:val="00591ABA"/>
    <w:rsid w:val="00591B37"/>
    <w:rsid w:val="00591B70"/>
    <w:rsid w:val="00591E7F"/>
    <w:rsid w:val="00591EA0"/>
    <w:rsid w:val="00591F2D"/>
    <w:rsid w:val="00591F67"/>
    <w:rsid w:val="0059220D"/>
    <w:rsid w:val="005922CD"/>
    <w:rsid w:val="00592332"/>
    <w:rsid w:val="00592925"/>
    <w:rsid w:val="005929C9"/>
    <w:rsid w:val="00592CB6"/>
    <w:rsid w:val="00593106"/>
    <w:rsid w:val="00593507"/>
    <w:rsid w:val="0059364C"/>
    <w:rsid w:val="005936D8"/>
    <w:rsid w:val="005937C8"/>
    <w:rsid w:val="00593826"/>
    <w:rsid w:val="00593910"/>
    <w:rsid w:val="0059395F"/>
    <w:rsid w:val="00593B14"/>
    <w:rsid w:val="00593B5D"/>
    <w:rsid w:val="00593BFA"/>
    <w:rsid w:val="00593C07"/>
    <w:rsid w:val="00593CBD"/>
    <w:rsid w:val="00593CE0"/>
    <w:rsid w:val="00594079"/>
    <w:rsid w:val="0059417A"/>
    <w:rsid w:val="00594227"/>
    <w:rsid w:val="00594325"/>
    <w:rsid w:val="0059438C"/>
    <w:rsid w:val="00594452"/>
    <w:rsid w:val="005944DF"/>
    <w:rsid w:val="0059455D"/>
    <w:rsid w:val="00594649"/>
    <w:rsid w:val="00594875"/>
    <w:rsid w:val="005948D0"/>
    <w:rsid w:val="005949E9"/>
    <w:rsid w:val="00594E6A"/>
    <w:rsid w:val="00594F97"/>
    <w:rsid w:val="00595290"/>
    <w:rsid w:val="0059557E"/>
    <w:rsid w:val="005956C0"/>
    <w:rsid w:val="00595753"/>
    <w:rsid w:val="00595868"/>
    <w:rsid w:val="00595DF1"/>
    <w:rsid w:val="00595E15"/>
    <w:rsid w:val="00595EA9"/>
    <w:rsid w:val="00596104"/>
    <w:rsid w:val="005962DB"/>
    <w:rsid w:val="00596345"/>
    <w:rsid w:val="00596524"/>
    <w:rsid w:val="0059699A"/>
    <w:rsid w:val="00596C41"/>
    <w:rsid w:val="00596C7D"/>
    <w:rsid w:val="00596D86"/>
    <w:rsid w:val="00596E3F"/>
    <w:rsid w:val="00596E5B"/>
    <w:rsid w:val="00596EF9"/>
    <w:rsid w:val="00596F46"/>
    <w:rsid w:val="00597265"/>
    <w:rsid w:val="00597360"/>
    <w:rsid w:val="00597992"/>
    <w:rsid w:val="00597D35"/>
    <w:rsid w:val="00597E37"/>
    <w:rsid w:val="005A003A"/>
    <w:rsid w:val="005A01AA"/>
    <w:rsid w:val="005A029A"/>
    <w:rsid w:val="005A0482"/>
    <w:rsid w:val="005A049B"/>
    <w:rsid w:val="005A050B"/>
    <w:rsid w:val="005A05B4"/>
    <w:rsid w:val="005A0665"/>
    <w:rsid w:val="005A087A"/>
    <w:rsid w:val="005A0A57"/>
    <w:rsid w:val="005A0C48"/>
    <w:rsid w:val="005A0EA5"/>
    <w:rsid w:val="005A0F73"/>
    <w:rsid w:val="005A1019"/>
    <w:rsid w:val="005A1057"/>
    <w:rsid w:val="005A1674"/>
    <w:rsid w:val="005A18B4"/>
    <w:rsid w:val="005A1C62"/>
    <w:rsid w:val="005A1EC3"/>
    <w:rsid w:val="005A1F01"/>
    <w:rsid w:val="005A1F50"/>
    <w:rsid w:val="005A21EF"/>
    <w:rsid w:val="005A238F"/>
    <w:rsid w:val="005A2760"/>
    <w:rsid w:val="005A2851"/>
    <w:rsid w:val="005A2901"/>
    <w:rsid w:val="005A2DD8"/>
    <w:rsid w:val="005A313F"/>
    <w:rsid w:val="005A315E"/>
    <w:rsid w:val="005A3247"/>
    <w:rsid w:val="005A329D"/>
    <w:rsid w:val="005A376B"/>
    <w:rsid w:val="005A37F5"/>
    <w:rsid w:val="005A3801"/>
    <w:rsid w:val="005A385F"/>
    <w:rsid w:val="005A38E6"/>
    <w:rsid w:val="005A3D45"/>
    <w:rsid w:val="005A3E1C"/>
    <w:rsid w:val="005A3EDA"/>
    <w:rsid w:val="005A402C"/>
    <w:rsid w:val="005A4052"/>
    <w:rsid w:val="005A422E"/>
    <w:rsid w:val="005A434B"/>
    <w:rsid w:val="005A46AE"/>
    <w:rsid w:val="005A4739"/>
    <w:rsid w:val="005A486C"/>
    <w:rsid w:val="005A497A"/>
    <w:rsid w:val="005A4A36"/>
    <w:rsid w:val="005A4AAB"/>
    <w:rsid w:val="005A4B69"/>
    <w:rsid w:val="005A4C49"/>
    <w:rsid w:val="005A4F68"/>
    <w:rsid w:val="005A5098"/>
    <w:rsid w:val="005A5188"/>
    <w:rsid w:val="005A5411"/>
    <w:rsid w:val="005A550B"/>
    <w:rsid w:val="005A555B"/>
    <w:rsid w:val="005A567C"/>
    <w:rsid w:val="005A56CA"/>
    <w:rsid w:val="005A5817"/>
    <w:rsid w:val="005A58EE"/>
    <w:rsid w:val="005A5979"/>
    <w:rsid w:val="005A5CB5"/>
    <w:rsid w:val="005A5DE3"/>
    <w:rsid w:val="005A5F21"/>
    <w:rsid w:val="005A60ED"/>
    <w:rsid w:val="005A62D3"/>
    <w:rsid w:val="005A6825"/>
    <w:rsid w:val="005A6834"/>
    <w:rsid w:val="005A68F7"/>
    <w:rsid w:val="005A6C1B"/>
    <w:rsid w:val="005A6C7F"/>
    <w:rsid w:val="005A6D6D"/>
    <w:rsid w:val="005A6EEF"/>
    <w:rsid w:val="005A7152"/>
    <w:rsid w:val="005A71D1"/>
    <w:rsid w:val="005A723B"/>
    <w:rsid w:val="005A7264"/>
    <w:rsid w:val="005A7A90"/>
    <w:rsid w:val="005A7CCE"/>
    <w:rsid w:val="005B002C"/>
    <w:rsid w:val="005B0177"/>
    <w:rsid w:val="005B027F"/>
    <w:rsid w:val="005B0350"/>
    <w:rsid w:val="005B03CC"/>
    <w:rsid w:val="005B0981"/>
    <w:rsid w:val="005B0BA4"/>
    <w:rsid w:val="005B0E58"/>
    <w:rsid w:val="005B0F8B"/>
    <w:rsid w:val="005B1045"/>
    <w:rsid w:val="005B1071"/>
    <w:rsid w:val="005B10CA"/>
    <w:rsid w:val="005B11F5"/>
    <w:rsid w:val="005B1539"/>
    <w:rsid w:val="005B153D"/>
    <w:rsid w:val="005B157D"/>
    <w:rsid w:val="005B1581"/>
    <w:rsid w:val="005B15A8"/>
    <w:rsid w:val="005B1601"/>
    <w:rsid w:val="005B1646"/>
    <w:rsid w:val="005B1ACB"/>
    <w:rsid w:val="005B1E0A"/>
    <w:rsid w:val="005B21F0"/>
    <w:rsid w:val="005B2326"/>
    <w:rsid w:val="005B2422"/>
    <w:rsid w:val="005B249F"/>
    <w:rsid w:val="005B24CF"/>
    <w:rsid w:val="005B25FA"/>
    <w:rsid w:val="005B2708"/>
    <w:rsid w:val="005B27B7"/>
    <w:rsid w:val="005B28F0"/>
    <w:rsid w:val="005B29E5"/>
    <w:rsid w:val="005B2A9E"/>
    <w:rsid w:val="005B2B42"/>
    <w:rsid w:val="005B2EC5"/>
    <w:rsid w:val="005B2F3E"/>
    <w:rsid w:val="005B31DB"/>
    <w:rsid w:val="005B3602"/>
    <w:rsid w:val="005B3678"/>
    <w:rsid w:val="005B3699"/>
    <w:rsid w:val="005B36AC"/>
    <w:rsid w:val="005B38DB"/>
    <w:rsid w:val="005B391C"/>
    <w:rsid w:val="005B399A"/>
    <w:rsid w:val="005B3AA9"/>
    <w:rsid w:val="005B3B79"/>
    <w:rsid w:val="005B3E7C"/>
    <w:rsid w:val="005B3ECE"/>
    <w:rsid w:val="005B41CB"/>
    <w:rsid w:val="005B41ED"/>
    <w:rsid w:val="005B4391"/>
    <w:rsid w:val="005B450E"/>
    <w:rsid w:val="005B4547"/>
    <w:rsid w:val="005B4586"/>
    <w:rsid w:val="005B45A9"/>
    <w:rsid w:val="005B496E"/>
    <w:rsid w:val="005B4CFC"/>
    <w:rsid w:val="005B4E14"/>
    <w:rsid w:val="005B4E94"/>
    <w:rsid w:val="005B520D"/>
    <w:rsid w:val="005B537B"/>
    <w:rsid w:val="005B53FA"/>
    <w:rsid w:val="005B557A"/>
    <w:rsid w:val="005B5620"/>
    <w:rsid w:val="005B56A9"/>
    <w:rsid w:val="005B58B0"/>
    <w:rsid w:val="005B59B3"/>
    <w:rsid w:val="005B5ACC"/>
    <w:rsid w:val="005B5BD5"/>
    <w:rsid w:val="005B5DA3"/>
    <w:rsid w:val="005B6020"/>
    <w:rsid w:val="005B6127"/>
    <w:rsid w:val="005B6246"/>
    <w:rsid w:val="005B62C0"/>
    <w:rsid w:val="005B6766"/>
    <w:rsid w:val="005B68E5"/>
    <w:rsid w:val="005B68F1"/>
    <w:rsid w:val="005B6906"/>
    <w:rsid w:val="005B6E0D"/>
    <w:rsid w:val="005B6ECC"/>
    <w:rsid w:val="005B6F08"/>
    <w:rsid w:val="005B7075"/>
    <w:rsid w:val="005B71A4"/>
    <w:rsid w:val="005B71B1"/>
    <w:rsid w:val="005B74C4"/>
    <w:rsid w:val="005B7582"/>
    <w:rsid w:val="005B7761"/>
    <w:rsid w:val="005B77C4"/>
    <w:rsid w:val="005B7B42"/>
    <w:rsid w:val="005B7B46"/>
    <w:rsid w:val="005B7C0F"/>
    <w:rsid w:val="005B7C5F"/>
    <w:rsid w:val="005B7E3B"/>
    <w:rsid w:val="005B7EB4"/>
    <w:rsid w:val="005C01EF"/>
    <w:rsid w:val="005C0216"/>
    <w:rsid w:val="005C0298"/>
    <w:rsid w:val="005C074A"/>
    <w:rsid w:val="005C0769"/>
    <w:rsid w:val="005C09E7"/>
    <w:rsid w:val="005C0A72"/>
    <w:rsid w:val="005C106B"/>
    <w:rsid w:val="005C1106"/>
    <w:rsid w:val="005C1381"/>
    <w:rsid w:val="005C146A"/>
    <w:rsid w:val="005C14E9"/>
    <w:rsid w:val="005C15DA"/>
    <w:rsid w:val="005C161C"/>
    <w:rsid w:val="005C1775"/>
    <w:rsid w:val="005C1A6D"/>
    <w:rsid w:val="005C1C6A"/>
    <w:rsid w:val="005C1CEB"/>
    <w:rsid w:val="005C1DED"/>
    <w:rsid w:val="005C1F63"/>
    <w:rsid w:val="005C1F7D"/>
    <w:rsid w:val="005C2157"/>
    <w:rsid w:val="005C2345"/>
    <w:rsid w:val="005C26EF"/>
    <w:rsid w:val="005C272B"/>
    <w:rsid w:val="005C276D"/>
    <w:rsid w:val="005C2990"/>
    <w:rsid w:val="005C2A45"/>
    <w:rsid w:val="005C2EE8"/>
    <w:rsid w:val="005C310A"/>
    <w:rsid w:val="005C3168"/>
    <w:rsid w:val="005C360A"/>
    <w:rsid w:val="005C36A3"/>
    <w:rsid w:val="005C3803"/>
    <w:rsid w:val="005C3B12"/>
    <w:rsid w:val="005C3B23"/>
    <w:rsid w:val="005C3BB5"/>
    <w:rsid w:val="005C3EDF"/>
    <w:rsid w:val="005C405E"/>
    <w:rsid w:val="005C411D"/>
    <w:rsid w:val="005C43DA"/>
    <w:rsid w:val="005C4622"/>
    <w:rsid w:val="005C4645"/>
    <w:rsid w:val="005C4650"/>
    <w:rsid w:val="005C468F"/>
    <w:rsid w:val="005C4891"/>
    <w:rsid w:val="005C4B31"/>
    <w:rsid w:val="005C4DF5"/>
    <w:rsid w:val="005C4EEF"/>
    <w:rsid w:val="005C5157"/>
    <w:rsid w:val="005C54AD"/>
    <w:rsid w:val="005C5526"/>
    <w:rsid w:val="005C5536"/>
    <w:rsid w:val="005C5595"/>
    <w:rsid w:val="005C565F"/>
    <w:rsid w:val="005C593F"/>
    <w:rsid w:val="005C61B9"/>
    <w:rsid w:val="005C62FF"/>
    <w:rsid w:val="005C632C"/>
    <w:rsid w:val="005C6423"/>
    <w:rsid w:val="005C64AB"/>
    <w:rsid w:val="005C65C2"/>
    <w:rsid w:val="005C683A"/>
    <w:rsid w:val="005C6B07"/>
    <w:rsid w:val="005C6B9F"/>
    <w:rsid w:val="005C6C45"/>
    <w:rsid w:val="005C6C83"/>
    <w:rsid w:val="005C70D8"/>
    <w:rsid w:val="005C71D3"/>
    <w:rsid w:val="005C71F8"/>
    <w:rsid w:val="005C72E5"/>
    <w:rsid w:val="005C737A"/>
    <w:rsid w:val="005C73A5"/>
    <w:rsid w:val="005C7731"/>
    <w:rsid w:val="005C79B9"/>
    <w:rsid w:val="005C7BD3"/>
    <w:rsid w:val="005C7D91"/>
    <w:rsid w:val="005C7EE9"/>
    <w:rsid w:val="005C7F72"/>
    <w:rsid w:val="005C7F9B"/>
    <w:rsid w:val="005D01A5"/>
    <w:rsid w:val="005D02AA"/>
    <w:rsid w:val="005D0310"/>
    <w:rsid w:val="005D044E"/>
    <w:rsid w:val="005D05F0"/>
    <w:rsid w:val="005D0673"/>
    <w:rsid w:val="005D08A9"/>
    <w:rsid w:val="005D097E"/>
    <w:rsid w:val="005D0A60"/>
    <w:rsid w:val="005D0A92"/>
    <w:rsid w:val="005D0F06"/>
    <w:rsid w:val="005D1350"/>
    <w:rsid w:val="005D159F"/>
    <w:rsid w:val="005D16D3"/>
    <w:rsid w:val="005D1B88"/>
    <w:rsid w:val="005D1DE3"/>
    <w:rsid w:val="005D2038"/>
    <w:rsid w:val="005D20D1"/>
    <w:rsid w:val="005D2212"/>
    <w:rsid w:val="005D221C"/>
    <w:rsid w:val="005D2287"/>
    <w:rsid w:val="005D23FE"/>
    <w:rsid w:val="005D2402"/>
    <w:rsid w:val="005D2443"/>
    <w:rsid w:val="005D248E"/>
    <w:rsid w:val="005D24A5"/>
    <w:rsid w:val="005D276A"/>
    <w:rsid w:val="005D28D5"/>
    <w:rsid w:val="005D2976"/>
    <w:rsid w:val="005D298A"/>
    <w:rsid w:val="005D2A43"/>
    <w:rsid w:val="005D2AB4"/>
    <w:rsid w:val="005D2D4A"/>
    <w:rsid w:val="005D2F54"/>
    <w:rsid w:val="005D3746"/>
    <w:rsid w:val="005D3B88"/>
    <w:rsid w:val="005D3DC8"/>
    <w:rsid w:val="005D3EC3"/>
    <w:rsid w:val="005D40AB"/>
    <w:rsid w:val="005D41CE"/>
    <w:rsid w:val="005D42A5"/>
    <w:rsid w:val="005D4692"/>
    <w:rsid w:val="005D4795"/>
    <w:rsid w:val="005D48B7"/>
    <w:rsid w:val="005D4AB6"/>
    <w:rsid w:val="005D4AF5"/>
    <w:rsid w:val="005D53A9"/>
    <w:rsid w:val="005D5412"/>
    <w:rsid w:val="005D5415"/>
    <w:rsid w:val="005D544A"/>
    <w:rsid w:val="005D54BE"/>
    <w:rsid w:val="005D586D"/>
    <w:rsid w:val="005D59E7"/>
    <w:rsid w:val="005D5BB8"/>
    <w:rsid w:val="005D60C0"/>
    <w:rsid w:val="005D60E7"/>
    <w:rsid w:val="005D640B"/>
    <w:rsid w:val="005D641B"/>
    <w:rsid w:val="005D6728"/>
    <w:rsid w:val="005D6933"/>
    <w:rsid w:val="005D6ADA"/>
    <w:rsid w:val="005D6C1A"/>
    <w:rsid w:val="005D6D7A"/>
    <w:rsid w:val="005D6EA0"/>
    <w:rsid w:val="005D6F27"/>
    <w:rsid w:val="005D6F6F"/>
    <w:rsid w:val="005D71B8"/>
    <w:rsid w:val="005D7254"/>
    <w:rsid w:val="005D7315"/>
    <w:rsid w:val="005D7C58"/>
    <w:rsid w:val="005D7CD5"/>
    <w:rsid w:val="005D7E0B"/>
    <w:rsid w:val="005E003A"/>
    <w:rsid w:val="005E0040"/>
    <w:rsid w:val="005E0252"/>
    <w:rsid w:val="005E0490"/>
    <w:rsid w:val="005E04B4"/>
    <w:rsid w:val="005E05BF"/>
    <w:rsid w:val="005E0782"/>
    <w:rsid w:val="005E0A43"/>
    <w:rsid w:val="005E0A90"/>
    <w:rsid w:val="005E0C9E"/>
    <w:rsid w:val="005E0D16"/>
    <w:rsid w:val="005E0D88"/>
    <w:rsid w:val="005E0EEE"/>
    <w:rsid w:val="005E0EF1"/>
    <w:rsid w:val="005E0F5E"/>
    <w:rsid w:val="005E1067"/>
    <w:rsid w:val="005E1455"/>
    <w:rsid w:val="005E14C9"/>
    <w:rsid w:val="005E15CF"/>
    <w:rsid w:val="005E175A"/>
    <w:rsid w:val="005E1884"/>
    <w:rsid w:val="005E18A8"/>
    <w:rsid w:val="005E1928"/>
    <w:rsid w:val="005E1945"/>
    <w:rsid w:val="005E19EC"/>
    <w:rsid w:val="005E1A45"/>
    <w:rsid w:val="005E1DF3"/>
    <w:rsid w:val="005E2069"/>
    <w:rsid w:val="005E2290"/>
    <w:rsid w:val="005E2321"/>
    <w:rsid w:val="005E244F"/>
    <w:rsid w:val="005E2577"/>
    <w:rsid w:val="005E2594"/>
    <w:rsid w:val="005E27E5"/>
    <w:rsid w:val="005E289B"/>
    <w:rsid w:val="005E2928"/>
    <w:rsid w:val="005E2B77"/>
    <w:rsid w:val="005E3188"/>
    <w:rsid w:val="005E334A"/>
    <w:rsid w:val="005E33F0"/>
    <w:rsid w:val="005E340F"/>
    <w:rsid w:val="005E36D3"/>
    <w:rsid w:val="005E3736"/>
    <w:rsid w:val="005E38CC"/>
    <w:rsid w:val="005E38EA"/>
    <w:rsid w:val="005E397B"/>
    <w:rsid w:val="005E3A35"/>
    <w:rsid w:val="005E3ACC"/>
    <w:rsid w:val="005E3B00"/>
    <w:rsid w:val="005E3BD9"/>
    <w:rsid w:val="005E3C41"/>
    <w:rsid w:val="005E4261"/>
    <w:rsid w:val="005E44BE"/>
    <w:rsid w:val="005E44D2"/>
    <w:rsid w:val="005E471C"/>
    <w:rsid w:val="005E475B"/>
    <w:rsid w:val="005E4B08"/>
    <w:rsid w:val="005E4D06"/>
    <w:rsid w:val="005E4D56"/>
    <w:rsid w:val="005E5049"/>
    <w:rsid w:val="005E533D"/>
    <w:rsid w:val="005E5388"/>
    <w:rsid w:val="005E54D6"/>
    <w:rsid w:val="005E574E"/>
    <w:rsid w:val="005E586B"/>
    <w:rsid w:val="005E58B4"/>
    <w:rsid w:val="005E5A28"/>
    <w:rsid w:val="005E5BFC"/>
    <w:rsid w:val="005E5C30"/>
    <w:rsid w:val="005E5D0D"/>
    <w:rsid w:val="005E5DE8"/>
    <w:rsid w:val="005E5FB3"/>
    <w:rsid w:val="005E5FD0"/>
    <w:rsid w:val="005E60D6"/>
    <w:rsid w:val="005E6167"/>
    <w:rsid w:val="005E616A"/>
    <w:rsid w:val="005E62A1"/>
    <w:rsid w:val="005E6419"/>
    <w:rsid w:val="005E6608"/>
    <w:rsid w:val="005E67B9"/>
    <w:rsid w:val="005E6830"/>
    <w:rsid w:val="005E6869"/>
    <w:rsid w:val="005E69B5"/>
    <w:rsid w:val="005E69E0"/>
    <w:rsid w:val="005E6AE9"/>
    <w:rsid w:val="005E6DB1"/>
    <w:rsid w:val="005E6E29"/>
    <w:rsid w:val="005E76E2"/>
    <w:rsid w:val="005E7747"/>
    <w:rsid w:val="005E7B2F"/>
    <w:rsid w:val="005E7B36"/>
    <w:rsid w:val="005E7DDF"/>
    <w:rsid w:val="005E7ED4"/>
    <w:rsid w:val="005E7FD0"/>
    <w:rsid w:val="005F02B5"/>
    <w:rsid w:val="005F02E6"/>
    <w:rsid w:val="005F053F"/>
    <w:rsid w:val="005F0660"/>
    <w:rsid w:val="005F0F4A"/>
    <w:rsid w:val="005F10F1"/>
    <w:rsid w:val="005F113D"/>
    <w:rsid w:val="005F129A"/>
    <w:rsid w:val="005F1367"/>
    <w:rsid w:val="005F1384"/>
    <w:rsid w:val="005F141F"/>
    <w:rsid w:val="005F14E4"/>
    <w:rsid w:val="005F17A2"/>
    <w:rsid w:val="005F185D"/>
    <w:rsid w:val="005F1911"/>
    <w:rsid w:val="005F1A36"/>
    <w:rsid w:val="005F1B6A"/>
    <w:rsid w:val="005F1BCF"/>
    <w:rsid w:val="005F1BD7"/>
    <w:rsid w:val="005F1CA0"/>
    <w:rsid w:val="005F1F76"/>
    <w:rsid w:val="005F20D6"/>
    <w:rsid w:val="005F2772"/>
    <w:rsid w:val="005F2A01"/>
    <w:rsid w:val="005F2A6D"/>
    <w:rsid w:val="005F2C24"/>
    <w:rsid w:val="005F2CBA"/>
    <w:rsid w:val="005F2CF9"/>
    <w:rsid w:val="005F2E9D"/>
    <w:rsid w:val="005F3216"/>
    <w:rsid w:val="005F3224"/>
    <w:rsid w:val="005F3B40"/>
    <w:rsid w:val="005F3B54"/>
    <w:rsid w:val="005F3F0C"/>
    <w:rsid w:val="005F42B8"/>
    <w:rsid w:val="005F4383"/>
    <w:rsid w:val="005F4535"/>
    <w:rsid w:val="005F45AE"/>
    <w:rsid w:val="005F4642"/>
    <w:rsid w:val="005F4757"/>
    <w:rsid w:val="005F4DFE"/>
    <w:rsid w:val="005F4EF1"/>
    <w:rsid w:val="005F4EF9"/>
    <w:rsid w:val="005F515D"/>
    <w:rsid w:val="005F5211"/>
    <w:rsid w:val="005F52F4"/>
    <w:rsid w:val="005F541F"/>
    <w:rsid w:val="005F586E"/>
    <w:rsid w:val="005F5A9B"/>
    <w:rsid w:val="005F5F2A"/>
    <w:rsid w:val="005F6196"/>
    <w:rsid w:val="005F67AE"/>
    <w:rsid w:val="005F67D2"/>
    <w:rsid w:val="005F68CB"/>
    <w:rsid w:val="005F6AE4"/>
    <w:rsid w:val="005F6B13"/>
    <w:rsid w:val="005F6B44"/>
    <w:rsid w:val="005F6DF7"/>
    <w:rsid w:val="005F70BA"/>
    <w:rsid w:val="005F70E2"/>
    <w:rsid w:val="005F7212"/>
    <w:rsid w:val="005F7475"/>
    <w:rsid w:val="005F7488"/>
    <w:rsid w:val="005F74A1"/>
    <w:rsid w:val="005F750E"/>
    <w:rsid w:val="005F7B32"/>
    <w:rsid w:val="005F7B5C"/>
    <w:rsid w:val="005F7BC4"/>
    <w:rsid w:val="005F7CE0"/>
    <w:rsid w:val="005F7E20"/>
    <w:rsid w:val="005F7F0C"/>
    <w:rsid w:val="005F7F4D"/>
    <w:rsid w:val="0060003F"/>
    <w:rsid w:val="00600630"/>
    <w:rsid w:val="006009BD"/>
    <w:rsid w:val="00600A33"/>
    <w:rsid w:val="00600C40"/>
    <w:rsid w:val="00600D91"/>
    <w:rsid w:val="00600E33"/>
    <w:rsid w:val="00600E41"/>
    <w:rsid w:val="00600E98"/>
    <w:rsid w:val="0060128D"/>
    <w:rsid w:val="00601380"/>
    <w:rsid w:val="006014AB"/>
    <w:rsid w:val="00601593"/>
    <w:rsid w:val="006015AE"/>
    <w:rsid w:val="006015F9"/>
    <w:rsid w:val="006017B1"/>
    <w:rsid w:val="0060188B"/>
    <w:rsid w:val="00601BE0"/>
    <w:rsid w:val="00601D9F"/>
    <w:rsid w:val="00601FE3"/>
    <w:rsid w:val="0060211B"/>
    <w:rsid w:val="00602225"/>
    <w:rsid w:val="006023A3"/>
    <w:rsid w:val="00602573"/>
    <w:rsid w:val="00602713"/>
    <w:rsid w:val="0060272C"/>
    <w:rsid w:val="00602AAD"/>
    <w:rsid w:val="00602AC7"/>
    <w:rsid w:val="00602D24"/>
    <w:rsid w:val="00602F1D"/>
    <w:rsid w:val="00602F4A"/>
    <w:rsid w:val="00603016"/>
    <w:rsid w:val="0060302A"/>
    <w:rsid w:val="006031BB"/>
    <w:rsid w:val="0060362B"/>
    <w:rsid w:val="00603685"/>
    <w:rsid w:val="00603722"/>
    <w:rsid w:val="00603822"/>
    <w:rsid w:val="006039AA"/>
    <w:rsid w:val="00603AAC"/>
    <w:rsid w:val="00603C3C"/>
    <w:rsid w:val="00603DA5"/>
    <w:rsid w:val="00603DAC"/>
    <w:rsid w:val="00603FF3"/>
    <w:rsid w:val="00604195"/>
    <w:rsid w:val="00604278"/>
    <w:rsid w:val="006049EC"/>
    <w:rsid w:val="00604B82"/>
    <w:rsid w:val="00604E06"/>
    <w:rsid w:val="00604F1F"/>
    <w:rsid w:val="00604F81"/>
    <w:rsid w:val="00604FBD"/>
    <w:rsid w:val="00605127"/>
    <w:rsid w:val="0060524E"/>
    <w:rsid w:val="0060546E"/>
    <w:rsid w:val="0060563F"/>
    <w:rsid w:val="006056B6"/>
    <w:rsid w:val="00605807"/>
    <w:rsid w:val="00605904"/>
    <w:rsid w:val="00605AD8"/>
    <w:rsid w:val="00605C44"/>
    <w:rsid w:val="00605E19"/>
    <w:rsid w:val="00606212"/>
    <w:rsid w:val="00606232"/>
    <w:rsid w:val="00606257"/>
    <w:rsid w:val="00606470"/>
    <w:rsid w:val="00606666"/>
    <w:rsid w:val="0060685F"/>
    <w:rsid w:val="0060699A"/>
    <w:rsid w:val="00606A66"/>
    <w:rsid w:val="00606AE9"/>
    <w:rsid w:val="00606D26"/>
    <w:rsid w:val="00606D30"/>
    <w:rsid w:val="00606FF1"/>
    <w:rsid w:val="00607066"/>
    <w:rsid w:val="0060712A"/>
    <w:rsid w:val="00607197"/>
    <w:rsid w:val="006075B2"/>
    <w:rsid w:val="006076A2"/>
    <w:rsid w:val="0060778E"/>
    <w:rsid w:val="00607807"/>
    <w:rsid w:val="00607A16"/>
    <w:rsid w:val="00607CB7"/>
    <w:rsid w:val="00607D15"/>
    <w:rsid w:val="00607E6B"/>
    <w:rsid w:val="00607EF6"/>
    <w:rsid w:val="00607F8A"/>
    <w:rsid w:val="00610481"/>
    <w:rsid w:val="00610588"/>
    <w:rsid w:val="00610876"/>
    <w:rsid w:val="006109F8"/>
    <w:rsid w:val="00610A9E"/>
    <w:rsid w:val="00610B4F"/>
    <w:rsid w:val="00610C8B"/>
    <w:rsid w:val="00610FFD"/>
    <w:rsid w:val="006113A1"/>
    <w:rsid w:val="0061163F"/>
    <w:rsid w:val="00611735"/>
    <w:rsid w:val="00611755"/>
    <w:rsid w:val="0061183D"/>
    <w:rsid w:val="0061194E"/>
    <w:rsid w:val="00611968"/>
    <w:rsid w:val="006119A8"/>
    <w:rsid w:val="00611B3C"/>
    <w:rsid w:val="00611B90"/>
    <w:rsid w:val="00612333"/>
    <w:rsid w:val="0061256C"/>
    <w:rsid w:val="00612C50"/>
    <w:rsid w:val="0061327B"/>
    <w:rsid w:val="00613369"/>
    <w:rsid w:val="00613419"/>
    <w:rsid w:val="00613541"/>
    <w:rsid w:val="006137CA"/>
    <w:rsid w:val="006137E0"/>
    <w:rsid w:val="006139CB"/>
    <w:rsid w:val="00613A18"/>
    <w:rsid w:val="00613D1E"/>
    <w:rsid w:val="00613F19"/>
    <w:rsid w:val="00614082"/>
    <w:rsid w:val="00614137"/>
    <w:rsid w:val="006141E4"/>
    <w:rsid w:val="006141F1"/>
    <w:rsid w:val="00614248"/>
    <w:rsid w:val="006144AD"/>
    <w:rsid w:val="006147EA"/>
    <w:rsid w:val="006149EC"/>
    <w:rsid w:val="00614A05"/>
    <w:rsid w:val="00614A5E"/>
    <w:rsid w:val="00614B2B"/>
    <w:rsid w:val="00614B9F"/>
    <w:rsid w:val="00614C2C"/>
    <w:rsid w:val="00614EDC"/>
    <w:rsid w:val="00615038"/>
    <w:rsid w:val="0061508E"/>
    <w:rsid w:val="00615350"/>
    <w:rsid w:val="006153C6"/>
    <w:rsid w:val="0061571C"/>
    <w:rsid w:val="0061575E"/>
    <w:rsid w:val="00615836"/>
    <w:rsid w:val="00615837"/>
    <w:rsid w:val="00615857"/>
    <w:rsid w:val="00615922"/>
    <w:rsid w:val="006159D9"/>
    <w:rsid w:val="00615C2C"/>
    <w:rsid w:val="00615EDC"/>
    <w:rsid w:val="00616016"/>
    <w:rsid w:val="0061619F"/>
    <w:rsid w:val="006161CE"/>
    <w:rsid w:val="006163DF"/>
    <w:rsid w:val="006166B6"/>
    <w:rsid w:val="00616A16"/>
    <w:rsid w:val="00616A92"/>
    <w:rsid w:val="00616B71"/>
    <w:rsid w:val="00616C08"/>
    <w:rsid w:val="00616C38"/>
    <w:rsid w:val="00616CF8"/>
    <w:rsid w:val="0061744D"/>
    <w:rsid w:val="006175E7"/>
    <w:rsid w:val="00617649"/>
    <w:rsid w:val="00617959"/>
    <w:rsid w:val="00617B89"/>
    <w:rsid w:val="0062054E"/>
    <w:rsid w:val="006205DE"/>
    <w:rsid w:val="006205F5"/>
    <w:rsid w:val="0062064C"/>
    <w:rsid w:val="006207C2"/>
    <w:rsid w:val="006207E9"/>
    <w:rsid w:val="0062089D"/>
    <w:rsid w:val="006208F8"/>
    <w:rsid w:val="00620A76"/>
    <w:rsid w:val="00620CB6"/>
    <w:rsid w:val="00621295"/>
    <w:rsid w:val="0062130E"/>
    <w:rsid w:val="00621B2B"/>
    <w:rsid w:val="00621C37"/>
    <w:rsid w:val="00622009"/>
    <w:rsid w:val="00622392"/>
    <w:rsid w:val="0062247C"/>
    <w:rsid w:val="0062286E"/>
    <w:rsid w:val="006228C5"/>
    <w:rsid w:val="006228C6"/>
    <w:rsid w:val="00622AC3"/>
    <w:rsid w:val="00622B77"/>
    <w:rsid w:val="00622C5D"/>
    <w:rsid w:val="00623075"/>
    <w:rsid w:val="006231D4"/>
    <w:rsid w:val="00623523"/>
    <w:rsid w:val="00623647"/>
    <w:rsid w:val="0062367F"/>
    <w:rsid w:val="00623813"/>
    <w:rsid w:val="006238FB"/>
    <w:rsid w:val="00623910"/>
    <w:rsid w:val="00623C81"/>
    <w:rsid w:val="00623E98"/>
    <w:rsid w:val="00623F51"/>
    <w:rsid w:val="00623FCE"/>
    <w:rsid w:val="00623FE8"/>
    <w:rsid w:val="006243C7"/>
    <w:rsid w:val="0062465F"/>
    <w:rsid w:val="00624844"/>
    <w:rsid w:val="006248EC"/>
    <w:rsid w:val="00624967"/>
    <w:rsid w:val="00624A27"/>
    <w:rsid w:val="00624A61"/>
    <w:rsid w:val="00624ABE"/>
    <w:rsid w:val="00624B6F"/>
    <w:rsid w:val="00624BEA"/>
    <w:rsid w:val="00624D74"/>
    <w:rsid w:val="00624EF6"/>
    <w:rsid w:val="00624F66"/>
    <w:rsid w:val="006256F6"/>
    <w:rsid w:val="0062570A"/>
    <w:rsid w:val="0062573F"/>
    <w:rsid w:val="00625744"/>
    <w:rsid w:val="006258F9"/>
    <w:rsid w:val="00625A3C"/>
    <w:rsid w:val="00625AD9"/>
    <w:rsid w:val="00625D4C"/>
    <w:rsid w:val="00625EFD"/>
    <w:rsid w:val="00625F89"/>
    <w:rsid w:val="0062602A"/>
    <w:rsid w:val="0062605F"/>
    <w:rsid w:val="0062613B"/>
    <w:rsid w:val="00626188"/>
    <w:rsid w:val="00626266"/>
    <w:rsid w:val="0062630D"/>
    <w:rsid w:val="00626367"/>
    <w:rsid w:val="00626383"/>
    <w:rsid w:val="006265C6"/>
    <w:rsid w:val="0062679B"/>
    <w:rsid w:val="006268A7"/>
    <w:rsid w:val="00626907"/>
    <w:rsid w:val="0062696D"/>
    <w:rsid w:val="006269B3"/>
    <w:rsid w:val="00626B44"/>
    <w:rsid w:val="00626BD5"/>
    <w:rsid w:val="00626C35"/>
    <w:rsid w:val="00626C64"/>
    <w:rsid w:val="00626D1D"/>
    <w:rsid w:val="00626E96"/>
    <w:rsid w:val="00627059"/>
    <w:rsid w:val="0062716D"/>
    <w:rsid w:val="00627218"/>
    <w:rsid w:val="0062724D"/>
    <w:rsid w:val="006274AB"/>
    <w:rsid w:val="00627811"/>
    <w:rsid w:val="00627AF2"/>
    <w:rsid w:val="00627D69"/>
    <w:rsid w:val="00627EEF"/>
    <w:rsid w:val="00627FD1"/>
    <w:rsid w:val="0063003F"/>
    <w:rsid w:val="00630040"/>
    <w:rsid w:val="006304CC"/>
    <w:rsid w:val="0063053A"/>
    <w:rsid w:val="00630662"/>
    <w:rsid w:val="006307C1"/>
    <w:rsid w:val="006308FB"/>
    <w:rsid w:val="00630A63"/>
    <w:rsid w:val="00630B65"/>
    <w:rsid w:val="00630C5F"/>
    <w:rsid w:val="00630E61"/>
    <w:rsid w:val="006312A6"/>
    <w:rsid w:val="0063133E"/>
    <w:rsid w:val="00631666"/>
    <w:rsid w:val="0063166A"/>
    <w:rsid w:val="00631DFF"/>
    <w:rsid w:val="00631FAF"/>
    <w:rsid w:val="00632027"/>
    <w:rsid w:val="00632102"/>
    <w:rsid w:val="00632103"/>
    <w:rsid w:val="006321B3"/>
    <w:rsid w:val="00632244"/>
    <w:rsid w:val="00632470"/>
    <w:rsid w:val="00632912"/>
    <w:rsid w:val="006329B6"/>
    <w:rsid w:val="00632B21"/>
    <w:rsid w:val="00632B89"/>
    <w:rsid w:val="00632E35"/>
    <w:rsid w:val="00632F15"/>
    <w:rsid w:val="00632F94"/>
    <w:rsid w:val="0063316E"/>
    <w:rsid w:val="0063318A"/>
    <w:rsid w:val="00633BBB"/>
    <w:rsid w:val="00633C02"/>
    <w:rsid w:val="00633E67"/>
    <w:rsid w:val="00633F5E"/>
    <w:rsid w:val="00633F86"/>
    <w:rsid w:val="00634066"/>
    <w:rsid w:val="006340CA"/>
    <w:rsid w:val="006340D7"/>
    <w:rsid w:val="00634415"/>
    <w:rsid w:val="00634451"/>
    <w:rsid w:val="00634619"/>
    <w:rsid w:val="006348E5"/>
    <w:rsid w:val="0063496B"/>
    <w:rsid w:val="006350D9"/>
    <w:rsid w:val="006350E9"/>
    <w:rsid w:val="00635217"/>
    <w:rsid w:val="006352EB"/>
    <w:rsid w:val="0063537D"/>
    <w:rsid w:val="00635487"/>
    <w:rsid w:val="006354CB"/>
    <w:rsid w:val="006355D9"/>
    <w:rsid w:val="006358B9"/>
    <w:rsid w:val="006358DE"/>
    <w:rsid w:val="00635F40"/>
    <w:rsid w:val="0063614F"/>
    <w:rsid w:val="0063632F"/>
    <w:rsid w:val="006364B8"/>
    <w:rsid w:val="0063657B"/>
    <w:rsid w:val="0063696C"/>
    <w:rsid w:val="00636AC9"/>
    <w:rsid w:val="00636B1D"/>
    <w:rsid w:val="00636B7F"/>
    <w:rsid w:val="00636BAA"/>
    <w:rsid w:val="00636CF8"/>
    <w:rsid w:val="00636E4B"/>
    <w:rsid w:val="0063719F"/>
    <w:rsid w:val="00637287"/>
    <w:rsid w:val="0063730E"/>
    <w:rsid w:val="00637674"/>
    <w:rsid w:val="0063767F"/>
    <w:rsid w:val="00637873"/>
    <w:rsid w:val="00637BCE"/>
    <w:rsid w:val="00637C32"/>
    <w:rsid w:val="00637CA0"/>
    <w:rsid w:val="00637D95"/>
    <w:rsid w:val="00637EEF"/>
    <w:rsid w:val="006405A6"/>
    <w:rsid w:val="0064063F"/>
    <w:rsid w:val="00640854"/>
    <w:rsid w:val="00640998"/>
    <w:rsid w:val="00640A79"/>
    <w:rsid w:val="00640BA8"/>
    <w:rsid w:val="00640E38"/>
    <w:rsid w:val="00640E7D"/>
    <w:rsid w:val="00640F85"/>
    <w:rsid w:val="00640F99"/>
    <w:rsid w:val="0064106A"/>
    <w:rsid w:val="006413B3"/>
    <w:rsid w:val="00641526"/>
    <w:rsid w:val="006418D8"/>
    <w:rsid w:val="00641C16"/>
    <w:rsid w:val="00641CFB"/>
    <w:rsid w:val="00641D00"/>
    <w:rsid w:val="00641E78"/>
    <w:rsid w:val="00641E9F"/>
    <w:rsid w:val="00642514"/>
    <w:rsid w:val="0064258E"/>
    <w:rsid w:val="0064258F"/>
    <w:rsid w:val="006426F8"/>
    <w:rsid w:val="0064275E"/>
    <w:rsid w:val="006427EE"/>
    <w:rsid w:val="0064282D"/>
    <w:rsid w:val="00642887"/>
    <w:rsid w:val="00642A2D"/>
    <w:rsid w:val="00642A7E"/>
    <w:rsid w:val="00642BFD"/>
    <w:rsid w:val="00642C27"/>
    <w:rsid w:val="00642FC5"/>
    <w:rsid w:val="006434F7"/>
    <w:rsid w:val="0064381B"/>
    <w:rsid w:val="00643B9C"/>
    <w:rsid w:val="00643BD8"/>
    <w:rsid w:val="00643D42"/>
    <w:rsid w:val="00643E84"/>
    <w:rsid w:val="00643F6D"/>
    <w:rsid w:val="00643FDD"/>
    <w:rsid w:val="006441CE"/>
    <w:rsid w:val="006441F7"/>
    <w:rsid w:val="00644925"/>
    <w:rsid w:val="00644A81"/>
    <w:rsid w:val="00644F09"/>
    <w:rsid w:val="00645017"/>
    <w:rsid w:val="0064550D"/>
    <w:rsid w:val="00645652"/>
    <w:rsid w:val="0064566E"/>
    <w:rsid w:val="00645AB3"/>
    <w:rsid w:val="00645B5C"/>
    <w:rsid w:val="00645DC5"/>
    <w:rsid w:val="0064604B"/>
    <w:rsid w:val="00646084"/>
    <w:rsid w:val="0064610B"/>
    <w:rsid w:val="006462ED"/>
    <w:rsid w:val="00646360"/>
    <w:rsid w:val="006463FC"/>
    <w:rsid w:val="0064649B"/>
    <w:rsid w:val="006466BA"/>
    <w:rsid w:val="00646E60"/>
    <w:rsid w:val="00646F7B"/>
    <w:rsid w:val="00647096"/>
    <w:rsid w:val="006470C0"/>
    <w:rsid w:val="0064737D"/>
    <w:rsid w:val="006475FE"/>
    <w:rsid w:val="006476C0"/>
    <w:rsid w:val="00647983"/>
    <w:rsid w:val="00647B9A"/>
    <w:rsid w:val="00647F27"/>
    <w:rsid w:val="006501D3"/>
    <w:rsid w:val="006501E0"/>
    <w:rsid w:val="00650285"/>
    <w:rsid w:val="006502DD"/>
    <w:rsid w:val="00650340"/>
    <w:rsid w:val="0065035E"/>
    <w:rsid w:val="0065066F"/>
    <w:rsid w:val="0065077F"/>
    <w:rsid w:val="006507C0"/>
    <w:rsid w:val="00650ADA"/>
    <w:rsid w:val="00650B35"/>
    <w:rsid w:val="00650C15"/>
    <w:rsid w:val="00650C56"/>
    <w:rsid w:val="00650FB3"/>
    <w:rsid w:val="0065105A"/>
    <w:rsid w:val="00651191"/>
    <w:rsid w:val="0065135A"/>
    <w:rsid w:val="006514E6"/>
    <w:rsid w:val="006517B1"/>
    <w:rsid w:val="00651BDF"/>
    <w:rsid w:val="00651E29"/>
    <w:rsid w:val="00651F2F"/>
    <w:rsid w:val="0065205F"/>
    <w:rsid w:val="00652543"/>
    <w:rsid w:val="0065256E"/>
    <w:rsid w:val="006527C5"/>
    <w:rsid w:val="00652858"/>
    <w:rsid w:val="00652D9A"/>
    <w:rsid w:val="00652E34"/>
    <w:rsid w:val="00653144"/>
    <w:rsid w:val="006531B4"/>
    <w:rsid w:val="0065380B"/>
    <w:rsid w:val="00653A3F"/>
    <w:rsid w:val="00653C0A"/>
    <w:rsid w:val="00653F2B"/>
    <w:rsid w:val="006544A4"/>
    <w:rsid w:val="00654575"/>
    <w:rsid w:val="00654728"/>
    <w:rsid w:val="00654892"/>
    <w:rsid w:val="00654D35"/>
    <w:rsid w:val="00654EFB"/>
    <w:rsid w:val="00654F87"/>
    <w:rsid w:val="00655042"/>
    <w:rsid w:val="00655057"/>
    <w:rsid w:val="00655103"/>
    <w:rsid w:val="00655255"/>
    <w:rsid w:val="00655579"/>
    <w:rsid w:val="006556B9"/>
    <w:rsid w:val="006556E3"/>
    <w:rsid w:val="00655703"/>
    <w:rsid w:val="006558DC"/>
    <w:rsid w:val="00655C69"/>
    <w:rsid w:val="00655EFD"/>
    <w:rsid w:val="00656030"/>
    <w:rsid w:val="0065607F"/>
    <w:rsid w:val="0065666A"/>
    <w:rsid w:val="00656869"/>
    <w:rsid w:val="006569FE"/>
    <w:rsid w:val="00656A31"/>
    <w:rsid w:val="00656B27"/>
    <w:rsid w:val="00656C95"/>
    <w:rsid w:val="00656DD4"/>
    <w:rsid w:val="00656F01"/>
    <w:rsid w:val="00657032"/>
    <w:rsid w:val="006576F6"/>
    <w:rsid w:val="006577BF"/>
    <w:rsid w:val="006577EE"/>
    <w:rsid w:val="0065788E"/>
    <w:rsid w:val="00657A57"/>
    <w:rsid w:val="00657C65"/>
    <w:rsid w:val="00657CFF"/>
    <w:rsid w:val="00657D5F"/>
    <w:rsid w:val="00657F85"/>
    <w:rsid w:val="00657F8B"/>
    <w:rsid w:val="006600B1"/>
    <w:rsid w:val="006600CD"/>
    <w:rsid w:val="006600D5"/>
    <w:rsid w:val="00660401"/>
    <w:rsid w:val="00660480"/>
    <w:rsid w:val="006608A2"/>
    <w:rsid w:val="00660A61"/>
    <w:rsid w:val="00660BDD"/>
    <w:rsid w:val="00660E01"/>
    <w:rsid w:val="00661510"/>
    <w:rsid w:val="006618FC"/>
    <w:rsid w:val="00661AB3"/>
    <w:rsid w:val="00661BC2"/>
    <w:rsid w:val="00661CF7"/>
    <w:rsid w:val="00661DD0"/>
    <w:rsid w:val="00661F00"/>
    <w:rsid w:val="00661F35"/>
    <w:rsid w:val="00661F56"/>
    <w:rsid w:val="0066200F"/>
    <w:rsid w:val="0066269D"/>
    <w:rsid w:val="006626AE"/>
    <w:rsid w:val="006626B3"/>
    <w:rsid w:val="00662A79"/>
    <w:rsid w:val="00662BAF"/>
    <w:rsid w:val="00662DEE"/>
    <w:rsid w:val="00662DEF"/>
    <w:rsid w:val="00663190"/>
    <w:rsid w:val="0066322A"/>
    <w:rsid w:val="00663245"/>
    <w:rsid w:val="006632EA"/>
    <w:rsid w:val="0066332E"/>
    <w:rsid w:val="0066351F"/>
    <w:rsid w:val="00663820"/>
    <w:rsid w:val="00663AE1"/>
    <w:rsid w:val="00663D00"/>
    <w:rsid w:val="00663E86"/>
    <w:rsid w:val="00663EBA"/>
    <w:rsid w:val="00664134"/>
    <w:rsid w:val="00664670"/>
    <w:rsid w:val="00664EEF"/>
    <w:rsid w:val="006650E0"/>
    <w:rsid w:val="00665276"/>
    <w:rsid w:val="00665288"/>
    <w:rsid w:val="00665308"/>
    <w:rsid w:val="00665950"/>
    <w:rsid w:val="00665A39"/>
    <w:rsid w:val="00665C09"/>
    <w:rsid w:val="006660F0"/>
    <w:rsid w:val="006665D9"/>
    <w:rsid w:val="00666631"/>
    <w:rsid w:val="006667AA"/>
    <w:rsid w:val="00666883"/>
    <w:rsid w:val="00666AEB"/>
    <w:rsid w:val="00666BB2"/>
    <w:rsid w:val="00666FBB"/>
    <w:rsid w:val="0066700D"/>
    <w:rsid w:val="00667060"/>
    <w:rsid w:val="006670DE"/>
    <w:rsid w:val="006670EB"/>
    <w:rsid w:val="00667382"/>
    <w:rsid w:val="0066749C"/>
    <w:rsid w:val="00667506"/>
    <w:rsid w:val="0066750C"/>
    <w:rsid w:val="00667849"/>
    <w:rsid w:val="00667ABC"/>
    <w:rsid w:val="00667CF7"/>
    <w:rsid w:val="00667EC3"/>
    <w:rsid w:val="00670199"/>
    <w:rsid w:val="006703FA"/>
    <w:rsid w:val="006706AB"/>
    <w:rsid w:val="006707EC"/>
    <w:rsid w:val="00670B9D"/>
    <w:rsid w:val="00670BEC"/>
    <w:rsid w:val="00670CA9"/>
    <w:rsid w:val="00671207"/>
    <w:rsid w:val="00671266"/>
    <w:rsid w:val="00671273"/>
    <w:rsid w:val="00671347"/>
    <w:rsid w:val="00671420"/>
    <w:rsid w:val="006715FE"/>
    <w:rsid w:val="0067167B"/>
    <w:rsid w:val="00671724"/>
    <w:rsid w:val="006717FB"/>
    <w:rsid w:val="006718BD"/>
    <w:rsid w:val="006719F7"/>
    <w:rsid w:val="00671A5A"/>
    <w:rsid w:val="00671B5A"/>
    <w:rsid w:val="00671B7E"/>
    <w:rsid w:val="00671DA1"/>
    <w:rsid w:val="00671DEA"/>
    <w:rsid w:val="00671EA8"/>
    <w:rsid w:val="00671EE3"/>
    <w:rsid w:val="006725FE"/>
    <w:rsid w:val="00672786"/>
    <w:rsid w:val="00672A72"/>
    <w:rsid w:val="00672FE9"/>
    <w:rsid w:val="00673099"/>
    <w:rsid w:val="0067312B"/>
    <w:rsid w:val="006731FA"/>
    <w:rsid w:val="00673424"/>
    <w:rsid w:val="00673590"/>
    <w:rsid w:val="00673675"/>
    <w:rsid w:val="006737A4"/>
    <w:rsid w:val="00673A85"/>
    <w:rsid w:val="00673E86"/>
    <w:rsid w:val="0067418A"/>
    <w:rsid w:val="00674518"/>
    <w:rsid w:val="0067451C"/>
    <w:rsid w:val="0067454D"/>
    <w:rsid w:val="006745A2"/>
    <w:rsid w:val="00674BF4"/>
    <w:rsid w:val="00674CD2"/>
    <w:rsid w:val="00674E1E"/>
    <w:rsid w:val="00674F95"/>
    <w:rsid w:val="00675331"/>
    <w:rsid w:val="00675629"/>
    <w:rsid w:val="0067569C"/>
    <w:rsid w:val="00675772"/>
    <w:rsid w:val="00675840"/>
    <w:rsid w:val="00675E1D"/>
    <w:rsid w:val="00676144"/>
    <w:rsid w:val="00676174"/>
    <w:rsid w:val="00676419"/>
    <w:rsid w:val="00676466"/>
    <w:rsid w:val="00676501"/>
    <w:rsid w:val="006766E8"/>
    <w:rsid w:val="00676773"/>
    <w:rsid w:val="006767BC"/>
    <w:rsid w:val="0067689A"/>
    <w:rsid w:val="00676996"/>
    <w:rsid w:val="00676A6E"/>
    <w:rsid w:val="00676BC8"/>
    <w:rsid w:val="00676C33"/>
    <w:rsid w:val="00676D50"/>
    <w:rsid w:val="00677043"/>
    <w:rsid w:val="00677086"/>
    <w:rsid w:val="006771D1"/>
    <w:rsid w:val="00677234"/>
    <w:rsid w:val="00677292"/>
    <w:rsid w:val="0067754C"/>
    <w:rsid w:val="00677688"/>
    <w:rsid w:val="00677798"/>
    <w:rsid w:val="006777EF"/>
    <w:rsid w:val="006779A9"/>
    <w:rsid w:val="00677B3F"/>
    <w:rsid w:val="00677F05"/>
    <w:rsid w:val="0068034B"/>
    <w:rsid w:val="0068056F"/>
    <w:rsid w:val="0068061C"/>
    <w:rsid w:val="006807D7"/>
    <w:rsid w:val="00680A33"/>
    <w:rsid w:val="00681352"/>
    <w:rsid w:val="0068144B"/>
    <w:rsid w:val="00681486"/>
    <w:rsid w:val="006814FB"/>
    <w:rsid w:val="00681D75"/>
    <w:rsid w:val="00681DE2"/>
    <w:rsid w:val="00681F23"/>
    <w:rsid w:val="006820C3"/>
    <w:rsid w:val="006821B2"/>
    <w:rsid w:val="006822DE"/>
    <w:rsid w:val="0068242E"/>
    <w:rsid w:val="00682464"/>
    <w:rsid w:val="00682714"/>
    <w:rsid w:val="0068285A"/>
    <w:rsid w:val="00682A2C"/>
    <w:rsid w:val="00682C85"/>
    <w:rsid w:val="00682F21"/>
    <w:rsid w:val="006830A3"/>
    <w:rsid w:val="00683192"/>
    <w:rsid w:val="00683235"/>
    <w:rsid w:val="006833B4"/>
    <w:rsid w:val="006833F1"/>
    <w:rsid w:val="00683510"/>
    <w:rsid w:val="0068370D"/>
    <w:rsid w:val="00683F17"/>
    <w:rsid w:val="00684187"/>
    <w:rsid w:val="00684276"/>
    <w:rsid w:val="00684324"/>
    <w:rsid w:val="006844DD"/>
    <w:rsid w:val="006846B1"/>
    <w:rsid w:val="00684732"/>
    <w:rsid w:val="00684856"/>
    <w:rsid w:val="00684908"/>
    <w:rsid w:val="00684A0E"/>
    <w:rsid w:val="00684BAF"/>
    <w:rsid w:val="00684EBF"/>
    <w:rsid w:val="00684EF6"/>
    <w:rsid w:val="006850E4"/>
    <w:rsid w:val="0068523F"/>
    <w:rsid w:val="006853E4"/>
    <w:rsid w:val="0068576A"/>
    <w:rsid w:val="006859C9"/>
    <w:rsid w:val="00685A77"/>
    <w:rsid w:val="00685B35"/>
    <w:rsid w:val="00686321"/>
    <w:rsid w:val="006865CA"/>
    <w:rsid w:val="00686849"/>
    <w:rsid w:val="00686E07"/>
    <w:rsid w:val="00686F08"/>
    <w:rsid w:val="00686F30"/>
    <w:rsid w:val="0068701E"/>
    <w:rsid w:val="00687805"/>
    <w:rsid w:val="006878D1"/>
    <w:rsid w:val="00687A92"/>
    <w:rsid w:val="00687B07"/>
    <w:rsid w:val="00687E2E"/>
    <w:rsid w:val="00687F84"/>
    <w:rsid w:val="0069007B"/>
    <w:rsid w:val="00690258"/>
    <w:rsid w:val="006907DE"/>
    <w:rsid w:val="0069084C"/>
    <w:rsid w:val="00690A2F"/>
    <w:rsid w:val="00690A3A"/>
    <w:rsid w:val="00690AF2"/>
    <w:rsid w:val="00690B8F"/>
    <w:rsid w:val="00690D7B"/>
    <w:rsid w:val="00690E63"/>
    <w:rsid w:val="00691006"/>
    <w:rsid w:val="00691339"/>
    <w:rsid w:val="0069143A"/>
    <w:rsid w:val="006915BD"/>
    <w:rsid w:val="006915FA"/>
    <w:rsid w:val="0069160E"/>
    <w:rsid w:val="00691627"/>
    <w:rsid w:val="006918D7"/>
    <w:rsid w:val="006918E7"/>
    <w:rsid w:val="00691A0D"/>
    <w:rsid w:val="006921DB"/>
    <w:rsid w:val="0069276B"/>
    <w:rsid w:val="00692A7F"/>
    <w:rsid w:val="00692AEE"/>
    <w:rsid w:val="00692B56"/>
    <w:rsid w:val="00692BEA"/>
    <w:rsid w:val="00692EF3"/>
    <w:rsid w:val="00692EF7"/>
    <w:rsid w:val="00692FFB"/>
    <w:rsid w:val="00693060"/>
    <w:rsid w:val="00693109"/>
    <w:rsid w:val="006933EE"/>
    <w:rsid w:val="0069345A"/>
    <w:rsid w:val="006939DE"/>
    <w:rsid w:val="00693F4E"/>
    <w:rsid w:val="006940EF"/>
    <w:rsid w:val="00694116"/>
    <w:rsid w:val="006943CE"/>
    <w:rsid w:val="006948B3"/>
    <w:rsid w:val="006948BB"/>
    <w:rsid w:val="00694D7A"/>
    <w:rsid w:val="00694F7B"/>
    <w:rsid w:val="00695189"/>
    <w:rsid w:val="0069525F"/>
    <w:rsid w:val="006952F8"/>
    <w:rsid w:val="00695BFF"/>
    <w:rsid w:val="00695D00"/>
    <w:rsid w:val="00695D45"/>
    <w:rsid w:val="00695D94"/>
    <w:rsid w:val="00695EC8"/>
    <w:rsid w:val="00696036"/>
    <w:rsid w:val="0069607D"/>
    <w:rsid w:val="006960CF"/>
    <w:rsid w:val="00696343"/>
    <w:rsid w:val="006963BB"/>
    <w:rsid w:val="006965A2"/>
    <w:rsid w:val="006966A6"/>
    <w:rsid w:val="006966E7"/>
    <w:rsid w:val="00696964"/>
    <w:rsid w:val="00696EBB"/>
    <w:rsid w:val="006971C6"/>
    <w:rsid w:val="00697224"/>
    <w:rsid w:val="006972D5"/>
    <w:rsid w:val="006973D7"/>
    <w:rsid w:val="006974EB"/>
    <w:rsid w:val="006975EA"/>
    <w:rsid w:val="006976D7"/>
    <w:rsid w:val="00697862"/>
    <w:rsid w:val="00697870"/>
    <w:rsid w:val="00697B3E"/>
    <w:rsid w:val="00697E72"/>
    <w:rsid w:val="006A012C"/>
    <w:rsid w:val="006A02A0"/>
    <w:rsid w:val="006A038A"/>
    <w:rsid w:val="006A0493"/>
    <w:rsid w:val="006A0713"/>
    <w:rsid w:val="006A0737"/>
    <w:rsid w:val="006A0768"/>
    <w:rsid w:val="006A093E"/>
    <w:rsid w:val="006A0946"/>
    <w:rsid w:val="006A097F"/>
    <w:rsid w:val="006A0BA6"/>
    <w:rsid w:val="006A0C05"/>
    <w:rsid w:val="006A0C80"/>
    <w:rsid w:val="006A0CA1"/>
    <w:rsid w:val="006A0DD2"/>
    <w:rsid w:val="006A0E1B"/>
    <w:rsid w:val="006A1295"/>
    <w:rsid w:val="006A12A6"/>
    <w:rsid w:val="006A17F3"/>
    <w:rsid w:val="006A18E6"/>
    <w:rsid w:val="006A1D12"/>
    <w:rsid w:val="006A1F10"/>
    <w:rsid w:val="006A2276"/>
    <w:rsid w:val="006A25D0"/>
    <w:rsid w:val="006A29C0"/>
    <w:rsid w:val="006A30C1"/>
    <w:rsid w:val="006A30E2"/>
    <w:rsid w:val="006A313B"/>
    <w:rsid w:val="006A3185"/>
    <w:rsid w:val="006A3211"/>
    <w:rsid w:val="006A375A"/>
    <w:rsid w:val="006A37CF"/>
    <w:rsid w:val="006A39AD"/>
    <w:rsid w:val="006A3CFE"/>
    <w:rsid w:val="006A3FCC"/>
    <w:rsid w:val="006A4019"/>
    <w:rsid w:val="006A41A8"/>
    <w:rsid w:val="006A439E"/>
    <w:rsid w:val="006A44E2"/>
    <w:rsid w:val="006A46BA"/>
    <w:rsid w:val="006A46C9"/>
    <w:rsid w:val="006A4A3E"/>
    <w:rsid w:val="006A4A41"/>
    <w:rsid w:val="006A4D4E"/>
    <w:rsid w:val="006A4F0B"/>
    <w:rsid w:val="006A560C"/>
    <w:rsid w:val="006A589A"/>
    <w:rsid w:val="006A5B60"/>
    <w:rsid w:val="006A5B87"/>
    <w:rsid w:val="006A5C3E"/>
    <w:rsid w:val="006A5CDC"/>
    <w:rsid w:val="006A5E44"/>
    <w:rsid w:val="006A5F51"/>
    <w:rsid w:val="006A6002"/>
    <w:rsid w:val="006A6299"/>
    <w:rsid w:val="006A656B"/>
    <w:rsid w:val="006A6AAD"/>
    <w:rsid w:val="006A6AD8"/>
    <w:rsid w:val="006A6BF5"/>
    <w:rsid w:val="006A6C84"/>
    <w:rsid w:val="006A6C9D"/>
    <w:rsid w:val="006A6D37"/>
    <w:rsid w:val="006A6E1E"/>
    <w:rsid w:val="006A6EFA"/>
    <w:rsid w:val="006A7019"/>
    <w:rsid w:val="006A72EB"/>
    <w:rsid w:val="006A7479"/>
    <w:rsid w:val="006A78D5"/>
    <w:rsid w:val="006A7A0C"/>
    <w:rsid w:val="006A7ABC"/>
    <w:rsid w:val="006A7F29"/>
    <w:rsid w:val="006B002A"/>
    <w:rsid w:val="006B019A"/>
    <w:rsid w:val="006B040A"/>
    <w:rsid w:val="006B0474"/>
    <w:rsid w:val="006B0A0E"/>
    <w:rsid w:val="006B0C8C"/>
    <w:rsid w:val="006B0D07"/>
    <w:rsid w:val="006B0DA7"/>
    <w:rsid w:val="006B0DF3"/>
    <w:rsid w:val="006B0E0C"/>
    <w:rsid w:val="006B0E68"/>
    <w:rsid w:val="006B0EC2"/>
    <w:rsid w:val="006B10CB"/>
    <w:rsid w:val="006B12FB"/>
    <w:rsid w:val="006B1403"/>
    <w:rsid w:val="006B1520"/>
    <w:rsid w:val="006B15F5"/>
    <w:rsid w:val="006B1602"/>
    <w:rsid w:val="006B1ECB"/>
    <w:rsid w:val="006B1F39"/>
    <w:rsid w:val="006B204A"/>
    <w:rsid w:val="006B2102"/>
    <w:rsid w:val="006B214E"/>
    <w:rsid w:val="006B21C6"/>
    <w:rsid w:val="006B2812"/>
    <w:rsid w:val="006B29BC"/>
    <w:rsid w:val="006B2BDA"/>
    <w:rsid w:val="006B2E2A"/>
    <w:rsid w:val="006B3384"/>
    <w:rsid w:val="006B33CA"/>
    <w:rsid w:val="006B3724"/>
    <w:rsid w:val="006B39B1"/>
    <w:rsid w:val="006B3A96"/>
    <w:rsid w:val="006B3B67"/>
    <w:rsid w:val="006B3C56"/>
    <w:rsid w:val="006B3EF1"/>
    <w:rsid w:val="006B44D5"/>
    <w:rsid w:val="006B465A"/>
    <w:rsid w:val="006B4A98"/>
    <w:rsid w:val="006B4A9D"/>
    <w:rsid w:val="006B4BCA"/>
    <w:rsid w:val="006B4C1C"/>
    <w:rsid w:val="006B4D53"/>
    <w:rsid w:val="006B4E70"/>
    <w:rsid w:val="006B4F4E"/>
    <w:rsid w:val="006B519A"/>
    <w:rsid w:val="006B5225"/>
    <w:rsid w:val="006B547B"/>
    <w:rsid w:val="006B552D"/>
    <w:rsid w:val="006B58C4"/>
    <w:rsid w:val="006B5FC2"/>
    <w:rsid w:val="006B6141"/>
    <w:rsid w:val="006B630A"/>
    <w:rsid w:val="006B66CC"/>
    <w:rsid w:val="006B683F"/>
    <w:rsid w:val="006B6944"/>
    <w:rsid w:val="006B6C03"/>
    <w:rsid w:val="006B6D12"/>
    <w:rsid w:val="006B6DA6"/>
    <w:rsid w:val="006B72BA"/>
    <w:rsid w:val="006B7550"/>
    <w:rsid w:val="006B7B1E"/>
    <w:rsid w:val="006B7C24"/>
    <w:rsid w:val="006B7C89"/>
    <w:rsid w:val="006B7DCC"/>
    <w:rsid w:val="006B7FBF"/>
    <w:rsid w:val="006C0008"/>
    <w:rsid w:val="006C005C"/>
    <w:rsid w:val="006C046F"/>
    <w:rsid w:val="006C0B3D"/>
    <w:rsid w:val="006C0C16"/>
    <w:rsid w:val="006C0D9A"/>
    <w:rsid w:val="006C0EBD"/>
    <w:rsid w:val="006C0EEE"/>
    <w:rsid w:val="006C0FD4"/>
    <w:rsid w:val="006C1236"/>
    <w:rsid w:val="006C12E7"/>
    <w:rsid w:val="006C145F"/>
    <w:rsid w:val="006C1577"/>
    <w:rsid w:val="006C1604"/>
    <w:rsid w:val="006C18CE"/>
    <w:rsid w:val="006C1A37"/>
    <w:rsid w:val="006C21FF"/>
    <w:rsid w:val="006C25A2"/>
    <w:rsid w:val="006C2678"/>
    <w:rsid w:val="006C27BA"/>
    <w:rsid w:val="006C2865"/>
    <w:rsid w:val="006C2E71"/>
    <w:rsid w:val="006C30C4"/>
    <w:rsid w:val="006C30D0"/>
    <w:rsid w:val="006C31CB"/>
    <w:rsid w:val="006C3535"/>
    <w:rsid w:val="006C38AA"/>
    <w:rsid w:val="006C39CA"/>
    <w:rsid w:val="006C3A07"/>
    <w:rsid w:val="006C4010"/>
    <w:rsid w:val="006C48AA"/>
    <w:rsid w:val="006C494E"/>
    <w:rsid w:val="006C49C5"/>
    <w:rsid w:val="006C4A7A"/>
    <w:rsid w:val="006C4F26"/>
    <w:rsid w:val="006C51F0"/>
    <w:rsid w:val="006C525E"/>
    <w:rsid w:val="006C528B"/>
    <w:rsid w:val="006C5309"/>
    <w:rsid w:val="006C5363"/>
    <w:rsid w:val="006C567F"/>
    <w:rsid w:val="006C5738"/>
    <w:rsid w:val="006C57E0"/>
    <w:rsid w:val="006C596D"/>
    <w:rsid w:val="006C5ACD"/>
    <w:rsid w:val="006C5B35"/>
    <w:rsid w:val="006C5C09"/>
    <w:rsid w:val="006C5C6C"/>
    <w:rsid w:val="006C5CF3"/>
    <w:rsid w:val="006C5E5D"/>
    <w:rsid w:val="006C5F13"/>
    <w:rsid w:val="006C6077"/>
    <w:rsid w:val="006C6210"/>
    <w:rsid w:val="006C62BD"/>
    <w:rsid w:val="006C6300"/>
    <w:rsid w:val="006C6688"/>
    <w:rsid w:val="006C6CFC"/>
    <w:rsid w:val="006C6D30"/>
    <w:rsid w:val="006C6F2C"/>
    <w:rsid w:val="006C6FC6"/>
    <w:rsid w:val="006C7085"/>
    <w:rsid w:val="006C708B"/>
    <w:rsid w:val="006C73FD"/>
    <w:rsid w:val="006C7538"/>
    <w:rsid w:val="006C76C0"/>
    <w:rsid w:val="006C76F5"/>
    <w:rsid w:val="006C7786"/>
    <w:rsid w:val="006D000D"/>
    <w:rsid w:val="006D003D"/>
    <w:rsid w:val="006D018E"/>
    <w:rsid w:val="006D0210"/>
    <w:rsid w:val="006D0266"/>
    <w:rsid w:val="006D02E6"/>
    <w:rsid w:val="006D02EB"/>
    <w:rsid w:val="006D02F6"/>
    <w:rsid w:val="006D04D6"/>
    <w:rsid w:val="006D0848"/>
    <w:rsid w:val="006D0A7A"/>
    <w:rsid w:val="006D0E4B"/>
    <w:rsid w:val="006D0F00"/>
    <w:rsid w:val="006D0F5C"/>
    <w:rsid w:val="006D11FE"/>
    <w:rsid w:val="006D1301"/>
    <w:rsid w:val="006D1327"/>
    <w:rsid w:val="006D1503"/>
    <w:rsid w:val="006D1544"/>
    <w:rsid w:val="006D1A99"/>
    <w:rsid w:val="006D1B0F"/>
    <w:rsid w:val="006D1CA9"/>
    <w:rsid w:val="006D1DD9"/>
    <w:rsid w:val="006D1EA5"/>
    <w:rsid w:val="006D1F05"/>
    <w:rsid w:val="006D1F2F"/>
    <w:rsid w:val="006D20DF"/>
    <w:rsid w:val="006D2560"/>
    <w:rsid w:val="006D288B"/>
    <w:rsid w:val="006D28B3"/>
    <w:rsid w:val="006D2B15"/>
    <w:rsid w:val="006D2B85"/>
    <w:rsid w:val="006D2C74"/>
    <w:rsid w:val="006D2C9F"/>
    <w:rsid w:val="006D36B7"/>
    <w:rsid w:val="006D36CF"/>
    <w:rsid w:val="006D394E"/>
    <w:rsid w:val="006D39A0"/>
    <w:rsid w:val="006D3A49"/>
    <w:rsid w:val="006D3D50"/>
    <w:rsid w:val="006D4201"/>
    <w:rsid w:val="006D421B"/>
    <w:rsid w:val="006D42ED"/>
    <w:rsid w:val="006D44CA"/>
    <w:rsid w:val="006D4550"/>
    <w:rsid w:val="006D45CB"/>
    <w:rsid w:val="006D49A3"/>
    <w:rsid w:val="006D4A93"/>
    <w:rsid w:val="006D4B0C"/>
    <w:rsid w:val="006D4C12"/>
    <w:rsid w:val="006D4C2D"/>
    <w:rsid w:val="006D4E15"/>
    <w:rsid w:val="006D4EC9"/>
    <w:rsid w:val="006D4F36"/>
    <w:rsid w:val="006D5320"/>
    <w:rsid w:val="006D5582"/>
    <w:rsid w:val="006D5653"/>
    <w:rsid w:val="006D5734"/>
    <w:rsid w:val="006D5AB9"/>
    <w:rsid w:val="006D5D04"/>
    <w:rsid w:val="006D5D26"/>
    <w:rsid w:val="006D5DCC"/>
    <w:rsid w:val="006D5E7E"/>
    <w:rsid w:val="006D5EC7"/>
    <w:rsid w:val="006D63F0"/>
    <w:rsid w:val="006D66CC"/>
    <w:rsid w:val="006D6708"/>
    <w:rsid w:val="006D686D"/>
    <w:rsid w:val="006D69B8"/>
    <w:rsid w:val="006D6BB1"/>
    <w:rsid w:val="006D6CDB"/>
    <w:rsid w:val="006D6ED2"/>
    <w:rsid w:val="006D6F69"/>
    <w:rsid w:val="006D6FFF"/>
    <w:rsid w:val="006D72B8"/>
    <w:rsid w:val="006D7790"/>
    <w:rsid w:val="006D7930"/>
    <w:rsid w:val="006D79BC"/>
    <w:rsid w:val="006D7AB1"/>
    <w:rsid w:val="006D7AE2"/>
    <w:rsid w:val="006D7C64"/>
    <w:rsid w:val="006D7CD8"/>
    <w:rsid w:val="006D7FDE"/>
    <w:rsid w:val="006D7FFA"/>
    <w:rsid w:val="006E0374"/>
    <w:rsid w:val="006E03FA"/>
    <w:rsid w:val="006E05C0"/>
    <w:rsid w:val="006E0653"/>
    <w:rsid w:val="006E0784"/>
    <w:rsid w:val="006E094D"/>
    <w:rsid w:val="006E096B"/>
    <w:rsid w:val="006E09FB"/>
    <w:rsid w:val="006E0A02"/>
    <w:rsid w:val="006E0A48"/>
    <w:rsid w:val="006E0C3B"/>
    <w:rsid w:val="006E0E95"/>
    <w:rsid w:val="006E1035"/>
    <w:rsid w:val="006E1570"/>
    <w:rsid w:val="006E15AF"/>
    <w:rsid w:val="006E1675"/>
    <w:rsid w:val="006E168D"/>
    <w:rsid w:val="006E16F1"/>
    <w:rsid w:val="006E1726"/>
    <w:rsid w:val="006E1CC5"/>
    <w:rsid w:val="006E1DCA"/>
    <w:rsid w:val="006E2159"/>
    <w:rsid w:val="006E293C"/>
    <w:rsid w:val="006E2A18"/>
    <w:rsid w:val="006E2B5D"/>
    <w:rsid w:val="006E2E62"/>
    <w:rsid w:val="006E2F68"/>
    <w:rsid w:val="006E328D"/>
    <w:rsid w:val="006E332F"/>
    <w:rsid w:val="006E341B"/>
    <w:rsid w:val="006E3486"/>
    <w:rsid w:val="006E359B"/>
    <w:rsid w:val="006E3A72"/>
    <w:rsid w:val="006E3C78"/>
    <w:rsid w:val="006E3D0A"/>
    <w:rsid w:val="006E3DA3"/>
    <w:rsid w:val="006E3F64"/>
    <w:rsid w:val="006E3FC2"/>
    <w:rsid w:val="006E3FCD"/>
    <w:rsid w:val="006E40B9"/>
    <w:rsid w:val="006E4395"/>
    <w:rsid w:val="006E4408"/>
    <w:rsid w:val="006E4468"/>
    <w:rsid w:val="006E45C1"/>
    <w:rsid w:val="006E473A"/>
    <w:rsid w:val="006E481A"/>
    <w:rsid w:val="006E4C92"/>
    <w:rsid w:val="006E4F96"/>
    <w:rsid w:val="006E503C"/>
    <w:rsid w:val="006E5080"/>
    <w:rsid w:val="006E51E6"/>
    <w:rsid w:val="006E5223"/>
    <w:rsid w:val="006E52DC"/>
    <w:rsid w:val="006E55EC"/>
    <w:rsid w:val="006E5ABF"/>
    <w:rsid w:val="006E5E4E"/>
    <w:rsid w:val="006E6021"/>
    <w:rsid w:val="006E607A"/>
    <w:rsid w:val="006E62F6"/>
    <w:rsid w:val="006E639D"/>
    <w:rsid w:val="006E64DC"/>
    <w:rsid w:val="006E6789"/>
    <w:rsid w:val="006E67CC"/>
    <w:rsid w:val="006E6893"/>
    <w:rsid w:val="006E693C"/>
    <w:rsid w:val="006E6A3A"/>
    <w:rsid w:val="006E73D3"/>
    <w:rsid w:val="006E7444"/>
    <w:rsid w:val="006E74C0"/>
    <w:rsid w:val="006E7534"/>
    <w:rsid w:val="006E755C"/>
    <w:rsid w:val="006E75BF"/>
    <w:rsid w:val="006E77A9"/>
    <w:rsid w:val="006E7916"/>
    <w:rsid w:val="006E7C34"/>
    <w:rsid w:val="006E7EFA"/>
    <w:rsid w:val="006E7F95"/>
    <w:rsid w:val="006F04D4"/>
    <w:rsid w:val="006F061A"/>
    <w:rsid w:val="006F097A"/>
    <w:rsid w:val="006F09B5"/>
    <w:rsid w:val="006F0AE3"/>
    <w:rsid w:val="006F122C"/>
    <w:rsid w:val="006F1349"/>
    <w:rsid w:val="006F151B"/>
    <w:rsid w:val="006F16B0"/>
    <w:rsid w:val="006F1737"/>
    <w:rsid w:val="006F18D2"/>
    <w:rsid w:val="006F1ACC"/>
    <w:rsid w:val="006F1BA5"/>
    <w:rsid w:val="006F201F"/>
    <w:rsid w:val="006F2052"/>
    <w:rsid w:val="006F209E"/>
    <w:rsid w:val="006F214F"/>
    <w:rsid w:val="006F26EF"/>
    <w:rsid w:val="006F27B9"/>
    <w:rsid w:val="006F2839"/>
    <w:rsid w:val="006F28BA"/>
    <w:rsid w:val="006F2A48"/>
    <w:rsid w:val="006F2C03"/>
    <w:rsid w:val="006F3148"/>
    <w:rsid w:val="006F3218"/>
    <w:rsid w:val="006F3436"/>
    <w:rsid w:val="006F3466"/>
    <w:rsid w:val="006F35BD"/>
    <w:rsid w:val="006F369D"/>
    <w:rsid w:val="006F374B"/>
    <w:rsid w:val="006F39EB"/>
    <w:rsid w:val="006F3B7D"/>
    <w:rsid w:val="006F3EB3"/>
    <w:rsid w:val="006F3F11"/>
    <w:rsid w:val="006F3F55"/>
    <w:rsid w:val="006F402C"/>
    <w:rsid w:val="006F403E"/>
    <w:rsid w:val="006F44C0"/>
    <w:rsid w:val="006F48AC"/>
    <w:rsid w:val="006F48B3"/>
    <w:rsid w:val="006F48B8"/>
    <w:rsid w:val="006F4A5D"/>
    <w:rsid w:val="006F4ACE"/>
    <w:rsid w:val="006F4D47"/>
    <w:rsid w:val="006F4FD1"/>
    <w:rsid w:val="006F5067"/>
    <w:rsid w:val="006F541D"/>
    <w:rsid w:val="006F5440"/>
    <w:rsid w:val="006F5516"/>
    <w:rsid w:val="006F553C"/>
    <w:rsid w:val="006F5924"/>
    <w:rsid w:val="006F5ADB"/>
    <w:rsid w:val="006F5C17"/>
    <w:rsid w:val="006F5E3D"/>
    <w:rsid w:val="006F6258"/>
    <w:rsid w:val="006F629E"/>
    <w:rsid w:val="006F62A2"/>
    <w:rsid w:val="006F6503"/>
    <w:rsid w:val="006F65E1"/>
    <w:rsid w:val="006F6673"/>
    <w:rsid w:val="006F667D"/>
    <w:rsid w:val="006F67E0"/>
    <w:rsid w:val="006F6887"/>
    <w:rsid w:val="006F6B45"/>
    <w:rsid w:val="006F6BE7"/>
    <w:rsid w:val="006F6F06"/>
    <w:rsid w:val="006F7020"/>
    <w:rsid w:val="006F7352"/>
    <w:rsid w:val="006F738B"/>
    <w:rsid w:val="006F7506"/>
    <w:rsid w:val="006F7623"/>
    <w:rsid w:val="006F79C8"/>
    <w:rsid w:val="006F7D8C"/>
    <w:rsid w:val="006F7EFE"/>
    <w:rsid w:val="006F7F18"/>
    <w:rsid w:val="006F7F8E"/>
    <w:rsid w:val="006F7FD3"/>
    <w:rsid w:val="0070005E"/>
    <w:rsid w:val="0070085E"/>
    <w:rsid w:val="007008D5"/>
    <w:rsid w:val="007009DF"/>
    <w:rsid w:val="00700AE3"/>
    <w:rsid w:val="00700BB9"/>
    <w:rsid w:val="00700BF8"/>
    <w:rsid w:val="00700C38"/>
    <w:rsid w:val="00700F30"/>
    <w:rsid w:val="00700F54"/>
    <w:rsid w:val="007011B1"/>
    <w:rsid w:val="0070120A"/>
    <w:rsid w:val="0070128E"/>
    <w:rsid w:val="007012D1"/>
    <w:rsid w:val="00701372"/>
    <w:rsid w:val="00701552"/>
    <w:rsid w:val="0070175D"/>
    <w:rsid w:val="0070176E"/>
    <w:rsid w:val="00701852"/>
    <w:rsid w:val="007019D4"/>
    <w:rsid w:val="00701C60"/>
    <w:rsid w:val="00701E81"/>
    <w:rsid w:val="00701F2B"/>
    <w:rsid w:val="00701F68"/>
    <w:rsid w:val="00701F83"/>
    <w:rsid w:val="00701FFF"/>
    <w:rsid w:val="0070207C"/>
    <w:rsid w:val="007020DC"/>
    <w:rsid w:val="00702113"/>
    <w:rsid w:val="00702485"/>
    <w:rsid w:val="0070254F"/>
    <w:rsid w:val="0070268F"/>
    <w:rsid w:val="00702C50"/>
    <w:rsid w:val="00702CBB"/>
    <w:rsid w:val="00702E4D"/>
    <w:rsid w:val="00702F86"/>
    <w:rsid w:val="0070319E"/>
    <w:rsid w:val="00703297"/>
    <w:rsid w:val="007032C1"/>
    <w:rsid w:val="00703333"/>
    <w:rsid w:val="00703427"/>
    <w:rsid w:val="00703469"/>
    <w:rsid w:val="007035D7"/>
    <w:rsid w:val="00703756"/>
    <w:rsid w:val="00703770"/>
    <w:rsid w:val="00703E7D"/>
    <w:rsid w:val="007041D2"/>
    <w:rsid w:val="00704289"/>
    <w:rsid w:val="0070438F"/>
    <w:rsid w:val="007044EE"/>
    <w:rsid w:val="007046EB"/>
    <w:rsid w:val="00704884"/>
    <w:rsid w:val="00704C31"/>
    <w:rsid w:val="00704F26"/>
    <w:rsid w:val="00704FDE"/>
    <w:rsid w:val="00705186"/>
    <w:rsid w:val="00705448"/>
    <w:rsid w:val="00705597"/>
    <w:rsid w:val="007055FC"/>
    <w:rsid w:val="0070565E"/>
    <w:rsid w:val="00705C67"/>
    <w:rsid w:val="00705D73"/>
    <w:rsid w:val="00705D88"/>
    <w:rsid w:val="0070621A"/>
    <w:rsid w:val="0070622C"/>
    <w:rsid w:val="00706329"/>
    <w:rsid w:val="00706913"/>
    <w:rsid w:val="00706BF5"/>
    <w:rsid w:val="00706EAA"/>
    <w:rsid w:val="007073ED"/>
    <w:rsid w:val="00707431"/>
    <w:rsid w:val="0070745C"/>
    <w:rsid w:val="007074A9"/>
    <w:rsid w:val="007074C3"/>
    <w:rsid w:val="007074E9"/>
    <w:rsid w:val="00707539"/>
    <w:rsid w:val="0070770B"/>
    <w:rsid w:val="00707765"/>
    <w:rsid w:val="00707779"/>
    <w:rsid w:val="00707FB7"/>
    <w:rsid w:val="0071009C"/>
    <w:rsid w:val="007107F8"/>
    <w:rsid w:val="007108AF"/>
    <w:rsid w:val="007109A1"/>
    <w:rsid w:val="00710AAD"/>
    <w:rsid w:val="00710D84"/>
    <w:rsid w:val="00711077"/>
    <w:rsid w:val="00711245"/>
    <w:rsid w:val="00711327"/>
    <w:rsid w:val="00711794"/>
    <w:rsid w:val="007119EF"/>
    <w:rsid w:val="00711CB7"/>
    <w:rsid w:val="00711E8E"/>
    <w:rsid w:val="00711FBA"/>
    <w:rsid w:val="00711FDF"/>
    <w:rsid w:val="0071215B"/>
    <w:rsid w:val="007122EC"/>
    <w:rsid w:val="0071232D"/>
    <w:rsid w:val="0071248F"/>
    <w:rsid w:val="00712785"/>
    <w:rsid w:val="007128C1"/>
    <w:rsid w:val="00712A85"/>
    <w:rsid w:val="00712B6F"/>
    <w:rsid w:val="00712BF2"/>
    <w:rsid w:val="00712C7B"/>
    <w:rsid w:val="00712D0E"/>
    <w:rsid w:val="00712D66"/>
    <w:rsid w:val="00713297"/>
    <w:rsid w:val="00713A51"/>
    <w:rsid w:val="00713C27"/>
    <w:rsid w:val="00713D90"/>
    <w:rsid w:val="00713EAD"/>
    <w:rsid w:val="007141CB"/>
    <w:rsid w:val="0071438A"/>
    <w:rsid w:val="00714504"/>
    <w:rsid w:val="0071466D"/>
    <w:rsid w:val="00714696"/>
    <w:rsid w:val="0071471F"/>
    <w:rsid w:val="007147FF"/>
    <w:rsid w:val="007148AA"/>
    <w:rsid w:val="00714B50"/>
    <w:rsid w:val="00714C14"/>
    <w:rsid w:val="00714C60"/>
    <w:rsid w:val="00714C85"/>
    <w:rsid w:val="00714CBD"/>
    <w:rsid w:val="0071503E"/>
    <w:rsid w:val="00715113"/>
    <w:rsid w:val="007151B9"/>
    <w:rsid w:val="00715461"/>
    <w:rsid w:val="007155CF"/>
    <w:rsid w:val="007155EB"/>
    <w:rsid w:val="0071574E"/>
    <w:rsid w:val="00715A9B"/>
    <w:rsid w:val="00715DD8"/>
    <w:rsid w:val="00716198"/>
    <w:rsid w:val="00716254"/>
    <w:rsid w:val="00716364"/>
    <w:rsid w:val="007165F2"/>
    <w:rsid w:val="00716638"/>
    <w:rsid w:val="007166D9"/>
    <w:rsid w:val="0071684B"/>
    <w:rsid w:val="00716BA2"/>
    <w:rsid w:val="00716CCE"/>
    <w:rsid w:val="00716D2B"/>
    <w:rsid w:val="00717026"/>
    <w:rsid w:val="0071742A"/>
    <w:rsid w:val="00717721"/>
    <w:rsid w:val="00717B5F"/>
    <w:rsid w:val="00717BA2"/>
    <w:rsid w:val="00717C14"/>
    <w:rsid w:val="00717D61"/>
    <w:rsid w:val="00717E1E"/>
    <w:rsid w:val="00717E21"/>
    <w:rsid w:val="00717E4C"/>
    <w:rsid w:val="00720386"/>
    <w:rsid w:val="00720524"/>
    <w:rsid w:val="00720525"/>
    <w:rsid w:val="00720554"/>
    <w:rsid w:val="00720568"/>
    <w:rsid w:val="0072060B"/>
    <w:rsid w:val="007207EA"/>
    <w:rsid w:val="00720C75"/>
    <w:rsid w:val="00720C98"/>
    <w:rsid w:val="00720D7D"/>
    <w:rsid w:val="0072108A"/>
    <w:rsid w:val="00721311"/>
    <w:rsid w:val="007215B7"/>
    <w:rsid w:val="007215FC"/>
    <w:rsid w:val="0072184A"/>
    <w:rsid w:val="007219E9"/>
    <w:rsid w:val="00721B35"/>
    <w:rsid w:val="00721D87"/>
    <w:rsid w:val="00721EA5"/>
    <w:rsid w:val="00721F01"/>
    <w:rsid w:val="00721F06"/>
    <w:rsid w:val="007222C1"/>
    <w:rsid w:val="00722415"/>
    <w:rsid w:val="00722481"/>
    <w:rsid w:val="0072251A"/>
    <w:rsid w:val="0072253A"/>
    <w:rsid w:val="0072284F"/>
    <w:rsid w:val="00722868"/>
    <w:rsid w:val="00722F53"/>
    <w:rsid w:val="00723083"/>
    <w:rsid w:val="00723273"/>
    <w:rsid w:val="007239CF"/>
    <w:rsid w:val="00723C79"/>
    <w:rsid w:val="0072404D"/>
    <w:rsid w:val="007242C3"/>
    <w:rsid w:val="007243B7"/>
    <w:rsid w:val="00724494"/>
    <w:rsid w:val="00724541"/>
    <w:rsid w:val="00724587"/>
    <w:rsid w:val="0072459B"/>
    <w:rsid w:val="00724756"/>
    <w:rsid w:val="00724768"/>
    <w:rsid w:val="00724892"/>
    <w:rsid w:val="00724A02"/>
    <w:rsid w:val="00724BCD"/>
    <w:rsid w:val="00724FED"/>
    <w:rsid w:val="0072526D"/>
    <w:rsid w:val="0072530B"/>
    <w:rsid w:val="0072531E"/>
    <w:rsid w:val="00725567"/>
    <w:rsid w:val="00725609"/>
    <w:rsid w:val="0072568F"/>
    <w:rsid w:val="007256A7"/>
    <w:rsid w:val="007256C9"/>
    <w:rsid w:val="007257F4"/>
    <w:rsid w:val="00725F1A"/>
    <w:rsid w:val="00725F7A"/>
    <w:rsid w:val="0072639B"/>
    <w:rsid w:val="007263DC"/>
    <w:rsid w:val="007264F9"/>
    <w:rsid w:val="00726699"/>
    <w:rsid w:val="00726800"/>
    <w:rsid w:val="0072694C"/>
    <w:rsid w:val="00726B39"/>
    <w:rsid w:val="00726F4F"/>
    <w:rsid w:val="007270BF"/>
    <w:rsid w:val="007272C1"/>
    <w:rsid w:val="0072737F"/>
    <w:rsid w:val="00727492"/>
    <w:rsid w:val="00727583"/>
    <w:rsid w:val="00727648"/>
    <w:rsid w:val="00727781"/>
    <w:rsid w:val="00727A77"/>
    <w:rsid w:val="00730204"/>
    <w:rsid w:val="00730598"/>
    <w:rsid w:val="007308E4"/>
    <w:rsid w:val="00730ACF"/>
    <w:rsid w:val="00730CB5"/>
    <w:rsid w:val="00730E8F"/>
    <w:rsid w:val="00730F89"/>
    <w:rsid w:val="007310E6"/>
    <w:rsid w:val="00731159"/>
    <w:rsid w:val="00731328"/>
    <w:rsid w:val="007316BA"/>
    <w:rsid w:val="007318DA"/>
    <w:rsid w:val="00731A0B"/>
    <w:rsid w:val="00731AB6"/>
    <w:rsid w:val="00731BC9"/>
    <w:rsid w:val="00731D48"/>
    <w:rsid w:val="00732067"/>
    <w:rsid w:val="007322A1"/>
    <w:rsid w:val="007322C4"/>
    <w:rsid w:val="00732B8E"/>
    <w:rsid w:val="00732E2E"/>
    <w:rsid w:val="00732F2C"/>
    <w:rsid w:val="00732FEE"/>
    <w:rsid w:val="0073309F"/>
    <w:rsid w:val="007334AD"/>
    <w:rsid w:val="00733B26"/>
    <w:rsid w:val="00733B8F"/>
    <w:rsid w:val="00733BDB"/>
    <w:rsid w:val="00733C97"/>
    <w:rsid w:val="00733D9F"/>
    <w:rsid w:val="00733E03"/>
    <w:rsid w:val="00733F0C"/>
    <w:rsid w:val="00733F91"/>
    <w:rsid w:val="00733FDD"/>
    <w:rsid w:val="007342DB"/>
    <w:rsid w:val="007343EA"/>
    <w:rsid w:val="007343F1"/>
    <w:rsid w:val="00734484"/>
    <w:rsid w:val="007345AC"/>
    <w:rsid w:val="0073461E"/>
    <w:rsid w:val="00734638"/>
    <w:rsid w:val="007346E6"/>
    <w:rsid w:val="007349BC"/>
    <w:rsid w:val="00734B12"/>
    <w:rsid w:val="00734CFA"/>
    <w:rsid w:val="00734DCA"/>
    <w:rsid w:val="00734F97"/>
    <w:rsid w:val="0073519F"/>
    <w:rsid w:val="007352C8"/>
    <w:rsid w:val="00735647"/>
    <w:rsid w:val="00735875"/>
    <w:rsid w:val="0073587B"/>
    <w:rsid w:val="00736390"/>
    <w:rsid w:val="00736632"/>
    <w:rsid w:val="00736707"/>
    <w:rsid w:val="00736814"/>
    <w:rsid w:val="007369E2"/>
    <w:rsid w:val="00736A7C"/>
    <w:rsid w:val="00736BBC"/>
    <w:rsid w:val="00736D5C"/>
    <w:rsid w:val="00736EC1"/>
    <w:rsid w:val="0073707C"/>
    <w:rsid w:val="00737288"/>
    <w:rsid w:val="007372A8"/>
    <w:rsid w:val="007372F8"/>
    <w:rsid w:val="007373A8"/>
    <w:rsid w:val="00737B15"/>
    <w:rsid w:val="00737CB9"/>
    <w:rsid w:val="00737CD8"/>
    <w:rsid w:val="00737DDE"/>
    <w:rsid w:val="00740363"/>
    <w:rsid w:val="0074039F"/>
    <w:rsid w:val="00740563"/>
    <w:rsid w:val="0074079C"/>
    <w:rsid w:val="00740808"/>
    <w:rsid w:val="0074086C"/>
    <w:rsid w:val="00740AAC"/>
    <w:rsid w:val="00740AFB"/>
    <w:rsid w:val="00740B56"/>
    <w:rsid w:val="00740D23"/>
    <w:rsid w:val="007411C8"/>
    <w:rsid w:val="0074120E"/>
    <w:rsid w:val="0074135F"/>
    <w:rsid w:val="007413E4"/>
    <w:rsid w:val="007414F3"/>
    <w:rsid w:val="0074162B"/>
    <w:rsid w:val="00741686"/>
    <w:rsid w:val="00741821"/>
    <w:rsid w:val="00741C62"/>
    <w:rsid w:val="00741CFB"/>
    <w:rsid w:val="00742076"/>
    <w:rsid w:val="0074239E"/>
    <w:rsid w:val="007424AC"/>
    <w:rsid w:val="0074256C"/>
    <w:rsid w:val="007426E9"/>
    <w:rsid w:val="007426F6"/>
    <w:rsid w:val="00742830"/>
    <w:rsid w:val="00742EF6"/>
    <w:rsid w:val="00742FE8"/>
    <w:rsid w:val="00743109"/>
    <w:rsid w:val="00743253"/>
    <w:rsid w:val="00743281"/>
    <w:rsid w:val="007432BF"/>
    <w:rsid w:val="00743576"/>
    <w:rsid w:val="0074398E"/>
    <w:rsid w:val="00743B2D"/>
    <w:rsid w:val="00743CC7"/>
    <w:rsid w:val="00743D89"/>
    <w:rsid w:val="00743E1B"/>
    <w:rsid w:val="00743F2B"/>
    <w:rsid w:val="007440BC"/>
    <w:rsid w:val="007440F5"/>
    <w:rsid w:val="007440F8"/>
    <w:rsid w:val="00744106"/>
    <w:rsid w:val="0074440A"/>
    <w:rsid w:val="0074457F"/>
    <w:rsid w:val="0074474A"/>
    <w:rsid w:val="00744780"/>
    <w:rsid w:val="00744896"/>
    <w:rsid w:val="00744A4A"/>
    <w:rsid w:val="00744CBD"/>
    <w:rsid w:val="00744E57"/>
    <w:rsid w:val="0074501A"/>
    <w:rsid w:val="007450D3"/>
    <w:rsid w:val="00745136"/>
    <w:rsid w:val="007451CA"/>
    <w:rsid w:val="00745427"/>
    <w:rsid w:val="007455E8"/>
    <w:rsid w:val="007456D1"/>
    <w:rsid w:val="007456EC"/>
    <w:rsid w:val="00745A15"/>
    <w:rsid w:val="00745A73"/>
    <w:rsid w:val="00745C96"/>
    <w:rsid w:val="00745DD2"/>
    <w:rsid w:val="00745EDB"/>
    <w:rsid w:val="00745F4F"/>
    <w:rsid w:val="0074628D"/>
    <w:rsid w:val="0074642C"/>
    <w:rsid w:val="00746572"/>
    <w:rsid w:val="00746766"/>
    <w:rsid w:val="00746949"/>
    <w:rsid w:val="00746A85"/>
    <w:rsid w:val="00746D48"/>
    <w:rsid w:val="00746E7A"/>
    <w:rsid w:val="00746F3D"/>
    <w:rsid w:val="00746FA2"/>
    <w:rsid w:val="00747041"/>
    <w:rsid w:val="007470C5"/>
    <w:rsid w:val="00747340"/>
    <w:rsid w:val="007473AA"/>
    <w:rsid w:val="007473B9"/>
    <w:rsid w:val="00747E32"/>
    <w:rsid w:val="00747E65"/>
    <w:rsid w:val="00747E70"/>
    <w:rsid w:val="00747F12"/>
    <w:rsid w:val="007500BA"/>
    <w:rsid w:val="0075016E"/>
    <w:rsid w:val="007504F0"/>
    <w:rsid w:val="00750940"/>
    <w:rsid w:val="00750B19"/>
    <w:rsid w:val="00750C17"/>
    <w:rsid w:val="00750C7A"/>
    <w:rsid w:val="0075107D"/>
    <w:rsid w:val="0075118B"/>
    <w:rsid w:val="00751354"/>
    <w:rsid w:val="007513F2"/>
    <w:rsid w:val="0075147F"/>
    <w:rsid w:val="0075169A"/>
    <w:rsid w:val="0075189C"/>
    <w:rsid w:val="007519C4"/>
    <w:rsid w:val="00751A1A"/>
    <w:rsid w:val="00751C97"/>
    <w:rsid w:val="00751F9E"/>
    <w:rsid w:val="00752058"/>
    <w:rsid w:val="00752076"/>
    <w:rsid w:val="00752219"/>
    <w:rsid w:val="00752783"/>
    <w:rsid w:val="00752C20"/>
    <w:rsid w:val="00752E2E"/>
    <w:rsid w:val="00752E6F"/>
    <w:rsid w:val="00753074"/>
    <w:rsid w:val="00753101"/>
    <w:rsid w:val="007531B7"/>
    <w:rsid w:val="00753606"/>
    <w:rsid w:val="0075377F"/>
    <w:rsid w:val="00753A80"/>
    <w:rsid w:val="00753AD9"/>
    <w:rsid w:val="00753E66"/>
    <w:rsid w:val="00753FC9"/>
    <w:rsid w:val="0075405B"/>
    <w:rsid w:val="00754740"/>
    <w:rsid w:val="00754758"/>
    <w:rsid w:val="00754B66"/>
    <w:rsid w:val="00754BA3"/>
    <w:rsid w:val="00754CB6"/>
    <w:rsid w:val="00754CF4"/>
    <w:rsid w:val="00754E39"/>
    <w:rsid w:val="00754E52"/>
    <w:rsid w:val="00754E90"/>
    <w:rsid w:val="00754F15"/>
    <w:rsid w:val="00754F73"/>
    <w:rsid w:val="00754FB9"/>
    <w:rsid w:val="0075529B"/>
    <w:rsid w:val="00755393"/>
    <w:rsid w:val="00755613"/>
    <w:rsid w:val="00755650"/>
    <w:rsid w:val="00755686"/>
    <w:rsid w:val="007559BA"/>
    <w:rsid w:val="00755E79"/>
    <w:rsid w:val="00755F8E"/>
    <w:rsid w:val="007560C5"/>
    <w:rsid w:val="007562C6"/>
    <w:rsid w:val="0075637C"/>
    <w:rsid w:val="0075639C"/>
    <w:rsid w:val="0075643F"/>
    <w:rsid w:val="007564FF"/>
    <w:rsid w:val="007565D9"/>
    <w:rsid w:val="00756792"/>
    <w:rsid w:val="00756909"/>
    <w:rsid w:val="00756ADC"/>
    <w:rsid w:val="00756D0A"/>
    <w:rsid w:val="00756E4E"/>
    <w:rsid w:val="0075704B"/>
    <w:rsid w:val="00757206"/>
    <w:rsid w:val="007572B7"/>
    <w:rsid w:val="0075738C"/>
    <w:rsid w:val="007574B4"/>
    <w:rsid w:val="007577B7"/>
    <w:rsid w:val="007577FB"/>
    <w:rsid w:val="007579BD"/>
    <w:rsid w:val="00757AAD"/>
    <w:rsid w:val="00757D78"/>
    <w:rsid w:val="00757DDB"/>
    <w:rsid w:val="00757FB2"/>
    <w:rsid w:val="0076002C"/>
    <w:rsid w:val="007600D8"/>
    <w:rsid w:val="0076016C"/>
    <w:rsid w:val="007601AE"/>
    <w:rsid w:val="007603EC"/>
    <w:rsid w:val="00760555"/>
    <w:rsid w:val="00760629"/>
    <w:rsid w:val="00760919"/>
    <w:rsid w:val="0076094A"/>
    <w:rsid w:val="007609B5"/>
    <w:rsid w:val="00760A66"/>
    <w:rsid w:val="00760AB7"/>
    <w:rsid w:val="00760BF6"/>
    <w:rsid w:val="00760D10"/>
    <w:rsid w:val="00760D3A"/>
    <w:rsid w:val="00760F07"/>
    <w:rsid w:val="00761434"/>
    <w:rsid w:val="00761612"/>
    <w:rsid w:val="007617CE"/>
    <w:rsid w:val="00761928"/>
    <w:rsid w:val="00761C88"/>
    <w:rsid w:val="00761D2A"/>
    <w:rsid w:val="00761FFD"/>
    <w:rsid w:val="00762108"/>
    <w:rsid w:val="007621B7"/>
    <w:rsid w:val="0076264B"/>
    <w:rsid w:val="007626F3"/>
    <w:rsid w:val="00762748"/>
    <w:rsid w:val="007629FE"/>
    <w:rsid w:val="00762D6E"/>
    <w:rsid w:val="00763076"/>
    <w:rsid w:val="007630E9"/>
    <w:rsid w:val="00763473"/>
    <w:rsid w:val="00763489"/>
    <w:rsid w:val="00763668"/>
    <w:rsid w:val="0076382E"/>
    <w:rsid w:val="0076384B"/>
    <w:rsid w:val="0076385B"/>
    <w:rsid w:val="007638D0"/>
    <w:rsid w:val="0076396E"/>
    <w:rsid w:val="00763D01"/>
    <w:rsid w:val="00763D38"/>
    <w:rsid w:val="00763E5F"/>
    <w:rsid w:val="00763E90"/>
    <w:rsid w:val="00763F22"/>
    <w:rsid w:val="00764224"/>
    <w:rsid w:val="007642EC"/>
    <w:rsid w:val="0076475F"/>
    <w:rsid w:val="007647AB"/>
    <w:rsid w:val="00764951"/>
    <w:rsid w:val="00764B8D"/>
    <w:rsid w:val="00764F16"/>
    <w:rsid w:val="00765073"/>
    <w:rsid w:val="007653C6"/>
    <w:rsid w:val="007654EC"/>
    <w:rsid w:val="00765590"/>
    <w:rsid w:val="0076578D"/>
    <w:rsid w:val="00765B45"/>
    <w:rsid w:val="00765B98"/>
    <w:rsid w:val="00765C5C"/>
    <w:rsid w:val="007660C6"/>
    <w:rsid w:val="0076615A"/>
    <w:rsid w:val="007664CF"/>
    <w:rsid w:val="00766646"/>
    <w:rsid w:val="0076678E"/>
    <w:rsid w:val="00766883"/>
    <w:rsid w:val="0076688A"/>
    <w:rsid w:val="00766923"/>
    <w:rsid w:val="007669BC"/>
    <w:rsid w:val="00766EB4"/>
    <w:rsid w:val="00767164"/>
    <w:rsid w:val="0076729F"/>
    <w:rsid w:val="007672CD"/>
    <w:rsid w:val="007675C2"/>
    <w:rsid w:val="00767815"/>
    <w:rsid w:val="00767973"/>
    <w:rsid w:val="00767AA0"/>
    <w:rsid w:val="00767B0B"/>
    <w:rsid w:val="00767D2A"/>
    <w:rsid w:val="00767EB2"/>
    <w:rsid w:val="00767FF7"/>
    <w:rsid w:val="007701B6"/>
    <w:rsid w:val="00770224"/>
    <w:rsid w:val="0077045E"/>
    <w:rsid w:val="00770609"/>
    <w:rsid w:val="007706C4"/>
    <w:rsid w:val="007707BB"/>
    <w:rsid w:val="00770837"/>
    <w:rsid w:val="0077085D"/>
    <w:rsid w:val="0077089F"/>
    <w:rsid w:val="0077092D"/>
    <w:rsid w:val="00770B68"/>
    <w:rsid w:val="00770B9F"/>
    <w:rsid w:val="00770D77"/>
    <w:rsid w:val="00770E38"/>
    <w:rsid w:val="0077109A"/>
    <w:rsid w:val="0077111B"/>
    <w:rsid w:val="0077112E"/>
    <w:rsid w:val="00771264"/>
    <w:rsid w:val="007717E0"/>
    <w:rsid w:val="007718D1"/>
    <w:rsid w:val="00771BFF"/>
    <w:rsid w:val="00771C1F"/>
    <w:rsid w:val="00771CA2"/>
    <w:rsid w:val="00771D32"/>
    <w:rsid w:val="00771E71"/>
    <w:rsid w:val="00771F05"/>
    <w:rsid w:val="007723F2"/>
    <w:rsid w:val="0077281C"/>
    <w:rsid w:val="00772E77"/>
    <w:rsid w:val="00772FA5"/>
    <w:rsid w:val="00773147"/>
    <w:rsid w:val="0077330B"/>
    <w:rsid w:val="007733A9"/>
    <w:rsid w:val="0077366E"/>
    <w:rsid w:val="007736C9"/>
    <w:rsid w:val="007739DD"/>
    <w:rsid w:val="00773E95"/>
    <w:rsid w:val="00774384"/>
    <w:rsid w:val="00774389"/>
    <w:rsid w:val="0077440E"/>
    <w:rsid w:val="00774527"/>
    <w:rsid w:val="0077463F"/>
    <w:rsid w:val="007746C5"/>
    <w:rsid w:val="00774A1B"/>
    <w:rsid w:val="00774C28"/>
    <w:rsid w:val="00774D2C"/>
    <w:rsid w:val="00774D89"/>
    <w:rsid w:val="00774E4E"/>
    <w:rsid w:val="00774EFC"/>
    <w:rsid w:val="00775084"/>
    <w:rsid w:val="00775152"/>
    <w:rsid w:val="0077517D"/>
    <w:rsid w:val="007751DE"/>
    <w:rsid w:val="00775377"/>
    <w:rsid w:val="00775407"/>
    <w:rsid w:val="007754EF"/>
    <w:rsid w:val="00775696"/>
    <w:rsid w:val="007756EB"/>
    <w:rsid w:val="0077572F"/>
    <w:rsid w:val="0077599B"/>
    <w:rsid w:val="007759A2"/>
    <w:rsid w:val="00775D0F"/>
    <w:rsid w:val="00775DD6"/>
    <w:rsid w:val="00775E9F"/>
    <w:rsid w:val="00776307"/>
    <w:rsid w:val="00776383"/>
    <w:rsid w:val="0077641F"/>
    <w:rsid w:val="007764D3"/>
    <w:rsid w:val="007766EA"/>
    <w:rsid w:val="00776799"/>
    <w:rsid w:val="0077689F"/>
    <w:rsid w:val="007768A0"/>
    <w:rsid w:val="00776A70"/>
    <w:rsid w:val="00776AF1"/>
    <w:rsid w:val="00776BFA"/>
    <w:rsid w:val="00776C9C"/>
    <w:rsid w:val="00776D94"/>
    <w:rsid w:val="00776F9A"/>
    <w:rsid w:val="00776FC9"/>
    <w:rsid w:val="00777120"/>
    <w:rsid w:val="007772CB"/>
    <w:rsid w:val="007775EA"/>
    <w:rsid w:val="00777ACA"/>
    <w:rsid w:val="00777C30"/>
    <w:rsid w:val="00777EAD"/>
    <w:rsid w:val="00777F1E"/>
    <w:rsid w:val="00780217"/>
    <w:rsid w:val="00780364"/>
    <w:rsid w:val="00780496"/>
    <w:rsid w:val="00780722"/>
    <w:rsid w:val="00780726"/>
    <w:rsid w:val="00780B54"/>
    <w:rsid w:val="00780CD3"/>
    <w:rsid w:val="00780E6A"/>
    <w:rsid w:val="00780F69"/>
    <w:rsid w:val="00780FAE"/>
    <w:rsid w:val="00781099"/>
    <w:rsid w:val="0078133D"/>
    <w:rsid w:val="00781460"/>
    <w:rsid w:val="007815AB"/>
    <w:rsid w:val="00781679"/>
    <w:rsid w:val="00781B69"/>
    <w:rsid w:val="00781DC4"/>
    <w:rsid w:val="00781E34"/>
    <w:rsid w:val="00781E70"/>
    <w:rsid w:val="00781F1C"/>
    <w:rsid w:val="007820AB"/>
    <w:rsid w:val="00782702"/>
    <w:rsid w:val="00782841"/>
    <w:rsid w:val="00782922"/>
    <w:rsid w:val="00782EB9"/>
    <w:rsid w:val="00782ED7"/>
    <w:rsid w:val="00782F18"/>
    <w:rsid w:val="00783054"/>
    <w:rsid w:val="0078309C"/>
    <w:rsid w:val="0078323D"/>
    <w:rsid w:val="007833B2"/>
    <w:rsid w:val="00783663"/>
    <w:rsid w:val="007836FD"/>
    <w:rsid w:val="00783B55"/>
    <w:rsid w:val="00783B99"/>
    <w:rsid w:val="00783D66"/>
    <w:rsid w:val="00783DAC"/>
    <w:rsid w:val="00783E16"/>
    <w:rsid w:val="00783F0E"/>
    <w:rsid w:val="00783FF3"/>
    <w:rsid w:val="0078421A"/>
    <w:rsid w:val="00784300"/>
    <w:rsid w:val="0078431E"/>
    <w:rsid w:val="0078438A"/>
    <w:rsid w:val="00784429"/>
    <w:rsid w:val="007847DC"/>
    <w:rsid w:val="00784957"/>
    <w:rsid w:val="0078498B"/>
    <w:rsid w:val="00784A89"/>
    <w:rsid w:val="00784E31"/>
    <w:rsid w:val="007855A1"/>
    <w:rsid w:val="00785785"/>
    <w:rsid w:val="007857BB"/>
    <w:rsid w:val="00785816"/>
    <w:rsid w:val="00785A58"/>
    <w:rsid w:val="00785AB5"/>
    <w:rsid w:val="00785C7C"/>
    <w:rsid w:val="00786192"/>
    <w:rsid w:val="007861A6"/>
    <w:rsid w:val="0078631E"/>
    <w:rsid w:val="00786368"/>
    <w:rsid w:val="00786425"/>
    <w:rsid w:val="00786797"/>
    <w:rsid w:val="0078681F"/>
    <w:rsid w:val="00786882"/>
    <w:rsid w:val="007869DF"/>
    <w:rsid w:val="00786E31"/>
    <w:rsid w:val="00786ECE"/>
    <w:rsid w:val="00786F4E"/>
    <w:rsid w:val="0078720F"/>
    <w:rsid w:val="00787267"/>
    <w:rsid w:val="007872AB"/>
    <w:rsid w:val="007872B9"/>
    <w:rsid w:val="0078736F"/>
    <w:rsid w:val="0078746B"/>
    <w:rsid w:val="0078764C"/>
    <w:rsid w:val="0078773F"/>
    <w:rsid w:val="007878AC"/>
    <w:rsid w:val="007879DE"/>
    <w:rsid w:val="00787CB2"/>
    <w:rsid w:val="00787E7E"/>
    <w:rsid w:val="00790023"/>
    <w:rsid w:val="00790098"/>
    <w:rsid w:val="00790184"/>
    <w:rsid w:val="007901B4"/>
    <w:rsid w:val="007905EA"/>
    <w:rsid w:val="00790A58"/>
    <w:rsid w:val="00790AD8"/>
    <w:rsid w:val="00790BDB"/>
    <w:rsid w:val="00790BFF"/>
    <w:rsid w:val="00790DC6"/>
    <w:rsid w:val="007910F1"/>
    <w:rsid w:val="007911BE"/>
    <w:rsid w:val="007912C7"/>
    <w:rsid w:val="007915CE"/>
    <w:rsid w:val="00791CCA"/>
    <w:rsid w:val="00791D37"/>
    <w:rsid w:val="00791DED"/>
    <w:rsid w:val="0079202B"/>
    <w:rsid w:val="007920DC"/>
    <w:rsid w:val="0079244B"/>
    <w:rsid w:val="0079248A"/>
    <w:rsid w:val="0079248B"/>
    <w:rsid w:val="007925E5"/>
    <w:rsid w:val="007925EC"/>
    <w:rsid w:val="0079265C"/>
    <w:rsid w:val="007927C6"/>
    <w:rsid w:val="00792890"/>
    <w:rsid w:val="00792AA8"/>
    <w:rsid w:val="00792B1B"/>
    <w:rsid w:val="00792B27"/>
    <w:rsid w:val="00792D54"/>
    <w:rsid w:val="00792D8F"/>
    <w:rsid w:val="00793206"/>
    <w:rsid w:val="00793227"/>
    <w:rsid w:val="007933B8"/>
    <w:rsid w:val="007933C0"/>
    <w:rsid w:val="00793456"/>
    <w:rsid w:val="007936C0"/>
    <w:rsid w:val="0079384D"/>
    <w:rsid w:val="0079398A"/>
    <w:rsid w:val="00793A4D"/>
    <w:rsid w:val="00793A70"/>
    <w:rsid w:val="00793AAE"/>
    <w:rsid w:val="00793BB7"/>
    <w:rsid w:val="00793BCA"/>
    <w:rsid w:val="00793ED0"/>
    <w:rsid w:val="007940BA"/>
    <w:rsid w:val="00794169"/>
    <w:rsid w:val="007941D3"/>
    <w:rsid w:val="0079422B"/>
    <w:rsid w:val="00794536"/>
    <w:rsid w:val="00794745"/>
    <w:rsid w:val="00794832"/>
    <w:rsid w:val="00794918"/>
    <w:rsid w:val="0079491A"/>
    <w:rsid w:val="00794972"/>
    <w:rsid w:val="007949D7"/>
    <w:rsid w:val="007949DC"/>
    <w:rsid w:val="00794A3E"/>
    <w:rsid w:val="00794C80"/>
    <w:rsid w:val="00794E58"/>
    <w:rsid w:val="0079518C"/>
    <w:rsid w:val="00795289"/>
    <w:rsid w:val="00795378"/>
    <w:rsid w:val="007953AA"/>
    <w:rsid w:val="007954E9"/>
    <w:rsid w:val="00795844"/>
    <w:rsid w:val="007958B5"/>
    <w:rsid w:val="0079593E"/>
    <w:rsid w:val="00795B5E"/>
    <w:rsid w:val="00795C33"/>
    <w:rsid w:val="00795C7E"/>
    <w:rsid w:val="00795E67"/>
    <w:rsid w:val="00795E7E"/>
    <w:rsid w:val="00795F30"/>
    <w:rsid w:val="00795F37"/>
    <w:rsid w:val="00796079"/>
    <w:rsid w:val="0079611D"/>
    <w:rsid w:val="00796624"/>
    <w:rsid w:val="007966F3"/>
    <w:rsid w:val="007968D4"/>
    <w:rsid w:val="00796984"/>
    <w:rsid w:val="0079698A"/>
    <w:rsid w:val="00796A8B"/>
    <w:rsid w:val="00796AB7"/>
    <w:rsid w:val="00796B61"/>
    <w:rsid w:val="00796BB5"/>
    <w:rsid w:val="00796DC9"/>
    <w:rsid w:val="00796EE7"/>
    <w:rsid w:val="00796FEF"/>
    <w:rsid w:val="00797022"/>
    <w:rsid w:val="007975D1"/>
    <w:rsid w:val="007977C5"/>
    <w:rsid w:val="007979E6"/>
    <w:rsid w:val="00797D5D"/>
    <w:rsid w:val="007A0300"/>
    <w:rsid w:val="007A0D8B"/>
    <w:rsid w:val="007A0E61"/>
    <w:rsid w:val="007A126C"/>
    <w:rsid w:val="007A1506"/>
    <w:rsid w:val="007A16F2"/>
    <w:rsid w:val="007A1A78"/>
    <w:rsid w:val="007A1CD9"/>
    <w:rsid w:val="007A1DF7"/>
    <w:rsid w:val="007A200B"/>
    <w:rsid w:val="007A216F"/>
    <w:rsid w:val="007A22EA"/>
    <w:rsid w:val="007A2498"/>
    <w:rsid w:val="007A2588"/>
    <w:rsid w:val="007A25BC"/>
    <w:rsid w:val="007A28D6"/>
    <w:rsid w:val="007A294F"/>
    <w:rsid w:val="007A2E09"/>
    <w:rsid w:val="007A3074"/>
    <w:rsid w:val="007A31DB"/>
    <w:rsid w:val="007A32EF"/>
    <w:rsid w:val="007A3858"/>
    <w:rsid w:val="007A3A0D"/>
    <w:rsid w:val="007A3ABE"/>
    <w:rsid w:val="007A3DC3"/>
    <w:rsid w:val="007A40A1"/>
    <w:rsid w:val="007A411A"/>
    <w:rsid w:val="007A4A9E"/>
    <w:rsid w:val="007A4CB0"/>
    <w:rsid w:val="007A4E99"/>
    <w:rsid w:val="007A4F1D"/>
    <w:rsid w:val="007A503E"/>
    <w:rsid w:val="007A5110"/>
    <w:rsid w:val="007A5740"/>
    <w:rsid w:val="007A5A67"/>
    <w:rsid w:val="007A5AC6"/>
    <w:rsid w:val="007A5B52"/>
    <w:rsid w:val="007A5B57"/>
    <w:rsid w:val="007A5F9C"/>
    <w:rsid w:val="007A60F8"/>
    <w:rsid w:val="007A6175"/>
    <w:rsid w:val="007A62C3"/>
    <w:rsid w:val="007A6338"/>
    <w:rsid w:val="007A63D7"/>
    <w:rsid w:val="007A656C"/>
    <w:rsid w:val="007A67C4"/>
    <w:rsid w:val="007A684C"/>
    <w:rsid w:val="007A6957"/>
    <w:rsid w:val="007A6A64"/>
    <w:rsid w:val="007A6BBF"/>
    <w:rsid w:val="007A6BFC"/>
    <w:rsid w:val="007A6C4D"/>
    <w:rsid w:val="007A6D50"/>
    <w:rsid w:val="007A6D9D"/>
    <w:rsid w:val="007A6E5F"/>
    <w:rsid w:val="007A6F20"/>
    <w:rsid w:val="007A707C"/>
    <w:rsid w:val="007A748C"/>
    <w:rsid w:val="007A74B4"/>
    <w:rsid w:val="007A75CF"/>
    <w:rsid w:val="007A75DA"/>
    <w:rsid w:val="007A75FA"/>
    <w:rsid w:val="007A780E"/>
    <w:rsid w:val="007A7892"/>
    <w:rsid w:val="007B0097"/>
    <w:rsid w:val="007B0183"/>
    <w:rsid w:val="007B01C8"/>
    <w:rsid w:val="007B0223"/>
    <w:rsid w:val="007B02B4"/>
    <w:rsid w:val="007B02BC"/>
    <w:rsid w:val="007B0373"/>
    <w:rsid w:val="007B04A1"/>
    <w:rsid w:val="007B057C"/>
    <w:rsid w:val="007B09AA"/>
    <w:rsid w:val="007B0AE0"/>
    <w:rsid w:val="007B0E80"/>
    <w:rsid w:val="007B0F40"/>
    <w:rsid w:val="007B106F"/>
    <w:rsid w:val="007B11D3"/>
    <w:rsid w:val="007B1320"/>
    <w:rsid w:val="007B1480"/>
    <w:rsid w:val="007B1568"/>
    <w:rsid w:val="007B15CC"/>
    <w:rsid w:val="007B17CF"/>
    <w:rsid w:val="007B19A2"/>
    <w:rsid w:val="007B1AD2"/>
    <w:rsid w:val="007B1D20"/>
    <w:rsid w:val="007B1E72"/>
    <w:rsid w:val="007B1F6C"/>
    <w:rsid w:val="007B1FFF"/>
    <w:rsid w:val="007B221A"/>
    <w:rsid w:val="007B2359"/>
    <w:rsid w:val="007B24AF"/>
    <w:rsid w:val="007B2682"/>
    <w:rsid w:val="007B268D"/>
    <w:rsid w:val="007B2864"/>
    <w:rsid w:val="007B2BA4"/>
    <w:rsid w:val="007B2CC0"/>
    <w:rsid w:val="007B2DCB"/>
    <w:rsid w:val="007B2E65"/>
    <w:rsid w:val="007B2E88"/>
    <w:rsid w:val="007B2F37"/>
    <w:rsid w:val="007B3038"/>
    <w:rsid w:val="007B33A7"/>
    <w:rsid w:val="007B341B"/>
    <w:rsid w:val="007B35FC"/>
    <w:rsid w:val="007B36B8"/>
    <w:rsid w:val="007B36EA"/>
    <w:rsid w:val="007B3715"/>
    <w:rsid w:val="007B379E"/>
    <w:rsid w:val="007B4102"/>
    <w:rsid w:val="007B41AD"/>
    <w:rsid w:val="007B42CB"/>
    <w:rsid w:val="007B43D1"/>
    <w:rsid w:val="007B4425"/>
    <w:rsid w:val="007B4452"/>
    <w:rsid w:val="007B458C"/>
    <w:rsid w:val="007B4595"/>
    <w:rsid w:val="007B45F2"/>
    <w:rsid w:val="007B4607"/>
    <w:rsid w:val="007B480B"/>
    <w:rsid w:val="007B49BE"/>
    <w:rsid w:val="007B4A37"/>
    <w:rsid w:val="007B4B9F"/>
    <w:rsid w:val="007B4CBE"/>
    <w:rsid w:val="007B505E"/>
    <w:rsid w:val="007B5255"/>
    <w:rsid w:val="007B555D"/>
    <w:rsid w:val="007B5573"/>
    <w:rsid w:val="007B5806"/>
    <w:rsid w:val="007B5990"/>
    <w:rsid w:val="007B5ABC"/>
    <w:rsid w:val="007B5AD1"/>
    <w:rsid w:val="007B5BCF"/>
    <w:rsid w:val="007B5D1F"/>
    <w:rsid w:val="007B627F"/>
    <w:rsid w:val="007B62DF"/>
    <w:rsid w:val="007B651A"/>
    <w:rsid w:val="007B6648"/>
    <w:rsid w:val="007B6669"/>
    <w:rsid w:val="007B68E2"/>
    <w:rsid w:val="007B6971"/>
    <w:rsid w:val="007B6F77"/>
    <w:rsid w:val="007B71DF"/>
    <w:rsid w:val="007B7760"/>
    <w:rsid w:val="007B7945"/>
    <w:rsid w:val="007B7A1C"/>
    <w:rsid w:val="007B7BB2"/>
    <w:rsid w:val="007B7CEB"/>
    <w:rsid w:val="007B7D66"/>
    <w:rsid w:val="007B7F35"/>
    <w:rsid w:val="007C0160"/>
    <w:rsid w:val="007C01FA"/>
    <w:rsid w:val="007C0271"/>
    <w:rsid w:val="007C0409"/>
    <w:rsid w:val="007C0CAE"/>
    <w:rsid w:val="007C0D70"/>
    <w:rsid w:val="007C0E19"/>
    <w:rsid w:val="007C0E52"/>
    <w:rsid w:val="007C0F84"/>
    <w:rsid w:val="007C103B"/>
    <w:rsid w:val="007C1196"/>
    <w:rsid w:val="007C1479"/>
    <w:rsid w:val="007C14AB"/>
    <w:rsid w:val="007C14EC"/>
    <w:rsid w:val="007C1874"/>
    <w:rsid w:val="007C1A4B"/>
    <w:rsid w:val="007C1AFD"/>
    <w:rsid w:val="007C1D17"/>
    <w:rsid w:val="007C1D74"/>
    <w:rsid w:val="007C1E7E"/>
    <w:rsid w:val="007C1FB8"/>
    <w:rsid w:val="007C2049"/>
    <w:rsid w:val="007C2183"/>
    <w:rsid w:val="007C2455"/>
    <w:rsid w:val="007C25BF"/>
    <w:rsid w:val="007C2602"/>
    <w:rsid w:val="007C27AD"/>
    <w:rsid w:val="007C2AF2"/>
    <w:rsid w:val="007C2D7E"/>
    <w:rsid w:val="007C2E3E"/>
    <w:rsid w:val="007C311B"/>
    <w:rsid w:val="007C32A6"/>
    <w:rsid w:val="007C337E"/>
    <w:rsid w:val="007C33AE"/>
    <w:rsid w:val="007C33E4"/>
    <w:rsid w:val="007C33E9"/>
    <w:rsid w:val="007C369D"/>
    <w:rsid w:val="007C36AE"/>
    <w:rsid w:val="007C38B7"/>
    <w:rsid w:val="007C3B6D"/>
    <w:rsid w:val="007C3BA3"/>
    <w:rsid w:val="007C3C7A"/>
    <w:rsid w:val="007C3CBB"/>
    <w:rsid w:val="007C3CDF"/>
    <w:rsid w:val="007C3D28"/>
    <w:rsid w:val="007C3E88"/>
    <w:rsid w:val="007C3F68"/>
    <w:rsid w:val="007C429F"/>
    <w:rsid w:val="007C4600"/>
    <w:rsid w:val="007C462E"/>
    <w:rsid w:val="007C48BE"/>
    <w:rsid w:val="007C49F4"/>
    <w:rsid w:val="007C4A58"/>
    <w:rsid w:val="007C4C3D"/>
    <w:rsid w:val="007C4F7D"/>
    <w:rsid w:val="007C506B"/>
    <w:rsid w:val="007C5090"/>
    <w:rsid w:val="007C5148"/>
    <w:rsid w:val="007C5259"/>
    <w:rsid w:val="007C52BC"/>
    <w:rsid w:val="007C534C"/>
    <w:rsid w:val="007C537F"/>
    <w:rsid w:val="007C56A0"/>
    <w:rsid w:val="007C5754"/>
    <w:rsid w:val="007C58B1"/>
    <w:rsid w:val="007C58CA"/>
    <w:rsid w:val="007C597B"/>
    <w:rsid w:val="007C5B41"/>
    <w:rsid w:val="007C5D0C"/>
    <w:rsid w:val="007C5F98"/>
    <w:rsid w:val="007C5FA6"/>
    <w:rsid w:val="007C640F"/>
    <w:rsid w:val="007C6741"/>
    <w:rsid w:val="007C692C"/>
    <w:rsid w:val="007C6956"/>
    <w:rsid w:val="007C6A42"/>
    <w:rsid w:val="007C6ACD"/>
    <w:rsid w:val="007C6CAB"/>
    <w:rsid w:val="007C7073"/>
    <w:rsid w:val="007C7399"/>
    <w:rsid w:val="007C73B7"/>
    <w:rsid w:val="007C7449"/>
    <w:rsid w:val="007C74FC"/>
    <w:rsid w:val="007C7540"/>
    <w:rsid w:val="007C76FB"/>
    <w:rsid w:val="007C7851"/>
    <w:rsid w:val="007C7911"/>
    <w:rsid w:val="007C792B"/>
    <w:rsid w:val="007C79F9"/>
    <w:rsid w:val="007C7C2F"/>
    <w:rsid w:val="007C7E2F"/>
    <w:rsid w:val="007C7F2C"/>
    <w:rsid w:val="007D00CF"/>
    <w:rsid w:val="007D030B"/>
    <w:rsid w:val="007D092D"/>
    <w:rsid w:val="007D0986"/>
    <w:rsid w:val="007D0BB8"/>
    <w:rsid w:val="007D0D31"/>
    <w:rsid w:val="007D0E33"/>
    <w:rsid w:val="007D101C"/>
    <w:rsid w:val="007D1303"/>
    <w:rsid w:val="007D132E"/>
    <w:rsid w:val="007D141C"/>
    <w:rsid w:val="007D141F"/>
    <w:rsid w:val="007D1509"/>
    <w:rsid w:val="007D16B1"/>
    <w:rsid w:val="007D172C"/>
    <w:rsid w:val="007D1956"/>
    <w:rsid w:val="007D19BA"/>
    <w:rsid w:val="007D1AAC"/>
    <w:rsid w:val="007D1BC7"/>
    <w:rsid w:val="007D2192"/>
    <w:rsid w:val="007D2392"/>
    <w:rsid w:val="007D299F"/>
    <w:rsid w:val="007D29CF"/>
    <w:rsid w:val="007D2D73"/>
    <w:rsid w:val="007D3184"/>
    <w:rsid w:val="007D31B2"/>
    <w:rsid w:val="007D3476"/>
    <w:rsid w:val="007D35BD"/>
    <w:rsid w:val="007D3890"/>
    <w:rsid w:val="007D3900"/>
    <w:rsid w:val="007D39B0"/>
    <w:rsid w:val="007D3B8A"/>
    <w:rsid w:val="007D421E"/>
    <w:rsid w:val="007D4341"/>
    <w:rsid w:val="007D442C"/>
    <w:rsid w:val="007D479A"/>
    <w:rsid w:val="007D4939"/>
    <w:rsid w:val="007D49BC"/>
    <w:rsid w:val="007D4A6C"/>
    <w:rsid w:val="007D4AC1"/>
    <w:rsid w:val="007D4F88"/>
    <w:rsid w:val="007D4FA3"/>
    <w:rsid w:val="007D51BE"/>
    <w:rsid w:val="007D531A"/>
    <w:rsid w:val="007D536D"/>
    <w:rsid w:val="007D59A7"/>
    <w:rsid w:val="007D5A32"/>
    <w:rsid w:val="007D5CEE"/>
    <w:rsid w:val="007D63A6"/>
    <w:rsid w:val="007D658D"/>
    <w:rsid w:val="007D65F7"/>
    <w:rsid w:val="007D66A3"/>
    <w:rsid w:val="007D6807"/>
    <w:rsid w:val="007D698B"/>
    <w:rsid w:val="007D6A05"/>
    <w:rsid w:val="007D6CA2"/>
    <w:rsid w:val="007D701F"/>
    <w:rsid w:val="007D70AD"/>
    <w:rsid w:val="007D713E"/>
    <w:rsid w:val="007D7168"/>
    <w:rsid w:val="007D72BF"/>
    <w:rsid w:val="007D72CC"/>
    <w:rsid w:val="007D72DC"/>
    <w:rsid w:val="007D73B9"/>
    <w:rsid w:val="007D75B7"/>
    <w:rsid w:val="007D7760"/>
    <w:rsid w:val="007D7B51"/>
    <w:rsid w:val="007D7BB6"/>
    <w:rsid w:val="007D7DE2"/>
    <w:rsid w:val="007E0163"/>
    <w:rsid w:val="007E020E"/>
    <w:rsid w:val="007E050E"/>
    <w:rsid w:val="007E0C72"/>
    <w:rsid w:val="007E0CA4"/>
    <w:rsid w:val="007E0DE1"/>
    <w:rsid w:val="007E0F5E"/>
    <w:rsid w:val="007E10C2"/>
    <w:rsid w:val="007E17EC"/>
    <w:rsid w:val="007E1A48"/>
    <w:rsid w:val="007E1E76"/>
    <w:rsid w:val="007E1EAF"/>
    <w:rsid w:val="007E1FE4"/>
    <w:rsid w:val="007E21FE"/>
    <w:rsid w:val="007E265D"/>
    <w:rsid w:val="007E29FF"/>
    <w:rsid w:val="007E2C67"/>
    <w:rsid w:val="007E2D6F"/>
    <w:rsid w:val="007E2E2C"/>
    <w:rsid w:val="007E2F78"/>
    <w:rsid w:val="007E3286"/>
    <w:rsid w:val="007E3315"/>
    <w:rsid w:val="007E3373"/>
    <w:rsid w:val="007E356A"/>
    <w:rsid w:val="007E3B6B"/>
    <w:rsid w:val="007E3C0D"/>
    <w:rsid w:val="007E3C14"/>
    <w:rsid w:val="007E42C8"/>
    <w:rsid w:val="007E476B"/>
    <w:rsid w:val="007E486F"/>
    <w:rsid w:val="007E4906"/>
    <w:rsid w:val="007E49E2"/>
    <w:rsid w:val="007E4A30"/>
    <w:rsid w:val="007E4B22"/>
    <w:rsid w:val="007E4C44"/>
    <w:rsid w:val="007E4EB9"/>
    <w:rsid w:val="007E4EBA"/>
    <w:rsid w:val="007E4F6D"/>
    <w:rsid w:val="007E50E3"/>
    <w:rsid w:val="007E512A"/>
    <w:rsid w:val="007E5156"/>
    <w:rsid w:val="007E523C"/>
    <w:rsid w:val="007E53BF"/>
    <w:rsid w:val="007E5A77"/>
    <w:rsid w:val="007E5AA3"/>
    <w:rsid w:val="007E5AA9"/>
    <w:rsid w:val="007E5C54"/>
    <w:rsid w:val="007E5D35"/>
    <w:rsid w:val="007E5DA0"/>
    <w:rsid w:val="007E5E1A"/>
    <w:rsid w:val="007E5E4C"/>
    <w:rsid w:val="007E5FCA"/>
    <w:rsid w:val="007E61AB"/>
    <w:rsid w:val="007E625A"/>
    <w:rsid w:val="007E63CB"/>
    <w:rsid w:val="007E63F0"/>
    <w:rsid w:val="007E6831"/>
    <w:rsid w:val="007E6A10"/>
    <w:rsid w:val="007E6AED"/>
    <w:rsid w:val="007E6BE4"/>
    <w:rsid w:val="007E6D02"/>
    <w:rsid w:val="007E6D7E"/>
    <w:rsid w:val="007E7100"/>
    <w:rsid w:val="007E775C"/>
    <w:rsid w:val="007E7843"/>
    <w:rsid w:val="007E7890"/>
    <w:rsid w:val="007E789A"/>
    <w:rsid w:val="007E7C7A"/>
    <w:rsid w:val="007E7E5B"/>
    <w:rsid w:val="007E7E97"/>
    <w:rsid w:val="007E7FC0"/>
    <w:rsid w:val="007F0000"/>
    <w:rsid w:val="007F0078"/>
    <w:rsid w:val="007F01D4"/>
    <w:rsid w:val="007F0BF2"/>
    <w:rsid w:val="007F0DCF"/>
    <w:rsid w:val="007F0E2F"/>
    <w:rsid w:val="007F0E41"/>
    <w:rsid w:val="007F0F92"/>
    <w:rsid w:val="007F0FB8"/>
    <w:rsid w:val="007F1083"/>
    <w:rsid w:val="007F1116"/>
    <w:rsid w:val="007F1203"/>
    <w:rsid w:val="007F137B"/>
    <w:rsid w:val="007F13CD"/>
    <w:rsid w:val="007F13FA"/>
    <w:rsid w:val="007F14E4"/>
    <w:rsid w:val="007F1829"/>
    <w:rsid w:val="007F1C02"/>
    <w:rsid w:val="007F1D86"/>
    <w:rsid w:val="007F2259"/>
    <w:rsid w:val="007F226D"/>
    <w:rsid w:val="007F236B"/>
    <w:rsid w:val="007F2739"/>
    <w:rsid w:val="007F2747"/>
    <w:rsid w:val="007F294B"/>
    <w:rsid w:val="007F29C9"/>
    <w:rsid w:val="007F2A55"/>
    <w:rsid w:val="007F2CA8"/>
    <w:rsid w:val="007F2DC2"/>
    <w:rsid w:val="007F33EC"/>
    <w:rsid w:val="007F3591"/>
    <w:rsid w:val="007F380E"/>
    <w:rsid w:val="007F3B38"/>
    <w:rsid w:val="007F3DD5"/>
    <w:rsid w:val="007F3DFB"/>
    <w:rsid w:val="007F3E02"/>
    <w:rsid w:val="007F49D7"/>
    <w:rsid w:val="007F525D"/>
    <w:rsid w:val="007F52A6"/>
    <w:rsid w:val="007F53FF"/>
    <w:rsid w:val="007F5789"/>
    <w:rsid w:val="007F5834"/>
    <w:rsid w:val="007F58E4"/>
    <w:rsid w:val="007F5C02"/>
    <w:rsid w:val="007F5E33"/>
    <w:rsid w:val="007F5FE3"/>
    <w:rsid w:val="007F622F"/>
    <w:rsid w:val="007F64A0"/>
    <w:rsid w:val="007F64CA"/>
    <w:rsid w:val="007F6758"/>
    <w:rsid w:val="007F68DA"/>
    <w:rsid w:val="007F6997"/>
    <w:rsid w:val="007F6AB2"/>
    <w:rsid w:val="007F6C94"/>
    <w:rsid w:val="007F6D66"/>
    <w:rsid w:val="007F70FD"/>
    <w:rsid w:val="007F729E"/>
    <w:rsid w:val="007F734B"/>
    <w:rsid w:val="007F749B"/>
    <w:rsid w:val="007F74A2"/>
    <w:rsid w:val="007F7568"/>
    <w:rsid w:val="007F7598"/>
    <w:rsid w:val="007F762B"/>
    <w:rsid w:val="007F7860"/>
    <w:rsid w:val="007F7877"/>
    <w:rsid w:val="007F7892"/>
    <w:rsid w:val="007F7A96"/>
    <w:rsid w:val="007F7BB2"/>
    <w:rsid w:val="007F7C4E"/>
    <w:rsid w:val="007F7E1C"/>
    <w:rsid w:val="007F7EAC"/>
    <w:rsid w:val="00800065"/>
    <w:rsid w:val="008001AD"/>
    <w:rsid w:val="008004E7"/>
    <w:rsid w:val="0080050C"/>
    <w:rsid w:val="0080058A"/>
    <w:rsid w:val="0080061A"/>
    <w:rsid w:val="008006A9"/>
    <w:rsid w:val="008008A8"/>
    <w:rsid w:val="00800B65"/>
    <w:rsid w:val="00800DBF"/>
    <w:rsid w:val="008010F8"/>
    <w:rsid w:val="008011B2"/>
    <w:rsid w:val="00801687"/>
    <w:rsid w:val="00801805"/>
    <w:rsid w:val="00801AF1"/>
    <w:rsid w:val="00801C34"/>
    <w:rsid w:val="00801C80"/>
    <w:rsid w:val="00801D87"/>
    <w:rsid w:val="00801F47"/>
    <w:rsid w:val="008023E7"/>
    <w:rsid w:val="00802479"/>
    <w:rsid w:val="0080276C"/>
    <w:rsid w:val="0080294C"/>
    <w:rsid w:val="00802C00"/>
    <w:rsid w:val="00802CEF"/>
    <w:rsid w:val="00802D00"/>
    <w:rsid w:val="00803564"/>
    <w:rsid w:val="008036BB"/>
    <w:rsid w:val="008039D4"/>
    <w:rsid w:val="00803CC1"/>
    <w:rsid w:val="00803CE1"/>
    <w:rsid w:val="00803EC3"/>
    <w:rsid w:val="00803FC2"/>
    <w:rsid w:val="00804010"/>
    <w:rsid w:val="008041A4"/>
    <w:rsid w:val="00804269"/>
    <w:rsid w:val="008045F8"/>
    <w:rsid w:val="00804AE9"/>
    <w:rsid w:val="00804E95"/>
    <w:rsid w:val="00805293"/>
    <w:rsid w:val="008056EC"/>
    <w:rsid w:val="00805725"/>
    <w:rsid w:val="00805864"/>
    <w:rsid w:val="0080586A"/>
    <w:rsid w:val="00805925"/>
    <w:rsid w:val="00805A2A"/>
    <w:rsid w:val="00805AF5"/>
    <w:rsid w:val="00805D35"/>
    <w:rsid w:val="00805F4D"/>
    <w:rsid w:val="00805F56"/>
    <w:rsid w:val="008060C8"/>
    <w:rsid w:val="0080620F"/>
    <w:rsid w:val="00806418"/>
    <w:rsid w:val="00806513"/>
    <w:rsid w:val="0080652D"/>
    <w:rsid w:val="0080662F"/>
    <w:rsid w:val="00806CFC"/>
    <w:rsid w:val="008073DF"/>
    <w:rsid w:val="00807494"/>
    <w:rsid w:val="0080765C"/>
    <w:rsid w:val="008077A0"/>
    <w:rsid w:val="00807AA9"/>
    <w:rsid w:val="00807BAD"/>
    <w:rsid w:val="0081005A"/>
    <w:rsid w:val="00810091"/>
    <w:rsid w:val="008103D1"/>
    <w:rsid w:val="00810442"/>
    <w:rsid w:val="008104D4"/>
    <w:rsid w:val="008107C3"/>
    <w:rsid w:val="0081099E"/>
    <w:rsid w:val="00810E5D"/>
    <w:rsid w:val="00810F5C"/>
    <w:rsid w:val="00811355"/>
    <w:rsid w:val="008113CC"/>
    <w:rsid w:val="00811431"/>
    <w:rsid w:val="008116EB"/>
    <w:rsid w:val="00811706"/>
    <w:rsid w:val="008117BF"/>
    <w:rsid w:val="00811900"/>
    <w:rsid w:val="00811C81"/>
    <w:rsid w:val="00811D26"/>
    <w:rsid w:val="00811FB9"/>
    <w:rsid w:val="00812128"/>
    <w:rsid w:val="00812342"/>
    <w:rsid w:val="00812597"/>
    <w:rsid w:val="00812688"/>
    <w:rsid w:val="00812723"/>
    <w:rsid w:val="00812752"/>
    <w:rsid w:val="00812773"/>
    <w:rsid w:val="00812928"/>
    <w:rsid w:val="0081294C"/>
    <w:rsid w:val="00812A89"/>
    <w:rsid w:val="00812BE6"/>
    <w:rsid w:val="00812C74"/>
    <w:rsid w:val="00812FE6"/>
    <w:rsid w:val="008130BF"/>
    <w:rsid w:val="00813163"/>
    <w:rsid w:val="008132CA"/>
    <w:rsid w:val="008133DD"/>
    <w:rsid w:val="008134D0"/>
    <w:rsid w:val="0081398D"/>
    <w:rsid w:val="00813A30"/>
    <w:rsid w:val="00813AC8"/>
    <w:rsid w:val="00813E79"/>
    <w:rsid w:val="008140B9"/>
    <w:rsid w:val="008141C9"/>
    <w:rsid w:val="00814326"/>
    <w:rsid w:val="008146A1"/>
    <w:rsid w:val="008147D7"/>
    <w:rsid w:val="008147DA"/>
    <w:rsid w:val="00814A6A"/>
    <w:rsid w:val="00814C9F"/>
    <w:rsid w:val="00814D75"/>
    <w:rsid w:val="00814ED4"/>
    <w:rsid w:val="008152E3"/>
    <w:rsid w:val="0081557C"/>
    <w:rsid w:val="008157BE"/>
    <w:rsid w:val="008157C2"/>
    <w:rsid w:val="008159B1"/>
    <w:rsid w:val="00815B95"/>
    <w:rsid w:val="00815C29"/>
    <w:rsid w:val="00815F42"/>
    <w:rsid w:val="008161D4"/>
    <w:rsid w:val="008164CE"/>
    <w:rsid w:val="00816729"/>
    <w:rsid w:val="0081681F"/>
    <w:rsid w:val="008168D2"/>
    <w:rsid w:val="00816A6C"/>
    <w:rsid w:val="00816D6E"/>
    <w:rsid w:val="00816EDE"/>
    <w:rsid w:val="0081717B"/>
    <w:rsid w:val="008179E0"/>
    <w:rsid w:val="00817B06"/>
    <w:rsid w:val="00817CE1"/>
    <w:rsid w:val="008200B4"/>
    <w:rsid w:val="00820282"/>
    <w:rsid w:val="008203F7"/>
    <w:rsid w:val="0082042E"/>
    <w:rsid w:val="008205FF"/>
    <w:rsid w:val="00820651"/>
    <w:rsid w:val="008206AE"/>
    <w:rsid w:val="008207D9"/>
    <w:rsid w:val="00820952"/>
    <w:rsid w:val="00820C5F"/>
    <w:rsid w:val="00820EAB"/>
    <w:rsid w:val="00820FEC"/>
    <w:rsid w:val="0082117F"/>
    <w:rsid w:val="00821357"/>
    <w:rsid w:val="0082181B"/>
    <w:rsid w:val="0082193C"/>
    <w:rsid w:val="008219BE"/>
    <w:rsid w:val="00821C09"/>
    <w:rsid w:val="00821E8D"/>
    <w:rsid w:val="008222D9"/>
    <w:rsid w:val="008222DF"/>
    <w:rsid w:val="00822701"/>
    <w:rsid w:val="00822715"/>
    <w:rsid w:val="00822850"/>
    <w:rsid w:val="00822967"/>
    <w:rsid w:val="00822AC7"/>
    <w:rsid w:val="00822BB2"/>
    <w:rsid w:val="00822C9A"/>
    <w:rsid w:val="00823336"/>
    <w:rsid w:val="008233EC"/>
    <w:rsid w:val="0082355E"/>
    <w:rsid w:val="00823884"/>
    <w:rsid w:val="008238FC"/>
    <w:rsid w:val="00823B6C"/>
    <w:rsid w:val="00823E6A"/>
    <w:rsid w:val="00823F12"/>
    <w:rsid w:val="00824090"/>
    <w:rsid w:val="00824272"/>
    <w:rsid w:val="0082457A"/>
    <w:rsid w:val="00824676"/>
    <w:rsid w:val="00824AFB"/>
    <w:rsid w:val="00824C7C"/>
    <w:rsid w:val="00824D42"/>
    <w:rsid w:val="00824E7D"/>
    <w:rsid w:val="00825393"/>
    <w:rsid w:val="00825629"/>
    <w:rsid w:val="00825756"/>
    <w:rsid w:val="00825893"/>
    <w:rsid w:val="00825A0F"/>
    <w:rsid w:val="00825AA7"/>
    <w:rsid w:val="00825B32"/>
    <w:rsid w:val="00825DEA"/>
    <w:rsid w:val="00826159"/>
    <w:rsid w:val="0082619C"/>
    <w:rsid w:val="008264F7"/>
    <w:rsid w:val="00826658"/>
    <w:rsid w:val="008266E1"/>
    <w:rsid w:val="008267B9"/>
    <w:rsid w:val="00826B33"/>
    <w:rsid w:val="00826F12"/>
    <w:rsid w:val="00826F1A"/>
    <w:rsid w:val="00827051"/>
    <w:rsid w:val="0082739E"/>
    <w:rsid w:val="008273B6"/>
    <w:rsid w:val="008274EB"/>
    <w:rsid w:val="00827537"/>
    <w:rsid w:val="008275B9"/>
    <w:rsid w:val="0082761A"/>
    <w:rsid w:val="00827769"/>
    <w:rsid w:val="008278C7"/>
    <w:rsid w:val="00827A0E"/>
    <w:rsid w:val="00827C04"/>
    <w:rsid w:val="00827CBE"/>
    <w:rsid w:val="00827EA4"/>
    <w:rsid w:val="00830319"/>
    <w:rsid w:val="0083036B"/>
    <w:rsid w:val="00830487"/>
    <w:rsid w:val="0083067C"/>
    <w:rsid w:val="0083071D"/>
    <w:rsid w:val="00830778"/>
    <w:rsid w:val="00830812"/>
    <w:rsid w:val="0083089A"/>
    <w:rsid w:val="0083093B"/>
    <w:rsid w:val="00830CB5"/>
    <w:rsid w:val="0083103A"/>
    <w:rsid w:val="008310FF"/>
    <w:rsid w:val="00831328"/>
    <w:rsid w:val="008315B1"/>
    <w:rsid w:val="008315D4"/>
    <w:rsid w:val="008318D6"/>
    <w:rsid w:val="00831953"/>
    <w:rsid w:val="00831A0D"/>
    <w:rsid w:val="00831A66"/>
    <w:rsid w:val="00831C01"/>
    <w:rsid w:val="00831C14"/>
    <w:rsid w:val="00831EF3"/>
    <w:rsid w:val="00832128"/>
    <w:rsid w:val="0083229C"/>
    <w:rsid w:val="008322E0"/>
    <w:rsid w:val="008325F0"/>
    <w:rsid w:val="0083284A"/>
    <w:rsid w:val="00832915"/>
    <w:rsid w:val="00832A47"/>
    <w:rsid w:val="00832CE4"/>
    <w:rsid w:val="008330AC"/>
    <w:rsid w:val="008330FB"/>
    <w:rsid w:val="008331BD"/>
    <w:rsid w:val="00833429"/>
    <w:rsid w:val="008335E2"/>
    <w:rsid w:val="00833636"/>
    <w:rsid w:val="008336BD"/>
    <w:rsid w:val="00833720"/>
    <w:rsid w:val="0083375F"/>
    <w:rsid w:val="00833A9E"/>
    <w:rsid w:val="00833B7C"/>
    <w:rsid w:val="00833DAB"/>
    <w:rsid w:val="00833ED9"/>
    <w:rsid w:val="00833F45"/>
    <w:rsid w:val="008340D1"/>
    <w:rsid w:val="00834482"/>
    <w:rsid w:val="0083449F"/>
    <w:rsid w:val="008345CD"/>
    <w:rsid w:val="00834720"/>
    <w:rsid w:val="00834817"/>
    <w:rsid w:val="008348D2"/>
    <w:rsid w:val="00834952"/>
    <w:rsid w:val="00834A33"/>
    <w:rsid w:val="00834C03"/>
    <w:rsid w:val="00834CD1"/>
    <w:rsid w:val="00834E7E"/>
    <w:rsid w:val="00834EA6"/>
    <w:rsid w:val="00834EBC"/>
    <w:rsid w:val="008350ED"/>
    <w:rsid w:val="0083530B"/>
    <w:rsid w:val="00835415"/>
    <w:rsid w:val="0083565C"/>
    <w:rsid w:val="00835693"/>
    <w:rsid w:val="008359B5"/>
    <w:rsid w:val="00835AC9"/>
    <w:rsid w:val="00835D5A"/>
    <w:rsid w:val="00835D7A"/>
    <w:rsid w:val="00835E83"/>
    <w:rsid w:val="008360F1"/>
    <w:rsid w:val="00836175"/>
    <w:rsid w:val="008362C3"/>
    <w:rsid w:val="008363EA"/>
    <w:rsid w:val="00836590"/>
    <w:rsid w:val="0083685B"/>
    <w:rsid w:val="00836AD2"/>
    <w:rsid w:val="00836B8F"/>
    <w:rsid w:val="00836C2E"/>
    <w:rsid w:val="00836C76"/>
    <w:rsid w:val="00836E21"/>
    <w:rsid w:val="00836FEC"/>
    <w:rsid w:val="00837133"/>
    <w:rsid w:val="008375CC"/>
    <w:rsid w:val="00837647"/>
    <w:rsid w:val="008378D9"/>
    <w:rsid w:val="00837AE6"/>
    <w:rsid w:val="00837D48"/>
    <w:rsid w:val="00837EB2"/>
    <w:rsid w:val="00840029"/>
    <w:rsid w:val="00840389"/>
    <w:rsid w:val="008403B1"/>
    <w:rsid w:val="00840524"/>
    <w:rsid w:val="008405C0"/>
    <w:rsid w:val="008406F0"/>
    <w:rsid w:val="0084073B"/>
    <w:rsid w:val="00840A48"/>
    <w:rsid w:val="00841125"/>
    <w:rsid w:val="008415CC"/>
    <w:rsid w:val="00841831"/>
    <w:rsid w:val="00841928"/>
    <w:rsid w:val="00841EB8"/>
    <w:rsid w:val="00842099"/>
    <w:rsid w:val="00842226"/>
    <w:rsid w:val="00842468"/>
    <w:rsid w:val="0084258C"/>
    <w:rsid w:val="0084262E"/>
    <w:rsid w:val="008426CB"/>
    <w:rsid w:val="008426CF"/>
    <w:rsid w:val="00842794"/>
    <w:rsid w:val="0084284E"/>
    <w:rsid w:val="00842855"/>
    <w:rsid w:val="00842862"/>
    <w:rsid w:val="00842957"/>
    <w:rsid w:val="008429CE"/>
    <w:rsid w:val="00842A6A"/>
    <w:rsid w:val="00842D2D"/>
    <w:rsid w:val="00842FCE"/>
    <w:rsid w:val="0084333A"/>
    <w:rsid w:val="008433CF"/>
    <w:rsid w:val="008434A3"/>
    <w:rsid w:val="0084356E"/>
    <w:rsid w:val="00843A43"/>
    <w:rsid w:val="00843AE5"/>
    <w:rsid w:val="00843D22"/>
    <w:rsid w:val="00843D64"/>
    <w:rsid w:val="00843DDC"/>
    <w:rsid w:val="00843E14"/>
    <w:rsid w:val="00843E40"/>
    <w:rsid w:val="0084428F"/>
    <w:rsid w:val="008447CA"/>
    <w:rsid w:val="00844935"/>
    <w:rsid w:val="00844A64"/>
    <w:rsid w:val="00844BF4"/>
    <w:rsid w:val="0084511B"/>
    <w:rsid w:val="00845199"/>
    <w:rsid w:val="008452D4"/>
    <w:rsid w:val="008455C7"/>
    <w:rsid w:val="008455CB"/>
    <w:rsid w:val="0084574F"/>
    <w:rsid w:val="0084588C"/>
    <w:rsid w:val="008458A7"/>
    <w:rsid w:val="00845B40"/>
    <w:rsid w:val="00845CD1"/>
    <w:rsid w:val="00845D38"/>
    <w:rsid w:val="00845F24"/>
    <w:rsid w:val="00845F51"/>
    <w:rsid w:val="008460E9"/>
    <w:rsid w:val="0084614F"/>
    <w:rsid w:val="008465B2"/>
    <w:rsid w:val="0084673E"/>
    <w:rsid w:val="00846837"/>
    <w:rsid w:val="00846E0A"/>
    <w:rsid w:val="00846E53"/>
    <w:rsid w:val="00846E8A"/>
    <w:rsid w:val="00846F53"/>
    <w:rsid w:val="008472B0"/>
    <w:rsid w:val="008472BF"/>
    <w:rsid w:val="0084735E"/>
    <w:rsid w:val="0084767C"/>
    <w:rsid w:val="00847695"/>
    <w:rsid w:val="0084781E"/>
    <w:rsid w:val="00847DFE"/>
    <w:rsid w:val="00850013"/>
    <w:rsid w:val="008501B1"/>
    <w:rsid w:val="00850547"/>
    <w:rsid w:val="008506A8"/>
    <w:rsid w:val="0085080B"/>
    <w:rsid w:val="008509C9"/>
    <w:rsid w:val="00850A52"/>
    <w:rsid w:val="00850BD8"/>
    <w:rsid w:val="00850D55"/>
    <w:rsid w:val="00850D5D"/>
    <w:rsid w:val="0085106A"/>
    <w:rsid w:val="00851099"/>
    <w:rsid w:val="0085110B"/>
    <w:rsid w:val="00851111"/>
    <w:rsid w:val="00851123"/>
    <w:rsid w:val="00851447"/>
    <w:rsid w:val="008514FC"/>
    <w:rsid w:val="008515D5"/>
    <w:rsid w:val="0085163C"/>
    <w:rsid w:val="008516BD"/>
    <w:rsid w:val="00851845"/>
    <w:rsid w:val="00851C30"/>
    <w:rsid w:val="00851E0B"/>
    <w:rsid w:val="00851E7F"/>
    <w:rsid w:val="00851ED2"/>
    <w:rsid w:val="00851F59"/>
    <w:rsid w:val="00852110"/>
    <w:rsid w:val="00852355"/>
    <w:rsid w:val="0085242E"/>
    <w:rsid w:val="008525CF"/>
    <w:rsid w:val="0085290C"/>
    <w:rsid w:val="00852993"/>
    <w:rsid w:val="00852A37"/>
    <w:rsid w:val="00852B5C"/>
    <w:rsid w:val="00852E9B"/>
    <w:rsid w:val="00852F35"/>
    <w:rsid w:val="008531F4"/>
    <w:rsid w:val="00853307"/>
    <w:rsid w:val="00853354"/>
    <w:rsid w:val="008533E3"/>
    <w:rsid w:val="00853522"/>
    <w:rsid w:val="0085356E"/>
    <w:rsid w:val="00853602"/>
    <w:rsid w:val="008537DF"/>
    <w:rsid w:val="0085380E"/>
    <w:rsid w:val="00853961"/>
    <w:rsid w:val="0085398A"/>
    <w:rsid w:val="00853CC9"/>
    <w:rsid w:val="008542CC"/>
    <w:rsid w:val="008543FB"/>
    <w:rsid w:val="0085443F"/>
    <w:rsid w:val="008544B4"/>
    <w:rsid w:val="008544D5"/>
    <w:rsid w:val="00854528"/>
    <w:rsid w:val="00854649"/>
    <w:rsid w:val="0085475C"/>
    <w:rsid w:val="00854965"/>
    <w:rsid w:val="008549E8"/>
    <w:rsid w:val="00854B2C"/>
    <w:rsid w:val="00854E3A"/>
    <w:rsid w:val="00854E93"/>
    <w:rsid w:val="00854F85"/>
    <w:rsid w:val="00855142"/>
    <w:rsid w:val="00855327"/>
    <w:rsid w:val="008555F2"/>
    <w:rsid w:val="008557C9"/>
    <w:rsid w:val="008557D7"/>
    <w:rsid w:val="008557DC"/>
    <w:rsid w:val="00855859"/>
    <w:rsid w:val="00855876"/>
    <w:rsid w:val="00855D34"/>
    <w:rsid w:val="00855DF5"/>
    <w:rsid w:val="00855E9E"/>
    <w:rsid w:val="008560A3"/>
    <w:rsid w:val="008566B3"/>
    <w:rsid w:val="00856806"/>
    <w:rsid w:val="00856AF2"/>
    <w:rsid w:val="00856BED"/>
    <w:rsid w:val="0085700E"/>
    <w:rsid w:val="0085758B"/>
    <w:rsid w:val="0085758F"/>
    <w:rsid w:val="0085777A"/>
    <w:rsid w:val="008578E3"/>
    <w:rsid w:val="00857964"/>
    <w:rsid w:val="00857A93"/>
    <w:rsid w:val="00857A96"/>
    <w:rsid w:val="00857B3C"/>
    <w:rsid w:val="00857B70"/>
    <w:rsid w:val="00857BD7"/>
    <w:rsid w:val="00857E56"/>
    <w:rsid w:val="00857F8A"/>
    <w:rsid w:val="0086002F"/>
    <w:rsid w:val="00860083"/>
    <w:rsid w:val="0086013C"/>
    <w:rsid w:val="008602DA"/>
    <w:rsid w:val="00860394"/>
    <w:rsid w:val="008605BD"/>
    <w:rsid w:val="0086068A"/>
    <w:rsid w:val="00860973"/>
    <w:rsid w:val="00860B77"/>
    <w:rsid w:val="00860CA8"/>
    <w:rsid w:val="00860D1B"/>
    <w:rsid w:val="008610EC"/>
    <w:rsid w:val="00861152"/>
    <w:rsid w:val="0086136B"/>
    <w:rsid w:val="0086138B"/>
    <w:rsid w:val="008615B9"/>
    <w:rsid w:val="008615D9"/>
    <w:rsid w:val="00861667"/>
    <w:rsid w:val="00861704"/>
    <w:rsid w:val="008617B4"/>
    <w:rsid w:val="0086183E"/>
    <w:rsid w:val="00861974"/>
    <w:rsid w:val="00861BE3"/>
    <w:rsid w:val="00861E32"/>
    <w:rsid w:val="00861F11"/>
    <w:rsid w:val="00862147"/>
    <w:rsid w:val="0086221E"/>
    <w:rsid w:val="00862441"/>
    <w:rsid w:val="008625C5"/>
    <w:rsid w:val="008625C9"/>
    <w:rsid w:val="008625CA"/>
    <w:rsid w:val="0086278F"/>
    <w:rsid w:val="008627D0"/>
    <w:rsid w:val="00862832"/>
    <w:rsid w:val="0086303D"/>
    <w:rsid w:val="00863085"/>
    <w:rsid w:val="008631CE"/>
    <w:rsid w:val="008634B1"/>
    <w:rsid w:val="00863671"/>
    <w:rsid w:val="0086381E"/>
    <w:rsid w:val="00863A97"/>
    <w:rsid w:val="00863AAC"/>
    <w:rsid w:val="00863AD3"/>
    <w:rsid w:val="00863CB3"/>
    <w:rsid w:val="00863D62"/>
    <w:rsid w:val="00863E31"/>
    <w:rsid w:val="00863E68"/>
    <w:rsid w:val="0086426C"/>
    <w:rsid w:val="008646AE"/>
    <w:rsid w:val="008647F7"/>
    <w:rsid w:val="008648B5"/>
    <w:rsid w:val="00864C61"/>
    <w:rsid w:val="00864F25"/>
    <w:rsid w:val="00865125"/>
    <w:rsid w:val="00865318"/>
    <w:rsid w:val="0086553C"/>
    <w:rsid w:val="008658D2"/>
    <w:rsid w:val="00865A4D"/>
    <w:rsid w:val="00865A78"/>
    <w:rsid w:val="00865C39"/>
    <w:rsid w:val="00865D15"/>
    <w:rsid w:val="00865E5F"/>
    <w:rsid w:val="00866004"/>
    <w:rsid w:val="0086627E"/>
    <w:rsid w:val="0086640E"/>
    <w:rsid w:val="0086641A"/>
    <w:rsid w:val="0086644D"/>
    <w:rsid w:val="008665DC"/>
    <w:rsid w:val="00866773"/>
    <w:rsid w:val="0086689F"/>
    <w:rsid w:val="00866E81"/>
    <w:rsid w:val="00866ED8"/>
    <w:rsid w:val="008671B3"/>
    <w:rsid w:val="00867295"/>
    <w:rsid w:val="00867423"/>
    <w:rsid w:val="0086793D"/>
    <w:rsid w:val="00867C0C"/>
    <w:rsid w:val="00867F20"/>
    <w:rsid w:val="00867F68"/>
    <w:rsid w:val="00867FDF"/>
    <w:rsid w:val="008702B1"/>
    <w:rsid w:val="00870532"/>
    <w:rsid w:val="00870757"/>
    <w:rsid w:val="0087082B"/>
    <w:rsid w:val="00870AE2"/>
    <w:rsid w:val="00870D33"/>
    <w:rsid w:val="00870E54"/>
    <w:rsid w:val="00870E84"/>
    <w:rsid w:val="00870FE3"/>
    <w:rsid w:val="00871059"/>
    <w:rsid w:val="0087120E"/>
    <w:rsid w:val="00871359"/>
    <w:rsid w:val="00871360"/>
    <w:rsid w:val="008714B2"/>
    <w:rsid w:val="0087152F"/>
    <w:rsid w:val="0087157F"/>
    <w:rsid w:val="008715BF"/>
    <w:rsid w:val="008719B7"/>
    <w:rsid w:val="00871A23"/>
    <w:rsid w:val="00871A63"/>
    <w:rsid w:val="00871B6B"/>
    <w:rsid w:val="00871B90"/>
    <w:rsid w:val="00871E06"/>
    <w:rsid w:val="00871F41"/>
    <w:rsid w:val="00871FF9"/>
    <w:rsid w:val="00871FFC"/>
    <w:rsid w:val="008720E5"/>
    <w:rsid w:val="0087216A"/>
    <w:rsid w:val="00872583"/>
    <w:rsid w:val="008726A0"/>
    <w:rsid w:val="0087274A"/>
    <w:rsid w:val="00872924"/>
    <w:rsid w:val="00872A21"/>
    <w:rsid w:val="00872B5F"/>
    <w:rsid w:val="00872C94"/>
    <w:rsid w:val="00872E4E"/>
    <w:rsid w:val="00872F36"/>
    <w:rsid w:val="00872F86"/>
    <w:rsid w:val="0087319D"/>
    <w:rsid w:val="0087327D"/>
    <w:rsid w:val="008737D3"/>
    <w:rsid w:val="00873E0E"/>
    <w:rsid w:val="00873F8D"/>
    <w:rsid w:val="00874425"/>
    <w:rsid w:val="008745CF"/>
    <w:rsid w:val="0087492C"/>
    <w:rsid w:val="00874CBB"/>
    <w:rsid w:val="00874D20"/>
    <w:rsid w:val="00874F90"/>
    <w:rsid w:val="008750BB"/>
    <w:rsid w:val="00875227"/>
    <w:rsid w:val="00875364"/>
    <w:rsid w:val="008753F7"/>
    <w:rsid w:val="00875484"/>
    <w:rsid w:val="00875525"/>
    <w:rsid w:val="008756FE"/>
    <w:rsid w:val="008757C8"/>
    <w:rsid w:val="00875A31"/>
    <w:rsid w:val="00875BCF"/>
    <w:rsid w:val="00875BFE"/>
    <w:rsid w:val="00875D8F"/>
    <w:rsid w:val="00875E0D"/>
    <w:rsid w:val="00875E23"/>
    <w:rsid w:val="00875E2E"/>
    <w:rsid w:val="00875F3D"/>
    <w:rsid w:val="00875F6A"/>
    <w:rsid w:val="00875FCD"/>
    <w:rsid w:val="008760C1"/>
    <w:rsid w:val="008763ED"/>
    <w:rsid w:val="008764E5"/>
    <w:rsid w:val="00876560"/>
    <w:rsid w:val="00876733"/>
    <w:rsid w:val="0087698B"/>
    <w:rsid w:val="00876A25"/>
    <w:rsid w:val="00876B2C"/>
    <w:rsid w:val="00876EC5"/>
    <w:rsid w:val="00876F16"/>
    <w:rsid w:val="00877179"/>
    <w:rsid w:val="008772A7"/>
    <w:rsid w:val="0087741B"/>
    <w:rsid w:val="008774E5"/>
    <w:rsid w:val="00877506"/>
    <w:rsid w:val="008776D2"/>
    <w:rsid w:val="00877CBF"/>
    <w:rsid w:val="00877F7C"/>
    <w:rsid w:val="0088012E"/>
    <w:rsid w:val="0088020B"/>
    <w:rsid w:val="0088026F"/>
    <w:rsid w:val="00880662"/>
    <w:rsid w:val="008809D8"/>
    <w:rsid w:val="00880AC3"/>
    <w:rsid w:val="00880B47"/>
    <w:rsid w:val="00880B4C"/>
    <w:rsid w:val="00880BC3"/>
    <w:rsid w:val="00880CD6"/>
    <w:rsid w:val="00880D3B"/>
    <w:rsid w:val="0088102C"/>
    <w:rsid w:val="008810D7"/>
    <w:rsid w:val="00881642"/>
    <w:rsid w:val="00881ED3"/>
    <w:rsid w:val="00881ED7"/>
    <w:rsid w:val="00881EED"/>
    <w:rsid w:val="00881FCD"/>
    <w:rsid w:val="00882173"/>
    <w:rsid w:val="0088227D"/>
    <w:rsid w:val="00882427"/>
    <w:rsid w:val="008824F2"/>
    <w:rsid w:val="008826AE"/>
    <w:rsid w:val="00882B24"/>
    <w:rsid w:val="00882B8C"/>
    <w:rsid w:val="00882BB3"/>
    <w:rsid w:val="00882C19"/>
    <w:rsid w:val="00882D53"/>
    <w:rsid w:val="00882E8F"/>
    <w:rsid w:val="00883282"/>
    <w:rsid w:val="00883437"/>
    <w:rsid w:val="008834C5"/>
    <w:rsid w:val="00883AE3"/>
    <w:rsid w:val="00883C24"/>
    <w:rsid w:val="00883F7C"/>
    <w:rsid w:val="008845CD"/>
    <w:rsid w:val="00884695"/>
    <w:rsid w:val="00884804"/>
    <w:rsid w:val="00884B05"/>
    <w:rsid w:val="00884BBB"/>
    <w:rsid w:val="00885241"/>
    <w:rsid w:val="008853BF"/>
    <w:rsid w:val="008853F8"/>
    <w:rsid w:val="00885485"/>
    <w:rsid w:val="00885903"/>
    <w:rsid w:val="0088592B"/>
    <w:rsid w:val="00885C14"/>
    <w:rsid w:val="00885CE3"/>
    <w:rsid w:val="00885F7F"/>
    <w:rsid w:val="008861E8"/>
    <w:rsid w:val="0088640C"/>
    <w:rsid w:val="008865C4"/>
    <w:rsid w:val="00886A5E"/>
    <w:rsid w:val="00886E48"/>
    <w:rsid w:val="00886F0F"/>
    <w:rsid w:val="00887045"/>
    <w:rsid w:val="00887081"/>
    <w:rsid w:val="00887185"/>
    <w:rsid w:val="0088771F"/>
    <w:rsid w:val="00887825"/>
    <w:rsid w:val="00887876"/>
    <w:rsid w:val="0088798C"/>
    <w:rsid w:val="00887B15"/>
    <w:rsid w:val="00887C38"/>
    <w:rsid w:val="00887C56"/>
    <w:rsid w:val="00887D19"/>
    <w:rsid w:val="008901DF"/>
    <w:rsid w:val="008905A6"/>
    <w:rsid w:val="008908B9"/>
    <w:rsid w:val="00890989"/>
    <w:rsid w:val="00890AA4"/>
    <w:rsid w:val="00890E99"/>
    <w:rsid w:val="00890EB6"/>
    <w:rsid w:val="00890F73"/>
    <w:rsid w:val="0089100E"/>
    <w:rsid w:val="008913D4"/>
    <w:rsid w:val="008914D0"/>
    <w:rsid w:val="00891595"/>
    <w:rsid w:val="00891866"/>
    <w:rsid w:val="00891952"/>
    <w:rsid w:val="0089195B"/>
    <w:rsid w:val="00891DD3"/>
    <w:rsid w:val="00892193"/>
    <w:rsid w:val="00892515"/>
    <w:rsid w:val="00892914"/>
    <w:rsid w:val="0089297F"/>
    <w:rsid w:val="00892CEC"/>
    <w:rsid w:val="008933D2"/>
    <w:rsid w:val="0089374A"/>
    <w:rsid w:val="0089385C"/>
    <w:rsid w:val="00893A59"/>
    <w:rsid w:val="00894384"/>
    <w:rsid w:val="00894393"/>
    <w:rsid w:val="0089464E"/>
    <w:rsid w:val="0089469A"/>
    <w:rsid w:val="0089477A"/>
    <w:rsid w:val="00894974"/>
    <w:rsid w:val="00894A18"/>
    <w:rsid w:val="008950BB"/>
    <w:rsid w:val="008951DD"/>
    <w:rsid w:val="008952B7"/>
    <w:rsid w:val="008953BD"/>
    <w:rsid w:val="008953EC"/>
    <w:rsid w:val="008954EF"/>
    <w:rsid w:val="00895513"/>
    <w:rsid w:val="00895530"/>
    <w:rsid w:val="008956E6"/>
    <w:rsid w:val="00895827"/>
    <w:rsid w:val="00895A33"/>
    <w:rsid w:val="00895EA3"/>
    <w:rsid w:val="00896093"/>
    <w:rsid w:val="00896216"/>
    <w:rsid w:val="00896433"/>
    <w:rsid w:val="00896483"/>
    <w:rsid w:val="008965ED"/>
    <w:rsid w:val="00896E23"/>
    <w:rsid w:val="0089708D"/>
    <w:rsid w:val="00897111"/>
    <w:rsid w:val="0089736E"/>
    <w:rsid w:val="008974DA"/>
    <w:rsid w:val="0089767F"/>
    <w:rsid w:val="0089791B"/>
    <w:rsid w:val="00897A27"/>
    <w:rsid w:val="00897B69"/>
    <w:rsid w:val="00897EF0"/>
    <w:rsid w:val="00897FA3"/>
    <w:rsid w:val="008A0054"/>
    <w:rsid w:val="008A007F"/>
    <w:rsid w:val="008A0361"/>
    <w:rsid w:val="008A03F1"/>
    <w:rsid w:val="008A051A"/>
    <w:rsid w:val="008A063F"/>
    <w:rsid w:val="008A06F6"/>
    <w:rsid w:val="008A0786"/>
    <w:rsid w:val="008A0838"/>
    <w:rsid w:val="008A086B"/>
    <w:rsid w:val="008A0B19"/>
    <w:rsid w:val="008A0D02"/>
    <w:rsid w:val="008A0DF7"/>
    <w:rsid w:val="008A11C0"/>
    <w:rsid w:val="008A1265"/>
    <w:rsid w:val="008A1298"/>
    <w:rsid w:val="008A1475"/>
    <w:rsid w:val="008A14EF"/>
    <w:rsid w:val="008A16AC"/>
    <w:rsid w:val="008A198C"/>
    <w:rsid w:val="008A1BB8"/>
    <w:rsid w:val="008A1C95"/>
    <w:rsid w:val="008A1D17"/>
    <w:rsid w:val="008A1E4D"/>
    <w:rsid w:val="008A1F33"/>
    <w:rsid w:val="008A28C8"/>
    <w:rsid w:val="008A2B25"/>
    <w:rsid w:val="008A2C85"/>
    <w:rsid w:val="008A2D40"/>
    <w:rsid w:val="008A2D73"/>
    <w:rsid w:val="008A2EAC"/>
    <w:rsid w:val="008A3036"/>
    <w:rsid w:val="008A3209"/>
    <w:rsid w:val="008A3315"/>
    <w:rsid w:val="008A36C9"/>
    <w:rsid w:val="008A3871"/>
    <w:rsid w:val="008A3DBD"/>
    <w:rsid w:val="008A3DE0"/>
    <w:rsid w:val="008A3E0B"/>
    <w:rsid w:val="008A3E15"/>
    <w:rsid w:val="008A4226"/>
    <w:rsid w:val="008A43B7"/>
    <w:rsid w:val="008A43BA"/>
    <w:rsid w:val="008A446E"/>
    <w:rsid w:val="008A461F"/>
    <w:rsid w:val="008A4628"/>
    <w:rsid w:val="008A4780"/>
    <w:rsid w:val="008A4A7E"/>
    <w:rsid w:val="008A4B5F"/>
    <w:rsid w:val="008A4E3E"/>
    <w:rsid w:val="008A4E5B"/>
    <w:rsid w:val="008A4E9D"/>
    <w:rsid w:val="008A4EF3"/>
    <w:rsid w:val="008A4FD4"/>
    <w:rsid w:val="008A520C"/>
    <w:rsid w:val="008A52E8"/>
    <w:rsid w:val="008A53B2"/>
    <w:rsid w:val="008A540B"/>
    <w:rsid w:val="008A5599"/>
    <w:rsid w:val="008A56E6"/>
    <w:rsid w:val="008A57DB"/>
    <w:rsid w:val="008A5870"/>
    <w:rsid w:val="008A5998"/>
    <w:rsid w:val="008A5E43"/>
    <w:rsid w:val="008A5E76"/>
    <w:rsid w:val="008A627C"/>
    <w:rsid w:val="008A648C"/>
    <w:rsid w:val="008A6955"/>
    <w:rsid w:val="008A6B5E"/>
    <w:rsid w:val="008A6C75"/>
    <w:rsid w:val="008A6C79"/>
    <w:rsid w:val="008A6D45"/>
    <w:rsid w:val="008A6DFD"/>
    <w:rsid w:val="008A6E1F"/>
    <w:rsid w:val="008A7121"/>
    <w:rsid w:val="008A769B"/>
    <w:rsid w:val="008A7B16"/>
    <w:rsid w:val="008A7C59"/>
    <w:rsid w:val="008A7D01"/>
    <w:rsid w:val="008A7D22"/>
    <w:rsid w:val="008A7D80"/>
    <w:rsid w:val="008A7D9A"/>
    <w:rsid w:val="008A7EDD"/>
    <w:rsid w:val="008A7F93"/>
    <w:rsid w:val="008B0325"/>
    <w:rsid w:val="008B0389"/>
    <w:rsid w:val="008B05C8"/>
    <w:rsid w:val="008B0678"/>
    <w:rsid w:val="008B071D"/>
    <w:rsid w:val="008B0825"/>
    <w:rsid w:val="008B084F"/>
    <w:rsid w:val="008B08DC"/>
    <w:rsid w:val="008B0B98"/>
    <w:rsid w:val="008B0C2B"/>
    <w:rsid w:val="008B0D41"/>
    <w:rsid w:val="008B0DF4"/>
    <w:rsid w:val="008B0DF9"/>
    <w:rsid w:val="008B0EB2"/>
    <w:rsid w:val="008B10B0"/>
    <w:rsid w:val="008B123D"/>
    <w:rsid w:val="008B12D7"/>
    <w:rsid w:val="008B1372"/>
    <w:rsid w:val="008B13BB"/>
    <w:rsid w:val="008B1423"/>
    <w:rsid w:val="008B14E0"/>
    <w:rsid w:val="008B152A"/>
    <w:rsid w:val="008B16BC"/>
    <w:rsid w:val="008B16BE"/>
    <w:rsid w:val="008B16C4"/>
    <w:rsid w:val="008B1968"/>
    <w:rsid w:val="008B1A3E"/>
    <w:rsid w:val="008B1D4C"/>
    <w:rsid w:val="008B1EFC"/>
    <w:rsid w:val="008B20B3"/>
    <w:rsid w:val="008B256F"/>
    <w:rsid w:val="008B2810"/>
    <w:rsid w:val="008B28AC"/>
    <w:rsid w:val="008B28F8"/>
    <w:rsid w:val="008B2A9B"/>
    <w:rsid w:val="008B2C16"/>
    <w:rsid w:val="008B2C75"/>
    <w:rsid w:val="008B2D21"/>
    <w:rsid w:val="008B2ED0"/>
    <w:rsid w:val="008B2F8F"/>
    <w:rsid w:val="008B37E9"/>
    <w:rsid w:val="008B3A10"/>
    <w:rsid w:val="008B3BD6"/>
    <w:rsid w:val="008B3BED"/>
    <w:rsid w:val="008B42AA"/>
    <w:rsid w:val="008B4747"/>
    <w:rsid w:val="008B47CB"/>
    <w:rsid w:val="008B4885"/>
    <w:rsid w:val="008B4AC3"/>
    <w:rsid w:val="008B4BA3"/>
    <w:rsid w:val="008B4BD7"/>
    <w:rsid w:val="008B4CF1"/>
    <w:rsid w:val="008B4FB9"/>
    <w:rsid w:val="008B5149"/>
    <w:rsid w:val="008B52BA"/>
    <w:rsid w:val="008B5430"/>
    <w:rsid w:val="008B54A1"/>
    <w:rsid w:val="008B557E"/>
    <w:rsid w:val="008B57BC"/>
    <w:rsid w:val="008B5892"/>
    <w:rsid w:val="008B5A60"/>
    <w:rsid w:val="008B5BFC"/>
    <w:rsid w:val="008B5FE0"/>
    <w:rsid w:val="008B60B6"/>
    <w:rsid w:val="008B62B4"/>
    <w:rsid w:val="008B62F7"/>
    <w:rsid w:val="008B661B"/>
    <w:rsid w:val="008B66DC"/>
    <w:rsid w:val="008B672A"/>
    <w:rsid w:val="008B698C"/>
    <w:rsid w:val="008B6A6C"/>
    <w:rsid w:val="008B6F91"/>
    <w:rsid w:val="008B6FC5"/>
    <w:rsid w:val="008B7050"/>
    <w:rsid w:val="008B70BB"/>
    <w:rsid w:val="008B7247"/>
    <w:rsid w:val="008B730C"/>
    <w:rsid w:val="008B7333"/>
    <w:rsid w:val="008B76A3"/>
    <w:rsid w:val="008B7BC8"/>
    <w:rsid w:val="008B7CCF"/>
    <w:rsid w:val="008B7D7D"/>
    <w:rsid w:val="008B7E34"/>
    <w:rsid w:val="008B7E3F"/>
    <w:rsid w:val="008B7FD1"/>
    <w:rsid w:val="008C0013"/>
    <w:rsid w:val="008C007E"/>
    <w:rsid w:val="008C010B"/>
    <w:rsid w:val="008C0211"/>
    <w:rsid w:val="008C024A"/>
    <w:rsid w:val="008C0309"/>
    <w:rsid w:val="008C04CA"/>
    <w:rsid w:val="008C04F2"/>
    <w:rsid w:val="008C089F"/>
    <w:rsid w:val="008C097F"/>
    <w:rsid w:val="008C09EF"/>
    <w:rsid w:val="008C0B52"/>
    <w:rsid w:val="008C0BBF"/>
    <w:rsid w:val="008C0DBD"/>
    <w:rsid w:val="008C0DD4"/>
    <w:rsid w:val="008C0E58"/>
    <w:rsid w:val="008C1363"/>
    <w:rsid w:val="008C1429"/>
    <w:rsid w:val="008C14F8"/>
    <w:rsid w:val="008C1563"/>
    <w:rsid w:val="008C15BB"/>
    <w:rsid w:val="008C16CD"/>
    <w:rsid w:val="008C1E4F"/>
    <w:rsid w:val="008C216D"/>
    <w:rsid w:val="008C232F"/>
    <w:rsid w:val="008C23D1"/>
    <w:rsid w:val="008C2570"/>
    <w:rsid w:val="008C257A"/>
    <w:rsid w:val="008C25C6"/>
    <w:rsid w:val="008C28E5"/>
    <w:rsid w:val="008C3051"/>
    <w:rsid w:val="008C30A0"/>
    <w:rsid w:val="008C3176"/>
    <w:rsid w:val="008C3345"/>
    <w:rsid w:val="008C35B9"/>
    <w:rsid w:val="008C35F7"/>
    <w:rsid w:val="008C3640"/>
    <w:rsid w:val="008C3808"/>
    <w:rsid w:val="008C38AE"/>
    <w:rsid w:val="008C38CC"/>
    <w:rsid w:val="008C3CC6"/>
    <w:rsid w:val="008C3D6F"/>
    <w:rsid w:val="008C3EED"/>
    <w:rsid w:val="008C407D"/>
    <w:rsid w:val="008C4572"/>
    <w:rsid w:val="008C4812"/>
    <w:rsid w:val="008C4A61"/>
    <w:rsid w:val="008C4D78"/>
    <w:rsid w:val="008C4E23"/>
    <w:rsid w:val="008C4E3E"/>
    <w:rsid w:val="008C4E5F"/>
    <w:rsid w:val="008C505F"/>
    <w:rsid w:val="008C5442"/>
    <w:rsid w:val="008C55BE"/>
    <w:rsid w:val="008C562D"/>
    <w:rsid w:val="008C57D5"/>
    <w:rsid w:val="008C58B4"/>
    <w:rsid w:val="008C5920"/>
    <w:rsid w:val="008C5A0C"/>
    <w:rsid w:val="008C5CF9"/>
    <w:rsid w:val="008C5E89"/>
    <w:rsid w:val="008C5FFF"/>
    <w:rsid w:val="008C606D"/>
    <w:rsid w:val="008C631D"/>
    <w:rsid w:val="008C642D"/>
    <w:rsid w:val="008C6458"/>
    <w:rsid w:val="008C65F7"/>
    <w:rsid w:val="008C6886"/>
    <w:rsid w:val="008C6898"/>
    <w:rsid w:val="008C6C82"/>
    <w:rsid w:val="008C6CD5"/>
    <w:rsid w:val="008C6DD2"/>
    <w:rsid w:val="008C6F6A"/>
    <w:rsid w:val="008C705B"/>
    <w:rsid w:val="008C7086"/>
    <w:rsid w:val="008C7191"/>
    <w:rsid w:val="008C7370"/>
    <w:rsid w:val="008C7767"/>
    <w:rsid w:val="008C779B"/>
    <w:rsid w:val="008C77AB"/>
    <w:rsid w:val="008C79A6"/>
    <w:rsid w:val="008C79C6"/>
    <w:rsid w:val="008C7A5C"/>
    <w:rsid w:val="008D037D"/>
    <w:rsid w:val="008D03B4"/>
    <w:rsid w:val="008D04E3"/>
    <w:rsid w:val="008D0ACA"/>
    <w:rsid w:val="008D0B62"/>
    <w:rsid w:val="008D0D68"/>
    <w:rsid w:val="008D0DCE"/>
    <w:rsid w:val="008D0DE8"/>
    <w:rsid w:val="008D0F7E"/>
    <w:rsid w:val="008D0FC3"/>
    <w:rsid w:val="008D11CF"/>
    <w:rsid w:val="008D148C"/>
    <w:rsid w:val="008D1528"/>
    <w:rsid w:val="008D1575"/>
    <w:rsid w:val="008D1591"/>
    <w:rsid w:val="008D15F7"/>
    <w:rsid w:val="008D1623"/>
    <w:rsid w:val="008D17A5"/>
    <w:rsid w:val="008D1BCF"/>
    <w:rsid w:val="008D1E2F"/>
    <w:rsid w:val="008D1FDE"/>
    <w:rsid w:val="008D2044"/>
    <w:rsid w:val="008D211C"/>
    <w:rsid w:val="008D2184"/>
    <w:rsid w:val="008D2216"/>
    <w:rsid w:val="008D235F"/>
    <w:rsid w:val="008D2B1B"/>
    <w:rsid w:val="008D2B4D"/>
    <w:rsid w:val="008D2C87"/>
    <w:rsid w:val="008D3079"/>
    <w:rsid w:val="008D30BB"/>
    <w:rsid w:val="008D30F0"/>
    <w:rsid w:val="008D336B"/>
    <w:rsid w:val="008D3398"/>
    <w:rsid w:val="008D351D"/>
    <w:rsid w:val="008D35AB"/>
    <w:rsid w:val="008D39F0"/>
    <w:rsid w:val="008D3C64"/>
    <w:rsid w:val="008D3C6C"/>
    <w:rsid w:val="008D3DF7"/>
    <w:rsid w:val="008D3E1E"/>
    <w:rsid w:val="008D4156"/>
    <w:rsid w:val="008D418C"/>
    <w:rsid w:val="008D41FB"/>
    <w:rsid w:val="008D4613"/>
    <w:rsid w:val="008D484C"/>
    <w:rsid w:val="008D48F9"/>
    <w:rsid w:val="008D49D7"/>
    <w:rsid w:val="008D4A2E"/>
    <w:rsid w:val="008D4A77"/>
    <w:rsid w:val="008D4B1F"/>
    <w:rsid w:val="008D4C66"/>
    <w:rsid w:val="008D4E80"/>
    <w:rsid w:val="008D509F"/>
    <w:rsid w:val="008D528F"/>
    <w:rsid w:val="008D52FD"/>
    <w:rsid w:val="008D5482"/>
    <w:rsid w:val="008D54C3"/>
    <w:rsid w:val="008D59EA"/>
    <w:rsid w:val="008D5ABD"/>
    <w:rsid w:val="008D5B3C"/>
    <w:rsid w:val="008D5D1F"/>
    <w:rsid w:val="008D5E64"/>
    <w:rsid w:val="008D5EC8"/>
    <w:rsid w:val="008D5F80"/>
    <w:rsid w:val="008D65C4"/>
    <w:rsid w:val="008D67A4"/>
    <w:rsid w:val="008D67E5"/>
    <w:rsid w:val="008D6BF6"/>
    <w:rsid w:val="008D6DF1"/>
    <w:rsid w:val="008D6EA4"/>
    <w:rsid w:val="008D72D8"/>
    <w:rsid w:val="008D73E4"/>
    <w:rsid w:val="008D7587"/>
    <w:rsid w:val="008D77B1"/>
    <w:rsid w:val="008D7A38"/>
    <w:rsid w:val="008D7A60"/>
    <w:rsid w:val="008D7C10"/>
    <w:rsid w:val="008D7F37"/>
    <w:rsid w:val="008D7F54"/>
    <w:rsid w:val="008E0350"/>
    <w:rsid w:val="008E092E"/>
    <w:rsid w:val="008E0985"/>
    <w:rsid w:val="008E0D1E"/>
    <w:rsid w:val="008E0D46"/>
    <w:rsid w:val="008E0ECE"/>
    <w:rsid w:val="008E0F21"/>
    <w:rsid w:val="008E1106"/>
    <w:rsid w:val="008E1164"/>
    <w:rsid w:val="008E1505"/>
    <w:rsid w:val="008E15A3"/>
    <w:rsid w:val="008E1696"/>
    <w:rsid w:val="008E17C1"/>
    <w:rsid w:val="008E1B44"/>
    <w:rsid w:val="008E1C45"/>
    <w:rsid w:val="008E1D04"/>
    <w:rsid w:val="008E242E"/>
    <w:rsid w:val="008E2BB0"/>
    <w:rsid w:val="008E2CE8"/>
    <w:rsid w:val="008E2E70"/>
    <w:rsid w:val="008E2EA4"/>
    <w:rsid w:val="008E2EEE"/>
    <w:rsid w:val="008E3103"/>
    <w:rsid w:val="008E3106"/>
    <w:rsid w:val="008E31D7"/>
    <w:rsid w:val="008E3263"/>
    <w:rsid w:val="008E3280"/>
    <w:rsid w:val="008E32D8"/>
    <w:rsid w:val="008E33A6"/>
    <w:rsid w:val="008E33E8"/>
    <w:rsid w:val="008E348B"/>
    <w:rsid w:val="008E34AE"/>
    <w:rsid w:val="008E36F9"/>
    <w:rsid w:val="008E3E6C"/>
    <w:rsid w:val="008E3E9E"/>
    <w:rsid w:val="008E3FAD"/>
    <w:rsid w:val="008E433D"/>
    <w:rsid w:val="008E451E"/>
    <w:rsid w:val="008E4585"/>
    <w:rsid w:val="008E4599"/>
    <w:rsid w:val="008E4690"/>
    <w:rsid w:val="008E4E48"/>
    <w:rsid w:val="008E4F58"/>
    <w:rsid w:val="008E505E"/>
    <w:rsid w:val="008E507B"/>
    <w:rsid w:val="008E50A2"/>
    <w:rsid w:val="008E5162"/>
    <w:rsid w:val="008E53AC"/>
    <w:rsid w:val="008E561D"/>
    <w:rsid w:val="008E5B14"/>
    <w:rsid w:val="008E5BB8"/>
    <w:rsid w:val="008E5BF0"/>
    <w:rsid w:val="008E5DB1"/>
    <w:rsid w:val="008E5F1A"/>
    <w:rsid w:val="008E5F81"/>
    <w:rsid w:val="008E6215"/>
    <w:rsid w:val="008E624C"/>
    <w:rsid w:val="008E6254"/>
    <w:rsid w:val="008E63BE"/>
    <w:rsid w:val="008E647B"/>
    <w:rsid w:val="008E65E1"/>
    <w:rsid w:val="008E680D"/>
    <w:rsid w:val="008E699A"/>
    <w:rsid w:val="008E6A2A"/>
    <w:rsid w:val="008E6A81"/>
    <w:rsid w:val="008E6ADF"/>
    <w:rsid w:val="008E6E45"/>
    <w:rsid w:val="008E6F51"/>
    <w:rsid w:val="008E7071"/>
    <w:rsid w:val="008E70C5"/>
    <w:rsid w:val="008E7140"/>
    <w:rsid w:val="008E72AD"/>
    <w:rsid w:val="008E731D"/>
    <w:rsid w:val="008E747C"/>
    <w:rsid w:val="008E761A"/>
    <w:rsid w:val="008E7762"/>
    <w:rsid w:val="008E77FC"/>
    <w:rsid w:val="008E7938"/>
    <w:rsid w:val="008E7B61"/>
    <w:rsid w:val="008E7BE8"/>
    <w:rsid w:val="008E7CBB"/>
    <w:rsid w:val="008E7D8A"/>
    <w:rsid w:val="008E7DB8"/>
    <w:rsid w:val="008E7F82"/>
    <w:rsid w:val="008F066D"/>
    <w:rsid w:val="008F08E6"/>
    <w:rsid w:val="008F08F9"/>
    <w:rsid w:val="008F0946"/>
    <w:rsid w:val="008F0978"/>
    <w:rsid w:val="008F0AFF"/>
    <w:rsid w:val="008F0BD4"/>
    <w:rsid w:val="008F0D5F"/>
    <w:rsid w:val="008F12D4"/>
    <w:rsid w:val="008F12E5"/>
    <w:rsid w:val="008F1530"/>
    <w:rsid w:val="008F1BED"/>
    <w:rsid w:val="008F1C9A"/>
    <w:rsid w:val="008F1FBD"/>
    <w:rsid w:val="008F22C2"/>
    <w:rsid w:val="008F22C3"/>
    <w:rsid w:val="008F23A4"/>
    <w:rsid w:val="008F24D5"/>
    <w:rsid w:val="008F2779"/>
    <w:rsid w:val="008F2BD7"/>
    <w:rsid w:val="008F2FEE"/>
    <w:rsid w:val="008F3657"/>
    <w:rsid w:val="008F37F5"/>
    <w:rsid w:val="008F38E7"/>
    <w:rsid w:val="008F3A38"/>
    <w:rsid w:val="008F3AE2"/>
    <w:rsid w:val="008F3B92"/>
    <w:rsid w:val="008F3D30"/>
    <w:rsid w:val="008F3D9E"/>
    <w:rsid w:val="008F3F0D"/>
    <w:rsid w:val="008F40C9"/>
    <w:rsid w:val="008F417C"/>
    <w:rsid w:val="008F4276"/>
    <w:rsid w:val="008F451A"/>
    <w:rsid w:val="008F485B"/>
    <w:rsid w:val="008F4C23"/>
    <w:rsid w:val="008F4C6A"/>
    <w:rsid w:val="008F4FF2"/>
    <w:rsid w:val="008F5025"/>
    <w:rsid w:val="008F52ED"/>
    <w:rsid w:val="008F5409"/>
    <w:rsid w:val="008F55B5"/>
    <w:rsid w:val="008F55E8"/>
    <w:rsid w:val="008F5A40"/>
    <w:rsid w:val="008F5B57"/>
    <w:rsid w:val="008F5BD8"/>
    <w:rsid w:val="008F5D55"/>
    <w:rsid w:val="008F5EAF"/>
    <w:rsid w:val="008F6221"/>
    <w:rsid w:val="008F624C"/>
    <w:rsid w:val="008F62D4"/>
    <w:rsid w:val="008F6422"/>
    <w:rsid w:val="008F6949"/>
    <w:rsid w:val="008F6D3A"/>
    <w:rsid w:val="008F6F30"/>
    <w:rsid w:val="008F70CC"/>
    <w:rsid w:val="008F722B"/>
    <w:rsid w:val="008F7499"/>
    <w:rsid w:val="008F76C9"/>
    <w:rsid w:val="008F772D"/>
    <w:rsid w:val="008F7731"/>
    <w:rsid w:val="008F777B"/>
    <w:rsid w:val="008F788C"/>
    <w:rsid w:val="008F78BA"/>
    <w:rsid w:val="008F7A19"/>
    <w:rsid w:val="008F7A66"/>
    <w:rsid w:val="008F7ABA"/>
    <w:rsid w:val="008F7BDA"/>
    <w:rsid w:val="008F7CCE"/>
    <w:rsid w:val="008F7E52"/>
    <w:rsid w:val="009000B4"/>
    <w:rsid w:val="009000F0"/>
    <w:rsid w:val="009005E5"/>
    <w:rsid w:val="009008A9"/>
    <w:rsid w:val="009009D2"/>
    <w:rsid w:val="00900AC6"/>
    <w:rsid w:val="00900AD7"/>
    <w:rsid w:val="00900DEE"/>
    <w:rsid w:val="00900F40"/>
    <w:rsid w:val="00900FBC"/>
    <w:rsid w:val="00901007"/>
    <w:rsid w:val="00901159"/>
    <w:rsid w:val="0090127B"/>
    <w:rsid w:val="00901480"/>
    <w:rsid w:val="009015EA"/>
    <w:rsid w:val="009016CF"/>
    <w:rsid w:val="0090171B"/>
    <w:rsid w:val="0090185F"/>
    <w:rsid w:val="0090192F"/>
    <w:rsid w:val="00901A6A"/>
    <w:rsid w:val="00901CB3"/>
    <w:rsid w:val="00902118"/>
    <w:rsid w:val="0090214C"/>
    <w:rsid w:val="0090225D"/>
    <w:rsid w:val="00902574"/>
    <w:rsid w:val="009027D2"/>
    <w:rsid w:val="00902BB1"/>
    <w:rsid w:val="00902DF8"/>
    <w:rsid w:val="00902FF1"/>
    <w:rsid w:val="0090302F"/>
    <w:rsid w:val="00903293"/>
    <w:rsid w:val="0090333C"/>
    <w:rsid w:val="009035DB"/>
    <w:rsid w:val="00903685"/>
    <w:rsid w:val="00903791"/>
    <w:rsid w:val="0090388C"/>
    <w:rsid w:val="00903B34"/>
    <w:rsid w:val="00903CB6"/>
    <w:rsid w:val="00903F0B"/>
    <w:rsid w:val="00903F39"/>
    <w:rsid w:val="009040F4"/>
    <w:rsid w:val="009041F0"/>
    <w:rsid w:val="00904234"/>
    <w:rsid w:val="0090474B"/>
    <w:rsid w:val="009047CF"/>
    <w:rsid w:val="00904AF6"/>
    <w:rsid w:val="00904CA2"/>
    <w:rsid w:val="00904CB7"/>
    <w:rsid w:val="00904DEF"/>
    <w:rsid w:val="00904E0F"/>
    <w:rsid w:val="009051DA"/>
    <w:rsid w:val="0090520A"/>
    <w:rsid w:val="00905269"/>
    <w:rsid w:val="0090545F"/>
    <w:rsid w:val="00905551"/>
    <w:rsid w:val="00905582"/>
    <w:rsid w:val="009057C5"/>
    <w:rsid w:val="00905A85"/>
    <w:rsid w:val="00905AF9"/>
    <w:rsid w:val="00905B19"/>
    <w:rsid w:val="00905B2B"/>
    <w:rsid w:val="00905C33"/>
    <w:rsid w:val="00905D44"/>
    <w:rsid w:val="00905E0D"/>
    <w:rsid w:val="009064E2"/>
    <w:rsid w:val="0090702C"/>
    <w:rsid w:val="0090704B"/>
    <w:rsid w:val="0090733F"/>
    <w:rsid w:val="00907611"/>
    <w:rsid w:val="00907650"/>
    <w:rsid w:val="009077C7"/>
    <w:rsid w:val="00907B19"/>
    <w:rsid w:val="00907C73"/>
    <w:rsid w:val="00907D4D"/>
    <w:rsid w:val="00907F55"/>
    <w:rsid w:val="00910106"/>
    <w:rsid w:val="0091014A"/>
    <w:rsid w:val="00910260"/>
    <w:rsid w:val="00910321"/>
    <w:rsid w:val="009108EF"/>
    <w:rsid w:val="00910A61"/>
    <w:rsid w:val="00910AF2"/>
    <w:rsid w:val="00910C05"/>
    <w:rsid w:val="00910F1B"/>
    <w:rsid w:val="00911011"/>
    <w:rsid w:val="0091118E"/>
    <w:rsid w:val="009112C5"/>
    <w:rsid w:val="009113A7"/>
    <w:rsid w:val="00911434"/>
    <w:rsid w:val="009118A3"/>
    <w:rsid w:val="00911E0F"/>
    <w:rsid w:val="00911FC6"/>
    <w:rsid w:val="009120B6"/>
    <w:rsid w:val="0091212F"/>
    <w:rsid w:val="0091215B"/>
    <w:rsid w:val="0091220E"/>
    <w:rsid w:val="00912234"/>
    <w:rsid w:val="00912573"/>
    <w:rsid w:val="0091276A"/>
    <w:rsid w:val="009127D6"/>
    <w:rsid w:val="009128E0"/>
    <w:rsid w:val="00912902"/>
    <w:rsid w:val="009129E2"/>
    <w:rsid w:val="00912D46"/>
    <w:rsid w:val="00912F27"/>
    <w:rsid w:val="00912FA8"/>
    <w:rsid w:val="00912FD0"/>
    <w:rsid w:val="00913239"/>
    <w:rsid w:val="009132F6"/>
    <w:rsid w:val="009134B5"/>
    <w:rsid w:val="009139CA"/>
    <w:rsid w:val="009139E6"/>
    <w:rsid w:val="00913F02"/>
    <w:rsid w:val="00913F6F"/>
    <w:rsid w:val="009140A1"/>
    <w:rsid w:val="009140AC"/>
    <w:rsid w:val="00914508"/>
    <w:rsid w:val="0091465A"/>
    <w:rsid w:val="00914721"/>
    <w:rsid w:val="00914826"/>
    <w:rsid w:val="00914917"/>
    <w:rsid w:val="00914983"/>
    <w:rsid w:val="00914C55"/>
    <w:rsid w:val="00914E99"/>
    <w:rsid w:val="00915180"/>
    <w:rsid w:val="00915278"/>
    <w:rsid w:val="00915431"/>
    <w:rsid w:val="00915548"/>
    <w:rsid w:val="00915653"/>
    <w:rsid w:val="00915816"/>
    <w:rsid w:val="00915871"/>
    <w:rsid w:val="00915C7F"/>
    <w:rsid w:val="00915CE7"/>
    <w:rsid w:val="00915DD3"/>
    <w:rsid w:val="00915DED"/>
    <w:rsid w:val="00915E83"/>
    <w:rsid w:val="00915EB3"/>
    <w:rsid w:val="00916018"/>
    <w:rsid w:val="0091605C"/>
    <w:rsid w:val="009160A4"/>
    <w:rsid w:val="009160B8"/>
    <w:rsid w:val="0091671C"/>
    <w:rsid w:val="009168BB"/>
    <w:rsid w:val="009168FC"/>
    <w:rsid w:val="00916972"/>
    <w:rsid w:val="00916BD6"/>
    <w:rsid w:val="00916CE7"/>
    <w:rsid w:val="00916D3C"/>
    <w:rsid w:val="0091739A"/>
    <w:rsid w:val="00917552"/>
    <w:rsid w:val="009175C2"/>
    <w:rsid w:val="00917680"/>
    <w:rsid w:val="00917AAB"/>
    <w:rsid w:val="00917B1E"/>
    <w:rsid w:val="00917ECA"/>
    <w:rsid w:val="00920033"/>
    <w:rsid w:val="00920216"/>
    <w:rsid w:val="0092045C"/>
    <w:rsid w:val="00920463"/>
    <w:rsid w:val="00920678"/>
    <w:rsid w:val="00920691"/>
    <w:rsid w:val="0092077C"/>
    <w:rsid w:val="0092085A"/>
    <w:rsid w:val="00920962"/>
    <w:rsid w:val="00920C2E"/>
    <w:rsid w:val="009210C3"/>
    <w:rsid w:val="009210FD"/>
    <w:rsid w:val="00921246"/>
    <w:rsid w:val="0092131B"/>
    <w:rsid w:val="00921335"/>
    <w:rsid w:val="00921446"/>
    <w:rsid w:val="00921499"/>
    <w:rsid w:val="0092173E"/>
    <w:rsid w:val="009217BB"/>
    <w:rsid w:val="00921D8B"/>
    <w:rsid w:val="00921E7E"/>
    <w:rsid w:val="00921EBB"/>
    <w:rsid w:val="00921F89"/>
    <w:rsid w:val="0092232A"/>
    <w:rsid w:val="00922340"/>
    <w:rsid w:val="0092240E"/>
    <w:rsid w:val="00922649"/>
    <w:rsid w:val="009226F5"/>
    <w:rsid w:val="00922887"/>
    <w:rsid w:val="00922BA6"/>
    <w:rsid w:val="00922E40"/>
    <w:rsid w:val="009231D3"/>
    <w:rsid w:val="009231E5"/>
    <w:rsid w:val="009231EC"/>
    <w:rsid w:val="00923350"/>
    <w:rsid w:val="009235E9"/>
    <w:rsid w:val="0092379B"/>
    <w:rsid w:val="009238C7"/>
    <w:rsid w:val="009239E1"/>
    <w:rsid w:val="00923CB3"/>
    <w:rsid w:val="00923D68"/>
    <w:rsid w:val="00923D6D"/>
    <w:rsid w:val="00923F82"/>
    <w:rsid w:val="009241F8"/>
    <w:rsid w:val="0092437D"/>
    <w:rsid w:val="009245CA"/>
    <w:rsid w:val="0092489A"/>
    <w:rsid w:val="009248F9"/>
    <w:rsid w:val="009249DB"/>
    <w:rsid w:val="00924A17"/>
    <w:rsid w:val="00924B72"/>
    <w:rsid w:val="00924BBE"/>
    <w:rsid w:val="00924BDE"/>
    <w:rsid w:val="00924E94"/>
    <w:rsid w:val="00925914"/>
    <w:rsid w:val="00925E89"/>
    <w:rsid w:val="00925F5B"/>
    <w:rsid w:val="00926096"/>
    <w:rsid w:val="00926120"/>
    <w:rsid w:val="0092619F"/>
    <w:rsid w:val="009261CC"/>
    <w:rsid w:val="009261D5"/>
    <w:rsid w:val="009264CF"/>
    <w:rsid w:val="0092656A"/>
    <w:rsid w:val="009265DF"/>
    <w:rsid w:val="00926697"/>
    <w:rsid w:val="00926837"/>
    <w:rsid w:val="00926929"/>
    <w:rsid w:val="00926A53"/>
    <w:rsid w:val="00926B09"/>
    <w:rsid w:val="00926CA0"/>
    <w:rsid w:val="00926D16"/>
    <w:rsid w:val="00926E24"/>
    <w:rsid w:val="00926E4D"/>
    <w:rsid w:val="00927105"/>
    <w:rsid w:val="00927450"/>
    <w:rsid w:val="00927626"/>
    <w:rsid w:val="00927AFD"/>
    <w:rsid w:val="00927B28"/>
    <w:rsid w:val="00927F94"/>
    <w:rsid w:val="009301AC"/>
    <w:rsid w:val="00930297"/>
    <w:rsid w:val="009308F1"/>
    <w:rsid w:val="00930CB6"/>
    <w:rsid w:val="00930EED"/>
    <w:rsid w:val="00930FB6"/>
    <w:rsid w:val="009310DD"/>
    <w:rsid w:val="0093113A"/>
    <w:rsid w:val="0093126B"/>
    <w:rsid w:val="00931271"/>
    <w:rsid w:val="0093129E"/>
    <w:rsid w:val="009314A6"/>
    <w:rsid w:val="00931639"/>
    <w:rsid w:val="0093166D"/>
    <w:rsid w:val="00931E2D"/>
    <w:rsid w:val="00931F1E"/>
    <w:rsid w:val="0093222D"/>
    <w:rsid w:val="00932317"/>
    <w:rsid w:val="00932559"/>
    <w:rsid w:val="00932622"/>
    <w:rsid w:val="00932627"/>
    <w:rsid w:val="0093288B"/>
    <w:rsid w:val="00932B92"/>
    <w:rsid w:val="00932C29"/>
    <w:rsid w:val="00932C93"/>
    <w:rsid w:val="00932FF4"/>
    <w:rsid w:val="00933127"/>
    <w:rsid w:val="009332CC"/>
    <w:rsid w:val="009332EF"/>
    <w:rsid w:val="0093352D"/>
    <w:rsid w:val="009338DF"/>
    <w:rsid w:val="00933DFD"/>
    <w:rsid w:val="00933E22"/>
    <w:rsid w:val="0093411E"/>
    <w:rsid w:val="009342CD"/>
    <w:rsid w:val="00934305"/>
    <w:rsid w:val="0093432D"/>
    <w:rsid w:val="00934466"/>
    <w:rsid w:val="00934539"/>
    <w:rsid w:val="00934706"/>
    <w:rsid w:val="00934724"/>
    <w:rsid w:val="0093487E"/>
    <w:rsid w:val="00934BCF"/>
    <w:rsid w:val="00935036"/>
    <w:rsid w:val="009350A1"/>
    <w:rsid w:val="009353D3"/>
    <w:rsid w:val="009353E3"/>
    <w:rsid w:val="0093565B"/>
    <w:rsid w:val="00935706"/>
    <w:rsid w:val="00935AA9"/>
    <w:rsid w:val="00935AAC"/>
    <w:rsid w:val="009361A1"/>
    <w:rsid w:val="0093634D"/>
    <w:rsid w:val="00936578"/>
    <w:rsid w:val="009367F0"/>
    <w:rsid w:val="00936865"/>
    <w:rsid w:val="00936873"/>
    <w:rsid w:val="00936AB1"/>
    <w:rsid w:val="00936D3B"/>
    <w:rsid w:val="00936E3C"/>
    <w:rsid w:val="00936E48"/>
    <w:rsid w:val="0093728A"/>
    <w:rsid w:val="00937408"/>
    <w:rsid w:val="0093747D"/>
    <w:rsid w:val="009376FF"/>
    <w:rsid w:val="00937797"/>
    <w:rsid w:val="0093789B"/>
    <w:rsid w:val="009378C9"/>
    <w:rsid w:val="00937AB5"/>
    <w:rsid w:val="00937B74"/>
    <w:rsid w:val="00940003"/>
    <w:rsid w:val="0094003B"/>
    <w:rsid w:val="00940165"/>
    <w:rsid w:val="00940185"/>
    <w:rsid w:val="00940224"/>
    <w:rsid w:val="009402E2"/>
    <w:rsid w:val="00940876"/>
    <w:rsid w:val="00940BA2"/>
    <w:rsid w:val="00940BCD"/>
    <w:rsid w:val="00940D84"/>
    <w:rsid w:val="00940FB4"/>
    <w:rsid w:val="00940FB7"/>
    <w:rsid w:val="00940FE9"/>
    <w:rsid w:val="0094103C"/>
    <w:rsid w:val="00941279"/>
    <w:rsid w:val="009412D6"/>
    <w:rsid w:val="009413BB"/>
    <w:rsid w:val="009417B6"/>
    <w:rsid w:val="00941CA8"/>
    <w:rsid w:val="00941DEA"/>
    <w:rsid w:val="00941E59"/>
    <w:rsid w:val="00942053"/>
    <w:rsid w:val="009421CD"/>
    <w:rsid w:val="009421CF"/>
    <w:rsid w:val="0094220F"/>
    <w:rsid w:val="0094251E"/>
    <w:rsid w:val="0094265B"/>
    <w:rsid w:val="009427E0"/>
    <w:rsid w:val="00942D98"/>
    <w:rsid w:val="00942EE3"/>
    <w:rsid w:val="0094324B"/>
    <w:rsid w:val="009432C2"/>
    <w:rsid w:val="009433BC"/>
    <w:rsid w:val="00943489"/>
    <w:rsid w:val="00943578"/>
    <w:rsid w:val="00943658"/>
    <w:rsid w:val="009438A2"/>
    <w:rsid w:val="00943A9C"/>
    <w:rsid w:val="00943B0E"/>
    <w:rsid w:val="00943B70"/>
    <w:rsid w:val="00943BE0"/>
    <w:rsid w:val="009441D6"/>
    <w:rsid w:val="00944268"/>
    <w:rsid w:val="009443B7"/>
    <w:rsid w:val="00944497"/>
    <w:rsid w:val="009447ED"/>
    <w:rsid w:val="00944A1F"/>
    <w:rsid w:val="00944A61"/>
    <w:rsid w:val="00944BA9"/>
    <w:rsid w:val="00944BAE"/>
    <w:rsid w:val="00944C8A"/>
    <w:rsid w:val="00944CA1"/>
    <w:rsid w:val="00944CAC"/>
    <w:rsid w:val="00944D57"/>
    <w:rsid w:val="009454F7"/>
    <w:rsid w:val="009455DD"/>
    <w:rsid w:val="009455E1"/>
    <w:rsid w:val="00945638"/>
    <w:rsid w:val="0094565C"/>
    <w:rsid w:val="009456AA"/>
    <w:rsid w:val="00945781"/>
    <w:rsid w:val="009457FB"/>
    <w:rsid w:val="00945A43"/>
    <w:rsid w:val="00945B56"/>
    <w:rsid w:val="00945BAA"/>
    <w:rsid w:val="009462A1"/>
    <w:rsid w:val="009462D5"/>
    <w:rsid w:val="0094664F"/>
    <w:rsid w:val="0094678F"/>
    <w:rsid w:val="00946A0C"/>
    <w:rsid w:val="00946BA8"/>
    <w:rsid w:val="00946BC1"/>
    <w:rsid w:val="00946D5D"/>
    <w:rsid w:val="00946DF3"/>
    <w:rsid w:val="00946F65"/>
    <w:rsid w:val="00947112"/>
    <w:rsid w:val="00947117"/>
    <w:rsid w:val="009471C3"/>
    <w:rsid w:val="00947348"/>
    <w:rsid w:val="00947472"/>
    <w:rsid w:val="0094750C"/>
    <w:rsid w:val="0094795F"/>
    <w:rsid w:val="00947ADD"/>
    <w:rsid w:val="00947AE0"/>
    <w:rsid w:val="00947C16"/>
    <w:rsid w:val="00947E68"/>
    <w:rsid w:val="009501A7"/>
    <w:rsid w:val="009501CB"/>
    <w:rsid w:val="009503B4"/>
    <w:rsid w:val="009504B6"/>
    <w:rsid w:val="009504B7"/>
    <w:rsid w:val="009508F9"/>
    <w:rsid w:val="0095097D"/>
    <w:rsid w:val="00950ED8"/>
    <w:rsid w:val="0095131D"/>
    <w:rsid w:val="009518A8"/>
    <w:rsid w:val="00951989"/>
    <w:rsid w:val="00951C1A"/>
    <w:rsid w:val="00951C1E"/>
    <w:rsid w:val="00951C2B"/>
    <w:rsid w:val="00951C48"/>
    <w:rsid w:val="00951DEA"/>
    <w:rsid w:val="00951EBD"/>
    <w:rsid w:val="00951F95"/>
    <w:rsid w:val="009520FF"/>
    <w:rsid w:val="00952117"/>
    <w:rsid w:val="00952341"/>
    <w:rsid w:val="0095259C"/>
    <w:rsid w:val="009527D8"/>
    <w:rsid w:val="00952856"/>
    <w:rsid w:val="00952863"/>
    <w:rsid w:val="00952B4A"/>
    <w:rsid w:val="0095317E"/>
    <w:rsid w:val="00953422"/>
    <w:rsid w:val="00953484"/>
    <w:rsid w:val="00953574"/>
    <w:rsid w:val="009535DA"/>
    <w:rsid w:val="009535FD"/>
    <w:rsid w:val="00953AA3"/>
    <w:rsid w:val="00953BB5"/>
    <w:rsid w:val="00953CFF"/>
    <w:rsid w:val="00953D2B"/>
    <w:rsid w:val="00953D5A"/>
    <w:rsid w:val="00953E07"/>
    <w:rsid w:val="00953E92"/>
    <w:rsid w:val="00953EB6"/>
    <w:rsid w:val="00953F91"/>
    <w:rsid w:val="00953FAF"/>
    <w:rsid w:val="00954061"/>
    <w:rsid w:val="00954296"/>
    <w:rsid w:val="009544BC"/>
    <w:rsid w:val="0095456C"/>
    <w:rsid w:val="0095458B"/>
    <w:rsid w:val="00954706"/>
    <w:rsid w:val="00954787"/>
    <w:rsid w:val="009547B3"/>
    <w:rsid w:val="009548EC"/>
    <w:rsid w:val="00954A1F"/>
    <w:rsid w:val="00954A40"/>
    <w:rsid w:val="00954E5D"/>
    <w:rsid w:val="00954F46"/>
    <w:rsid w:val="00954FA3"/>
    <w:rsid w:val="0095517C"/>
    <w:rsid w:val="00955198"/>
    <w:rsid w:val="009555E2"/>
    <w:rsid w:val="00955734"/>
    <w:rsid w:val="00956138"/>
    <w:rsid w:val="00956184"/>
    <w:rsid w:val="009564E1"/>
    <w:rsid w:val="0095654F"/>
    <w:rsid w:val="00956645"/>
    <w:rsid w:val="0095679B"/>
    <w:rsid w:val="00956905"/>
    <w:rsid w:val="009569F4"/>
    <w:rsid w:val="00956C04"/>
    <w:rsid w:val="00956D98"/>
    <w:rsid w:val="00956EA7"/>
    <w:rsid w:val="00957102"/>
    <w:rsid w:val="0095710C"/>
    <w:rsid w:val="009573AC"/>
    <w:rsid w:val="0095763B"/>
    <w:rsid w:val="009578A2"/>
    <w:rsid w:val="00957C20"/>
    <w:rsid w:val="00957D2A"/>
    <w:rsid w:val="00957DC8"/>
    <w:rsid w:val="00957EBA"/>
    <w:rsid w:val="00960052"/>
    <w:rsid w:val="009604B6"/>
    <w:rsid w:val="009604C4"/>
    <w:rsid w:val="009606A1"/>
    <w:rsid w:val="00960CF0"/>
    <w:rsid w:val="00960D2B"/>
    <w:rsid w:val="00960D4C"/>
    <w:rsid w:val="00961233"/>
    <w:rsid w:val="009613D5"/>
    <w:rsid w:val="009614C6"/>
    <w:rsid w:val="00961669"/>
    <w:rsid w:val="009616A7"/>
    <w:rsid w:val="009618B6"/>
    <w:rsid w:val="00961A8B"/>
    <w:rsid w:val="00961CA5"/>
    <w:rsid w:val="00961E95"/>
    <w:rsid w:val="00961F3D"/>
    <w:rsid w:val="0096200C"/>
    <w:rsid w:val="00962122"/>
    <w:rsid w:val="009621D2"/>
    <w:rsid w:val="00962326"/>
    <w:rsid w:val="00962586"/>
    <w:rsid w:val="0096265E"/>
    <w:rsid w:val="0096296A"/>
    <w:rsid w:val="009629C0"/>
    <w:rsid w:val="00962BFB"/>
    <w:rsid w:val="00962C50"/>
    <w:rsid w:val="00962D99"/>
    <w:rsid w:val="00962E1C"/>
    <w:rsid w:val="00962EB2"/>
    <w:rsid w:val="00962FB6"/>
    <w:rsid w:val="009633E4"/>
    <w:rsid w:val="0096349D"/>
    <w:rsid w:val="0096361A"/>
    <w:rsid w:val="009636D4"/>
    <w:rsid w:val="00963948"/>
    <w:rsid w:val="00963BD7"/>
    <w:rsid w:val="0096416B"/>
    <w:rsid w:val="00964539"/>
    <w:rsid w:val="00964789"/>
    <w:rsid w:val="0096483C"/>
    <w:rsid w:val="00964954"/>
    <w:rsid w:val="00964DB7"/>
    <w:rsid w:val="00964F8B"/>
    <w:rsid w:val="0096512D"/>
    <w:rsid w:val="009651DA"/>
    <w:rsid w:val="0096536A"/>
    <w:rsid w:val="009655C8"/>
    <w:rsid w:val="009657C2"/>
    <w:rsid w:val="009657F5"/>
    <w:rsid w:val="0096582B"/>
    <w:rsid w:val="00965892"/>
    <w:rsid w:val="00965903"/>
    <w:rsid w:val="00965DEF"/>
    <w:rsid w:val="00965DF9"/>
    <w:rsid w:val="00966240"/>
    <w:rsid w:val="00966581"/>
    <w:rsid w:val="00966677"/>
    <w:rsid w:val="009666B1"/>
    <w:rsid w:val="00966722"/>
    <w:rsid w:val="00966C83"/>
    <w:rsid w:val="00966D78"/>
    <w:rsid w:val="00966DEC"/>
    <w:rsid w:val="00966E89"/>
    <w:rsid w:val="00967281"/>
    <w:rsid w:val="009673A1"/>
    <w:rsid w:val="00967654"/>
    <w:rsid w:val="00967A55"/>
    <w:rsid w:val="00970002"/>
    <w:rsid w:val="009700FB"/>
    <w:rsid w:val="0097029B"/>
    <w:rsid w:val="0097048F"/>
    <w:rsid w:val="00970537"/>
    <w:rsid w:val="00970937"/>
    <w:rsid w:val="00970B87"/>
    <w:rsid w:val="00970BCF"/>
    <w:rsid w:val="00970E70"/>
    <w:rsid w:val="00970E80"/>
    <w:rsid w:val="00970FF8"/>
    <w:rsid w:val="0097102B"/>
    <w:rsid w:val="009711FE"/>
    <w:rsid w:val="0097125B"/>
    <w:rsid w:val="0097139D"/>
    <w:rsid w:val="009715BC"/>
    <w:rsid w:val="0097160B"/>
    <w:rsid w:val="0097176E"/>
    <w:rsid w:val="00971852"/>
    <w:rsid w:val="009719BC"/>
    <w:rsid w:val="00971EEF"/>
    <w:rsid w:val="00971F00"/>
    <w:rsid w:val="00971F72"/>
    <w:rsid w:val="009721D1"/>
    <w:rsid w:val="009721F5"/>
    <w:rsid w:val="00972269"/>
    <w:rsid w:val="00972304"/>
    <w:rsid w:val="009726F6"/>
    <w:rsid w:val="00972719"/>
    <w:rsid w:val="0097275B"/>
    <w:rsid w:val="0097297D"/>
    <w:rsid w:val="009729AF"/>
    <w:rsid w:val="00972A55"/>
    <w:rsid w:val="00972C78"/>
    <w:rsid w:val="00972C79"/>
    <w:rsid w:val="00972DCB"/>
    <w:rsid w:val="00972EEE"/>
    <w:rsid w:val="009730A2"/>
    <w:rsid w:val="009730E1"/>
    <w:rsid w:val="009731C2"/>
    <w:rsid w:val="00973364"/>
    <w:rsid w:val="009733CA"/>
    <w:rsid w:val="00973548"/>
    <w:rsid w:val="00973647"/>
    <w:rsid w:val="009736BC"/>
    <w:rsid w:val="00973930"/>
    <w:rsid w:val="00973AF3"/>
    <w:rsid w:val="00973D38"/>
    <w:rsid w:val="009740B0"/>
    <w:rsid w:val="00974228"/>
    <w:rsid w:val="009742C1"/>
    <w:rsid w:val="0097435F"/>
    <w:rsid w:val="009747F5"/>
    <w:rsid w:val="00974D19"/>
    <w:rsid w:val="00974D2E"/>
    <w:rsid w:val="00974D88"/>
    <w:rsid w:val="009751AA"/>
    <w:rsid w:val="00975241"/>
    <w:rsid w:val="009753AB"/>
    <w:rsid w:val="00975505"/>
    <w:rsid w:val="009756C7"/>
    <w:rsid w:val="0097570E"/>
    <w:rsid w:val="0097582D"/>
    <w:rsid w:val="009759C2"/>
    <w:rsid w:val="00975F62"/>
    <w:rsid w:val="0097609F"/>
    <w:rsid w:val="00976165"/>
    <w:rsid w:val="00976235"/>
    <w:rsid w:val="00976465"/>
    <w:rsid w:val="00976734"/>
    <w:rsid w:val="0097673B"/>
    <w:rsid w:val="0097688F"/>
    <w:rsid w:val="00976CF8"/>
    <w:rsid w:val="00976EC9"/>
    <w:rsid w:val="00976F5C"/>
    <w:rsid w:val="00977063"/>
    <w:rsid w:val="00977132"/>
    <w:rsid w:val="00977458"/>
    <w:rsid w:val="009777EA"/>
    <w:rsid w:val="009779F9"/>
    <w:rsid w:val="00977F84"/>
    <w:rsid w:val="0098002A"/>
    <w:rsid w:val="009804E0"/>
    <w:rsid w:val="00980916"/>
    <w:rsid w:val="00980ABA"/>
    <w:rsid w:val="00980C8D"/>
    <w:rsid w:val="00980D8E"/>
    <w:rsid w:val="00980E0D"/>
    <w:rsid w:val="00980E51"/>
    <w:rsid w:val="00980F0A"/>
    <w:rsid w:val="00981315"/>
    <w:rsid w:val="00981683"/>
    <w:rsid w:val="009817C9"/>
    <w:rsid w:val="00981A72"/>
    <w:rsid w:val="00981C3F"/>
    <w:rsid w:val="00981D8A"/>
    <w:rsid w:val="009822EB"/>
    <w:rsid w:val="00982468"/>
    <w:rsid w:val="009824D7"/>
    <w:rsid w:val="00982643"/>
    <w:rsid w:val="00982723"/>
    <w:rsid w:val="00982C00"/>
    <w:rsid w:val="00982D41"/>
    <w:rsid w:val="00983293"/>
    <w:rsid w:val="00983572"/>
    <w:rsid w:val="009835F5"/>
    <w:rsid w:val="009838F0"/>
    <w:rsid w:val="00983B90"/>
    <w:rsid w:val="00983CEB"/>
    <w:rsid w:val="00983EC3"/>
    <w:rsid w:val="00984091"/>
    <w:rsid w:val="009841EA"/>
    <w:rsid w:val="009842BE"/>
    <w:rsid w:val="00984427"/>
    <w:rsid w:val="00984566"/>
    <w:rsid w:val="00984672"/>
    <w:rsid w:val="00984941"/>
    <w:rsid w:val="00984986"/>
    <w:rsid w:val="009849C3"/>
    <w:rsid w:val="00984A18"/>
    <w:rsid w:val="00984CD4"/>
    <w:rsid w:val="00984D49"/>
    <w:rsid w:val="00984EA4"/>
    <w:rsid w:val="00984FC1"/>
    <w:rsid w:val="00985073"/>
    <w:rsid w:val="009850F6"/>
    <w:rsid w:val="00985173"/>
    <w:rsid w:val="00985681"/>
    <w:rsid w:val="0098581D"/>
    <w:rsid w:val="009858DF"/>
    <w:rsid w:val="009858EB"/>
    <w:rsid w:val="009859AA"/>
    <w:rsid w:val="009859EE"/>
    <w:rsid w:val="009859F6"/>
    <w:rsid w:val="00985E64"/>
    <w:rsid w:val="00985F67"/>
    <w:rsid w:val="00985F84"/>
    <w:rsid w:val="00986021"/>
    <w:rsid w:val="00986030"/>
    <w:rsid w:val="00986067"/>
    <w:rsid w:val="0098653D"/>
    <w:rsid w:val="00986852"/>
    <w:rsid w:val="009869E7"/>
    <w:rsid w:val="00986C0A"/>
    <w:rsid w:val="00986E3E"/>
    <w:rsid w:val="00986E6D"/>
    <w:rsid w:val="00986F96"/>
    <w:rsid w:val="00986FF5"/>
    <w:rsid w:val="009870C9"/>
    <w:rsid w:val="009871CA"/>
    <w:rsid w:val="00987421"/>
    <w:rsid w:val="009875C2"/>
    <w:rsid w:val="009876A4"/>
    <w:rsid w:val="00987C7D"/>
    <w:rsid w:val="00987C92"/>
    <w:rsid w:val="00987DB3"/>
    <w:rsid w:val="00987EA4"/>
    <w:rsid w:val="00987F38"/>
    <w:rsid w:val="00990380"/>
    <w:rsid w:val="0099047B"/>
    <w:rsid w:val="009906E0"/>
    <w:rsid w:val="00990BC0"/>
    <w:rsid w:val="00990CF2"/>
    <w:rsid w:val="00990D84"/>
    <w:rsid w:val="00990D99"/>
    <w:rsid w:val="00990F05"/>
    <w:rsid w:val="0099102A"/>
    <w:rsid w:val="0099102F"/>
    <w:rsid w:val="00991061"/>
    <w:rsid w:val="00991375"/>
    <w:rsid w:val="009917DF"/>
    <w:rsid w:val="009918FE"/>
    <w:rsid w:val="009921DB"/>
    <w:rsid w:val="00992375"/>
    <w:rsid w:val="009926DD"/>
    <w:rsid w:val="00992842"/>
    <w:rsid w:val="009929BB"/>
    <w:rsid w:val="00992B95"/>
    <w:rsid w:val="00992D92"/>
    <w:rsid w:val="0099346E"/>
    <w:rsid w:val="00993482"/>
    <w:rsid w:val="00993509"/>
    <w:rsid w:val="009937F4"/>
    <w:rsid w:val="009938BC"/>
    <w:rsid w:val="00993A13"/>
    <w:rsid w:val="00993A55"/>
    <w:rsid w:val="00993BE1"/>
    <w:rsid w:val="00993C34"/>
    <w:rsid w:val="00993E06"/>
    <w:rsid w:val="00993E8D"/>
    <w:rsid w:val="009940EF"/>
    <w:rsid w:val="00994111"/>
    <w:rsid w:val="009943E1"/>
    <w:rsid w:val="00994561"/>
    <w:rsid w:val="00994628"/>
    <w:rsid w:val="0099496E"/>
    <w:rsid w:val="00994A8D"/>
    <w:rsid w:val="00994AB0"/>
    <w:rsid w:val="00994C63"/>
    <w:rsid w:val="00994C7C"/>
    <w:rsid w:val="00994D06"/>
    <w:rsid w:val="00994E2F"/>
    <w:rsid w:val="00995864"/>
    <w:rsid w:val="00995869"/>
    <w:rsid w:val="0099596B"/>
    <w:rsid w:val="00995A19"/>
    <w:rsid w:val="00995B67"/>
    <w:rsid w:val="00995D97"/>
    <w:rsid w:val="009961BA"/>
    <w:rsid w:val="0099625C"/>
    <w:rsid w:val="00996500"/>
    <w:rsid w:val="009967DE"/>
    <w:rsid w:val="00996C42"/>
    <w:rsid w:val="00996C51"/>
    <w:rsid w:val="00996E43"/>
    <w:rsid w:val="00997067"/>
    <w:rsid w:val="009972D5"/>
    <w:rsid w:val="00997386"/>
    <w:rsid w:val="00997670"/>
    <w:rsid w:val="00997735"/>
    <w:rsid w:val="0099779A"/>
    <w:rsid w:val="009978BF"/>
    <w:rsid w:val="00997B2B"/>
    <w:rsid w:val="00997B8B"/>
    <w:rsid w:val="00997C08"/>
    <w:rsid w:val="00997CF0"/>
    <w:rsid w:val="00997D44"/>
    <w:rsid w:val="00997EB2"/>
    <w:rsid w:val="009A0131"/>
    <w:rsid w:val="009A04E6"/>
    <w:rsid w:val="009A05FA"/>
    <w:rsid w:val="009A0716"/>
    <w:rsid w:val="009A07FA"/>
    <w:rsid w:val="009A084C"/>
    <w:rsid w:val="009A0A78"/>
    <w:rsid w:val="009A0A96"/>
    <w:rsid w:val="009A0BBC"/>
    <w:rsid w:val="009A0C0B"/>
    <w:rsid w:val="009A0CCE"/>
    <w:rsid w:val="009A0DE3"/>
    <w:rsid w:val="009A0E1B"/>
    <w:rsid w:val="009A0E80"/>
    <w:rsid w:val="009A0F8D"/>
    <w:rsid w:val="009A0F9D"/>
    <w:rsid w:val="009A1100"/>
    <w:rsid w:val="009A123C"/>
    <w:rsid w:val="009A1457"/>
    <w:rsid w:val="009A15F8"/>
    <w:rsid w:val="009A1645"/>
    <w:rsid w:val="009A169F"/>
    <w:rsid w:val="009A1A70"/>
    <w:rsid w:val="009A1AF4"/>
    <w:rsid w:val="009A1AFB"/>
    <w:rsid w:val="009A1CBB"/>
    <w:rsid w:val="009A1F47"/>
    <w:rsid w:val="009A23A5"/>
    <w:rsid w:val="009A2441"/>
    <w:rsid w:val="009A25B8"/>
    <w:rsid w:val="009A282F"/>
    <w:rsid w:val="009A286B"/>
    <w:rsid w:val="009A288A"/>
    <w:rsid w:val="009A29D5"/>
    <w:rsid w:val="009A2A01"/>
    <w:rsid w:val="009A2A7F"/>
    <w:rsid w:val="009A2B25"/>
    <w:rsid w:val="009A2B2F"/>
    <w:rsid w:val="009A2C84"/>
    <w:rsid w:val="009A2CC2"/>
    <w:rsid w:val="009A2D75"/>
    <w:rsid w:val="009A2D7C"/>
    <w:rsid w:val="009A2E44"/>
    <w:rsid w:val="009A2F20"/>
    <w:rsid w:val="009A2F40"/>
    <w:rsid w:val="009A30B6"/>
    <w:rsid w:val="009A3342"/>
    <w:rsid w:val="009A340A"/>
    <w:rsid w:val="009A3578"/>
    <w:rsid w:val="009A3773"/>
    <w:rsid w:val="009A3785"/>
    <w:rsid w:val="009A3892"/>
    <w:rsid w:val="009A3B9F"/>
    <w:rsid w:val="009A3DA8"/>
    <w:rsid w:val="009A3E30"/>
    <w:rsid w:val="009A3F6C"/>
    <w:rsid w:val="009A3F91"/>
    <w:rsid w:val="009A4019"/>
    <w:rsid w:val="009A4327"/>
    <w:rsid w:val="009A47A2"/>
    <w:rsid w:val="009A4E6F"/>
    <w:rsid w:val="009A523B"/>
    <w:rsid w:val="009A525C"/>
    <w:rsid w:val="009A525D"/>
    <w:rsid w:val="009A582D"/>
    <w:rsid w:val="009A58D3"/>
    <w:rsid w:val="009A5AFD"/>
    <w:rsid w:val="009A5EB9"/>
    <w:rsid w:val="009A5EE3"/>
    <w:rsid w:val="009A6110"/>
    <w:rsid w:val="009A613B"/>
    <w:rsid w:val="009A63C6"/>
    <w:rsid w:val="009A6410"/>
    <w:rsid w:val="009A6591"/>
    <w:rsid w:val="009A68FD"/>
    <w:rsid w:val="009A6AE4"/>
    <w:rsid w:val="009A6D45"/>
    <w:rsid w:val="009A6EFD"/>
    <w:rsid w:val="009A709B"/>
    <w:rsid w:val="009A739F"/>
    <w:rsid w:val="009A749A"/>
    <w:rsid w:val="009A74CE"/>
    <w:rsid w:val="009A76BF"/>
    <w:rsid w:val="009A7A14"/>
    <w:rsid w:val="009A7A57"/>
    <w:rsid w:val="009A7D55"/>
    <w:rsid w:val="009A7DEF"/>
    <w:rsid w:val="009A7F85"/>
    <w:rsid w:val="009B009E"/>
    <w:rsid w:val="009B0243"/>
    <w:rsid w:val="009B05A6"/>
    <w:rsid w:val="009B0630"/>
    <w:rsid w:val="009B06EF"/>
    <w:rsid w:val="009B0C9A"/>
    <w:rsid w:val="009B0DB6"/>
    <w:rsid w:val="009B0E2D"/>
    <w:rsid w:val="009B0E67"/>
    <w:rsid w:val="009B0EE3"/>
    <w:rsid w:val="009B0FE8"/>
    <w:rsid w:val="009B10F2"/>
    <w:rsid w:val="009B1606"/>
    <w:rsid w:val="009B1D02"/>
    <w:rsid w:val="009B1DF9"/>
    <w:rsid w:val="009B1E70"/>
    <w:rsid w:val="009B2060"/>
    <w:rsid w:val="009B21AB"/>
    <w:rsid w:val="009B24B4"/>
    <w:rsid w:val="009B29B3"/>
    <w:rsid w:val="009B2A83"/>
    <w:rsid w:val="009B2AA2"/>
    <w:rsid w:val="009B2AB3"/>
    <w:rsid w:val="009B2B13"/>
    <w:rsid w:val="009B2B90"/>
    <w:rsid w:val="009B2BA6"/>
    <w:rsid w:val="009B2CEC"/>
    <w:rsid w:val="009B2D79"/>
    <w:rsid w:val="009B2EA1"/>
    <w:rsid w:val="009B2F22"/>
    <w:rsid w:val="009B2F5A"/>
    <w:rsid w:val="009B308F"/>
    <w:rsid w:val="009B30C9"/>
    <w:rsid w:val="009B32DF"/>
    <w:rsid w:val="009B3545"/>
    <w:rsid w:val="009B3670"/>
    <w:rsid w:val="009B36E8"/>
    <w:rsid w:val="009B370F"/>
    <w:rsid w:val="009B3982"/>
    <w:rsid w:val="009B39DC"/>
    <w:rsid w:val="009B3EB0"/>
    <w:rsid w:val="009B3FB2"/>
    <w:rsid w:val="009B4125"/>
    <w:rsid w:val="009B4251"/>
    <w:rsid w:val="009B42BB"/>
    <w:rsid w:val="009B450C"/>
    <w:rsid w:val="009B464E"/>
    <w:rsid w:val="009B4826"/>
    <w:rsid w:val="009B48D7"/>
    <w:rsid w:val="009B4939"/>
    <w:rsid w:val="009B49AA"/>
    <w:rsid w:val="009B4AA4"/>
    <w:rsid w:val="009B4C89"/>
    <w:rsid w:val="009B4DF9"/>
    <w:rsid w:val="009B4E66"/>
    <w:rsid w:val="009B4FA2"/>
    <w:rsid w:val="009B504A"/>
    <w:rsid w:val="009B50E5"/>
    <w:rsid w:val="009B510E"/>
    <w:rsid w:val="009B5384"/>
    <w:rsid w:val="009B54C3"/>
    <w:rsid w:val="009B553A"/>
    <w:rsid w:val="009B5BD4"/>
    <w:rsid w:val="009B5D81"/>
    <w:rsid w:val="009B5FE5"/>
    <w:rsid w:val="009B61E7"/>
    <w:rsid w:val="009B622A"/>
    <w:rsid w:val="009B627D"/>
    <w:rsid w:val="009B636B"/>
    <w:rsid w:val="009B63E5"/>
    <w:rsid w:val="009B64F4"/>
    <w:rsid w:val="009B65D0"/>
    <w:rsid w:val="009B669A"/>
    <w:rsid w:val="009B66D8"/>
    <w:rsid w:val="009B6825"/>
    <w:rsid w:val="009B6851"/>
    <w:rsid w:val="009B689A"/>
    <w:rsid w:val="009B69CC"/>
    <w:rsid w:val="009B6AA0"/>
    <w:rsid w:val="009B6AF5"/>
    <w:rsid w:val="009B6B94"/>
    <w:rsid w:val="009B6CB1"/>
    <w:rsid w:val="009B6CC5"/>
    <w:rsid w:val="009B6D23"/>
    <w:rsid w:val="009B6D74"/>
    <w:rsid w:val="009B6E0A"/>
    <w:rsid w:val="009B6E1D"/>
    <w:rsid w:val="009B6FA1"/>
    <w:rsid w:val="009B7260"/>
    <w:rsid w:val="009B7598"/>
    <w:rsid w:val="009B759A"/>
    <w:rsid w:val="009B76C5"/>
    <w:rsid w:val="009B76DB"/>
    <w:rsid w:val="009B78F2"/>
    <w:rsid w:val="009B7C9F"/>
    <w:rsid w:val="009B7EB2"/>
    <w:rsid w:val="009B7F27"/>
    <w:rsid w:val="009B7F48"/>
    <w:rsid w:val="009B7FDA"/>
    <w:rsid w:val="009C0087"/>
    <w:rsid w:val="009C01A0"/>
    <w:rsid w:val="009C036E"/>
    <w:rsid w:val="009C0383"/>
    <w:rsid w:val="009C04EE"/>
    <w:rsid w:val="009C04F5"/>
    <w:rsid w:val="009C06B4"/>
    <w:rsid w:val="009C072F"/>
    <w:rsid w:val="009C07B0"/>
    <w:rsid w:val="009C0810"/>
    <w:rsid w:val="009C0823"/>
    <w:rsid w:val="009C09CE"/>
    <w:rsid w:val="009C0B6E"/>
    <w:rsid w:val="009C0CF1"/>
    <w:rsid w:val="009C0DE0"/>
    <w:rsid w:val="009C0E09"/>
    <w:rsid w:val="009C0F68"/>
    <w:rsid w:val="009C11F2"/>
    <w:rsid w:val="009C12A6"/>
    <w:rsid w:val="009C1327"/>
    <w:rsid w:val="009C1793"/>
    <w:rsid w:val="009C17E7"/>
    <w:rsid w:val="009C1955"/>
    <w:rsid w:val="009C1B46"/>
    <w:rsid w:val="009C1D78"/>
    <w:rsid w:val="009C1D7B"/>
    <w:rsid w:val="009C1FA8"/>
    <w:rsid w:val="009C20B9"/>
    <w:rsid w:val="009C2367"/>
    <w:rsid w:val="009C2458"/>
    <w:rsid w:val="009C25CB"/>
    <w:rsid w:val="009C2759"/>
    <w:rsid w:val="009C284F"/>
    <w:rsid w:val="009C2A9E"/>
    <w:rsid w:val="009C2AB8"/>
    <w:rsid w:val="009C2B7B"/>
    <w:rsid w:val="009C2B91"/>
    <w:rsid w:val="009C2DB8"/>
    <w:rsid w:val="009C2E81"/>
    <w:rsid w:val="009C2F17"/>
    <w:rsid w:val="009C325B"/>
    <w:rsid w:val="009C3403"/>
    <w:rsid w:val="009C3459"/>
    <w:rsid w:val="009C34C9"/>
    <w:rsid w:val="009C35F5"/>
    <w:rsid w:val="009C3C6D"/>
    <w:rsid w:val="009C3E27"/>
    <w:rsid w:val="009C3EA2"/>
    <w:rsid w:val="009C4359"/>
    <w:rsid w:val="009C438F"/>
    <w:rsid w:val="009C43E7"/>
    <w:rsid w:val="009C47A2"/>
    <w:rsid w:val="009C48ED"/>
    <w:rsid w:val="009C496F"/>
    <w:rsid w:val="009C4BB0"/>
    <w:rsid w:val="009C4BE3"/>
    <w:rsid w:val="009C4CFE"/>
    <w:rsid w:val="009C4D87"/>
    <w:rsid w:val="009C4E10"/>
    <w:rsid w:val="009C4EFF"/>
    <w:rsid w:val="009C5318"/>
    <w:rsid w:val="009C5581"/>
    <w:rsid w:val="009C5858"/>
    <w:rsid w:val="009C5B41"/>
    <w:rsid w:val="009C5F8F"/>
    <w:rsid w:val="009C610C"/>
    <w:rsid w:val="009C6167"/>
    <w:rsid w:val="009C63B0"/>
    <w:rsid w:val="009C6596"/>
    <w:rsid w:val="009C65C7"/>
    <w:rsid w:val="009C680A"/>
    <w:rsid w:val="009C6834"/>
    <w:rsid w:val="009C6835"/>
    <w:rsid w:val="009C697D"/>
    <w:rsid w:val="009C6A11"/>
    <w:rsid w:val="009C6B86"/>
    <w:rsid w:val="009C6BEA"/>
    <w:rsid w:val="009C6C41"/>
    <w:rsid w:val="009C6CE0"/>
    <w:rsid w:val="009C6E03"/>
    <w:rsid w:val="009C6E72"/>
    <w:rsid w:val="009C7026"/>
    <w:rsid w:val="009C70A4"/>
    <w:rsid w:val="009C7568"/>
    <w:rsid w:val="009C7B7C"/>
    <w:rsid w:val="009C7F5A"/>
    <w:rsid w:val="009D019C"/>
    <w:rsid w:val="009D02D4"/>
    <w:rsid w:val="009D055B"/>
    <w:rsid w:val="009D075E"/>
    <w:rsid w:val="009D0825"/>
    <w:rsid w:val="009D08AD"/>
    <w:rsid w:val="009D0B0C"/>
    <w:rsid w:val="009D0DE4"/>
    <w:rsid w:val="009D0E52"/>
    <w:rsid w:val="009D101B"/>
    <w:rsid w:val="009D10BB"/>
    <w:rsid w:val="009D1255"/>
    <w:rsid w:val="009D1492"/>
    <w:rsid w:val="009D14BC"/>
    <w:rsid w:val="009D1586"/>
    <w:rsid w:val="009D1E5A"/>
    <w:rsid w:val="009D1FE2"/>
    <w:rsid w:val="009D2091"/>
    <w:rsid w:val="009D20A5"/>
    <w:rsid w:val="009D2104"/>
    <w:rsid w:val="009D2255"/>
    <w:rsid w:val="009D23E2"/>
    <w:rsid w:val="009D2656"/>
    <w:rsid w:val="009D2803"/>
    <w:rsid w:val="009D2819"/>
    <w:rsid w:val="009D2DDE"/>
    <w:rsid w:val="009D2FC4"/>
    <w:rsid w:val="009D3173"/>
    <w:rsid w:val="009D317A"/>
    <w:rsid w:val="009D31FD"/>
    <w:rsid w:val="009D35C4"/>
    <w:rsid w:val="009D3648"/>
    <w:rsid w:val="009D392A"/>
    <w:rsid w:val="009D3B3D"/>
    <w:rsid w:val="009D3C3F"/>
    <w:rsid w:val="009D3C4D"/>
    <w:rsid w:val="009D4376"/>
    <w:rsid w:val="009D43DF"/>
    <w:rsid w:val="009D4437"/>
    <w:rsid w:val="009D46A0"/>
    <w:rsid w:val="009D4758"/>
    <w:rsid w:val="009D49BC"/>
    <w:rsid w:val="009D4D67"/>
    <w:rsid w:val="009D4F26"/>
    <w:rsid w:val="009D501B"/>
    <w:rsid w:val="009D5666"/>
    <w:rsid w:val="009D58B6"/>
    <w:rsid w:val="009D59D7"/>
    <w:rsid w:val="009D5A02"/>
    <w:rsid w:val="009D5B6F"/>
    <w:rsid w:val="009D5B7D"/>
    <w:rsid w:val="009D5C7D"/>
    <w:rsid w:val="009D5D03"/>
    <w:rsid w:val="009D5DD5"/>
    <w:rsid w:val="009D5FA4"/>
    <w:rsid w:val="009D5FA8"/>
    <w:rsid w:val="009D5FED"/>
    <w:rsid w:val="009D6318"/>
    <w:rsid w:val="009D635B"/>
    <w:rsid w:val="009D66A5"/>
    <w:rsid w:val="009D66DC"/>
    <w:rsid w:val="009D699F"/>
    <w:rsid w:val="009D6B9A"/>
    <w:rsid w:val="009D6D87"/>
    <w:rsid w:val="009D6F05"/>
    <w:rsid w:val="009D70A7"/>
    <w:rsid w:val="009D7124"/>
    <w:rsid w:val="009D74B0"/>
    <w:rsid w:val="009D74B7"/>
    <w:rsid w:val="009D7914"/>
    <w:rsid w:val="009D7AE7"/>
    <w:rsid w:val="009D7B9C"/>
    <w:rsid w:val="009D7BC9"/>
    <w:rsid w:val="009D7C30"/>
    <w:rsid w:val="009D7E07"/>
    <w:rsid w:val="009D7F6F"/>
    <w:rsid w:val="009E01AA"/>
    <w:rsid w:val="009E01F1"/>
    <w:rsid w:val="009E0393"/>
    <w:rsid w:val="009E053C"/>
    <w:rsid w:val="009E057B"/>
    <w:rsid w:val="009E06B1"/>
    <w:rsid w:val="009E07D3"/>
    <w:rsid w:val="009E093F"/>
    <w:rsid w:val="009E0D3F"/>
    <w:rsid w:val="009E0F68"/>
    <w:rsid w:val="009E11E2"/>
    <w:rsid w:val="009E135B"/>
    <w:rsid w:val="009E1575"/>
    <w:rsid w:val="009E15EB"/>
    <w:rsid w:val="009E1722"/>
    <w:rsid w:val="009E1736"/>
    <w:rsid w:val="009E1AA8"/>
    <w:rsid w:val="009E1B21"/>
    <w:rsid w:val="009E1B60"/>
    <w:rsid w:val="009E1C47"/>
    <w:rsid w:val="009E2197"/>
    <w:rsid w:val="009E2340"/>
    <w:rsid w:val="009E254E"/>
    <w:rsid w:val="009E2B10"/>
    <w:rsid w:val="009E2F49"/>
    <w:rsid w:val="009E2F5A"/>
    <w:rsid w:val="009E2FDF"/>
    <w:rsid w:val="009E3191"/>
    <w:rsid w:val="009E31E6"/>
    <w:rsid w:val="009E34BC"/>
    <w:rsid w:val="009E382C"/>
    <w:rsid w:val="009E38A9"/>
    <w:rsid w:val="009E38E6"/>
    <w:rsid w:val="009E3AFA"/>
    <w:rsid w:val="009E3C8A"/>
    <w:rsid w:val="009E3DD2"/>
    <w:rsid w:val="009E3EB4"/>
    <w:rsid w:val="009E4548"/>
    <w:rsid w:val="009E49AA"/>
    <w:rsid w:val="009E4BD0"/>
    <w:rsid w:val="009E4CA5"/>
    <w:rsid w:val="009E4E41"/>
    <w:rsid w:val="009E4FB8"/>
    <w:rsid w:val="009E53CE"/>
    <w:rsid w:val="009E5621"/>
    <w:rsid w:val="009E572C"/>
    <w:rsid w:val="009E576A"/>
    <w:rsid w:val="009E579F"/>
    <w:rsid w:val="009E57E5"/>
    <w:rsid w:val="009E57F4"/>
    <w:rsid w:val="009E5A84"/>
    <w:rsid w:val="009E5AE5"/>
    <w:rsid w:val="009E5CB6"/>
    <w:rsid w:val="009E5FA4"/>
    <w:rsid w:val="009E5FBF"/>
    <w:rsid w:val="009E6223"/>
    <w:rsid w:val="009E65B5"/>
    <w:rsid w:val="009E6882"/>
    <w:rsid w:val="009E68E2"/>
    <w:rsid w:val="009E6A3F"/>
    <w:rsid w:val="009E6B8C"/>
    <w:rsid w:val="009E6BF5"/>
    <w:rsid w:val="009E6D67"/>
    <w:rsid w:val="009E6E4A"/>
    <w:rsid w:val="009E6E7E"/>
    <w:rsid w:val="009E6ED9"/>
    <w:rsid w:val="009E6FF7"/>
    <w:rsid w:val="009E7410"/>
    <w:rsid w:val="009E7460"/>
    <w:rsid w:val="009E74E2"/>
    <w:rsid w:val="009E7552"/>
    <w:rsid w:val="009E7998"/>
    <w:rsid w:val="009E79CB"/>
    <w:rsid w:val="009F00CA"/>
    <w:rsid w:val="009F03F1"/>
    <w:rsid w:val="009F0567"/>
    <w:rsid w:val="009F05D0"/>
    <w:rsid w:val="009F0614"/>
    <w:rsid w:val="009F06F2"/>
    <w:rsid w:val="009F06F6"/>
    <w:rsid w:val="009F092B"/>
    <w:rsid w:val="009F096D"/>
    <w:rsid w:val="009F0A8E"/>
    <w:rsid w:val="009F0AB1"/>
    <w:rsid w:val="009F0B1B"/>
    <w:rsid w:val="009F0C60"/>
    <w:rsid w:val="009F0CFF"/>
    <w:rsid w:val="009F0D5B"/>
    <w:rsid w:val="009F15C4"/>
    <w:rsid w:val="009F187E"/>
    <w:rsid w:val="009F1A0B"/>
    <w:rsid w:val="009F1A48"/>
    <w:rsid w:val="009F1ACE"/>
    <w:rsid w:val="009F1B26"/>
    <w:rsid w:val="009F1B90"/>
    <w:rsid w:val="009F1C36"/>
    <w:rsid w:val="009F1E7E"/>
    <w:rsid w:val="009F1EEA"/>
    <w:rsid w:val="009F1F2E"/>
    <w:rsid w:val="009F212E"/>
    <w:rsid w:val="009F2131"/>
    <w:rsid w:val="009F2253"/>
    <w:rsid w:val="009F23DC"/>
    <w:rsid w:val="009F24DA"/>
    <w:rsid w:val="009F2582"/>
    <w:rsid w:val="009F29BB"/>
    <w:rsid w:val="009F2B60"/>
    <w:rsid w:val="009F2C06"/>
    <w:rsid w:val="009F3021"/>
    <w:rsid w:val="009F32F5"/>
    <w:rsid w:val="009F3877"/>
    <w:rsid w:val="009F3915"/>
    <w:rsid w:val="009F3C87"/>
    <w:rsid w:val="009F403F"/>
    <w:rsid w:val="009F446E"/>
    <w:rsid w:val="009F4548"/>
    <w:rsid w:val="009F45A5"/>
    <w:rsid w:val="009F493C"/>
    <w:rsid w:val="009F4AB7"/>
    <w:rsid w:val="009F4D14"/>
    <w:rsid w:val="009F4EB4"/>
    <w:rsid w:val="009F4EFA"/>
    <w:rsid w:val="009F4F38"/>
    <w:rsid w:val="009F5618"/>
    <w:rsid w:val="009F5630"/>
    <w:rsid w:val="009F58AF"/>
    <w:rsid w:val="009F5900"/>
    <w:rsid w:val="009F5FF4"/>
    <w:rsid w:val="009F6254"/>
    <w:rsid w:val="009F635E"/>
    <w:rsid w:val="009F6431"/>
    <w:rsid w:val="009F64A4"/>
    <w:rsid w:val="009F657E"/>
    <w:rsid w:val="009F65C3"/>
    <w:rsid w:val="009F695C"/>
    <w:rsid w:val="009F69C6"/>
    <w:rsid w:val="009F6C6F"/>
    <w:rsid w:val="009F6CC0"/>
    <w:rsid w:val="009F6D10"/>
    <w:rsid w:val="009F6D62"/>
    <w:rsid w:val="009F6D96"/>
    <w:rsid w:val="009F6E08"/>
    <w:rsid w:val="009F6E6D"/>
    <w:rsid w:val="009F702E"/>
    <w:rsid w:val="009F731B"/>
    <w:rsid w:val="009F7368"/>
    <w:rsid w:val="009F7389"/>
    <w:rsid w:val="009F74EE"/>
    <w:rsid w:val="009F76ED"/>
    <w:rsid w:val="009F78B9"/>
    <w:rsid w:val="009F78FA"/>
    <w:rsid w:val="009F7BE0"/>
    <w:rsid w:val="009F7DEF"/>
    <w:rsid w:val="009F7FEA"/>
    <w:rsid w:val="00A0003B"/>
    <w:rsid w:val="00A0013A"/>
    <w:rsid w:val="00A001EA"/>
    <w:rsid w:val="00A00331"/>
    <w:rsid w:val="00A00463"/>
    <w:rsid w:val="00A005CF"/>
    <w:rsid w:val="00A00702"/>
    <w:rsid w:val="00A00996"/>
    <w:rsid w:val="00A00B9F"/>
    <w:rsid w:val="00A00CC7"/>
    <w:rsid w:val="00A00FA6"/>
    <w:rsid w:val="00A012A7"/>
    <w:rsid w:val="00A01416"/>
    <w:rsid w:val="00A014B4"/>
    <w:rsid w:val="00A01798"/>
    <w:rsid w:val="00A01845"/>
    <w:rsid w:val="00A01BB8"/>
    <w:rsid w:val="00A01C8B"/>
    <w:rsid w:val="00A02153"/>
    <w:rsid w:val="00A02217"/>
    <w:rsid w:val="00A025DA"/>
    <w:rsid w:val="00A02826"/>
    <w:rsid w:val="00A02C5D"/>
    <w:rsid w:val="00A02DF6"/>
    <w:rsid w:val="00A02EC7"/>
    <w:rsid w:val="00A02F07"/>
    <w:rsid w:val="00A03071"/>
    <w:rsid w:val="00A03291"/>
    <w:rsid w:val="00A032EE"/>
    <w:rsid w:val="00A03491"/>
    <w:rsid w:val="00A037C0"/>
    <w:rsid w:val="00A0391B"/>
    <w:rsid w:val="00A03BBC"/>
    <w:rsid w:val="00A03C5E"/>
    <w:rsid w:val="00A0407F"/>
    <w:rsid w:val="00A04223"/>
    <w:rsid w:val="00A042CE"/>
    <w:rsid w:val="00A04387"/>
    <w:rsid w:val="00A04536"/>
    <w:rsid w:val="00A045C7"/>
    <w:rsid w:val="00A0492F"/>
    <w:rsid w:val="00A04F2C"/>
    <w:rsid w:val="00A05026"/>
    <w:rsid w:val="00A0505D"/>
    <w:rsid w:val="00A050D3"/>
    <w:rsid w:val="00A0523D"/>
    <w:rsid w:val="00A05507"/>
    <w:rsid w:val="00A056D5"/>
    <w:rsid w:val="00A0579A"/>
    <w:rsid w:val="00A05A63"/>
    <w:rsid w:val="00A05A97"/>
    <w:rsid w:val="00A05B6E"/>
    <w:rsid w:val="00A05D0E"/>
    <w:rsid w:val="00A060A1"/>
    <w:rsid w:val="00A0613E"/>
    <w:rsid w:val="00A06222"/>
    <w:rsid w:val="00A06943"/>
    <w:rsid w:val="00A06963"/>
    <w:rsid w:val="00A06B28"/>
    <w:rsid w:val="00A06B8E"/>
    <w:rsid w:val="00A06D12"/>
    <w:rsid w:val="00A06E4F"/>
    <w:rsid w:val="00A06F3D"/>
    <w:rsid w:val="00A0702B"/>
    <w:rsid w:val="00A070E7"/>
    <w:rsid w:val="00A0737B"/>
    <w:rsid w:val="00A0763A"/>
    <w:rsid w:val="00A0774D"/>
    <w:rsid w:val="00A0776D"/>
    <w:rsid w:val="00A077DF"/>
    <w:rsid w:val="00A078C1"/>
    <w:rsid w:val="00A079E2"/>
    <w:rsid w:val="00A07B6C"/>
    <w:rsid w:val="00A07F6C"/>
    <w:rsid w:val="00A07FF9"/>
    <w:rsid w:val="00A10214"/>
    <w:rsid w:val="00A1029E"/>
    <w:rsid w:val="00A10815"/>
    <w:rsid w:val="00A10A75"/>
    <w:rsid w:val="00A10C2F"/>
    <w:rsid w:val="00A10E90"/>
    <w:rsid w:val="00A10F7D"/>
    <w:rsid w:val="00A112E5"/>
    <w:rsid w:val="00A11349"/>
    <w:rsid w:val="00A11407"/>
    <w:rsid w:val="00A114B7"/>
    <w:rsid w:val="00A119F3"/>
    <w:rsid w:val="00A11C05"/>
    <w:rsid w:val="00A11CDF"/>
    <w:rsid w:val="00A11E86"/>
    <w:rsid w:val="00A11FA9"/>
    <w:rsid w:val="00A121B0"/>
    <w:rsid w:val="00A12271"/>
    <w:rsid w:val="00A1228C"/>
    <w:rsid w:val="00A1240F"/>
    <w:rsid w:val="00A12518"/>
    <w:rsid w:val="00A125D8"/>
    <w:rsid w:val="00A12637"/>
    <w:rsid w:val="00A12B79"/>
    <w:rsid w:val="00A12D30"/>
    <w:rsid w:val="00A132BF"/>
    <w:rsid w:val="00A132E3"/>
    <w:rsid w:val="00A135EA"/>
    <w:rsid w:val="00A13612"/>
    <w:rsid w:val="00A136D6"/>
    <w:rsid w:val="00A138BC"/>
    <w:rsid w:val="00A13960"/>
    <w:rsid w:val="00A13A57"/>
    <w:rsid w:val="00A13AAA"/>
    <w:rsid w:val="00A13E8F"/>
    <w:rsid w:val="00A13EB9"/>
    <w:rsid w:val="00A140D0"/>
    <w:rsid w:val="00A140D3"/>
    <w:rsid w:val="00A1446B"/>
    <w:rsid w:val="00A145B2"/>
    <w:rsid w:val="00A14B48"/>
    <w:rsid w:val="00A14DB5"/>
    <w:rsid w:val="00A14ED8"/>
    <w:rsid w:val="00A15346"/>
    <w:rsid w:val="00A155A7"/>
    <w:rsid w:val="00A15772"/>
    <w:rsid w:val="00A15C4E"/>
    <w:rsid w:val="00A15E0F"/>
    <w:rsid w:val="00A15E21"/>
    <w:rsid w:val="00A15EE3"/>
    <w:rsid w:val="00A1617E"/>
    <w:rsid w:val="00A161F6"/>
    <w:rsid w:val="00A16206"/>
    <w:rsid w:val="00A1634D"/>
    <w:rsid w:val="00A163F3"/>
    <w:rsid w:val="00A166CC"/>
    <w:rsid w:val="00A166E8"/>
    <w:rsid w:val="00A167F2"/>
    <w:rsid w:val="00A16E6C"/>
    <w:rsid w:val="00A1714F"/>
    <w:rsid w:val="00A171E4"/>
    <w:rsid w:val="00A1784E"/>
    <w:rsid w:val="00A178CD"/>
    <w:rsid w:val="00A17DBB"/>
    <w:rsid w:val="00A17E32"/>
    <w:rsid w:val="00A17EFE"/>
    <w:rsid w:val="00A20041"/>
    <w:rsid w:val="00A20045"/>
    <w:rsid w:val="00A2008A"/>
    <w:rsid w:val="00A201A2"/>
    <w:rsid w:val="00A20283"/>
    <w:rsid w:val="00A20366"/>
    <w:rsid w:val="00A205F1"/>
    <w:rsid w:val="00A20978"/>
    <w:rsid w:val="00A20B88"/>
    <w:rsid w:val="00A20C78"/>
    <w:rsid w:val="00A20E51"/>
    <w:rsid w:val="00A20F4A"/>
    <w:rsid w:val="00A210A3"/>
    <w:rsid w:val="00A211EC"/>
    <w:rsid w:val="00A2123E"/>
    <w:rsid w:val="00A21391"/>
    <w:rsid w:val="00A2176E"/>
    <w:rsid w:val="00A218AD"/>
    <w:rsid w:val="00A21BF0"/>
    <w:rsid w:val="00A21C11"/>
    <w:rsid w:val="00A21FF4"/>
    <w:rsid w:val="00A222BF"/>
    <w:rsid w:val="00A22950"/>
    <w:rsid w:val="00A22B44"/>
    <w:rsid w:val="00A22E32"/>
    <w:rsid w:val="00A23068"/>
    <w:rsid w:val="00A230E1"/>
    <w:rsid w:val="00A2312E"/>
    <w:rsid w:val="00A2315D"/>
    <w:rsid w:val="00A23329"/>
    <w:rsid w:val="00A233EC"/>
    <w:rsid w:val="00A235B2"/>
    <w:rsid w:val="00A236B1"/>
    <w:rsid w:val="00A238EB"/>
    <w:rsid w:val="00A23A1E"/>
    <w:rsid w:val="00A23D1E"/>
    <w:rsid w:val="00A23D4F"/>
    <w:rsid w:val="00A23EFD"/>
    <w:rsid w:val="00A2405C"/>
    <w:rsid w:val="00A240D0"/>
    <w:rsid w:val="00A24212"/>
    <w:rsid w:val="00A2424C"/>
    <w:rsid w:val="00A242BF"/>
    <w:rsid w:val="00A242FB"/>
    <w:rsid w:val="00A24306"/>
    <w:rsid w:val="00A24323"/>
    <w:rsid w:val="00A244D5"/>
    <w:rsid w:val="00A24655"/>
    <w:rsid w:val="00A24778"/>
    <w:rsid w:val="00A24787"/>
    <w:rsid w:val="00A24992"/>
    <w:rsid w:val="00A24B4F"/>
    <w:rsid w:val="00A24B8B"/>
    <w:rsid w:val="00A24CA7"/>
    <w:rsid w:val="00A24DB2"/>
    <w:rsid w:val="00A2512C"/>
    <w:rsid w:val="00A2515B"/>
    <w:rsid w:val="00A25689"/>
    <w:rsid w:val="00A2588E"/>
    <w:rsid w:val="00A25B0E"/>
    <w:rsid w:val="00A25BB6"/>
    <w:rsid w:val="00A25C1C"/>
    <w:rsid w:val="00A25C2B"/>
    <w:rsid w:val="00A25DF6"/>
    <w:rsid w:val="00A25E7E"/>
    <w:rsid w:val="00A25EE7"/>
    <w:rsid w:val="00A2603B"/>
    <w:rsid w:val="00A2615B"/>
    <w:rsid w:val="00A26235"/>
    <w:rsid w:val="00A263B9"/>
    <w:rsid w:val="00A263BA"/>
    <w:rsid w:val="00A2653A"/>
    <w:rsid w:val="00A26AA8"/>
    <w:rsid w:val="00A26AC6"/>
    <w:rsid w:val="00A26B53"/>
    <w:rsid w:val="00A26CED"/>
    <w:rsid w:val="00A26D07"/>
    <w:rsid w:val="00A26EDF"/>
    <w:rsid w:val="00A26FE2"/>
    <w:rsid w:val="00A270F3"/>
    <w:rsid w:val="00A2719E"/>
    <w:rsid w:val="00A2720A"/>
    <w:rsid w:val="00A277AF"/>
    <w:rsid w:val="00A277DD"/>
    <w:rsid w:val="00A27861"/>
    <w:rsid w:val="00A27928"/>
    <w:rsid w:val="00A27DCA"/>
    <w:rsid w:val="00A27DEC"/>
    <w:rsid w:val="00A30038"/>
    <w:rsid w:val="00A30350"/>
    <w:rsid w:val="00A30938"/>
    <w:rsid w:val="00A30B7F"/>
    <w:rsid w:val="00A30BA6"/>
    <w:rsid w:val="00A30BF0"/>
    <w:rsid w:val="00A30CB9"/>
    <w:rsid w:val="00A30E62"/>
    <w:rsid w:val="00A30F25"/>
    <w:rsid w:val="00A30FC2"/>
    <w:rsid w:val="00A31021"/>
    <w:rsid w:val="00A310AB"/>
    <w:rsid w:val="00A313BF"/>
    <w:rsid w:val="00A314B9"/>
    <w:rsid w:val="00A31685"/>
    <w:rsid w:val="00A316F2"/>
    <w:rsid w:val="00A31A2E"/>
    <w:rsid w:val="00A31AE8"/>
    <w:rsid w:val="00A31C3E"/>
    <w:rsid w:val="00A31DC6"/>
    <w:rsid w:val="00A31E69"/>
    <w:rsid w:val="00A31E76"/>
    <w:rsid w:val="00A320C4"/>
    <w:rsid w:val="00A3224C"/>
    <w:rsid w:val="00A322F4"/>
    <w:rsid w:val="00A32341"/>
    <w:rsid w:val="00A324BC"/>
    <w:rsid w:val="00A325DB"/>
    <w:rsid w:val="00A327E5"/>
    <w:rsid w:val="00A32863"/>
    <w:rsid w:val="00A328AC"/>
    <w:rsid w:val="00A32A23"/>
    <w:rsid w:val="00A32AB6"/>
    <w:rsid w:val="00A32AF2"/>
    <w:rsid w:val="00A32B0F"/>
    <w:rsid w:val="00A32E72"/>
    <w:rsid w:val="00A32EDD"/>
    <w:rsid w:val="00A32EE6"/>
    <w:rsid w:val="00A330D2"/>
    <w:rsid w:val="00A332B1"/>
    <w:rsid w:val="00A332DB"/>
    <w:rsid w:val="00A3333A"/>
    <w:rsid w:val="00A3371E"/>
    <w:rsid w:val="00A337D7"/>
    <w:rsid w:val="00A338F0"/>
    <w:rsid w:val="00A33D4F"/>
    <w:rsid w:val="00A33DBB"/>
    <w:rsid w:val="00A33EC6"/>
    <w:rsid w:val="00A33F18"/>
    <w:rsid w:val="00A33F45"/>
    <w:rsid w:val="00A34057"/>
    <w:rsid w:val="00A340DF"/>
    <w:rsid w:val="00A344B7"/>
    <w:rsid w:val="00A3464B"/>
    <w:rsid w:val="00A34789"/>
    <w:rsid w:val="00A347B8"/>
    <w:rsid w:val="00A34834"/>
    <w:rsid w:val="00A34976"/>
    <w:rsid w:val="00A3497D"/>
    <w:rsid w:val="00A34CE8"/>
    <w:rsid w:val="00A34E13"/>
    <w:rsid w:val="00A34F31"/>
    <w:rsid w:val="00A34F6C"/>
    <w:rsid w:val="00A3534B"/>
    <w:rsid w:val="00A35558"/>
    <w:rsid w:val="00A355EE"/>
    <w:rsid w:val="00A35665"/>
    <w:rsid w:val="00A35739"/>
    <w:rsid w:val="00A3586B"/>
    <w:rsid w:val="00A35A3F"/>
    <w:rsid w:val="00A35C68"/>
    <w:rsid w:val="00A35CD2"/>
    <w:rsid w:val="00A35F41"/>
    <w:rsid w:val="00A362E8"/>
    <w:rsid w:val="00A3630E"/>
    <w:rsid w:val="00A36676"/>
    <w:rsid w:val="00A36737"/>
    <w:rsid w:val="00A36748"/>
    <w:rsid w:val="00A36768"/>
    <w:rsid w:val="00A3676F"/>
    <w:rsid w:val="00A367E6"/>
    <w:rsid w:val="00A36949"/>
    <w:rsid w:val="00A369A8"/>
    <w:rsid w:val="00A36AA4"/>
    <w:rsid w:val="00A370E2"/>
    <w:rsid w:val="00A37124"/>
    <w:rsid w:val="00A3713D"/>
    <w:rsid w:val="00A37223"/>
    <w:rsid w:val="00A37271"/>
    <w:rsid w:val="00A37342"/>
    <w:rsid w:val="00A3768A"/>
    <w:rsid w:val="00A3777C"/>
    <w:rsid w:val="00A378BA"/>
    <w:rsid w:val="00A37950"/>
    <w:rsid w:val="00A37AB3"/>
    <w:rsid w:val="00A37BB8"/>
    <w:rsid w:val="00A37BFA"/>
    <w:rsid w:val="00A37D74"/>
    <w:rsid w:val="00A40194"/>
    <w:rsid w:val="00A408B5"/>
    <w:rsid w:val="00A4090C"/>
    <w:rsid w:val="00A40957"/>
    <w:rsid w:val="00A40B61"/>
    <w:rsid w:val="00A40BD2"/>
    <w:rsid w:val="00A40FB1"/>
    <w:rsid w:val="00A40FE4"/>
    <w:rsid w:val="00A41257"/>
    <w:rsid w:val="00A41264"/>
    <w:rsid w:val="00A4127B"/>
    <w:rsid w:val="00A414F4"/>
    <w:rsid w:val="00A4181A"/>
    <w:rsid w:val="00A4181E"/>
    <w:rsid w:val="00A41A1F"/>
    <w:rsid w:val="00A41A99"/>
    <w:rsid w:val="00A41BFA"/>
    <w:rsid w:val="00A41F75"/>
    <w:rsid w:val="00A41FF8"/>
    <w:rsid w:val="00A4219F"/>
    <w:rsid w:val="00A423E7"/>
    <w:rsid w:val="00A42575"/>
    <w:rsid w:val="00A4261A"/>
    <w:rsid w:val="00A42734"/>
    <w:rsid w:val="00A42BF1"/>
    <w:rsid w:val="00A42C48"/>
    <w:rsid w:val="00A42D87"/>
    <w:rsid w:val="00A42FA2"/>
    <w:rsid w:val="00A431AE"/>
    <w:rsid w:val="00A4322D"/>
    <w:rsid w:val="00A433E8"/>
    <w:rsid w:val="00A43771"/>
    <w:rsid w:val="00A439B2"/>
    <w:rsid w:val="00A43A01"/>
    <w:rsid w:val="00A43FE9"/>
    <w:rsid w:val="00A442D9"/>
    <w:rsid w:val="00A4450E"/>
    <w:rsid w:val="00A448A0"/>
    <w:rsid w:val="00A44ACD"/>
    <w:rsid w:val="00A44BD3"/>
    <w:rsid w:val="00A44CAB"/>
    <w:rsid w:val="00A44EA2"/>
    <w:rsid w:val="00A44EC8"/>
    <w:rsid w:val="00A44FB2"/>
    <w:rsid w:val="00A45110"/>
    <w:rsid w:val="00A4521D"/>
    <w:rsid w:val="00A45273"/>
    <w:rsid w:val="00A4533E"/>
    <w:rsid w:val="00A455D5"/>
    <w:rsid w:val="00A45831"/>
    <w:rsid w:val="00A45DEE"/>
    <w:rsid w:val="00A45E1F"/>
    <w:rsid w:val="00A45E21"/>
    <w:rsid w:val="00A4623C"/>
    <w:rsid w:val="00A466E5"/>
    <w:rsid w:val="00A467B6"/>
    <w:rsid w:val="00A467C9"/>
    <w:rsid w:val="00A468DB"/>
    <w:rsid w:val="00A46A2A"/>
    <w:rsid w:val="00A46A44"/>
    <w:rsid w:val="00A46B74"/>
    <w:rsid w:val="00A46C75"/>
    <w:rsid w:val="00A46D6F"/>
    <w:rsid w:val="00A46E3D"/>
    <w:rsid w:val="00A46FCA"/>
    <w:rsid w:val="00A47157"/>
    <w:rsid w:val="00A47163"/>
    <w:rsid w:val="00A4722A"/>
    <w:rsid w:val="00A47258"/>
    <w:rsid w:val="00A47374"/>
    <w:rsid w:val="00A473EA"/>
    <w:rsid w:val="00A47D2A"/>
    <w:rsid w:val="00A47D93"/>
    <w:rsid w:val="00A47EDA"/>
    <w:rsid w:val="00A47F66"/>
    <w:rsid w:val="00A47FE9"/>
    <w:rsid w:val="00A47FF7"/>
    <w:rsid w:val="00A5027F"/>
    <w:rsid w:val="00A502DA"/>
    <w:rsid w:val="00A50399"/>
    <w:rsid w:val="00A506B8"/>
    <w:rsid w:val="00A506BD"/>
    <w:rsid w:val="00A507C9"/>
    <w:rsid w:val="00A50890"/>
    <w:rsid w:val="00A50EF4"/>
    <w:rsid w:val="00A50F7C"/>
    <w:rsid w:val="00A50FAE"/>
    <w:rsid w:val="00A50FE6"/>
    <w:rsid w:val="00A51200"/>
    <w:rsid w:val="00A514E7"/>
    <w:rsid w:val="00A515CD"/>
    <w:rsid w:val="00A51611"/>
    <w:rsid w:val="00A518F5"/>
    <w:rsid w:val="00A5190C"/>
    <w:rsid w:val="00A51957"/>
    <w:rsid w:val="00A51B51"/>
    <w:rsid w:val="00A51BEF"/>
    <w:rsid w:val="00A51CAD"/>
    <w:rsid w:val="00A51D52"/>
    <w:rsid w:val="00A51DA4"/>
    <w:rsid w:val="00A51DFE"/>
    <w:rsid w:val="00A51E28"/>
    <w:rsid w:val="00A51F0A"/>
    <w:rsid w:val="00A5200C"/>
    <w:rsid w:val="00A5220E"/>
    <w:rsid w:val="00A5223B"/>
    <w:rsid w:val="00A5229B"/>
    <w:rsid w:val="00A52611"/>
    <w:rsid w:val="00A52916"/>
    <w:rsid w:val="00A529A4"/>
    <w:rsid w:val="00A529AB"/>
    <w:rsid w:val="00A529DA"/>
    <w:rsid w:val="00A529F3"/>
    <w:rsid w:val="00A52A0D"/>
    <w:rsid w:val="00A52A2F"/>
    <w:rsid w:val="00A52D1D"/>
    <w:rsid w:val="00A52E78"/>
    <w:rsid w:val="00A52F85"/>
    <w:rsid w:val="00A52FAD"/>
    <w:rsid w:val="00A53079"/>
    <w:rsid w:val="00A530E4"/>
    <w:rsid w:val="00A53263"/>
    <w:rsid w:val="00A53311"/>
    <w:rsid w:val="00A533A0"/>
    <w:rsid w:val="00A5341B"/>
    <w:rsid w:val="00A53437"/>
    <w:rsid w:val="00A53732"/>
    <w:rsid w:val="00A539EB"/>
    <w:rsid w:val="00A53A2E"/>
    <w:rsid w:val="00A53C69"/>
    <w:rsid w:val="00A53DC4"/>
    <w:rsid w:val="00A53EB1"/>
    <w:rsid w:val="00A53EF9"/>
    <w:rsid w:val="00A53F5B"/>
    <w:rsid w:val="00A53F7B"/>
    <w:rsid w:val="00A540C4"/>
    <w:rsid w:val="00A54126"/>
    <w:rsid w:val="00A54225"/>
    <w:rsid w:val="00A542E5"/>
    <w:rsid w:val="00A54455"/>
    <w:rsid w:val="00A545AB"/>
    <w:rsid w:val="00A54728"/>
    <w:rsid w:val="00A5478E"/>
    <w:rsid w:val="00A5490F"/>
    <w:rsid w:val="00A54956"/>
    <w:rsid w:val="00A54A5A"/>
    <w:rsid w:val="00A54C0B"/>
    <w:rsid w:val="00A54DFA"/>
    <w:rsid w:val="00A54E1B"/>
    <w:rsid w:val="00A54ECF"/>
    <w:rsid w:val="00A54EF2"/>
    <w:rsid w:val="00A54FC5"/>
    <w:rsid w:val="00A55300"/>
    <w:rsid w:val="00A55B08"/>
    <w:rsid w:val="00A55D48"/>
    <w:rsid w:val="00A55ECC"/>
    <w:rsid w:val="00A55FA7"/>
    <w:rsid w:val="00A56025"/>
    <w:rsid w:val="00A56167"/>
    <w:rsid w:val="00A56286"/>
    <w:rsid w:val="00A565F7"/>
    <w:rsid w:val="00A5673C"/>
    <w:rsid w:val="00A56863"/>
    <w:rsid w:val="00A568B9"/>
    <w:rsid w:val="00A5691A"/>
    <w:rsid w:val="00A56947"/>
    <w:rsid w:val="00A56D8F"/>
    <w:rsid w:val="00A57011"/>
    <w:rsid w:val="00A5707E"/>
    <w:rsid w:val="00A570D1"/>
    <w:rsid w:val="00A571DB"/>
    <w:rsid w:val="00A5731F"/>
    <w:rsid w:val="00A57777"/>
    <w:rsid w:val="00A578CE"/>
    <w:rsid w:val="00A57902"/>
    <w:rsid w:val="00A57988"/>
    <w:rsid w:val="00A57A65"/>
    <w:rsid w:val="00A57BEB"/>
    <w:rsid w:val="00A57F73"/>
    <w:rsid w:val="00A6014B"/>
    <w:rsid w:val="00A604EF"/>
    <w:rsid w:val="00A605A7"/>
    <w:rsid w:val="00A60921"/>
    <w:rsid w:val="00A60AE3"/>
    <w:rsid w:val="00A60C34"/>
    <w:rsid w:val="00A60DA1"/>
    <w:rsid w:val="00A61088"/>
    <w:rsid w:val="00A61093"/>
    <w:rsid w:val="00A61138"/>
    <w:rsid w:val="00A6120D"/>
    <w:rsid w:val="00A61528"/>
    <w:rsid w:val="00A615A4"/>
    <w:rsid w:val="00A6163D"/>
    <w:rsid w:val="00A61673"/>
    <w:rsid w:val="00A618B1"/>
    <w:rsid w:val="00A618BE"/>
    <w:rsid w:val="00A61913"/>
    <w:rsid w:val="00A62104"/>
    <w:rsid w:val="00A6242E"/>
    <w:rsid w:val="00A6248A"/>
    <w:rsid w:val="00A62567"/>
    <w:rsid w:val="00A6277B"/>
    <w:rsid w:val="00A628C7"/>
    <w:rsid w:val="00A62B98"/>
    <w:rsid w:val="00A62F18"/>
    <w:rsid w:val="00A62F73"/>
    <w:rsid w:val="00A62FB4"/>
    <w:rsid w:val="00A63096"/>
    <w:rsid w:val="00A63224"/>
    <w:rsid w:val="00A63234"/>
    <w:rsid w:val="00A632D6"/>
    <w:rsid w:val="00A633A3"/>
    <w:rsid w:val="00A6344F"/>
    <w:rsid w:val="00A636CF"/>
    <w:rsid w:val="00A638C1"/>
    <w:rsid w:val="00A638CC"/>
    <w:rsid w:val="00A638FF"/>
    <w:rsid w:val="00A63901"/>
    <w:rsid w:val="00A63EB3"/>
    <w:rsid w:val="00A6401B"/>
    <w:rsid w:val="00A6425C"/>
    <w:rsid w:val="00A642D4"/>
    <w:rsid w:val="00A64475"/>
    <w:rsid w:val="00A6456D"/>
    <w:rsid w:val="00A64926"/>
    <w:rsid w:val="00A64C92"/>
    <w:rsid w:val="00A64D85"/>
    <w:rsid w:val="00A64F30"/>
    <w:rsid w:val="00A65034"/>
    <w:rsid w:val="00A652DE"/>
    <w:rsid w:val="00A653D1"/>
    <w:rsid w:val="00A6549B"/>
    <w:rsid w:val="00A654AB"/>
    <w:rsid w:val="00A654B6"/>
    <w:rsid w:val="00A658CA"/>
    <w:rsid w:val="00A65EC8"/>
    <w:rsid w:val="00A65EF9"/>
    <w:rsid w:val="00A6612B"/>
    <w:rsid w:val="00A66275"/>
    <w:rsid w:val="00A6628D"/>
    <w:rsid w:val="00A663A9"/>
    <w:rsid w:val="00A665CF"/>
    <w:rsid w:val="00A66707"/>
    <w:rsid w:val="00A6696D"/>
    <w:rsid w:val="00A66979"/>
    <w:rsid w:val="00A670E0"/>
    <w:rsid w:val="00A6772C"/>
    <w:rsid w:val="00A67782"/>
    <w:rsid w:val="00A67795"/>
    <w:rsid w:val="00A67936"/>
    <w:rsid w:val="00A6793D"/>
    <w:rsid w:val="00A67A05"/>
    <w:rsid w:val="00A67AB5"/>
    <w:rsid w:val="00A67C80"/>
    <w:rsid w:val="00A67CA7"/>
    <w:rsid w:val="00A67D3F"/>
    <w:rsid w:val="00A706B1"/>
    <w:rsid w:val="00A706BF"/>
    <w:rsid w:val="00A70736"/>
    <w:rsid w:val="00A70814"/>
    <w:rsid w:val="00A70C1F"/>
    <w:rsid w:val="00A70E77"/>
    <w:rsid w:val="00A7123C"/>
    <w:rsid w:val="00A71371"/>
    <w:rsid w:val="00A714F6"/>
    <w:rsid w:val="00A71500"/>
    <w:rsid w:val="00A715AB"/>
    <w:rsid w:val="00A71727"/>
    <w:rsid w:val="00A71D4F"/>
    <w:rsid w:val="00A71DF5"/>
    <w:rsid w:val="00A72084"/>
    <w:rsid w:val="00A72107"/>
    <w:rsid w:val="00A72257"/>
    <w:rsid w:val="00A722B8"/>
    <w:rsid w:val="00A7238C"/>
    <w:rsid w:val="00A725FD"/>
    <w:rsid w:val="00A7295D"/>
    <w:rsid w:val="00A72B1B"/>
    <w:rsid w:val="00A72BA4"/>
    <w:rsid w:val="00A72C1D"/>
    <w:rsid w:val="00A72E1C"/>
    <w:rsid w:val="00A72F0F"/>
    <w:rsid w:val="00A731EA"/>
    <w:rsid w:val="00A734AD"/>
    <w:rsid w:val="00A73989"/>
    <w:rsid w:val="00A73C49"/>
    <w:rsid w:val="00A73E22"/>
    <w:rsid w:val="00A7404C"/>
    <w:rsid w:val="00A74063"/>
    <w:rsid w:val="00A740E0"/>
    <w:rsid w:val="00A744ED"/>
    <w:rsid w:val="00A74622"/>
    <w:rsid w:val="00A74A94"/>
    <w:rsid w:val="00A74B55"/>
    <w:rsid w:val="00A74C3E"/>
    <w:rsid w:val="00A750DD"/>
    <w:rsid w:val="00A75160"/>
    <w:rsid w:val="00A7525B"/>
    <w:rsid w:val="00A75A7D"/>
    <w:rsid w:val="00A75FEC"/>
    <w:rsid w:val="00A76024"/>
    <w:rsid w:val="00A76438"/>
    <w:rsid w:val="00A7648B"/>
    <w:rsid w:val="00A7679B"/>
    <w:rsid w:val="00A768D1"/>
    <w:rsid w:val="00A769F5"/>
    <w:rsid w:val="00A76B75"/>
    <w:rsid w:val="00A76C0B"/>
    <w:rsid w:val="00A76CC6"/>
    <w:rsid w:val="00A77287"/>
    <w:rsid w:val="00A773E5"/>
    <w:rsid w:val="00A773F6"/>
    <w:rsid w:val="00A774CE"/>
    <w:rsid w:val="00A7752F"/>
    <w:rsid w:val="00A77543"/>
    <w:rsid w:val="00A778D7"/>
    <w:rsid w:val="00A77A13"/>
    <w:rsid w:val="00A77C0A"/>
    <w:rsid w:val="00A77CEB"/>
    <w:rsid w:val="00A80088"/>
    <w:rsid w:val="00A800D8"/>
    <w:rsid w:val="00A8032D"/>
    <w:rsid w:val="00A8051A"/>
    <w:rsid w:val="00A806AE"/>
    <w:rsid w:val="00A80742"/>
    <w:rsid w:val="00A80796"/>
    <w:rsid w:val="00A80849"/>
    <w:rsid w:val="00A80A96"/>
    <w:rsid w:val="00A80E17"/>
    <w:rsid w:val="00A81198"/>
    <w:rsid w:val="00A81209"/>
    <w:rsid w:val="00A81269"/>
    <w:rsid w:val="00A8149C"/>
    <w:rsid w:val="00A814A6"/>
    <w:rsid w:val="00A815C1"/>
    <w:rsid w:val="00A8167A"/>
    <w:rsid w:val="00A8182F"/>
    <w:rsid w:val="00A81A26"/>
    <w:rsid w:val="00A81C1D"/>
    <w:rsid w:val="00A81E35"/>
    <w:rsid w:val="00A81F29"/>
    <w:rsid w:val="00A82A49"/>
    <w:rsid w:val="00A82AF3"/>
    <w:rsid w:val="00A82B0B"/>
    <w:rsid w:val="00A82CA6"/>
    <w:rsid w:val="00A82E27"/>
    <w:rsid w:val="00A8301D"/>
    <w:rsid w:val="00A831F7"/>
    <w:rsid w:val="00A83223"/>
    <w:rsid w:val="00A83289"/>
    <w:rsid w:val="00A833B4"/>
    <w:rsid w:val="00A834AB"/>
    <w:rsid w:val="00A8358E"/>
    <w:rsid w:val="00A8368A"/>
    <w:rsid w:val="00A836F0"/>
    <w:rsid w:val="00A838AA"/>
    <w:rsid w:val="00A83B5D"/>
    <w:rsid w:val="00A83F29"/>
    <w:rsid w:val="00A840B5"/>
    <w:rsid w:val="00A84138"/>
    <w:rsid w:val="00A841F1"/>
    <w:rsid w:val="00A8421A"/>
    <w:rsid w:val="00A842C9"/>
    <w:rsid w:val="00A844B6"/>
    <w:rsid w:val="00A846FD"/>
    <w:rsid w:val="00A854C6"/>
    <w:rsid w:val="00A856F1"/>
    <w:rsid w:val="00A85711"/>
    <w:rsid w:val="00A85766"/>
    <w:rsid w:val="00A858EC"/>
    <w:rsid w:val="00A859B5"/>
    <w:rsid w:val="00A85A58"/>
    <w:rsid w:val="00A85A79"/>
    <w:rsid w:val="00A85BE1"/>
    <w:rsid w:val="00A85C1B"/>
    <w:rsid w:val="00A85C35"/>
    <w:rsid w:val="00A85DE6"/>
    <w:rsid w:val="00A85E76"/>
    <w:rsid w:val="00A85F1F"/>
    <w:rsid w:val="00A8605A"/>
    <w:rsid w:val="00A86296"/>
    <w:rsid w:val="00A862A3"/>
    <w:rsid w:val="00A86389"/>
    <w:rsid w:val="00A864A0"/>
    <w:rsid w:val="00A864AB"/>
    <w:rsid w:val="00A865F2"/>
    <w:rsid w:val="00A867CF"/>
    <w:rsid w:val="00A86874"/>
    <w:rsid w:val="00A86B7A"/>
    <w:rsid w:val="00A86D73"/>
    <w:rsid w:val="00A86D83"/>
    <w:rsid w:val="00A86E89"/>
    <w:rsid w:val="00A8702B"/>
    <w:rsid w:val="00A87374"/>
    <w:rsid w:val="00A87486"/>
    <w:rsid w:val="00A87527"/>
    <w:rsid w:val="00A87982"/>
    <w:rsid w:val="00A87BFD"/>
    <w:rsid w:val="00A87F14"/>
    <w:rsid w:val="00A90106"/>
    <w:rsid w:val="00A9051E"/>
    <w:rsid w:val="00A90619"/>
    <w:rsid w:val="00A907E5"/>
    <w:rsid w:val="00A90A34"/>
    <w:rsid w:val="00A90B1B"/>
    <w:rsid w:val="00A90D85"/>
    <w:rsid w:val="00A90E36"/>
    <w:rsid w:val="00A914AC"/>
    <w:rsid w:val="00A91737"/>
    <w:rsid w:val="00A917A2"/>
    <w:rsid w:val="00A91926"/>
    <w:rsid w:val="00A91AA0"/>
    <w:rsid w:val="00A91ACC"/>
    <w:rsid w:val="00A91B1F"/>
    <w:rsid w:val="00A91D63"/>
    <w:rsid w:val="00A91D78"/>
    <w:rsid w:val="00A91E6B"/>
    <w:rsid w:val="00A92061"/>
    <w:rsid w:val="00A920D6"/>
    <w:rsid w:val="00A92123"/>
    <w:rsid w:val="00A921B1"/>
    <w:rsid w:val="00A92550"/>
    <w:rsid w:val="00A928C4"/>
    <w:rsid w:val="00A93025"/>
    <w:rsid w:val="00A935EA"/>
    <w:rsid w:val="00A93768"/>
    <w:rsid w:val="00A937E5"/>
    <w:rsid w:val="00A93C2D"/>
    <w:rsid w:val="00A94008"/>
    <w:rsid w:val="00A94042"/>
    <w:rsid w:val="00A94055"/>
    <w:rsid w:val="00A9406D"/>
    <w:rsid w:val="00A94249"/>
    <w:rsid w:val="00A942CD"/>
    <w:rsid w:val="00A94416"/>
    <w:rsid w:val="00A94435"/>
    <w:rsid w:val="00A9447C"/>
    <w:rsid w:val="00A94781"/>
    <w:rsid w:val="00A94856"/>
    <w:rsid w:val="00A9495A"/>
    <w:rsid w:val="00A94B56"/>
    <w:rsid w:val="00A94BC9"/>
    <w:rsid w:val="00A955A8"/>
    <w:rsid w:val="00A956AB"/>
    <w:rsid w:val="00A95880"/>
    <w:rsid w:val="00A958EB"/>
    <w:rsid w:val="00A959BC"/>
    <w:rsid w:val="00A95A8F"/>
    <w:rsid w:val="00A95FE3"/>
    <w:rsid w:val="00A9600E"/>
    <w:rsid w:val="00A96067"/>
    <w:rsid w:val="00A96335"/>
    <w:rsid w:val="00A9646D"/>
    <w:rsid w:val="00A964B4"/>
    <w:rsid w:val="00A964C0"/>
    <w:rsid w:val="00A9652D"/>
    <w:rsid w:val="00A965E0"/>
    <w:rsid w:val="00A968F9"/>
    <w:rsid w:val="00A969B4"/>
    <w:rsid w:val="00A96A08"/>
    <w:rsid w:val="00A96D63"/>
    <w:rsid w:val="00A96F70"/>
    <w:rsid w:val="00A97208"/>
    <w:rsid w:val="00A97685"/>
    <w:rsid w:val="00A9783F"/>
    <w:rsid w:val="00A97B53"/>
    <w:rsid w:val="00AA0089"/>
    <w:rsid w:val="00AA0166"/>
    <w:rsid w:val="00AA05A8"/>
    <w:rsid w:val="00AA0A1C"/>
    <w:rsid w:val="00AA0A8D"/>
    <w:rsid w:val="00AA0B84"/>
    <w:rsid w:val="00AA0D22"/>
    <w:rsid w:val="00AA1229"/>
    <w:rsid w:val="00AA13AD"/>
    <w:rsid w:val="00AA1542"/>
    <w:rsid w:val="00AA15D4"/>
    <w:rsid w:val="00AA1635"/>
    <w:rsid w:val="00AA17A4"/>
    <w:rsid w:val="00AA17EC"/>
    <w:rsid w:val="00AA189E"/>
    <w:rsid w:val="00AA1DBF"/>
    <w:rsid w:val="00AA1E62"/>
    <w:rsid w:val="00AA202D"/>
    <w:rsid w:val="00AA219F"/>
    <w:rsid w:val="00AA2562"/>
    <w:rsid w:val="00AA25F3"/>
    <w:rsid w:val="00AA300B"/>
    <w:rsid w:val="00AA3078"/>
    <w:rsid w:val="00AA310B"/>
    <w:rsid w:val="00AA34D1"/>
    <w:rsid w:val="00AA352D"/>
    <w:rsid w:val="00AA35D3"/>
    <w:rsid w:val="00AA36C7"/>
    <w:rsid w:val="00AA3991"/>
    <w:rsid w:val="00AA3B76"/>
    <w:rsid w:val="00AA3C60"/>
    <w:rsid w:val="00AA3D9F"/>
    <w:rsid w:val="00AA3E56"/>
    <w:rsid w:val="00AA4B68"/>
    <w:rsid w:val="00AA4DBE"/>
    <w:rsid w:val="00AA5085"/>
    <w:rsid w:val="00AA585B"/>
    <w:rsid w:val="00AA5977"/>
    <w:rsid w:val="00AA5AA9"/>
    <w:rsid w:val="00AA5FE2"/>
    <w:rsid w:val="00AA606A"/>
    <w:rsid w:val="00AA62AE"/>
    <w:rsid w:val="00AA6695"/>
    <w:rsid w:val="00AA66B2"/>
    <w:rsid w:val="00AA6952"/>
    <w:rsid w:val="00AA6A35"/>
    <w:rsid w:val="00AA6D22"/>
    <w:rsid w:val="00AA6E11"/>
    <w:rsid w:val="00AA7155"/>
    <w:rsid w:val="00AA71E6"/>
    <w:rsid w:val="00AA737F"/>
    <w:rsid w:val="00AA738C"/>
    <w:rsid w:val="00AA73D4"/>
    <w:rsid w:val="00AA7762"/>
    <w:rsid w:val="00AA79CB"/>
    <w:rsid w:val="00AA7AA0"/>
    <w:rsid w:val="00AA7BAB"/>
    <w:rsid w:val="00AA7BEA"/>
    <w:rsid w:val="00AB0138"/>
    <w:rsid w:val="00AB0180"/>
    <w:rsid w:val="00AB01E0"/>
    <w:rsid w:val="00AB02F4"/>
    <w:rsid w:val="00AB06AC"/>
    <w:rsid w:val="00AB07E5"/>
    <w:rsid w:val="00AB0A0A"/>
    <w:rsid w:val="00AB0A0C"/>
    <w:rsid w:val="00AB0A39"/>
    <w:rsid w:val="00AB0B65"/>
    <w:rsid w:val="00AB0BF4"/>
    <w:rsid w:val="00AB0D8D"/>
    <w:rsid w:val="00AB1262"/>
    <w:rsid w:val="00AB1314"/>
    <w:rsid w:val="00AB1835"/>
    <w:rsid w:val="00AB18C4"/>
    <w:rsid w:val="00AB1EB9"/>
    <w:rsid w:val="00AB1F7F"/>
    <w:rsid w:val="00AB20EA"/>
    <w:rsid w:val="00AB22E6"/>
    <w:rsid w:val="00AB22FE"/>
    <w:rsid w:val="00AB2310"/>
    <w:rsid w:val="00AB23F8"/>
    <w:rsid w:val="00AB266A"/>
    <w:rsid w:val="00AB26F9"/>
    <w:rsid w:val="00AB2B4F"/>
    <w:rsid w:val="00AB2B6F"/>
    <w:rsid w:val="00AB2CE4"/>
    <w:rsid w:val="00AB2DC8"/>
    <w:rsid w:val="00AB2EB6"/>
    <w:rsid w:val="00AB2FF4"/>
    <w:rsid w:val="00AB33B4"/>
    <w:rsid w:val="00AB3569"/>
    <w:rsid w:val="00AB3627"/>
    <w:rsid w:val="00AB36A1"/>
    <w:rsid w:val="00AB3AD7"/>
    <w:rsid w:val="00AB3B3C"/>
    <w:rsid w:val="00AB41DF"/>
    <w:rsid w:val="00AB4257"/>
    <w:rsid w:val="00AB448B"/>
    <w:rsid w:val="00AB4594"/>
    <w:rsid w:val="00AB4AC3"/>
    <w:rsid w:val="00AB4DBF"/>
    <w:rsid w:val="00AB4E4D"/>
    <w:rsid w:val="00AB4F4A"/>
    <w:rsid w:val="00AB5022"/>
    <w:rsid w:val="00AB510C"/>
    <w:rsid w:val="00AB5186"/>
    <w:rsid w:val="00AB5279"/>
    <w:rsid w:val="00AB52D4"/>
    <w:rsid w:val="00AB553E"/>
    <w:rsid w:val="00AB557C"/>
    <w:rsid w:val="00AB55EB"/>
    <w:rsid w:val="00AB576B"/>
    <w:rsid w:val="00AB596A"/>
    <w:rsid w:val="00AB5998"/>
    <w:rsid w:val="00AB5C9B"/>
    <w:rsid w:val="00AB5C9F"/>
    <w:rsid w:val="00AB5CBA"/>
    <w:rsid w:val="00AB5D9C"/>
    <w:rsid w:val="00AB5E05"/>
    <w:rsid w:val="00AB5F67"/>
    <w:rsid w:val="00AB5F9C"/>
    <w:rsid w:val="00AB62E7"/>
    <w:rsid w:val="00AB6331"/>
    <w:rsid w:val="00AB6454"/>
    <w:rsid w:val="00AB64A2"/>
    <w:rsid w:val="00AB6A33"/>
    <w:rsid w:val="00AB6E88"/>
    <w:rsid w:val="00AB6F1B"/>
    <w:rsid w:val="00AB6F52"/>
    <w:rsid w:val="00AB7402"/>
    <w:rsid w:val="00AB7614"/>
    <w:rsid w:val="00AB7816"/>
    <w:rsid w:val="00AB7DD7"/>
    <w:rsid w:val="00AB7EC2"/>
    <w:rsid w:val="00AB7F55"/>
    <w:rsid w:val="00AC0185"/>
    <w:rsid w:val="00AC024F"/>
    <w:rsid w:val="00AC05C1"/>
    <w:rsid w:val="00AC065F"/>
    <w:rsid w:val="00AC06B2"/>
    <w:rsid w:val="00AC079B"/>
    <w:rsid w:val="00AC081D"/>
    <w:rsid w:val="00AC0983"/>
    <w:rsid w:val="00AC0A1D"/>
    <w:rsid w:val="00AC0DF2"/>
    <w:rsid w:val="00AC0F89"/>
    <w:rsid w:val="00AC15EB"/>
    <w:rsid w:val="00AC1735"/>
    <w:rsid w:val="00AC1951"/>
    <w:rsid w:val="00AC1AD6"/>
    <w:rsid w:val="00AC1B8A"/>
    <w:rsid w:val="00AC1BD1"/>
    <w:rsid w:val="00AC1F43"/>
    <w:rsid w:val="00AC250F"/>
    <w:rsid w:val="00AC25D4"/>
    <w:rsid w:val="00AC2661"/>
    <w:rsid w:val="00AC293C"/>
    <w:rsid w:val="00AC2A15"/>
    <w:rsid w:val="00AC2A7B"/>
    <w:rsid w:val="00AC2BC5"/>
    <w:rsid w:val="00AC3126"/>
    <w:rsid w:val="00AC3492"/>
    <w:rsid w:val="00AC3543"/>
    <w:rsid w:val="00AC38D3"/>
    <w:rsid w:val="00AC3CCC"/>
    <w:rsid w:val="00AC3E17"/>
    <w:rsid w:val="00AC3F71"/>
    <w:rsid w:val="00AC4061"/>
    <w:rsid w:val="00AC4172"/>
    <w:rsid w:val="00AC419C"/>
    <w:rsid w:val="00AC41F5"/>
    <w:rsid w:val="00AC432C"/>
    <w:rsid w:val="00AC4370"/>
    <w:rsid w:val="00AC44A3"/>
    <w:rsid w:val="00AC457B"/>
    <w:rsid w:val="00AC4624"/>
    <w:rsid w:val="00AC4F79"/>
    <w:rsid w:val="00AC5039"/>
    <w:rsid w:val="00AC50D6"/>
    <w:rsid w:val="00AC5149"/>
    <w:rsid w:val="00AC5160"/>
    <w:rsid w:val="00AC53C1"/>
    <w:rsid w:val="00AC5446"/>
    <w:rsid w:val="00AC5940"/>
    <w:rsid w:val="00AC59F1"/>
    <w:rsid w:val="00AC5A74"/>
    <w:rsid w:val="00AC5B21"/>
    <w:rsid w:val="00AC5B3B"/>
    <w:rsid w:val="00AC5EF8"/>
    <w:rsid w:val="00AC60EE"/>
    <w:rsid w:val="00AC61FA"/>
    <w:rsid w:val="00AC64BF"/>
    <w:rsid w:val="00AC6582"/>
    <w:rsid w:val="00AC6656"/>
    <w:rsid w:val="00AC6739"/>
    <w:rsid w:val="00AC696A"/>
    <w:rsid w:val="00AC6A5A"/>
    <w:rsid w:val="00AC6B25"/>
    <w:rsid w:val="00AC6E25"/>
    <w:rsid w:val="00AC6E77"/>
    <w:rsid w:val="00AC6EC4"/>
    <w:rsid w:val="00AC7130"/>
    <w:rsid w:val="00AC7373"/>
    <w:rsid w:val="00AC787C"/>
    <w:rsid w:val="00AC795F"/>
    <w:rsid w:val="00AC7990"/>
    <w:rsid w:val="00AD0379"/>
    <w:rsid w:val="00AD068D"/>
    <w:rsid w:val="00AD07F4"/>
    <w:rsid w:val="00AD0919"/>
    <w:rsid w:val="00AD093B"/>
    <w:rsid w:val="00AD0B9A"/>
    <w:rsid w:val="00AD0E3F"/>
    <w:rsid w:val="00AD0EA2"/>
    <w:rsid w:val="00AD115A"/>
    <w:rsid w:val="00AD1283"/>
    <w:rsid w:val="00AD13F8"/>
    <w:rsid w:val="00AD161B"/>
    <w:rsid w:val="00AD1797"/>
    <w:rsid w:val="00AD1946"/>
    <w:rsid w:val="00AD1B65"/>
    <w:rsid w:val="00AD1DF1"/>
    <w:rsid w:val="00AD1FFF"/>
    <w:rsid w:val="00AD205F"/>
    <w:rsid w:val="00AD2174"/>
    <w:rsid w:val="00AD229A"/>
    <w:rsid w:val="00AD23F5"/>
    <w:rsid w:val="00AD2640"/>
    <w:rsid w:val="00AD26AE"/>
    <w:rsid w:val="00AD2785"/>
    <w:rsid w:val="00AD2802"/>
    <w:rsid w:val="00AD29D7"/>
    <w:rsid w:val="00AD2D57"/>
    <w:rsid w:val="00AD2E9A"/>
    <w:rsid w:val="00AD30A1"/>
    <w:rsid w:val="00AD30F7"/>
    <w:rsid w:val="00AD3241"/>
    <w:rsid w:val="00AD334E"/>
    <w:rsid w:val="00AD3424"/>
    <w:rsid w:val="00AD36F2"/>
    <w:rsid w:val="00AD3710"/>
    <w:rsid w:val="00AD3856"/>
    <w:rsid w:val="00AD38C0"/>
    <w:rsid w:val="00AD39D9"/>
    <w:rsid w:val="00AD3A02"/>
    <w:rsid w:val="00AD3E21"/>
    <w:rsid w:val="00AD409C"/>
    <w:rsid w:val="00AD40AA"/>
    <w:rsid w:val="00AD4178"/>
    <w:rsid w:val="00AD47B5"/>
    <w:rsid w:val="00AD4B53"/>
    <w:rsid w:val="00AD4C3C"/>
    <w:rsid w:val="00AD4DCB"/>
    <w:rsid w:val="00AD4FEC"/>
    <w:rsid w:val="00AD54A5"/>
    <w:rsid w:val="00AD58E0"/>
    <w:rsid w:val="00AD5A28"/>
    <w:rsid w:val="00AD5A68"/>
    <w:rsid w:val="00AD5C32"/>
    <w:rsid w:val="00AD5C5F"/>
    <w:rsid w:val="00AD5FC5"/>
    <w:rsid w:val="00AD62B4"/>
    <w:rsid w:val="00AD64DF"/>
    <w:rsid w:val="00AD662F"/>
    <w:rsid w:val="00AD67AE"/>
    <w:rsid w:val="00AD6824"/>
    <w:rsid w:val="00AD6AD7"/>
    <w:rsid w:val="00AD6CD1"/>
    <w:rsid w:val="00AD6F12"/>
    <w:rsid w:val="00AD6FC6"/>
    <w:rsid w:val="00AD721F"/>
    <w:rsid w:val="00AD759B"/>
    <w:rsid w:val="00AD75E5"/>
    <w:rsid w:val="00AD77D0"/>
    <w:rsid w:val="00AD7818"/>
    <w:rsid w:val="00AD79B6"/>
    <w:rsid w:val="00AD7D0B"/>
    <w:rsid w:val="00AD7DAB"/>
    <w:rsid w:val="00AD7EA1"/>
    <w:rsid w:val="00AE00C3"/>
    <w:rsid w:val="00AE0114"/>
    <w:rsid w:val="00AE01A5"/>
    <w:rsid w:val="00AE0567"/>
    <w:rsid w:val="00AE069A"/>
    <w:rsid w:val="00AE07CF"/>
    <w:rsid w:val="00AE0C2A"/>
    <w:rsid w:val="00AE0C46"/>
    <w:rsid w:val="00AE0D99"/>
    <w:rsid w:val="00AE0DC9"/>
    <w:rsid w:val="00AE1025"/>
    <w:rsid w:val="00AE1281"/>
    <w:rsid w:val="00AE1412"/>
    <w:rsid w:val="00AE141A"/>
    <w:rsid w:val="00AE14B3"/>
    <w:rsid w:val="00AE1B53"/>
    <w:rsid w:val="00AE1B8D"/>
    <w:rsid w:val="00AE1E1E"/>
    <w:rsid w:val="00AE1F72"/>
    <w:rsid w:val="00AE2027"/>
    <w:rsid w:val="00AE22D3"/>
    <w:rsid w:val="00AE242D"/>
    <w:rsid w:val="00AE2505"/>
    <w:rsid w:val="00AE2524"/>
    <w:rsid w:val="00AE2956"/>
    <w:rsid w:val="00AE2B44"/>
    <w:rsid w:val="00AE2C2A"/>
    <w:rsid w:val="00AE2D5B"/>
    <w:rsid w:val="00AE3172"/>
    <w:rsid w:val="00AE32A3"/>
    <w:rsid w:val="00AE3744"/>
    <w:rsid w:val="00AE395F"/>
    <w:rsid w:val="00AE39DE"/>
    <w:rsid w:val="00AE3CD9"/>
    <w:rsid w:val="00AE3E28"/>
    <w:rsid w:val="00AE3F03"/>
    <w:rsid w:val="00AE4943"/>
    <w:rsid w:val="00AE496C"/>
    <w:rsid w:val="00AE4DFF"/>
    <w:rsid w:val="00AE5068"/>
    <w:rsid w:val="00AE53A1"/>
    <w:rsid w:val="00AE57BE"/>
    <w:rsid w:val="00AE5827"/>
    <w:rsid w:val="00AE5C2D"/>
    <w:rsid w:val="00AE5D2F"/>
    <w:rsid w:val="00AE6157"/>
    <w:rsid w:val="00AE64F0"/>
    <w:rsid w:val="00AE65FF"/>
    <w:rsid w:val="00AE67FC"/>
    <w:rsid w:val="00AE6A3D"/>
    <w:rsid w:val="00AE6B63"/>
    <w:rsid w:val="00AE6C98"/>
    <w:rsid w:val="00AE70F9"/>
    <w:rsid w:val="00AE7181"/>
    <w:rsid w:val="00AE723B"/>
    <w:rsid w:val="00AE72A0"/>
    <w:rsid w:val="00AE75C3"/>
    <w:rsid w:val="00AE7676"/>
    <w:rsid w:val="00AE769E"/>
    <w:rsid w:val="00AE7767"/>
    <w:rsid w:val="00AE7857"/>
    <w:rsid w:val="00AE79FE"/>
    <w:rsid w:val="00AE7A90"/>
    <w:rsid w:val="00AE7D59"/>
    <w:rsid w:val="00AF005D"/>
    <w:rsid w:val="00AF014C"/>
    <w:rsid w:val="00AF0158"/>
    <w:rsid w:val="00AF06F3"/>
    <w:rsid w:val="00AF084A"/>
    <w:rsid w:val="00AF0C64"/>
    <w:rsid w:val="00AF0E75"/>
    <w:rsid w:val="00AF0EBD"/>
    <w:rsid w:val="00AF1135"/>
    <w:rsid w:val="00AF12AC"/>
    <w:rsid w:val="00AF1425"/>
    <w:rsid w:val="00AF1640"/>
    <w:rsid w:val="00AF176C"/>
    <w:rsid w:val="00AF181E"/>
    <w:rsid w:val="00AF185B"/>
    <w:rsid w:val="00AF1912"/>
    <w:rsid w:val="00AF1C71"/>
    <w:rsid w:val="00AF1D68"/>
    <w:rsid w:val="00AF1D9D"/>
    <w:rsid w:val="00AF227F"/>
    <w:rsid w:val="00AF234A"/>
    <w:rsid w:val="00AF23C8"/>
    <w:rsid w:val="00AF24AC"/>
    <w:rsid w:val="00AF250C"/>
    <w:rsid w:val="00AF269F"/>
    <w:rsid w:val="00AF27D1"/>
    <w:rsid w:val="00AF2A09"/>
    <w:rsid w:val="00AF2A12"/>
    <w:rsid w:val="00AF2A72"/>
    <w:rsid w:val="00AF2A74"/>
    <w:rsid w:val="00AF2AE2"/>
    <w:rsid w:val="00AF2CE7"/>
    <w:rsid w:val="00AF2DE6"/>
    <w:rsid w:val="00AF2E80"/>
    <w:rsid w:val="00AF3056"/>
    <w:rsid w:val="00AF30F6"/>
    <w:rsid w:val="00AF3443"/>
    <w:rsid w:val="00AF3481"/>
    <w:rsid w:val="00AF3488"/>
    <w:rsid w:val="00AF34A3"/>
    <w:rsid w:val="00AF36D6"/>
    <w:rsid w:val="00AF37E9"/>
    <w:rsid w:val="00AF386C"/>
    <w:rsid w:val="00AF395B"/>
    <w:rsid w:val="00AF3B67"/>
    <w:rsid w:val="00AF3BF2"/>
    <w:rsid w:val="00AF3C1D"/>
    <w:rsid w:val="00AF3D15"/>
    <w:rsid w:val="00AF3EBF"/>
    <w:rsid w:val="00AF3F36"/>
    <w:rsid w:val="00AF406A"/>
    <w:rsid w:val="00AF419F"/>
    <w:rsid w:val="00AF41F9"/>
    <w:rsid w:val="00AF4394"/>
    <w:rsid w:val="00AF4478"/>
    <w:rsid w:val="00AF4485"/>
    <w:rsid w:val="00AF449F"/>
    <w:rsid w:val="00AF45DE"/>
    <w:rsid w:val="00AF4736"/>
    <w:rsid w:val="00AF4B0F"/>
    <w:rsid w:val="00AF53B3"/>
    <w:rsid w:val="00AF55D5"/>
    <w:rsid w:val="00AF5759"/>
    <w:rsid w:val="00AF58C2"/>
    <w:rsid w:val="00AF5BFD"/>
    <w:rsid w:val="00AF5EAE"/>
    <w:rsid w:val="00AF5EC8"/>
    <w:rsid w:val="00AF6129"/>
    <w:rsid w:val="00AF61C2"/>
    <w:rsid w:val="00AF6241"/>
    <w:rsid w:val="00AF63D3"/>
    <w:rsid w:val="00AF65A7"/>
    <w:rsid w:val="00AF664F"/>
    <w:rsid w:val="00AF66E6"/>
    <w:rsid w:val="00AF67ED"/>
    <w:rsid w:val="00AF6813"/>
    <w:rsid w:val="00AF6A7B"/>
    <w:rsid w:val="00AF6D20"/>
    <w:rsid w:val="00AF6E4C"/>
    <w:rsid w:val="00AF6F5E"/>
    <w:rsid w:val="00AF6F83"/>
    <w:rsid w:val="00AF6F84"/>
    <w:rsid w:val="00AF7016"/>
    <w:rsid w:val="00AF70D8"/>
    <w:rsid w:val="00AF74E9"/>
    <w:rsid w:val="00AF7537"/>
    <w:rsid w:val="00AF77A4"/>
    <w:rsid w:val="00AF7A05"/>
    <w:rsid w:val="00AF7ABC"/>
    <w:rsid w:val="00AF7E35"/>
    <w:rsid w:val="00B0004C"/>
    <w:rsid w:val="00B0006F"/>
    <w:rsid w:val="00B00231"/>
    <w:rsid w:val="00B0036E"/>
    <w:rsid w:val="00B005E9"/>
    <w:rsid w:val="00B0066B"/>
    <w:rsid w:val="00B00777"/>
    <w:rsid w:val="00B00823"/>
    <w:rsid w:val="00B00AC2"/>
    <w:rsid w:val="00B00ADC"/>
    <w:rsid w:val="00B00DAF"/>
    <w:rsid w:val="00B0103A"/>
    <w:rsid w:val="00B0112F"/>
    <w:rsid w:val="00B01171"/>
    <w:rsid w:val="00B011DA"/>
    <w:rsid w:val="00B01413"/>
    <w:rsid w:val="00B0158A"/>
    <w:rsid w:val="00B01656"/>
    <w:rsid w:val="00B01A8C"/>
    <w:rsid w:val="00B01B10"/>
    <w:rsid w:val="00B01B6B"/>
    <w:rsid w:val="00B01BE1"/>
    <w:rsid w:val="00B01C21"/>
    <w:rsid w:val="00B01D51"/>
    <w:rsid w:val="00B01DA4"/>
    <w:rsid w:val="00B022A8"/>
    <w:rsid w:val="00B022D5"/>
    <w:rsid w:val="00B025A4"/>
    <w:rsid w:val="00B025E6"/>
    <w:rsid w:val="00B02639"/>
    <w:rsid w:val="00B02661"/>
    <w:rsid w:val="00B026BF"/>
    <w:rsid w:val="00B02B00"/>
    <w:rsid w:val="00B02BA3"/>
    <w:rsid w:val="00B02EB2"/>
    <w:rsid w:val="00B02F51"/>
    <w:rsid w:val="00B03078"/>
    <w:rsid w:val="00B0377E"/>
    <w:rsid w:val="00B03FB3"/>
    <w:rsid w:val="00B03FE6"/>
    <w:rsid w:val="00B04046"/>
    <w:rsid w:val="00B041D9"/>
    <w:rsid w:val="00B04325"/>
    <w:rsid w:val="00B04402"/>
    <w:rsid w:val="00B04471"/>
    <w:rsid w:val="00B0487E"/>
    <w:rsid w:val="00B0490E"/>
    <w:rsid w:val="00B04AB3"/>
    <w:rsid w:val="00B04C8E"/>
    <w:rsid w:val="00B04CDB"/>
    <w:rsid w:val="00B04DEF"/>
    <w:rsid w:val="00B0537A"/>
    <w:rsid w:val="00B05556"/>
    <w:rsid w:val="00B0560F"/>
    <w:rsid w:val="00B05649"/>
    <w:rsid w:val="00B05813"/>
    <w:rsid w:val="00B05898"/>
    <w:rsid w:val="00B058FB"/>
    <w:rsid w:val="00B05902"/>
    <w:rsid w:val="00B05946"/>
    <w:rsid w:val="00B05E95"/>
    <w:rsid w:val="00B05FC3"/>
    <w:rsid w:val="00B06059"/>
    <w:rsid w:val="00B06274"/>
    <w:rsid w:val="00B06396"/>
    <w:rsid w:val="00B06B4E"/>
    <w:rsid w:val="00B06D6E"/>
    <w:rsid w:val="00B06DBE"/>
    <w:rsid w:val="00B06EF8"/>
    <w:rsid w:val="00B070C4"/>
    <w:rsid w:val="00B07216"/>
    <w:rsid w:val="00B0737B"/>
    <w:rsid w:val="00B0746A"/>
    <w:rsid w:val="00B0758E"/>
    <w:rsid w:val="00B07919"/>
    <w:rsid w:val="00B07A36"/>
    <w:rsid w:val="00B07AB4"/>
    <w:rsid w:val="00B07BA9"/>
    <w:rsid w:val="00B07BB4"/>
    <w:rsid w:val="00B07D28"/>
    <w:rsid w:val="00B07DE5"/>
    <w:rsid w:val="00B07FD2"/>
    <w:rsid w:val="00B10055"/>
    <w:rsid w:val="00B10153"/>
    <w:rsid w:val="00B105DB"/>
    <w:rsid w:val="00B1076F"/>
    <w:rsid w:val="00B107CD"/>
    <w:rsid w:val="00B1089A"/>
    <w:rsid w:val="00B10B70"/>
    <w:rsid w:val="00B10B81"/>
    <w:rsid w:val="00B10BF4"/>
    <w:rsid w:val="00B10C33"/>
    <w:rsid w:val="00B10E27"/>
    <w:rsid w:val="00B10F59"/>
    <w:rsid w:val="00B11213"/>
    <w:rsid w:val="00B1141E"/>
    <w:rsid w:val="00B1150A"/>
    <w:rsid w:val="00B11E93"/>
    <w:rsid w:val="00B120B3"/>
    <w:rsid w:val="00B120BE"/>
    <w:rsid w:val="00B1278B"/>
    <w:rsid w:val="00B12928"/>
    <w:rsid w:val="00B12A4F"/>
    <w:rsid w:val="00B12A59"/>
    <w:rsid w:val="00B12C19"/>
    <w:rsid w:val="00B12DFE"/>
    <w:rsid w:val="00B132D3"/>
    <w:rsid w:val="00B13405"/>
    <w:rsid w:val="00B1377F"/>
    <w:rsid w:val="00B13A75"/>
    <w:rsid w:val="00B13AD8"/>
    <w:rsid w:val="00B140EB"/>
    <w:rsid w:val="00B1471E"/>
    <w:rsid w:val="00B14763"/>
    <w:rsid w:val="00B14A06"/>
    <w:rsid w:val="00B14AFA"/>
    <w:rsid w:val="00B14CF3"/>
    <w:rsid w:val="00B14DAD"/>
    <w:rsid w:val="00B14EEC"/>
    <w:rsid w:val="00B155EF"/>
    <w:rsid w:val="00B1566F"/>
    <w:rsid w:val="00B15933"/>
    <w:rsid w:val="00B15992"/>
    <w:rsid w:val="00B15B3B"/>
    <w:rsid w:val="00B162AB"/>
    <w:rsid w:val="00B1654B"/>
    <w:rsid w:val="00B1654D"/>
    <w:rsid w:val="00B16617"/>
    <w:rsid w:val="00B166E0"/>
    <w:rsid w:val="00B16AAC"/>
    <w:rsid w:val="00B16D37"/>
    <w:rsid w:val="00B16E78"/>
    <w:rsid w:val="00B170DC"/>
    <w:rsid w:val="00B1711E"/>
    <w:rsid w:val="00B17212"/>
    <w:rsid w:val="00B17238"/>
    <w:rsid w:val="00B17295"/>
    <w:rsid w:val="00B172A0"/>
    <w:rsid w:val="00B17448"/>
    <w:rsid w:val="00B175D7"/>
    <w:rsid w:val="00B175EF"/>
    <w:rsid w:val="00B177D2"/>
    <w:rsid w:val="00B17B4E"/>
    <w:rsid w:val="00B17B53"/>
    <w:rsid w:val="00B17C38"/>
    <w:rsid w:val="00B17EB1"/>
    <w:rsid w:val="00B17F93"/>
    <w:rsid w:val="00B2016B"/>
    <w:rsid w:val="00B2025C"/>
    <w:rsid w:val="00B20442"/>
    <w:rsid w:val="00B2052A"/>
    <w:rsid w:val="00B20625"/>
    <w:rsid w:val="00B20673"/>
    <w:rsid w:val="00B209EF"/>
    <w:rsid w:val="00B20BF7"/>
    <w:rsid w:val="00B20D55"/>
    <w:rsid w:val="00B20D78"/>
    <w:rsid w:val="00B20EB9"/>
    <w:rsid w:val="00B21075"/>
    <w:rsid w:val="00B210BA"/>
    <w:rsid w:val="00B21132"/>
    <w:rsid w:val="00B21260"/>
    <w:rsid w:val="00B212C1"/>
    <w:rsid w:val="00B214EE"/>
    <w:rsid w:val="00B21573"/>
    <w:rsid w:val="00B215F5"/>
    <w:rsid w:val="00B216CC"/>
    <w:rsid w:val="00B219E2"/>
    <w:rsid w:val="00B21DE3"/>
    <w:rsid w:val="00B22164"/>
    <w:rsid w:val="00B22348"/>
    <w:rsid w:val="00B22489"/>
    <w:rsid w:val="00B226EE"/>
    <w:rsid w:val="00B2289C"/>
    <w:rsid w:val="00B22998"/>
    <w:rsid w:val="00B22AA4"/>
    <w:rsid w:val="00B22B43"/>
    <w:rsid w:val="00B22C40"/>
    <w:rsid w:val="00B22D57"/>
    <w:rsid w:val="00B22E2F"/>
    <w:rsid w:val="00B23256"/>
    <w:rsid w:val="00B235F0"/>
    <w:rsid w:val="00B23632"/>
    <w:rsid w:val="00B23A19"/>
    <w:rsid w:val="00B23AB5"/>
    <w:rsid w:val="00B23BA6"/>
    <w:rsid w:val="00B23CDE"/>
    <w:rsid w:val="00B23D97"/>
    <w:rsid w:val="00B240D7"/>
    <w:rsid w:val="00B24149"/>
    <w:rsid w:val="00B2437A"/>
    <w:rsid w:val="00B24395"/>
    <w:rsid w:val="00B24479"/>
    <w:rsid w:val="00B2471B"/>
    <w:rsid w:val="00B24986"/>
    <w:rsid w:val="00B24991"/>
    <w:rsid w:val="00B24A6C"/>
    <w:rsid w:val="00B24D9D"/>
    <w:rsid w:val="00B24F62"/>
    <w:rsid w:val="00B25010"/>
    <w:rsid w:val="00B250DA"/>
    <w:rsid w:val="00B2512C"/>
    <w:rsid w:val="00B2528A"/>
    <w:rsid w:val="00B253E5"/>
    <w:rsid w:val="00B255CF"/>
    <w:rsid w:val="00B25642"/>
    <w:rsid w:val="00B256C5"/>
    <w:rsid w:val="00B25C2B"/>
    <w:rsid w:val="00B25C2E"/>
    <w:rsid w:val="00B25F0B"/>
    <w:rsid w:val="00B260EB"/>
    <w:rsid w:val="00B2633D"/>
    <w:rsid w:val="00B26408"/>
    <w:rsid w:val="00B26679"/>
    <w:rsid w:val="00B2683E"/>
    <w:rsid w:val="00B26889"/>
    <w:rsid w:val="00B2690B"/>
    <w:rsid w:val="00B2694E"/>
    <w:rsid w:val="00B269AB"/>
    <w:rsid w:val="00B269F8"/>
    <w:rsid w:val="00B26B62"/>
    <w:rsid w:val="00B26C76"/>
    <w:rsid w:val="00B26CD9"/>
    <w:rsid w:val="00B26CDB"/>
    <w:rsid w:val="00B27218"/>
    <w:rsid w:val="00B2730E"/>
    <w:rsid w:val="00B27390"/>
    <w:rsid w:val="00B2749E"/>
    <w:rsid w:val="00B27527"/>
    <w:rsid w:val="00B2773D"/>
    <w:rsid w:val="00B2777E"/>
    <w:rsid w:val="00B278BF"/>
    <w:rsid w:val="00B27A54"/>
    <w:rsid w:val="00B27AE5"/>
    <w:rsid w:val="00B27CAF"/>
    <w:rsid w:val="00B27CCF"/>
    <w:rsid w:val="00B27E21"/>
    <w:rsid w:val="00B27EB9"/>
    <w:rsid w:val="00B27ECE"/>
    <w:rsid w:val="00B27EE6"/>
    <w:rsid w:val="00B27F63"/>
    <w:rsid w:val="00B27FA5"/>
    <w:rsid w:val="00B30123"/>
    <w:rsid w:val="00B30595"/>
    <w:rsid w:val="00B30746"/>
    <w:rsid w:val="00B30783"/>
    <w:rsid w:val="00B30BD4"/>
    <w:rsid w:val="00B30C83"/>
    <w:rsid w:val="00B30D9F"/>
    <w:rsid w:val="00B3117F"/>
    <w:rsid w:val="00B3118B"/>
    <w:rsid w:val="00B3132E"/>
    <w:rsid w:val="00B3139E"/>
    <w:rsid w:val="00B31417"/>
    <w:rsid w:val="00B31806"/>
    <w:rsid w:val="00B3188A"/>
    <w:rsid w:val="00B3191F"/>
    <w:rsid w:val="00B31A9F"/>
    <w:rsid w:val="00B31B8E"/>
    <w:rsid w:val="00B31EEB"/>
    <w:rsid w:val="00B31F32"/>
    <w:rsid w:val="00B31F43"/>
    <w:rsid w:val="00B32153"/>
    <w:rsid w:val="00B32255"/>
    <w:rsid w:val="00B32434"/>
    <w:rsid w:val="00B324A5"/>
    <w:rsid w:val="00B3254B"/>
    <w:rsid w:val="00B326F5"/>
    <w:rsid w:val="00B32797"/>
    <w:rsid w:val="00B3284E"/>
    <w:rsid w:val="00B329FD"/>
    <w:rsid w:val="00B32A15"/>
    <w:rsid w:val="00B32D46"/>
    <w:rsid w:val="00B32FA3"/>
    <w:rsid w:val="00B33178"/>
    <w:rsid w:val="00B33388"/>
    <w:rsid w:val="00B33472"/>
    <w:rsid w:val="00B334AF"/>
    <w:rsid w:val="00B336F2"/>
    <w:rsid w:val="00B33864"/>
    <w:rsid w:val="00B33945"/>
    <w:rsid w:val="00B33A33"/>
    <w:rsid w:val="00B33F20"/>
    <w:rsid w:val="00B33F91"/>
    <w:rsid w:val="00B3400C"/>
    <w:rsid w:val="00B34015"/>
    <w:rsid w:val="00B3413C"/>
    <w:rsid w:val="00B3413E"/>
    <w:rsid w:val="00B341F8"/>
    <w:rsid w:val="00B34208"/>
    <w:rsid w:val="00B3425F"/>
    <w:rsid w:val="00B34266"/>
    <w:rsid w:val="00B343A2"/>
    <w:rsid w:val="00B344AA"/>
    <w:rsid w:val="00B34524"/>
    <w:rsid w:val="00B34A26"/>
    <w:rsid w:val="00B34DD3"/>
    <w:rsid w:val="00B34EEA"/>
    <w:rsid w:val="00B35156"/>
    <w:rsid w:val="00B351DC"/>
    <w:rsid w:val="00B35207"/>
    <w:rsid w:val="00B35A23"/>
    <w:rsid w:val="00B35AC7"/>
    <w:rsid w:val="00B35C4D"/>
    <w:rsid w:val="00B35CEB"/>
    <w:rsid w:val="00B35D37"/>
    <w:rsid w:val="00B35EFA"/>
    <w:rsid w:val="00B360DB"/>
    <w:rsid w:val="00B36438"/>
    <w:rsid w:val="00B3646C"/>
    <w:rsid w:val="00B364AE"/>
    <w:rsid w:val="00B365E9"/>
    <w:rsid w:val="00B366A8"/>
    <w:rsid w:val="00B36C4D"/>
    <w:rsid w:val="00B36D42"/>
    <w:rsid w:val="00B36D92"/>
    <w:rsid w:val="00B36E43"/>
    <w:rsid w:val="00B36F16"/>
    <w:rsid w:val="00B370BA"/>
    <w:rsid w:val="00B37335"/>
    <w:rsid w:val="00B3736D"/>
    <w:rsid w:val="00B373D5"/>
    <w:rsid w:val="00B3757F"/>
    <w:rsid w:val="00B37A7C"/>
    <w:rsid w:val="00B37B6C"/>
    <w:rsid w:val="00B37D46"/>
    <w:rsid w:val="00B37D5C"/>
    <w:rsid w:val="00B37E7F"/>
    <w:rsid w:val="00B37ED6"/>
    <w:rsid w:val="00B37FEE"/>
    <w:rsid w:val="00B400B4"/>
    <w:rsid w:val="00B401C7"/>
    <w:rsid w:val="00B40571"/>
    <w:rsid w:val="00B40588"/>
    <w:rsid w:val="00B40670"/>
    <w:rsid w:val="00B4070C"/>
    <w:rsid w:val="00B407E6"/>
    <w:rsid w:val="00B409D4"/>
    <w:rsid w:val="00B40A6D"/>
    <w:rsid w:val="00B40A82"/>
    <w:rsid w:val="00B40AA9"/>
    <w:rsid w:val="00B40D4D"/>
    <w:rsid w:val="00B40D8D"/>
    <w:rsid w:val="00B40E38"/>
    <w:rsid w:val="00B40E5A"/>
    <w:rsid w:val="00B40E9F"/>
    <w:rsid w:val="00B411CD"/>
    <w:rsid w:val="00B412FC"/>
    <w:rsid w:val="00B4154B"/>
    <w:rsid w:val="00B415C7"/>
    <w:rsid w:val="00B417AC"/>
    <w:rsid w:val="00B417CF"/>
    <w:rsid w:val="00B41842"/>
    <w:rsid w:val="00B41863"/>
    <w:rsid w:val="00B41925"/>
    <w:rsid w:val="00B41A42"/>
    <w:rsid w:val="00B41AE6"/>
    <w:rsid w:val="00B41B16"/>
    <w:rsid w:val="00B41D46"/>
    <w:rsid w:val="00B41E50"/>
    <w:rsid w:val="00B41EA8"/>
    <w:rsid w:val="00B41F0F"/>
    <w:rsid w:val="00B4206F"/>
    <w:rsid w:val="00B4207A"/>
    <w:rsid w:val="00B42182"/>
    <w:rsid w:val="00B42560"/>
    <w:rsid w:val="00B42699"/>
    <w:rsid w:val="00B426E0"/>
    <w:rsid w:val="00B42CAB"/>
    <w:rsid w:val="00B42FFB"/>
    <w:rsid w:val="00B4306B"/>
    <w:rsid w:val="00B43357"/>
    <w:rsid w:val="00B4348E"/>
    <w:rsid w:val="00B434B3"/>
    <w:rsid w:val="00B43546"/>
    <w:rsid w:val="00B43553"/>
    <w:rsid w:val="00B43558"/>
    <w:rsid w:val="00B43833"/>
    <w:rsid w:val="00B43ABE"/>
    <w:rsid w:val="00B43D83"/>
    <w:rsid w:val="00B43E24"/>
    <w:rsid w:val="00B44121"/>
    <w:rsid w:val="00B4427A"/>
    <w:rsid w:val="00B4441B"/>
    <w:rsid w:val="00B4441F"/>
    <w:rsid w:val="00B44472"/>
    <w:rsid w:val="00B44566"/>
    <w:rsid w:val="00B445CC"/>
    <w:rsid w:val="00B44838"/>
    <w:rsid w:val="00B4487D"/>
    <w:rsid w:val="00B4498C"/>
    <w:rsid w:val="00B449D6"/>
    <w:rsid w:val="00B44B9A"/>
    <w:rsid w:val="00B44D7A"/>
    <w:rsid w:val="00B44F55"/>
    <w:rsid w:val="00B4540D"/>
    <w:rsid w:val="00B454EF"/>
    <w:rsid w:val="00B455AA"/>
    <w:rsid w:val="00B456EB"/>
    <w:rsid w:val="00B45778"/>
    <w:rsid w:val="00B457A1"/>
    <w:rsid w:val="00B45827"/>
    <w:rsid w:val="00B45897"/>
    <w:rsid w:val="00B45C35"/>
    <w:rsid w:val="00B45D4B"/>
    <w:rsid w:val="00B45E7C"/>
    <w:rsid w:val="00B45E99"/>
    <w:rsid w:val="00B4603D"/>
    <w:rsid w:val="00B46051"/>
    <w:rsid w:val="00B461E6"/>
    <w:rsid w:val="00B461F6"/>
    <w:rsid w:val="00B4630F"/>
    <w:rsid w:val="00B46444"/>
    <w:rsid w:val="00B464B1"/>
    <w:rsid w:val="00B46510"/>
    <w:rsid w:val="00B46D17"/>
    <w:rsid w:val="00B46E5E"/>
    <w:rsid w:val="00B46EBE"/>
    <w:rsid w:val="00B46EDD"/>
    <w:rsid w:val="00B471F8"/>
    <w:rsid w:val="00B4720C"/>
    <w:rsid w:val="00B4769F"/>
    <w:rsid w:val="00B476C6"/>
    <w:rsid w:val="00B47844"/>
    <w:rsid w:val="00B47920"/>
    <w:rsid w:val="00B47996"/>
    <w:rsid w:val="00B47A4A"/>
    <w:rsid w:val="00B47A9E"/>
    <w:rsid w:val="00B47B99"/>
    <w:rsid w:val="00B47CEC"/>
    <w:rsid w:val="00B50023"/>
    <w:rsid w:val="00B50044"/>
    <w:rsid w:val="00B50046"/>
    <w:rsid w:val="00B50292"/>
    <w:rsid w:val="00B506F2"/>
    <w:rsid w:val="00B507A3"/>
    <w:rsid w:val="00B50CD0"/>
    <w:rsid w:val="00B50DDB"/>
    <w:rsid w:val="00B5105F"/>
    <w:rsid w:val="00B510E3"/>
    <w:rsid w:val="00B5116C"/>
    <w:rsid w:val="00B51372"/>
    <w:rsid w:val="00B5171E"/>
    <w:rsid w:val="00B5191D"/>
    <w:rsid w:val="00B51A08"/>
    <w:rsid w:val="00B51A0A"/>
    <w:rsid w:val="00B51AB4"/>
    <w:rsid w:val="00B51DFE"/>
    <w:rsid w:val="00B51E54"/>
    <w:rsid w:val="00B51F01"/>
    <w:rsid w:val="00B51F7C"/>
    <w:rsid w:val="00B521AC"/>
    <w:rsid w:val="00B5261A"/>
    <w:rsid w:val="00B52702"/>
    <w:rsid w:val="00B52765"/>
    <w:rsid w:val="00B527D3"/>
    <w:rsid w:val="00B528A1"/>
    <w:rsid w:val="00B529F6"/>
    <w:rsid w:val="00B52C26"/>
    <w:rsid w:val="00B52F39"/>
    <w:rsid w:val="00B530FC"/>
    <w:rsid w:val="00B536E0"/>
    <w:rsid w:val="00B53794"/>
    <w:rsid w:val="00B537EC"/>
    <w:rsid w:val="00B5398E"/>
    <w:rsid w:val="00B53A37"/>
    <w:rsid w:val="00B53A77"/>
    <w:rsid w:val="00B53B93"/>
    <w:rsid w:val="00B53BD8"/>
    <w:rsid w:val="00B53CEA"/>
    <w:rsid w:val="00B53E77"/>
    <w:rsid w:val="00B53EEA"/>
    <w:rsid w:val="00B53F0E"/>
    <w:rsid w:val="00B53F8C"/>
    <w:rsid w:val="00B53FC7"/>
    <w:rsid w:val="00B5412B"/>
    <w:rsid w:val="00B54522"/>
    <w:rsid w:val="00B54868"/>
    <w:rsid w:val="00B54974"/>
    <w:rsid w:val="00B5498D"/>
    <w:rsid w:val="00B54AEC"/>
    <w:rsid w:val="00B54BE1"/>
    <w:rsid w:val="00B54C10"/>
    <w:rsid w:val="00B54C11"/>
    <w:rsid w:val="00B54CDD"/>
    <w:rsid w:val="00B54EBC"/>
    <w:rsid w:val="00B54F21"/>
    <w:rsid w:val="00B55012"/>
    <w:rsid w:val="00B5501D"/>
    <w:rsid w:val="00B550C3"/>
    <w:rsid w:val="00B5522B"/>
    <w:rsid w:val="00B556DE"/>
    <w:rsid w:val="00B556E9"/>
    <w:rsid w:val="00B55934"/>
    <w:rsid w:val="00B55BB0"/>
    <w:rsid w:val="00B55DAD"/>
    <w:rsid w:val="00B55F5F"/>
    <w:rsid w:val="00B55F8B"/>
    <w:rsid w:val="00B5603A"/>
    <w:rsid w:val="00B56282"/>
    <w:rsid w:val="00B56403"/>
    <w:rsid w:val="00B56510"/>
    <w:rsid w:val="00B566FB"/>
    <w:rsid w:val="00B569CA"/>
    <w:rsid w:val="00B56AA9"/>
    <w:rsid w:val="00B570D3"/>
    <w:rsid w:val="00B573C5"/>
    <w:rsid w:val="00B573EA"/>
    <w:rsid w:val="00B57767"/>
    <w:rsid w:val="00B57790"/>
    <w:rsid w:val="00B5792A"/>
    <w:rsid w:val="00B579EB"/>
    <w:rsid w:val="00B57D28"/>
    <w:rsid w:val="00B57D51"/>
    <w:rsid w:val="00B57D9F"/>
    <w:rsid w:val="00B57E6B"/>
    <w:rsid w:val="00B57EEE"/>
    <w:rsid w:val="00B600A4"/>
    <w:rsid w:val="00B601E8"/>
    <w:rsid w:val="00B603FA"/>
    <w:rsid w:val="00B604E2"/>
    <w:rsid w:val="00B60BCC"/>
    <w:rsid w:val="00B60C7C"/>
    <w:rsid w:val="00B60D40"/>
    <w:rsid w:val="00B60DCD"/>
    <w:rsid w:val="00B60FE3"/>
    <w:rsid w:val="00B6111B"/>
    <w:rsid w:val="00B61138"/>
    <w:rsid w:val="00B6115C"/>
    <w:rsid w:val="00B6151E"/>
    <w:rsid w:val="00B618CD"/>
    <w:rsid w:val="00B61CBE"/>
    <w:rsid w:val="00B61D71"/>
    <w:rsid w:val="00B620B4"/>
    <w:rsid w:val="00B62733"/>
    <w:rsid w:val="00B62979"/>
    <w:rsid w:val="00B629FA"/>
    <w:rsid w:val="00B629FE"/>
    <w:rsid w:val="00B62B8A"/>
    <w:rsid w:val="00B62BF1"/>
    <w:rsid w:val="00B62D2F"/>
    <w:rsid w:val="00B62D44"/>
    <w:rsid w:val="00B62D70"/>
    <w:rsid w:val="00B62ED8"/>
    <w:rsid w:val="00B62F20"/>
    <w:rsid w:val="00B63217"/>
    <w:rsid w:val="00B63271"/>
    <w:rsid w:val="00B6353F"/>
    <w:rsid w:val="00B63585"/>
    <w:rsid w:val="00B6363A"/>
    <w:rsid w:val="00B636EE"/>
    <w:rsid w:val="00B63887"/>
    <w:rsid w:val="00B6392D"/>
    <w:rsid w:val="00B63A60"/>
    <w:rsid w:val="00B63A6E"/>
    <w:rsid w:val="00B63AC8"/>
    <w:rsid w:val="00B63ACE"/>
    <w:rsid w:val="00B63C74"/>
    <w:rsid w:val="00B63C9B"/>
    <w:rsid w:val="00B63FA8"/>
    <w:rsid w:val="00B63FFF"/>
    <w:rsid w:val="00B64138"/>
    <w:rsid w:val="00B6433D"/>
    <w:rsid w:val="00B646D7"/>
    <w:rsid w:val="00B647AE"/>
    <w:rsid w:val="00B647D4"/>
    <w:rsid w:val="00B64962"/>
    <w:rsid w:val="00B64AED"/>
    <w:rsid w:val="00B64B53"/>
    <w:rsid w:val="00B653DE"/>
    <w:rsid w:val="00B65763"/>
    <w:rsid w:val="00B657A4"/>
    <w:rsid w:val="00B65A7E"/>
    <w:rsid w:val="00B65B2E"/>
    <w:rsid w:val="00B65BDE"/>
    <w:rsid w:val="00B65CC6"/>
    <w:rsid w:val="00B65D75"/>
    <w:rsid w:val="00B65D86"/>
    <w:rsid w:val="00B65E9C"/>
    <w:rsid w:val="00B65FE8"/>
    <w:rsid w:val="00B66377"/>
    <w:rsid w:val="00B665C9"/>
    <w:rsid w:val="00B66A71"/>
    <w:rsid w:val="00B66BE8"/>
    <w:rsid w:val="00B66BFE"/>
    <w:rsid w:val="00B670FF"/>
    <w:rsid w:val="00B673A9"/>
    <w:rsid w:val="00B67400"/>
    <w:rsid w:val="00B67631"/>
    <w:rsid w:val="00B676EC"/>
    <w:rsid w:val="00B677D0"/>
    <w:rsid w:val="00B67839"/>
    <w:rsid w:val="00B67862"/>
    <w:rsid w:val="00B67A6A"/>
    <w:rsid w:val="00B67A86"/>
    <w:rsid w:val="00B67C66"/>
    <w:rsid w:val="00B67CA9"/>
    <w:rsid w:val="00B67FC4"/>
    <w:rsid w:val="00B7016C"/>
    <w:rsid w:val="00B7039B"/>
    <w:rsid w:val="00B704DA"/>
    <w:rsid w:val="00B706F6"/>
    <w:rsid w:val="00B7078A"/>
    <w:rsid w:val="00B70B77"/>
    <w:rsid w:val="00B70C5E"/>
    <w:rsid w:val="00B70CD7"/>
    <w:rsid w:val="00B711CA"/>
    <w:rsid w:val="00B711EE"/>
    <w:rsid w:val="00B71213"/>
    <w:rsid w:val="00B7131C"/>
    <w:rsid w:val="00B713CF"/>
    <w:rsid w:val="00B71604"/>
    <w:rsid w:val="00B7165D"/>
    <w:rsid w:val="00B71695"/>
    <w:rsid w:val="00B71A42"/>
    <w:rsid w:val="00B71EFE"/>
    <w:rsid w:val="00B71F57"/>
    <w:rsid w:val="00B71F8F"/>
    <w:rsid w:val="00B72803"/>
    <w:rsid w:val="00B729E8"/>
    <w:rsid w:val="00B72F14"/>
    <w:rsid w:val="00B72F6B"/>
    <w:rsid w:val="00B7309B"/>
    <w:rsid w:val="00B73164"/>
    <w:rsid w:val="00B732D9"/>
    <w:rsid w:val="00B733F2"/>
    <w:rsid w:val="00B73475"/>
    <w:rsid w:val="00B7355A"/>
    <w:rsid w:val="00B736F3"/>
    <w:rsid w:val="00B737B8"/>
    <w:rsid w:val="00B73C06"/>
    <w:rsid w:val="00B73D24"/>
    <w:rsid w:val="00B73D8B"/>
    <w:rsid w:val="00B7420C"/>
    <w:rsid w:val="00B742DE"/>
    <w:rsid w:val="00B7443A"/>
    <w:rsid w:val="00B74456"/>
    <w:rsid w:val="00B74492"/>
    <w:rsid w:val="00B7450B"/>
    <w:rsid w:val="00B7469C"/>
    <w:rsid w:val="00B74787"/>
    <w:rsid w:val="00B74808"/>
    <w:rsid w:val="00B74820"/>
    <w:rsid w:val="00B749C1"/>
    <w:rsid w:val="00B74A93"/>
    <w:rsid w:val="00B74AC4"/>
    <w:rsid w:val="00B74AE0"/>
    <w:rsid w:val="00B74BA5"/>
    <w:rsid w:val="00B74D1E"/>
    <w:rsid w:val="00B74FE4"/>
    <w:rsid w:val="00B7505F"/>
    <w:rsid w:val="00B7517E"/>
    <w:rsid w:val="00B75344"/>
    <w:rsid w:val="00B753BA"/>
    <w:rsid w:val="00B755EE"/>
    <w:rsid w:val="00B75795"/>
    <w:rsid w:val="00B7587F"/>
    <w:rsid w:val="00B75992"/>
    <w:rsid w:val="00B75BDC"/>
    <w:rsid w:val="00B75C0B"/>
    <w:rsid w:val="00B75C96"/>
    <w:rsid w:val="00B75DB2"/>
    <w:rsid w:val="00B75F36"/>
    <w:rsid w:val="00B76023"/>
    <w:rsid w:val="00B76482"/>
    <w:rsid w:val="00B765BC"/>
    <w:rsid w:val="00B7664A"/>
    <w:rsid w:val="00B7683B"/>
    <w:rsid w:val="00B768BC"/>
    <w:rsid w:val="00B76929"/>
    <w:rsid w:val="00B76998"/>
    <w:rsid w:val="00B769E0"/>
    <w:rsid w:val="00B76A18"/>
    <w:rsid w:val="00B76AD4"/>
    <w:rsid w:val="00B76CD6"/>
    <w:rsid w:val="00B76E1A"/>
    <w:rsid w:val="00B77116"/>
    <w:rsid w:val="00B77189"/>
    <w:rsid w:val="00B77206"/>
    <w:rsid w:val="00B772F8"/>
    <w:rsid w:val="00B7746C"/>
    <w:rsid w:val="00B77799"/>
    <w:rsid w:val="00B7783C"/>
    <w:rsid w:val="00B77ACB"/>
    <w:rsid w:val="00B77C55"/>
    <w:rsid w:val="00B77C5F"/>
    <w:rsid w:val="00B77E32"/>
    <w:rsid w:val="00B77E72"/>
    <w:rsid w:val="00B77F28"/>
    <w:rsid w:val="00B800D6"/>
    <w:rsid w:val="00B8026D"/>
    <w:rsid w:val="00B80290"/>
    <w:rsid w:val="00B80435"/>
    <w:rsid w:val="00B80448"/>
    <w:rsid w:val="00B805AA"/>
    <w:rsid w:val="00B8066C"/>
    <w:rsid w:val="00B80803"/>
    <w:rsid w:val="00B8093C"/>
    <w:rsid w:val="00B809F7"/>
    <w:rsid w:val="00B80C81"/>
    <w:rsid w:val="00B80D29"/>
    <w:rsid w:val="00B80D46"/>
    <w:rsid w:val="00B80F2E"/>
    <w:rsid w:val="00B80F9B"/>
    <w:rsid w:val="00B810D0"/>
    <w:rsid w:val="00B81240"/>
    <w:rsid w:val="00B81316"/>
    <w:rsid w:val="00B81520"/>
    <w:rsid w:val="00B81663"/>
    <w:rsid w:val="00B81713"/>
    <w:rsid w:val="00B8173A"/>
    <w:rsid w:val="00B8186B"/>
    <w:rsid w:val="00B8198E"/>
    <w:rsid w:val="00B81BBB"/>
    <w:rsid w:val="00B81CE3"/>
    <w:rsid w:val="00B8202C"/>
    <w:rsid w:val="00B8214D"/>
    <w:rsid w:val="00B822B8"/>
    <w:rsid w:val="00B8248E"/>
    <w:rsid w:val="00B82550"/>
    <w:rsid w:val="00B825E8"/>
    <w:rsid w:val="00B82607"/>
    <w:rsid w:val="00B82622"/>
    <w:rsid w:val="00B826CC"/>
    <w:rsid w:val="00B826DA"/>
    <w:rsid w:val="00B82774"/>
    <w:rsid w:val="00B82778"/>
    <w:rsid w:val="00B82A58"/>
    <w:rsid w:val="00B82B76"/>
    <w:rsid w:val="00B82B9D"/>
    <w:rsid w:val="00B82E50"/>
    <w:rsid w:val="00B82FF7"/>
    <w:rsid w:val="00B83031"/>
    <w:rsid w:val="00B83079"/>
    <w:rsid w:val="00B834AF"/>
    <w:rsid w:val="00B835E8"/>
    <w:rsid w:val="00B839F6"/>
    <w:rsid w:val="00B84328"/>
    <w:rsid w:val="00B84395"/>
    <w:rsid w:val="00B84C6C"/>
    <w:rsid w:val="00B84CF3"/>
    <w:rsid w:val="00B84E44"/>
    <w:rsid w:val="00B84FCB"/>
    <w:rsid w:val="00B85264"/>
    <w:rsid w:val="00B853DD"/>
    <w:rsid w:val="00B85570"/>
    <w:rsid w:val="00B855C4"/>
    <w:rsid w:val="00B855CD"/>
    <w:rsid w:val="00B858D6"/>
    <w:rsid w:val="00B8590F"/>
    <w:rsid w:val="00B859E3"/>
    <w:rsid w:val="00B85A04"/>
    <w:rsid w:val="00B85EBC"/>
    <w:rsid w:val="00B85F01"/>
    <w:rsid w:val="00B85F5F"/>
    <w:rsid w:val="00B85FDE"/>
    <w:rsid w:val="00B860A1"/>
    <w:rsid w:val="00B861F2"/>
    <w:rsid w:val="00B8620D"/>
    <w:rsid w:val="00B864E2"/>
    <w:rsid w:val="00B8655E"/>
    <w:rsid w:val="00B86581"/>
    <w:rsid w:val="00B868D8"/>
    <w:rsid w:val="00B8695B"/>
    <w:rsid w:val="00B86998"/>
    <w:rsid w:val="00B869CC"/>
    <w:rsid w:val="00B86BC4"/>
    <w:rsid w:val="00B87351"/>
    <w:rsid w:val="00B87380"/>
    <w:rsid w:val="00B87744"/>
    <w:rsid w:val="00B87893"/>
    <w:rsid w:val="00B87B0C"/>
    <w:rsid w:val="00B87BE1"/>
    <w:rsid w:val="00B87C0F"/>
    <w:rsid w:val="00B87C45"/>
    <w:rsid w:val="00B87EB2"/>
    <w:rsid w:val="00B90083"/>
    <w:rsid w:val="00B901AF"/>
    <w:rsid w:val="00B90239"/>
    <w:rsid w:val="00B90329"/>
    <w:rsid w:val="00B904D8"/>
    <w:rsid w:val="00B90604"/>
    <w:rsid w:val="00B90890"/>
    <w:rsid w:val="00B909BE"/>
    <w:rsid w:val="00B90C4E"/>
    <w:rsid w:val="00B90FC7"/>
    <w:rsid w:val="00B91165"/>
    <w:rsid w:val="00B917F2"/>
    <w:rsid w:val="00B91AA1"/>
    <w:rsid w:val="00B91B1F"/>
    <w:rsid w:val="00B91B2C"/>
    <w:rsid w:val="00B91D0A"/>
    <w:rsid w:val="00B91FA0"/>
    <w:rsid w:val="00B92020"/>
    <w:rsid w:val="00B920A8"/>
    <w:rsid w:val="00B920E0"/>
    <w:rsid w:val="00B92177"/>
    <w:rsid w:val="00B92354"/>
    <w:rsid w:val="00B924CD"/>
    <w:rsid w:val="00B92583"/>
    <w:rsid w:val="00B92687"/>
    <w:rsid w:val="00B926B0"/>
    <w:rsid w:val="00B9276E"/>
    <w:rsid w:val="00B927E6"/>
    <w:rsid w:val="00B92824"/>
    <w:rsid w:val="00B928A8"/>
    <w:rsid w:val="00B92AA2"/>
    <w:rsid w:val="00B92B95"/>
    <w:rsid w:val="00B92DAA"/>
    <w:rsid w:val="00B92E69"/>
    <w:rsid w:val="00B92F27"/>
    <w:rsid w:val="00B9308D"/>
    <w:rsid w:val="00B93163"/>
    <w:rsid w:val="00B931DB"/>
    <w:rsid w:val="00B933AA"/>
    <w:rsid w:val="00B93692"/>
    <w:rsid w:val="00B93719"/>
    <w:rsid w:val="00B93840"/>
    <w:rsid w:val="00B9385F"/>
    <w:rsid w:val="00B939DE"/>
    <w:rsid w:val="00B93A1B"/>
    <w:rsid w:val="00B93D19"/>
    <w:rsid w:val="00B93D45"/>
    <w:rsid w:val="00B93F08"/>
    <w:rsid w:val="00B94216"/>
    <w:rsid w:val="00B94248"/>
    <w:rsid w:val="00B942A1"/>
    <w:rsid w:val="00B942EE"/>
    <w:rsid w:val="00B94362"/>
    <w:rsid w:val="00B94804"/>
    <w:rsid w:val="00B9483A"/>
    <w:rsid w:val="00B94B4F"/>
    <w:rsid w:val="00B94B58"/>
    <w:rsid w:val="00B94BD9"/>
    <w:rsid w:val="00B94CFD"/>
    <w:rsid w:val="00B94F8C"/>
    <w:rsid w:val="00B9526E"/>
    <w:rsid w:val="00B95378"/>
    <w:rsid w:val="00B95533"/>
    <w:rsid w:val="00B955FF"/>
    <w:rsid w:val="00B9560F"/>
    <w:rsid w:val="00B959A7"/>
    <w:rsid w:val="00B95B19"/>
    <w:rsid w:val="00B95B4D"/>
    <w:rsid w:val="00B95F5B"/>
    <w:rsid w:val="00B96099"/>
    <w:rsid w:val="00B96180"/>
    <w:rsid w:val="00B9618E"/>
    <w:rsid w:val="00B96217"/>
    <w:rsid w:val="00B963B4"/>
    <w:rsid w:val="00B963C8"/>
    <w:rsid w:val="00B965F4"/>
    <w:rsid w:val="00B96691"/>
    <w:rsid w:val="00B9685B"/>
    <w:rsid w:val="00B96866"/>
    <w:rsid w:val="00B96A2B"/>
    <w:rsid w:val="00B96B0D"/>
    <w:rsid w:val="00B96C3B"/>
    <w:rsid w:val="00B96D6D"/>
    <w:rsid w:val="00B96EC7"/>
    <w:rsid w:val="00B9701D"/>
    <w:rsid w:val="00B970F1"/>
    <w:rsid w:val="00B97198"/>
    <w:rsid w:val="00B97232"/>
    <w:rsid w:val="00B972B7"/>
    <w:rsid w:val="00B97391"/>
    <w:rsid w:val="00B97520"/>
    <w:rsid w:val="00B97583"/>
    <w:rsid w:val="00B976F6"/>
    <w:rsid w:val="00B9774F"/>
    <w:rsid w:val="00B9777D"/>
    <w:rsid w:val="00B97864"/>
    <w:rsid w:val="00B978B5"/>
    <w:rsid w:val="00B97A2E"/>
    <w:rsid w:val="00B97B7A"/>
    <w:rsid w:val="00BA0059"/>
    <w:rsid w:val="00BA0175"/>
    <w:rsid w:val="00BA01D6"/>
    <w:rsid w:val="00BA0215"/>
    <w:rsid w:val="00BA02D8"/>
    <w:rsid w:val="00BA06E4"/>
    <w:rsid w:val="00BA0792"/>
    <w:rsid w:val="00BA08A0"/>
    <w:rsid w:val="00BA08A8"/>
    <w:rsid w:val="00BA08DD"/>
    <w:rsid w:val="00BA08FE"/>
    <w:rsid w:val="00BA0A7C"/>
    <w:rsid w:val="00BA0BC0"/>
    <w:rsid w:val="00BA0BCA"/>
    <w:rsid w:val="00BA0E6E"/>
    <w:rsid w:val="00BA0EC4"/>
    <w:rsid w:val="00BA0F2D"/>
    <w:rsid w:val="00BA0F72"/>
    <w:rsid w:val="00BA0F89"/>
    <w:rsid w:val="00BA0FAB"/>
    <w:rsid w:val="00BA10FE"/>
    <w:rsid w:val="00BA1231"/>
    <w:rsid w:val="00BA12FF"/>
    <w:rsid w:val="00BA14C4"/>
    <w:rsid w:val="00BA170F"/>
    <w:rsid w:val="00BA17A5"/>
    <w:rsid w:val="00BA186C"/>
    <w:rsid w:val="00BA1A75"/>
    <w:rsid w:val="00BA1D07"/>
    <w:rsid w:val="00BA213F"/>
    <w:rsid w:val="00BA21B2"/>
    <w:rsid w:val="00BA21B7"/>
    <w:rsid w:val="00BA2283"/>
    <w:rsid w:val="00BA2732"/>
    <w:rsid w:val="00BA2748"/>
    <w:rsid w:val="00BA2D76"/>
    <w:rsid w:val="00BA2DFA"/>
    <w:rsid w:val="00BA2E31"/>
    <w:rsid w:val="00BA3922"/>
    <w:rsid w:val="00BA3B15"/>
    <w:rsid w:val="00BA3BAC"/>
    <w:rsid w:val="00BA3BE9"/>
    <w:rsid w:val="00BA3F51"/>
    <w:rsid w:val="00BA4023"/>
    <w:rsid w:val="00BA41ED"/>
    <w:rsid w:val="00BA4520"/>
    <w:rsid w:val="00BA49AA"/>
    <w:rsid w:val="00BA4B35"/>
    <w:rsid w:val="00BA4CA2"/>
    <w:rsid w:val="00BA4CC8"/>
    <w:rsid w:val="00BA4F69"/>
    <w:rsid w:val="00BA504B"/>
    <w:rsid w:val="00BA5183"/>
    <w:rsid w:val="00BA5590"/>
    <w:rsid w:val="00BA5765"/>
    <w:rsid w:val="00BA579B"/>
    <w:rsid w:val="00BA5B57"/>
    <w:rsid w:val="00BA5B8E"/>
    <w:rsid w:val="00BA5CDE"/>
    <w:rsid w:val="00BA5F41"/>
    <w:rsid w:val="00BA5F7B"/>
    <w:rsid w:val="00BA635A"/>
    <w:rsid w:val="00BA6500"/>
    <w:rsid w:val="00BA65BB"/>
    <w:rsid w:val="00BA66C9"/>
    <w:rsid w:val="00BA6877"/>
    <w:rsid w:val="00BA6BEF"/>
    <w:rsid w:val="00BA6F0E"/>
    <w:rsid w:val="00BA6F85"/>
    <w:rsid w:val="00BA7160"/>
    <w:rsid w:val="00BA7199"/>
    <w:rsid w:val="00BA7315"/>
    <w:rsid w:val="00BA7385"/>
    <w:rsid w:val="00BA73A8"/>
    <w:rsid w:val="00BA76F1"/>
    <w:rsid w:val="00BA788E"/>
    <w:rsid w:val="00BA79A5"/>
    <w:rsid w:val="00BA7B66"/>
    <w:rsid w:val="00BA7E35"/>
    <w:rsid w:val="00BA7F3E"/>
    <w:rsid w:val="00BB0113"/>
    <w:rsid w:val="00BB01E5"/>
    <w:rsid w:val="00BB02A0"/>
    <w:rsid w:val="00BB0391"/>
    <w:rsid w:val="00BB0459"/>
    <w:rsid w:val="00BB0529"/>
    <w:rsid w:val="00BB05CA"/>
    <w:rsid w:val="00BB05D3"/>
    <w:rsid w:val="00BB0A4E"/>
    <w:rsid w:val="00BB16B0"/>
    <w:rsid w:val="00BB170D"/>
    <w:rsid w:val="00BB174C"/>
    <w:rsid w:val="00BB187C"/>
    <w:rsid w:val="00BB190A"/>
    <w:rsid w:val="00BB1971"/>
    <w:rsid w:val="00BB19BA"/>
    <w:rsid w:val="00BB1B01"/>
    <w:rsid w:val="00BB1B88"/>
    <w:rsid w:val="00BB1E36"/>
    <w:rsid w:val="00BB1F80"/>
    <w:rsid w:val="00BB2019"/>
    <w:rsid w:val="00BB208E"/>
    <w:rsid w:val="00BB2219"/>
    <w:rsid w:val="00BB221C"/>
    <w:rsid w:val="00BB229B"/>
    <w:rsid w:val="00BB2685"/>
    <w:rsid w:val="00BB287A"/>
    <w:rsid w:val="00BB28B9"/>
    <w:rsid w:val="00BB296B"/>
    <w:rsid w:val="00BB29AC"/>
    <w:rsid w:val="00BB2A1A"/>
    <w:rsid w:val="00BB2A9C"/>
    <w:rsid w:val="00BB2AEF"/>
    <w:rsid w:val="00BB2BE3"/>
    <w:rsid w:val="00BB2D3C"/>
    <w:rsid w:val="00BB2F1F"/>
    <w:rsid w:val="00BB3041"/>
    <w:rsid w:val="00BB3195"/>
    <w:rsid w:val="00BB320B"/>
    <w:rsid w:val="00BB3517"/>
    <w:rsid w:val="00BB3622"/>
    <w:rsid w:val="00BB370F"/>
    <w:rsid w:val="00BB384A"/>
    <w:rsid w:val="00BB3B86"/>
    <w:rsid w:val="00BB3D27"/>
    <w:rsid w:val="00BB3E24"/>
    <w:rsid w:val="00BB40C0"/>
    <w:rsid w:val="00BB426D"/>
    <w:rsid w:val="00BB446C"/>
    <w:rsid w:val="00BB4474"/>
    <w:rsid w:val="00BB457F"/>
    <w:rsid w:val="00BB4591"/>
    <w:rsid w:val="00BB495C"/>
    <w:rsid w:val="00BB4A8C"/>
    <w:rsid w:val="00BB4B9C"/>
    <w:rsid w:val="00BB51C6"/>
    <w:rsid w:val="00BB5454"/>
    <w:rsid w:val="00BB5597"/>
    <w:rsid w:val="00BB5A58"/>
    <w:rsid w:val="00BB5AF7"/>
    <w:rsid w:val="00BB5CC7"/>
    <w:rsid w:val="00BB5CE8"/>
    <w:rsid w:val="00BB5F56"/>
    <w:rsid w:val="00BB6156"/>
    <w:rsid w:val="00BB628E"/>
    <w:rsid w:val="00BB63F5"/>
    <w:rsid w:val="00BB63F6"/>
    <w:rsid w:val="00BB64CB"/>
    <w:rsid w:val="00BB669C"/>
    <w:rsid w:val="00BB6731"/>
    <w:rsid w:val="00BB682C"/>
    <w:rsid w:val="00BB6A13"/>
    <w:rsid w:val="00BB6E39"/>
    <w:rsid w:val="00BB727C"/>
    <w:rsid w:val="00BB7304"/>
    <w:rsid w:val="00BB7553"/>
    <w:rsid w:val="00BB766C"/>
    <w:rsid w:val="00BB7709"/>
    <w:rsid w:val="00BB78EB"/>
    <w:rsid w:val="00BB7CA9"/>
    <w:rsid w:val="00BB7F16"/>
    <w:rsid w:val="00BB7F51"/>
    <w:rsid w:val="00BC0134"/>
    <w:rsid w:val="00BC014F"/>
    <w:rsid w:val="00BC0569"/>
    <w:rsid w:val="00BC0A47"/>
    <w:rsid w:val="00BC0BD4"/>
    <w:rsid w:val="00BC0C8A"/>
    <w:rsid w:val="00BC0E72"/>
    <w:rsid w:val="00BC11BC"/>
    <w:rsid w:val="00BC12D1"/>
    <w:rsid w:val="00BC16C8"/>
    <w:rsid w:val="00BC1707"/>
    <w:rsid w:val="00BC17F0"/>
    <w:rsid w:val="00BC1876"/>
    <w:rsid w:val="00BC18CA"/>
    <w:rsid w:val="00BC1C40"/>
    <w:rsid w:val="00BC1CFB"/>
    <w:rsid w:val="00BC1E20"/>
    <w:rsid w:val="00BC1F46"/>
    <w:rsid w:val="00BC1F4B"/>
    <w:rsid w:val="00BC20DB"/>
    <w:rsid w:val="00BC2219"/>
    <w:rsid w:val="00BC236B"/>
    <w:rsid w:val="00BC2493"/>
    <w:rsid w:val="00BC25F6"/>
    <w:rsid w:val="00BC29C4"/>
    <w:rsid w:val="00BC2A30"/>
    <w:rsid w:val="00BC2ABA"/>
    <w:rsid w:val="00BC2BB4"/>
    <w:rsid w:val="00BC3056"/>
    <w:rsid w:val="00BC3466"/>
    <w:rsid w:val="00BC3503"/>
    <w:rsid w:val="00BC3514"/>
    <w:rsid w:val="00BC3576"/>
    <w:rsid w:val="00BC3586"/>
    <w:rsid w:val="00BC3913"/>
    <w:rsid w:val="00BC3A5A"/>
    <w:rsid w:val="00BC3C27"/>
    <w:rsid w:val="00BC3E8B"/>
    <w:rsid w:val="00BC4080"/>
    <w:rsid w:val="00BC419C"/>
    <w:rsid w:val="00BC433F"/>
    <w:rsid w:val="00BC4450"/>
    <w:rsid w:val="00BC46EF"/>
    <w:rsid w:val="00BC4723"/>
    <w:rsid w:val="00BC4742"/>
    <w:rsid w:val="00BC48E8"/>
    <w:rsid w:val="00BC48F7"/>
    <w:rsid w:val="00BC4B4B"/>
    <w:rsid w:val="00BC4D92"/>
    <w:rsid w:val="00BC4DA7"/>
    <w:rsid w:val="00BC5108"/>
    <w:rsid w:val="00BC5429"/>
    <w:rsid w:val="00BC5730"/>
    <w:rsid w:val="00BC585B"/>
    <w:rsid w:val="00BC59FA"/>
    <w:rsid w:val="00BC5A03"/>
    <w:rsid w:val="00BC5BF6"/>
    <w:rsid w:val="00BC603D"/>
    <w:rsid w:val="00BC6044"/>
    <w:rsid w:val="00BC608D"/>
    <w:rsid w:val="00BC617B"/>
    <w:rsid w:val="00BC6376"/>
    <w:rsid w:val="00BC65D9"/>
    <w:rsid w:val="00BC6643"/>
    <w:rsid w:val="00BC6691"/>
    <w:rsid w:val="00BC6824"/>
    <w:rsid w:val="00BC6926"/>
    <w:rsid w:val="00BC694E"/>
    <w:rsid w:val="00BC6B8F"/>
    <w:rsid w:val="00BC6D52"/>
    <w:rsid w:val="00BC6D9C"/>
    <w:rsid w:val="00BC70ED"/>
    <w:rsid w:val="00BC710F"/>
    <w:rsid w:val="00BC71B2"/>
    <w:rsid w:val="00BC7354"/>
    <w:rsid w:val="00BC741A"/>
    <w:rsid w:val="00BC7786"/>
    <w:rsid w:val="00BC797C"/>
    <w:rsid w:val="00BC7AD9"/>
    <w:rsid w:val="00BC7C1C"/>
    <w:rsid w:val="00BC7C52"/>
    <w:rsid w:val="00BC7DB8"/>
    <w:rsid w:val="00BC7DD5"/>
    <w:rsid w:val="00BC7E87"/>
    <w:rsid w:val="00BD01A8"/>
    <w:rsid w:val="00BD02A8"/>
    <w:rsid w:val="00BD0564"/>
    <w:rsid w:val="00BD062B"/>
    <w:rsid w:val="00BD0900"/>
    <w:rsid w:val="00BD09E5"/>
    <w:rsid w:val="00BD0AA6"/>
    <w:rsid w:val="00BD0ACB"/>
    <w:rsid w:val="00BD0CF6"/>
    <w:rsid w:val="00BD0D20"/>
    <w:rsid w:val="00BD1010"/>
    <w:rsid w:val="00BD103A"/>
    <w:rsid w:val="00BD125F"/>
    <w:rsid w:val="00BD13B0"/>
    <w:rsid w:val="00BD1471"/>
    <w:rsid w:val="00BD14C5"/>
    <w:rsid w:val="00BD1505"/>
    <w:rsid w:val="00BD159C"/>
    <w:rsid w:val="00BD15D9"/>
    <w:rsid w:val="00BD165B"/>
    <w:rsid w:val="00BD176A"/>
    <w:rsid w:val="00BD196A"/>
    <w:rsid w:val="00BD1971"/>
    <w:rsid w:val="00BD1BEF"/>
    <w:rsid w:val="00BD1D6F"/>
    <w:rsid w:val="00BD2081"/>
    <w:rsid w:val="00BD21E2"/>
    <w:rsid w:val="00BD22BB"/>
    <w:rsid w:val="00BD2311"/>
    <w:rsid w:val="00BD23CA"/>
    <w:rsid w:val="00BD2584"/>
    <w:rsid w:val="00BD271C"/>
    <w:rsid w:val="00BD2BCF"/>
    <w:rsid w:val="00BD2CDB"/>
    <w:rsid w:val="00BD33A1"/>
    <w:rsid w:val="00BD3446"/>
    <w:rsid w:val="00BD3590"/>
    <w:rsid w:val="00BD37DB"/>
    <w:rsid w:val="00BD3997"/>
    <w:rsid w:val="00BD3BF8"/>
    <w:rsid w:val="00BD3C3C"/>
    <w:rsid w:val="00BD3C8B"/>
    <w:rsid w:val="00BD3F71"/>
    <w:rsid w:val="00BD3FB0"/>
    <w:rsid w:val="00BD415B"/>
    <w:rsid w:val="00BD4350"/>
    <w:rsid w:val="00BD4582"/>
    <w:rsid w:val="00BD473C"/>
    <w:rsid w:val="00BD4828"/>
    <w:rsid w:val="00BD4AEA"/>
    <w:rsid w:val="00BD4F18"/>
    <w:rsid w:val="00BD50C3"/>
    <w:rsid w:val="00BD5109"/>
    <w:rsid w:val="00BD52F4"/>
    <w:rsid w:val="00BD5346"/>
    <w:rsid w:val="00BD584C"/>
    <w:rsid w:val="00BD5C89"/>
    <w:rsid w:val="00BD5E74"/>
    <w:rsid w:val="00BD5F71"/>
    <w:rsid w:val="00BD602B"/>
    <w:rsid w:val="00BD60F0"/>
    <w:rsid w:val="00BD6262"/>
    <w:rsid w:val="00BD66A9"/>
    <w:rsid w:val="00BD66CB"/>
    <w:rsid w:val="00BD66F5"/>
    <w:rsid w:val="00BD6779"/>
    <w:rsid w:val="00BD68E9"/>
    <w:rsid w:val="00BD69F1"/>
    <w:rsid w:val="00BD6A86"/>
    <w:rsid w:val="00BD6E52"/>
    <w:rsid w:val="00BD7297"/>
    <w:rsid w:val="00BD73F3"/>
    <w:rsid w:val="00BD74B8"/>
    <w:rsid w:val="00BD750E"/>
    <w:rsid w:val="00BD782F"/>
    <w:rsid w:val="00BD7A54"/>
    <w:rsid w:val="00BD7AA8"/>
    <w:rsid w:val="00BD7CF5"/>
    <w:rsid w:val="00BD7EC3"/>
    <w:rsid w:val="00BD7EED"/>
    <w:rsid w:val="00BE001A"/>
    <w:rsid w:val="00BE019E"/>
    <w:rsid w:val="00BE01F3"/>
    <w:rsid w:val="00BE033C"/>
    <w:rsid w:val="00BE03A6"/>
    <w:rsid w:val="00BE0411"/>
    <w:rsid w:val="00BE04AC"/>
    <w:rsid w:val="00BE061B"/>
    <w:rsid w:val="00BE066B"/>
    <w:rsid w:val="00BE0D57"/>
    <w:rsid w:val="00BE1315"/>
    <w:rsid w:val="00BE14BF"/>
    <w:rsid w:val="00BE157E"/>
    <w:rsid w:val="00BE19B2"/>
    <w:rsid w:val="00BE1BE1"/>
    <w:rsid w:val="00BE1D73"/>
    <w:rsid w:val="00BE1ECF"/>
    <w:rsid w:val="00BE1FA6"/>
    <w:rsid w:val="00BE287A"/>
    <w:rsid w:val="00BE2973"/>
    <w:rsid w:val="00BE2C1B"/>
    <w:rsid w:val="00BE2DE4"/>
    <w:rsid w:val="00BE2DE7"/>
    <w:rsid w:val="00BE2EC6"/>
    <w:rsid w:val="00BE2EF5"/>
    <w:rsid w:val="00BE2FE5"/>
    <w:rsid w:val="00BE2FE7"/>
    <w:rsid w:val="00BE31B5"/>
    <w:rsid w:val="00BE322C"/>
    <w:rsid w:val="00BE3357"/>
    <w:rsid w:val="00BE3456"/>
    <w:rsid w:val="00BE3544"/>
    <w:rsid w:val="00BE373D"/>
    <w:rsid w:val="00BE37CF"/>
    <w:rsid w:val="00BE3B0F"/>
    <w:rsid w:val="00BE42D7"/>
    <w:rsid w:val="00BE444B"/>
    <w:rsid w:val="00BE44D7"/>
    <w:rsid w:val="00BE4899"/>
    <w:rsid w:val="00BE49D4"/>
    <w:rsid w:val="00BE4BDE"/>
    <w:rsid w:val="00BE4C48"/>
    <w:rsid w:val="00BE4D94"/>
    <w:rsid w:val="00BE4EB1"/>
    <w:rsid w:val="00BE50DB"/>
    <w:rsid w:val="00BE50E0"/>
    <w:rsid w:val="00BE527A"/>
    <w:rsid w:val="00BE52DE"/>
    <w:rsid w:val="00BE54A3"/>
    <w:rsid w:val="00BE5530"/>
    <w:rsid w:val="00BE5B19"/>
    <w:rsid w:val="00BE5BA3"/>
    <w:rsid w:val="00BE5BC8"/>
    <w:rsid w:val="00BE5BFC"/>
    <w:rsid w:val="00BE611D"/>
    <w:rsid w:val="00BE6155"/>
    <w:rsid w:val="00BE61C1"/>
    <w:rsid w:val="00BE649C"/>
    <w:rsid w:val="00BE64AF"/>
    <w:rsid w:val="00BE65C0"/>
    <w:rsid w:val="00BE6632"/>
    <w:rsid w:val="00BE6717"/>
    <w:rsid w:val="00BE6776"/>
    <w:rsid w:val="00BE6D2D"/>
    <w:rsid w:val="00BE6ED6"/>
    <w:rsid w:val="00BE6FFA"/>
    <w:rsid w:val="00BE7219"/>
    <w:rsid w:val="00BE72AE"/>
    <w:rsid w:val="00BE7325"/>
    <w:rsid w:val="00BE76DB"/>
    <w:rsid w:val="00BE775C"/>
    <w:rsid w:val="00BE793A"/>
    <w:rsid w:val="00BE7958"/>
    <w:rsid w:val="00BE7992"/>
    <w:rsid w:val="00BE7A7D"/>
    <w:rsid w:val="00BE7FC7"/>
    <w:rsid w:val="00BF0381"/>
    <w:rsid w:val="00BF0400"/>
    <w:rsid w:val="00BF078E"/>
    <w:rsid w:val="00BF0850"/>
    <w:rsid w:val="00BF0856"/>
    <w:rsid w:val="00BF0B0F"/>
    <w:rsid w:val="00BF1127"/>
    <w:rsid w:val="00BF1438"/>
    <w:rsid w:val="00BF1593"/>
    <w:rsid w:val="00BF185E"/>
    <w:rsid w:val="00BF19B8"/>
    <w:rsid w:val="00BF1ADF"/>
    <w:rsid w:val="00BF1B2C"/>
    <w:rsid w:val="00BF1C6D"/>
    <w:rsid w:val="00BF1E1C"/>
    <w:rsid w:val="00BF1EB6"/>
    <w:rsid w:val="00BF1F4B"/>
    <w:rsid w:val="00BF20EF"/>
    <w:rsid w:val="00BF24C5"/>
    <w:rsid w:val="00BF252B"/>
    <w:rsid w:val="00BF2568"/>
    <w:rsid w:val="00BF25EA"/>
    <w:rsid w:val="00BF2742"/>
    <w:rsid w:val="00BF2D27"/>
    <w:rsid w:val="00BF2E2C"/>
    <w:rsid w:val="00BF2E8F"/>
    <w:rsid w:val="00BF30A7"/>
    <w:rsid w:val="00BF3242"/>
    <w:rsid w:val="00BF3280"/>
    <w:rsid w:val="00BF35E6"/>
    <w:rsid w:val="00BF36DF"/>
    <w:rsid w:val="00BF378D"/>
    <w:rsid w:val="00BF3895"/>
    <w:rsid w:val="00BF3A08"/>
    <w:rsid w:val="00BF3A21"/>
    <w:rsid w:val="00BF3C64"/>
    <w:rsid w:val="00BF3C6D"/>
    <w:rsid w:val="00BF3CAE"/>
    <w:rsid w:val="00BF3F6A"/>
    <w:rsid w:val="00BF446E"/>
    <w:rsid w:val="00BF4636"/>
    <w:rsid w:val="00BF4A01"/>
    <w:rsid w:val="00BF4CFE"/>
    <w:rsid w:val="00BF4D8C"/>
    <w:rsid w:val="00BF4E02"/>
    <w:rsid w:val="00BF4F27"/>
    <w:rsid w:val="00BF5082"/>
    <w:rsid w:val="00BF51E6"/>
    <w:rsid w:val="00BF5206"/>
    <w:rsid w:val="00BF5355"/>
    <w:rsid w:val="00BF53D5"/>
    <w:rsid w:val="00BF53F5"/>
    <w:rsid w:val="00BF5463"/>
    <w:rsid w:val="00BF55C7"/>
    <w:rsid w:val="00BF5864"/>
    <w:rsid w:val="00BF58BD"/>
    <w:rsid w:val="00BF5E4B"/>
    <w:rsid w:val="00BF61B8"/>
    <w:rsid w:val="00BF62AD"/>
    <w:rsid w:val="00BF63A4"/>
    <w:rsid w:val="00BF63B4"/>
    <w:rsid w:val="00BF6524"/>
    <w:rsid w:val="00BF65C9"/>
    <w:rsid w:val="00BF685C"/>
    <w:rsid w:val="00BF69CE"/>
    <w:rsid w:val="00BF6AC8"/>
    <w:rsid w:val="00BF6B98"/>
    <w:rsid w:val="00BF6BDA"/>
    <w:rsid w:val="00BF6BF6"/>
    <w:rsid w:val="00BF6E7B"/>
    <w:rsid w:val="00BF71C8"/>
    <w:rsid w:val="00BF7300"/>
    <w:rsid w:val="00BF75A5"/>
    <w:rsid w:val="00BF7B0C"/>
    <w:rsid w:val="00BF7C7A"/>
    <w:rsid w:val="00BF7CC9"/>
    <w:rsid w:val="00BF7D89"/>
    <w:rsid w:val="00BF7FAB"/>
    <w:rsid w:val="00BF7FEB"/>
    <w:rsid w:val="00C000AF"/>
    <w:rsid w:val="00C004E7"/>
    <w:rsid w:val="00C0073B"/>
    <w:rsid w:val="00C00788"/>
    <w:rsid w:val="00C00821"/>
    <w:rsid w:val="00C008F7"/>
    <w:rsid w:val="00C0098E"/>
    <w:rsid w:val="00C00A2B"/>
    <w:rsid w:val="00C00E82"/>
    <w:rsid w:val="00C00F4F"/>
    <w:rsid w:val="00C00FCE"/>
    <w:rsid w:val="00C01007"/>
    <w:rsid w:val="00C01021"/>
    <w:rsid w:val="00C012BC"/>
    <w:rsid w:val="00C012E2"/>
    <w:rsid w:val="00C01329"/>
    <w:rsid w:val="00C013E0"/>
    <w:rsid w:val="00C0141F"/>
    <w:rsid w:val="00C0158A"/>
    <w:rsid w:val="00C01A63"/>
    <w:rsid w:val="00C01AF9"/>
    <w:rsid w:val="00C01BC7"/>
    <w:rsid w:val="00C01F21"/>
    <w:rsid w:val="00C02169"/>
    <w:rsid w:val="00C025F1"/>
    <w:rsid w:val="00C02600"/>
    <w:rsid w:val="00C026EB"/>
    <w:rsid w:val="00C028D2"/>
    <w:rsid w:val="00C02A0A"/>
    <w:rsid w:val="00C02A53"/>
    <w:rsid w:val="00C03314"/>
    <w:rsid w:val="00C03374"/>
    <w:rsid w:val="00C034EF"/>
    <w:rsid w:val="00C03C9C"/>
    <w:rsid w:val="00C03EAC"/>
    <w:rsid w:val="00C03F57"/>
    <w:rsid w:val="00C04022"/>
    <w:rsid w:val="00C041CC"/>
    <w:rsid w:val="00C04472"/>
    <w:rsid w:val="00C048AF"/>
    <w:rsid w:val="00C0490D"/>
    <w:rsid w:val="00C04A9C"/>
    <w:rsid w:val="00C04AC9"/>
    <w:rsid w:val="00C04BFC"/>
    <w:rsid w:val="00C04D0F"/>
    <w:rsid w:val="00C04E5C"/>
    <w:rsid w:val="00C04F4E"/>
    <w:rsid w:val="00C0509F"/>
    <w:rsid w:val="00C05162"/>
    <w:rsid w:val="00C0520B"/>
    <w:rsid w:val="00C053C0"/>
    <w:rsid w:val="00C05448"/>
    <w:rsid w:val="00C057D7"/>
    <w:rsid w:val="00C05878"/>
    <w:rsid w:val="00C0588C"/>
    <w:rsid w:val="00C05953"/>
    <w:rsid w:val="00C05BCB"/>
    <w:rsid w:val="00C05D05"/>
    <w:rsid w:val="00C05D84"/>
    <w:rsid w:val="00C05E23"/>
    <w:rsid w:val="00C0623A"/>
    <w:rsid w:val="00C06431"/>
    <w:rsid w:val="00C066B1"/>
    <w:rsid w:val="00C067D5"/>
    <w:rsid w:val="00C0690C"/>
    <w:rsid w:val="00C06969"/>
    <w:rsid w:val="00C06A0E"/>
    <w:rsid w:val="00C06C30"/>
    <w:rsid w:val="00C06C59"/>
    <w:rsid w:val="00C07113"/>
    <w:rsid w:val="00C07202"/>
    <w:rsid w:val="00C072B2"/>
    <w:rsid w:val="00C072F7"/>
    <w:rsid w:val="00C074E6"/>
    <w:rsid w:val="00C07653"/>
    <w:rsid w:val="00C0766C"/>
    <w:rsid w:val="00C077E0"/>
    <w:rsid w:val="00C07AED"/>
    <w:rsid w:val="00C07D46"/>
    <w:rsid w:val="00C07DE6"/>
    <w:rsid w:val="00C07E04"/>
    <w:rsid w:val="00C10050"/>
    <w:rsid w:val="00C1041D"/>
    <w:rsid w:val="00C105AC"/>
    <w:rsid w:val="00C106BA"/>
    <w:rsid w:val="00C10795"/>
    <w:rsid w:val="00C1090E"/>
    <w:rsid w:val="00C10CBC"/>
    <w:rsid w:val="00C10D60"/>
    <w:rsid w:val="00C10D71"/>
    <w:rsid w:val="00C10DAE"/>
    <w:rsid w:val="00C10E98"/>
    <w:rsid w:val="00C10F2B"/>
    <w:rsid w:val="00C110AE"/>
    <w:rsid w:val="00C11155"/>
    <w:rsid w:val="00C111EB"/>
    <w:rsid w:val="00C112E9"/>
    <w:rsid w:val="00C1139C"/>
    <w:rsid w:val="00C1153E"/>
    <w:rsid w:val="00C1166C"/>
    <w:rsid w:val="00C117BC"/>
    <w:rsid w:val="00C118EE"/>
    <w:rsid w:val="00C12055"/>
    <w:rsid w:val="00C1220E"/>
    <w:rsid w:val="00C1237E"/>
    <w:rsid w:val="00C12615"/>
    <w:rsid w:val="00C12625"/>
    <w:rsid w:val="00C1277E"/>
    <w:rsid w:val="00C12791"/>
    <w:rsid w:val="00C12793"/>
    <w:rsid w:val="00C12814"/>
    <w:rsid w:val="00C1286C"/>
    <w:rsid w:val="00C128D9"/>
    <w:rsid w:val="00C12B6C"/>
    <w:rsid w:val="00C12E07"/>
    <w:rsid w:val="00C12EF6"/>
    <w:rsid w:val="00C13273"/>
    <w:rsid w:val="00C133F3"/>
    <w:rsid w:val="00C136F7"/>
    <w:rsid w:val="00C13A61"/>
    <w:rsid w:val="00C13AB2"/>
    <w:rsid w:val="00C13DBC"/>
    <w:rsid w:val="00C13F9A"/>
    <w:rsid w:val="00C142E4"/>
    <w:rsid w:val="00C144C2"/>
    <w:rsid w:val="00C14504"/>
    <w:rsid w:val="00C14890"/>
    <w:rsid w:val="00C14B41"/>
    <w:rsid w:val="00C14B7E"/>
    <w:rsid w:val="00C14D77"/>
    <w:rsid w:val="00C14DA3"/>
    <w:rsid w:val="00C14DA8"/>
    <w:rsid w:val="00C14DBC"/>
    <w:rsid w:val="00C15084"/>
    <w:rsid w:val="00C1512C"/>
    <w:rsid w:val="00C152F9"/>
    <w:rsid w:val="00C154B5"/>
    <w:rsid w:val="00C15679"/>
    <w:rsid w:val="00C1574B"/>
    <w:rsid w:val="00C15993"/>
    <w:rsid w:val="00C15C6C"/>
    <w:rsid w:val="00C15DA7"/>
    <w:rsid w:val="00C15F00"/>
    <w:rsid w:val="00C15F06"/>
    <w:rsid w:val="00C16579"/>
    <w:rsid w:val="00C16800"/>
    <w:rsid w:val="00C16A51"/>
    <w:rsid w:val="00C16AC5"/>
    <w:rsid w:val="00C16DFA"/>
    <w:rsid w:val="00C1706A"/>
    <w:rsid w:val="00C170EC"/>
    <w:rsid w:val="00C174D6"/>
    <w:rsid w:val="00C17699"/>
    <w:rsid w:val="00C17701"/>
    <w:rsid w:val="00C17872"/>
    <w:rsid w:val="00C17946"/>
    <w:rsid w:val="00C179A0"/>
    <w:rsid w:val="00C17A03"/>
    <w:rsid w:val="00C17ACD"/>
    <w:rsid w:val="00C17C0A"/>
    <w:rsid w:val="00C17D76"/>
    <w:rsid w:val="00C17E6A"/>
    <w:rsid w:val="00C20233"/>
    <w:rsid w:val="00C203D9"/>
    <w:rsid w:val="00C205E9"/>
    <w:rsid w:val="00C206DB"/>
    <w:rsid w:val="00C20827"/>
    <w:rsid w:val="00C2084B"/>
    <w:rsid w:val="00C209A4"/>
    <w:rsid w:val="00C210A8"/>
    <w:rsid w:val="00C210AF"/>
    <w:rsid w:val="00C21148"/>
    <w:rsid w:val="00C211F6"/>
    <w:rsid w:val="00C212FC"/>
    <w:rsid w:val="00C2141A"/>
    <w:rsid w:val="00C21709"/>
    <w:rsid w:val="00C21833"/>
    <w:rsid w:val="00C218C8"/>
    <w:rsid w:val="00C21ACC"/>
    <w:rsid w:val="00C21C5C"/>
    <w:rsid w:val="00C21C75"/>
    <w:rsid w:val="00C21D66"/>
    <w:rsid w:val="00C21E55"/>
    <w:rsid w:val="00C21EDB"/>
    <w:rsid w:val="00C21FC6"/>
    <w:rsid w:val="00C220C4"/>
    <w:rsid w:val="00C222AC"/>
    <w:rsid w:val="00C22545"/>
    <w:rsid w:val="00C2265C"/>
    <w:rsid w:val="00C22694"/>
    <w:rsid w:val="00C227CA"/>
    <w:rsid w:val="00C22B77"/>
    <w:rsid w:val="00C22D99"/>
    <w:rsid w:val="00C22E44"/>
    <w:rsid w:val="00C22F2F"/>
    <w:rsid w:val="00C2317D"/>
    <w:rsid w:val="00C232EC"/>
    <w:rsid w:val="00C23740"/>
    <w:rsid w:val="00C23742"/>
    <w:rsid w:val="00C23776"/>
    <w:rsid w:val="00C23C5D"/>
    <w:rsid w:val="00C23DE8"/>
    <w:rsid w:val="00C23F0F"/>
    <w:rsid w:val="00C23F48"/>
    <w:rsid w:val="00C23F57"/>
    <w:rsid w:val="00C2401A"/>
    <w:rsid w:val="00C242E1"/>
    <w:rsid w:val="00C24303"/>
    <w:rsid w:val="00C243A1"/>
    <w:rsid w:val="00C2440B"/>
    <w:rsid w:val="00C246E8"/>
    <w:rsid w:val="00C2476C"/>
    <w:rsid w:val="00C24CE4"/>
    <w:rsid w:val="00C24F41"/>
    <w:rsid w:val="00C25032"/>
    <w:rsid w:val="00C2558B"/>
    <w:rsid w:val="00C2563C"/>
    <w:rsid w:val="00C256A2"/>
    <w:rsid w:val="00C2578C"/>
    <w:rsid w:val="00C25832"/>
    <w:rsid w:val="00C2597D"/>
    <w:rsid w:val="00C259BC"/>
    <w:rsid w:val="00C25E4D"/>
    <w:rsid w:val="00C2609B"/>
    <w:rsid w:val="00C26168"/>
    <w:rsid w:val="00C262BD"/>
    <w:rsid w:val="00C262C0"/>
    <w:rsid w:val="00C26528"/>
    <w:rsid w:val="00C26576"/>
    <w:rsid w:val="00C2664A"/>
    <w:rsid w:val="00C26836"/>
    <w:rsid w:val="00C2693D"/>
    <w:rsid w:val="00C2695C"/>
    <w:rsid w:val="00C26AC6"/>
    <w:rsid w:val="00C26B4C"/>
    <w:rsid w:val="00C26BBE"/>
    <w:rsid w:val="00C26C8C"/>
    <w:rsid w:val="00C26E2B"/>
    <w:rsid w:val="00C271D6"/>
    <w:rsid w:val="00C2721E"/>
    <w:rsid w:val="00C2777E"/>
    <w:rsid w:val="00C277B3"/>
    <w:rsid w:val="00C277C6"/>
    <w:rsid w:val="00C2780B"/>
    <w:rsid w:val="00C2793D"/>
    <w:rsid w:val="00C27C06"/>
    <w:rsid w:val="00C27D2E"/>
    <w:rsid w:val="00C27EAF"/>
    <w:rsid w:val="00C3010A"/>
    <w:rsid w:val="00C304EA"/>
    <w:rsid w:val="00C306CD"/>
    <w:rsid w:val="00C3071D"/>
    <w:rsid w:val="00C307B9"/>
    <w:rsid w:val="00C30AA4"/>
    <w:rsid w:val="00C30B29"/>
    <w:rsid w:val="00C30C3D"/>
    <w:rsid w:val="00C30C71"/>
    <w:rsid w:val="00C30DFE"/>
    <w:rsid w:val="00C30E04"/>
    <w:rsid w:val="00C3106A"/>
    <w:rsid w:val="00C310C2"/>
    <w:rsid w:val="00C313A2"/>
    <w:rsid w:val="00C314A7"/>
    <w:rsid w:val="00C3163B"/>
    <w:rsid w:val="00C3181E"/>
    <w:rsid w:val="00C31EE2"/>
    <w:rsid w:val="00C31F8A"/>
    <w:rsid w:val="00C323FC"/>
    <w:rsid w:val="00C324E6"/>
    <w:rsid w:val="00C324FE"/>
    <w:rsid w:val="00C325DF"/>
    <w:rsid w:val="00C32615"/>
    <w:rsid w:val="00C3264D"/>
    <w:rsid w:val="00C327B9"/>
    <w:rsid w:val="00C327F0"/>
    <w:rsid w:val="00C32855"/>
    <w:rsid w:val="00C329AD"/>
    <w:rsid w:val="00C32B39"/>
    <w:rsid w:val="00C32B48"/>
    <w:rsid w:val="00C32B9C"/>
    <w:rsid w:val="00C32BFE"/>
    <w:rsid w:val="00C32CC4"/>
    <w:rsid w:val="00C32E8F"/>
    <w:rsid w:val="00C3302F"/>
    <w:rsid w:val="00C3308F"/>
    <w:rsid w:val="00C33285"/>
    <w:rsid w:val="00C3328C"/>
    <w:rsid w:val="00C336B2"/>
    <w:rsid w:val="00C336CE"/>
    <w:rsid w:val="00C336FA"/>
    <w:rsid w:val="00C33801"/>
    <w:rsid w:val="00C33AEC"/>
    <w:rsid w:val="00C33C73"/>
    <w:rsid w:val="00C33CD5"/>
    <w:rsid w:val="00C33D1C"/>
    <w:rsid w:val="00C33FAA"/>
    <w:rsid w:val="00C342CE"/>
    <w:rsid w:val="00C34383"/>
    <w:rsid w:val="00C343EA"/>
    <w:rsid w:val="00C344F5"/>
    <w:rsid w:val="00C345CA"/>
    <w:rsid w:val="00C346A2"/>
    <w:rsid w:val="00C346A6"/>
    <w:rsid w:val="00C34A28"/>
    <w:rsid w:val="00C34A6A"/>
    <w:rsid w:val="00C34AC0"/>
    <w:rsid w:val="00C34EF0"/>
    <w:rsid w:val="00C350CA"/>
    <w:rsid w:val="00C3516F"/>
    <w:rsid w:val="00C354FF"/>
    <w:rsid w:val="00C356F6"/>
    <w:rsid w:val="00C3575C"/>
    <w:rsid w:val="00C358DA"/>
    <w:rsid w:val="00C35A08"/>
    <w:rsid w:val="00C35A92"/>
    <w:rsid w:val="00C35B99"/>
    <w:rsid w:val="00C35DB0"/>
    <w:rsid w:val="00C3603A"/>
    <w:rsid w:val="00C36079"/>
    <w:rsid w:val="00C360DF"/>
    <w:rsid w:val="00C361C1"/>
    <w:rsid w:val="00C362DC"/>
    <w:rsid w:val="00C36525"/>
    <w:rsid w:val="00C3660E"/>
    <w:rsid w:val="00C366AD"/>
    <w:rsid w:val="00C366C4"/>
    <w:rsid w:val="00C368E0"/>
    <w:rsid w:val="00C36C1A"/>
    <w:rsid w:val="00C36C5D"/>
    <w:rsid w:val="00C36DC1"/>
    <w:rsid w:val="00C36F67"/>
    <w:rsid w:val="00C36FDC"/>
    <w:rsid w:val="00C37085"/>
    <w:rsid w:val="00C37441"/>
    <w:rsid w:val="00C376B5"/>
    <w:rsid w:val="00C379F8"/>
    <w:rsid w:val="00C37ABC"/>
    <w:rsid w:val="00C37DA1"/>
    <w:rsid w:val="00C40036"/>
    <w:rsid w:val="00C406C9"/>
    <w:rsid w:val="00C4076B"/>
    <w:rsid w:val="00C408A4"/>
    <w:rsid w:val="00C409DD"/>
    <w:rsid w:val="00C40D2F"/>
    <w:rsid w:val="00C40EB3"/>
    <w:rsid w:val="00C40FD6"/>
    <w:rsid w:val="00C41143"/>
    <w:rsid w:val="00C414E0"/>
    <w:rsid w:val="00C416A2"/>
    <w:rsid w:val="00C41790"/>
    <w:rsid w:val="00C41934"/>
    <w:rsid w:val="00C41B83"/>
    <w:rsid w:val="00C41BD9"/>
    <w:rsid w:val="00C41C75"/>
    <w:rsid w:val="00C41C91"/>
    <w:rsid w:val="00C41CC5"/>
    <w:rsid w:val="00C41E91"/>
    <w:rsid w:val="00C42173"/>
    <w:rsid w:val="00C42237"/>
    <w:rsid w:val="00C422F7"/>
    <w:rsid w:val="00C4236E"/>
    <w:rsid w:val="00C424DB"/>
    <w:rsid w:val="00C42864"/>
    <w:rsid w:val="00C42A73"/>
    <w:rsid w:val="00C42D3D"/>
    <w:rsid w:val="00C42D4F"/>
    <w:rsid w:val="00C42E6C"/>
    <w:rsid w:val="00C42FD7"/>
    <w:rsid w:val="00C43133"/>
    <w:rsid w:val="00C43151"/>
    <w:rsid w:val="00C4320D"/>
    <w:rsid w:val="00C434FD"/>
    <w:rsid w:val="00C4350E"/>
    <w:rsid w:val="00C4367B"/>
    <w:rsid w:val="00C439B9"/>
    <w:rsid w:val="00C43A31"/>
    <w:rsid w:val="00C43EE0"/>
    <w:rsid w:val="00C447A6"/>
    <w:rsid w:val="00C44956"/>
    <w:rsid w:val="00C449FF"/>
    <w:rsid w:val="00C44B53"/>
    <w:rsid w:val="00C44E00"/>
    <w:rsid w:val="00C44EE6"/>
    <w:rsid w:val="00C44F9A"/>
    <w:rsid w:val="00C44F9E"/>
    <w:rsid w:val="00C44FCC"/>
    <w:rsid w:val="00C45023"/>
    <w:rsid w:val="00C4510D"/>
    <w:rsid w:val="00C452FF"/>
    <w:rsid w:val="00C453AF"/>
    <w:rsid w:val="00C4556A"/>
    <w:rsid w:val="00C456F9"/>
    <w:rsid w:val="00C45778"/>
    <w:rsid w:val="00C4581E"/>
    <w:rsid w:val="00C45832"/>
    <w:rsid w:val="00C45B46"/>
    <w:rsid w:val="00C45B4D"/>
    <w:rsid w:val="00C460BC"/>
    <w:rsid w:val="00C46198"/>
    <w:rsid w:val="00C4661C"/>
    <w:rsid w:val="00C467B2"/>
    <w:rsid w:val="00C46AFC"/>
    <w:rsid w:val="00C46DC1"/>
    <w:rsid w:val="00C46E1E"/>
    <w:rsid w:val="00C46E43"/>
    <w:rsid w:val="00C46E65"/>
    <w:rsid w:val="00C46E9C"/>
    <w:rsid w:val="00C473AF"/>
    <w:rsid w:val="00C4772B"/>
    <w:rsid w:val="00C47AC7"/>
    <w:rsid w:val="00C47BFC"/>
    <w:rsid w:val="00C47C44"/>
    <w:rsid w:val="00C5001E"/>
    <w:rsid w:val="00C50067"/>
    <w:rsid w:val="00C501A1"/>
    <w:rsid w:val="00C50232"/>
    <w:rsid w:val="00C5028F"/>
    <w:rsid w:val="00C50547"/>
    <w:rsid w:val="00C50A9D"/>
    <w:rsid w:val="00C50B14"/>
    <w:rsid w:val="00C50B43"/>
    <w:rsid w:val="00C50B4E"/>
    <w:rsid w:val="00C50C7D"/>
    <w:rsid w:val="00C50CF2"/>
    <w:rsid w:val="00C50E1B"/>
    <w:rsid w:val="00C50FA9"/>
    <w:rsid w:val="00C50FEA"/>
    <w:rsid w:val="00C51055"/>
    <w:rsid w:val="00C51069"/>
    <w:rsid w:val="00C5106F"/>
    <w:rsid w:val="00C5113A"/>
    <w:rsid w:val="00C51147"/>
    <w:rsid w:val="00C51672"/>
    <w:rsid w:val="00C51811"/>
    <w:rsid w:val="00C5192E"/>
    <w:rsid w:val="00C51C9B"/>
    <w:rsid w:val="00C51D03"/>
    <w:rsid w:val="00C52146"/>
    <w:rsid w:val="00C5220C"/>
    <w:rsid w:val="00C5259F"/>
    <w:rsid w:val="00C52829"/>
    <w:rsid w:val="00C52B79"/>
    <w:rsid w:val="00C52C4B"/>
    <w:rsid w:val="00C52DE6"/>
    <w:rsid w:val="00C531B0"/>
    <w:rsid w:val="00C53260"/>
    <w:rsid w:val="00C532FB"/>
    <w:rsid w:val="00C5363E"/>
    <w:rsid w:val="00C53706"/>
    <w:rsid w:val="00C537B1"/>
    <w:rsid w:val="00C538F7"/>
    <w:rsid w:val="00C53B66"/>
    <w:rsid w:val="00C53C7E"/>
    <w:rsid w:val="00C53E88"/>
    <w:rsid w:val="00C5425E"/>
    <w:rsid w:val="00C54279"/>
    <w:rsid w:val="00C54424"/>
    <w:rsid w:val="00C54555"/>
    <w:rsid w:val="00C5472C"/>
    <w:rsid w:val="00C547B3"/>
    <w:rsid w:val="00C54C70"/>
    <w:rsid w:val="00C54E37"/>
    <w:rsid w:val="00C54F0E"/>
    <w:rsid w:val="00C55060"/>
    <w:rsid w:val="00C55199"/>
    <w:rsid w:val="00C5523F"/>
    <w:rsid w:val="00C5543F"/>
    <w:rsid w:val="00C5555C"/>
    <w:rsid w:val="00C55599"/>
    <w:rsid w:val="00C5580E"/>
    <w:rsid w:val="00C55B6E"/>
    <w:rsid w:val="00C55BC4"/>
    <w:rsid w:val="00C55BF7"/>
    <w:rsid w:val="00C55DD7"/>
    <w:rsid w:val="00C5604C"/>
    <w:rsid w:val="00C56308"/>
    <w:rsid w:val="00C564C0"/>
    <w:rsid w:val="00C5652D"/>
    <w:rsid w:val="00C5656B"/>
    <w:rsid w:val="00C5657F"/>
    <w:rsid w:val="00C5662C"/>
    <w:rsid w:val="00C56864"/>
    <w:rsid w:val="00C56B10"/>
    <w:rsid w:val="00C56EA3"/>
    <w:rsid w:val="00C570CC"/>
    <w:rsid w:val="00C57127"/>
    <w:rsid w:val="00C571CA"/>
    <w:rsid w:val="00C57238"/>
    <w:rsid w:val="00C57485"/>
    <w:rsid w:val="00C57AD8"/>
    <w:rsid w:val="00C6013F"/>
    <w:rsid w:val="00C6016B"/>
    <w:rsid w:val="00C6051B"/>
    <w:rsid w:val="00C607F7"/>
    <w:rsid w:val="00C60803"/>
    <w:rsid w:val="00C60870"/>
    <w:rsid w:val="00C60949"/>
    <w:rsid w:val="00C60B6C"/>
    <w:rsid w:val="00C60C82"/>
    <w:rsid w:val="00C60CBB"/>
    <w:rsid w:val="00C6115C"/>
    <w:rsid w:val="00C6127C"/>
    <w:rsid w:val="00C612D4"/>
    <w:rsid w:val="00C61616"/>
    <w:rsid w:val="00C619CB"/>
    <w:rsid w:val="00C620B6"/>
    <w:rsid w:val="00C62117"/>
    <w:rsid w:val="00C6232A"/>
    <w:rsid w:val="00C624D7"/>
    <w:rsid w:val="00C627AD"/>
    <w:rsid w:val="00C62A24"/>
    <w:rsid w:val="00C62EAE"/>
    <w:rsid w:val="00C63221"/>
    <w:rsid w:val="00C634A7"/>
    <w:rsid w:val="00C635C1"/>
    <w:rsid w:val="00C63869"/>
    <w:rsid w:val="00C638D7"/>
    <w:rsid w:val="00C638DF"/>
    <w:rsid w:val="00C63A0D"/>
    <w:rsid w:val="00C63F66"/>
    <w:rsid w:val="00C64628"/>
    <w:rsid w:val="00C646D3"/>
    <w:rsid w:val="00C64720"/>
    <w:rsid w:val="00C647D6"/>
    <w:rsid w:val="00C6483A"/>
    <w:rsid w:val="00C64BDE"/>
    <w:rsid w:val="00C64DB7"/>
    <w:rsid w:val="00C64E3D"/>
    <w:rsid w:val="00C64EF6"/>
    <w:rsid w:val="00C64F0C"/>
    <w:rsid w:val="00C6517F"/>
    <w:rsid w:val="00C65308"/>
    <w:rsid w:val="00C65756"/>
    <w:rsid w:val="00C657B6"/>
    <w:rsid w:val="00C65983"/>
    <w:rsid w:val="00C65B9F"/>
    <w:rsid w:val="00C65C20"/>
    <w:rsid w:val="00C661BC"/>
    <w:rsid w:val="00C66614"/>
    <w:rsid w:val="00C6662F"/>
    <w:rsid w:val="00C66691"/>
    <w:rsid w:val="00C666AE"/>
    <w:rsid w:val="00C66711"/>
    <w:rsid w:val="00C667B1"/>
    <w:rsid w:val="00C667CE"/>
    <w:rsid w:val="00C6690B"/>
    <w:rsid w:val="00C66A50"/>
    <w:rsid w:val="00C66DC5"/>
    <w:rsid w:val="00C66F25"/>
    <w:rsid w:val="00C67185"/>
    <w:rsid w:val="00C674F0"/>
    <w:rsid w:val="00C678DB"/>
    <w:rsid w:val="00C67BA6"/>
    <w:rsid w:val="00C67BB3"/>
    <w:rsid w:val="00C67C36"/>
    <w:rsid w:val="00C67FEC"/>
    <w:rsid w:val="00C70089"/>
    <w:rsid w:val="00C7013D"/>
    <w:rsid w:val="00C7037C"/>
    <w:rsid w:val="00C70596"/>
    <w:rsid w:val="00C708B7"/>
    <w:rsid w:val="00C70970"/>
    <w:rsid w:val="00C70DA3"/>
    <w:rsid w:val="00C70ED1"/>
    <w:rsid w:val="00C70F3B"/>
    <w:rsid w:val="00C7102B"/>
    <w:rsid w:val="00C710AC"/>
    <w:rsid w:val="00C712DB"/>
    <w:rsid w:val="00C716A1"/>
    <w:rsid w:val="00C7184F"/>
    <w:rsid w:val="00C71920"/>
    <w:rsid w:val="00C71993"/>
    <w:rsid w:val="00C71C54"/>
    <w:rsid w:val="00C71CAF"/>
    <w:rsid w:val="00C71D31"/>
    <w:rsid w:val="00C71D53"/>
    <w:rsid w:val="00C71DD5"/>
    <w:rsid w:val="00C71F0F"/>
    <w:rsid w:val="00C72066"/>
    <w:rsid w:val="00C723F1"/>
    <w:rsid w:val="00C7259C"/>
    <w:rsid w:val="00C728AF"/>
    <w:rsid w:val="00C72A63"/>
    <w:rsid w:val="00C72A7F"/>
    <w:rsid w:val="00C72B18"/>
    <w:rsid w:val="00C72E69"/>
    <w:rsid w:val="00C72EEE"/>
    <w:rsid w:val="00C730FA"/>
    <w:rsid w:val="00C73287"/>
    <w:rsid w:val="00C7343D"/>
    <w:rsid w:val="00C7375C"/>
    <w:rsid w:val="00C7388C"/>
    <w:rsid w:val="00C739CF"/>
    <w:rsid w:val="00C73A21"/>
    <w:rsid w:val="00C73A97"/>
    <w:rsid w:val="00C73C02"/>
    <w:rsid w:val="00C73DB9"/>
    <w:rsid w:val="00C73E17"/>
    <w:rsid w:val="00C73E4C"/>
    <w:rsid w:val="00C73ECB"/>
    <w:rsid w:val="00C74006"/>
    <w:rsid w:val="00C7405C"/>
    <w:rsid w:val="00C740CA"/>
    <w:rsid w:val="00C74129"/>
    <w:rsid w:val="00C7423A"/>
    <w:rsid w:val="00C742CE"/>
    <w:rsid w:val="00C74347"/>
    <w:rsid w:val="00C743AF"/>
    <w:rsid w:val="00C743B8"/>
    <w:rsid w:val="00C7455B"/>
    <w:rsid w:val="00C74598"/>
    <w:rsid w:val="00C7463F"/>
    <w:rsid w:val="00C7464A"/>
    <w:rsid w:val="00C74856"/>
    <w:rsid w:val="00C74933"/>
    <w:rsid w:val="00C749FD"/>
    <w:rsid w:val="00C74C29"/>
    <w:rsid w:val="00C74D32"/>
    <w:rsid w:val="00C74E4D"/>
    <w:rsid w:val="00C750CA"/>
    <w:rsid w:val="00C75183"/>
    <w:rsid w:val="00C753C9"/>
    <w:rsid w:val="00C75497"/>
    <w:rsid w:val="00C7554A"/>
    <w:rsid w:val="00C75803"/>
    <w:rsid w:val="00C75C22"/>
    <w:rsid w:val="00C75C96"/>
    <w:rsid w:val="00C75D88"/>
    <w:rsid w:val="00C760A9"/>
    <w:rsid w:val="00C763C0"/>
    <w:rsid w:val="00C765CD"/>
    <w:rsid w:val="00C7666B"/>
    <w:rsid w:val="00C768B9"/>
    <w:rsid w:val="00C76A7C"/>
    <w:rsid w:val="00C76A80"/>
    <w:rsid w:val="00C76B1B"/>
    <w:rsid w:val="00C76B9F"/>
    <w:rsid w:val="00C76D01"/>
    <w:rsid w:val="00C76EFB"/>
    <w:rsid w:val="00C77030"/>
    <w:rsid w:val="00C772EC"/>
    <w:rsid w:val="00C774AD"/>
    <w:rsid w:val="00C77A70"/>
    <w:rsid w:val="00C77DC2"/>
    <w:rsid w:val="00C77DFE"/>
    <w:rsid w:val="00C77E59"/>
    <w:rsid w:val="00C80104"/>
    <w:rsid w:val="00C80217"/>
    <w:rsid w:val="00C803B4"/>
    <w:rsid w:val="00C805E8"/>
    <w:rsid w:val="00C806A2"/>
    <w:rsid w:val="00C807D4"/>
    <w:rsid w:val="00C808CC"/>
    <w:rsid w:val="00C808EF"/>
    <w:rsid w:val="00C809AF"/>
    <w:rsid w:val="00C80AE4"/>
    <w:rsid w:val="00C80AF7"/>
    <w:rsid w:val="00C80B15"/>
    <w:rsid w:val="00C80B38"/>
    <w:rsid w:val="00C80BF3"/>
    <w:rsid w:val="00C80CC6"/>
    <w:rsid w:val="00C80D42"/>
    <w:rsid w:val="00C80EB3"/>
    <w:rsid w:val="00C81228"/>
    <w:rsid w:val="00C81275"/>
    <w:rsid w:val="00C812A4"/>
    <w:rsid w:val="00C8148D"/>
    <w:rsid w:val="00C81768"/>
    <w:rsid w:val="00C81A0B"/>
    <w:rsid w:val="00C820F3"/>
    <w:rsid w:val="00C82493"/>
    <w:rsid w:val="00C827A2"/>
    <w:rsid w:val="00C82A0C"/>
    <w:rsid w:val="00C82BD3"/>
    <w:rsid w:val="00C82C6E"/>
    <w:rsid w:val="00C82D57"/>
    <w:rsid w:val="00C82E15"/>
    <w:rsid w:val="00C830AE"/>
    <w:rsid w:val="00C831E0"/>
    <w:rsid w:val="00C831E4"/>
    <w:rsid w:val="00C83219"/>
    <w:rsid w:val="00C83242"/>
    <w:rsid w:val="00C83656"/>
    <w:rsid w:val="00C83A0F"/>
    <w:rsid w:val="00C83C21"/>
    <w:rsid w:val="00C844FD"/>
    <w:rsid w:val="00C84686"/>
    <w:rsid w:val="00C846A5"/>
    <w:rsid w:val="00C8474A"/>
    <w:rsid w:val="00C847F9"/>
    <w:rsid w:val="00C8480F"/>
    <w:rsid w:val="00C84A7B"/>
    <w:rsid w:val="00C84AE5"/>
    <w:rsid w:val="00C850F8"/>
    <w:rsid w:val="00C85470"/>
    <w:rsid w:val="00C8577F"/>
    <w:rsid w:val="00C857F1"/>
    <w:rsid w:val="00C85827"/>
    <w:rsid w:val="00C85C17"/>
    <w:rsid w:val="00C85CC5"/>
    <w:rsid w:val="00C85FCF"/>
    <w:rsid w:val="00C8638E"/>
    <w:rsid w:val="00C867A8"/>
    <w:rsid w:val="00C86813"/>
    <w:rsid w:val="00C868DC"/>
    <w:rsid w:val="00C869C0"/>
    <w:rsid w:val="00C871C4"/>
    <w:rsid w:val="00C8730F"/>
    <w:rsid w:val="00C87731"/>
    <w:rsid w:val="00C87902"/>
    <w:rsid w:val="00C87946"/>
    <w:rsid w:val="00C87A18"/>
    <w:rsid w:val="00C87AA3"/>
    <w:rsid w:val="00C87C5B"/>
    <w:rsid w:val="00C87CA5"/>
    <w:rsid w:val="00C87CCD"/>
    <w:rsid w:val="00C87CE1"/>
    <w:rsid w:val="00C90118"/>
    <w:rsid w:val="00C902C9"/>
    <w:rsid w:val="00C90629"/>
    <w:rsid w:val="00C90884"/>
    <w:rsid w:val="00C90951"/>
    <w:rsid w:val="00C90BA1"/>
    <w:rsid w:val="00C90ECA"/>
    <w:rsid w:val="00C911C2"/>
    <w:rsid w:val="00C91554"/>
    <w:rsid w:val="00C919B4"/>
    <w:rsid w:val="00C91A40"/>
    <w:rsid w:val="00C91AF1"/>
    <w:rsid w:val="00C91AFF"/>
    <w:rsid w:val="00C91B70"/>
    <w:rsid w:val="00C920FD"/>
    <w:rsid w:val="00C921CF"/>
    <w:rsid w:val="00C92222"/>
    <w:rsid w:val="00C922A7"/>
    <w:rsid w:val="00C92429"/>
    <w:rsid w:val="00C92573"/>
    <w:rsid w:val="00C927B2"/>
    <w:rsid w:val="00C92911"/>
    <w:rsid w:val="00C929F1"/>
    <w:rsid w:val="00C92A37"/>
    <w:rsid w:val="00C92EC9"/>
    <w:rsid w:val="00C92F2A"/>
    <w:rsid w:val="00C933B5"/>
    <w:rsid w:val="00C933DC"/>
    <w:rsid w:val="00C936DF"/>
    <w:rsid w:val="00C937CC"/>
    <w:rsid w:val="00C937DC"/>
    <w:rsid w:val="00C93870"/>
    <w:rsid w:val="00C93B6E"/>
    <w:rsid w:val="00C93C3C"/>
    <w:rsid w:val="00C94026"/>
    <w:rsid w:val="00C941FF"/>
    <w:rsid w:val="00C943C1"/>
    <w:rsid w:val="00C9475D"/>
    <w:rsid w:val="00C9479F"/>
    <w:rsid w:val="00C94820"/>
    <w:rsid w:val="00C94AF8"/>
    <w:rsid w:val="00C94B57"/>
    <w:rsid w:val="00C9518B"/>
    <w:rsid w:val="00C951D2"/>
    <w:rsid w:val="00C95222"/>
    <w:rsid w:val="00C95322"/>
    <w:rsid w:val="00C954F1"/>
    <w:rsid w:val="00C9572B"/>
    <w:rsid w:val="00C957B5"/>
    <w:rsid w:val="00C95937"/>
    <w:rsid w:val="00C9595B"/>
    <w:rsid w:val="00C95A28"/>
    <w:rsid w:val="00C95D77"/>
    <w:rsid w:val="00C95DB0"/>
    <w:rsid w:val="00C95E8E"/>
    <w:rsid w:val="00C96000"/>
    <w:rsid w:val="00C96156"/>
    <w:rsid w:val="00C96606"/>
    <w:rsid w:val="00C967BE"/>
    <w:rsid w:val="00C96ABB"/>
    <w:rsid w:val="00C96F43"/>
    <w:rsid w:val="00C96F8C"/>
    <w:rsid w:val="00C970DE"/>
    <w:rsid w:val="00C9715C"/>
    <w:rsid w:val="00C97301"/>
    <w:rsid w:val="00C973A5"/>
    <w:rsid w:val="00C973ED"/>
    <w:rsid w:val="00C97457"/>
    <w:rsid w:val="00C974D2"/>
    <w:rsid w:val="00C97722"/>
    <w:rsid w:val="00C97808"/>
    <w:rsid w:val="00C97B4F"/>
    <w:rsid w:val="00C97F9A"/>
    <w:rsid w:val="00CA02A4"/>
    <w:rsid w:val="00CA035C"/>
    <w:rsid w:val="00CA0457"/>
    <w:rsid w:val="00CA048C"/>
    <w:rsid w:val="00CA0954"/>
    <w:rsid w:val="00CA097D"/>
    <w:rsid w:val="00CA09A1"/>
    <w:rsid w:val="00CA0B77"/>
    <w:rsid w:val="00CA0C26"/>
    <w:rsid w:val="00CA0CA0"/>
    <w:rsid w:val="00CA0E8D"/>
    <w:rsid w:val="00CA0F81"/>
    <w:rsid w:val="00CA0FDD"/>
    <w:rsid w:val="00CA1130"/>
    <w:rsid w:val="00CA12B8"/>
    <w:rsid w:val="00CA1344"/>
    <w:rsid w:val="00CA14C6"/>
    <w:rsid w:val="00CA174C"/>
    <w:rsid w:val="00CA1952"/>
    <w:rsid w:val="00CA1B39"/>
    <w:rsid w:val="00CA1BD7"/>
    <w:rsid w:val="00CA1F34"/>
    <w:rsid w:val="00CA1FE3"/>
    <w:rsid w:val="00CA22F7"/>
    <w:rsid w:val="00CA26CF"/>
    <w:rsid w:val="00CA2748"/>
    <w:rsid w:val="00CA2851"/>
    <w:rsid w:val="00CA28A9"/>
    <w:rsid w:val="00CA2B0F"/>
    <w:rsid w:val="00CA2BF8"/>
    <w:rsid w:val="00CA2F3D"/>
    <w:rsid w:val="00CA3099"/>
    <w:rsid w:val="00CA3177"/>
    <w:rsid w:val="00CA332D"/>
    <w:rsid w:val="00CA353E"/>
    <w:rsid w:val="00CA35C0"/>
    <w:rsid w:val="00CA36C2"/>
    <w:rsid w:val="00CA37CE"/>
    <w:rsid w:val="00CA393B"/>
    <w:rsid w:val="00CA3B51"/>
    <w:rsid w:val="00CA4092"/>
    <w:rsid w:val="00CA415F"/>
    <w:rsid w:val="00CA45D5"/>
    <w:rsid w:val="00CA4639"/>
    <w:rsid w:val="00CA47C0"/>
    <w:rsid w:val="00CA49BC"/>
    <w:rsid w:val="00CA4A9D"/>
    <w:rsid w:val="00CA4AD2"/>
    <w:rsid w:val="00CA4ADC"/>
    <w:rsid w:val="00CA4B62"/>
    <w:rsid w:val="00CA4F49"/>
    <w:rsid w:val="00CA4FC0"/>
    <w:rsid w:val="00CA5213"/>
    <w:rsid w:val="00CA529D"/>
    <w:rsid w:val="00CA52F0"/>
    <w:rsid w:val="00CA5438"/>
    <w:rsid w:val="00CA57F5"/>
    <w:rsid w:val="00CA5850"/>
    <w:rsid w:val="00CA5EA7"/>
    <w:rsid w:val="00CA5FAA"/>
    <w:rsid w:val="00CA5FDA"/>
    <w:rsid w:val="00CA6077"/>
    <w:rsid w:val="00CA618F"/>
    <w:rsid w:val="00CA6416"/>
    <w:rsid w:val="00CA64E4"/>
    <w:rsid w:val="00CA68D5"/>
    <w:rsid w:val="00CA6B4E"/>
    <w:rsid w:val="00CA6B73"/>
    <w:rsid w:val="00CA6C1E"/>
    <w:rsid w:val="00CA6D37"/>
    <w:rsid w:val="00CA6F9D"/>
    <w:rsid w:val="00CA6FCD"/>
    <w:rsid w:val="00CA74D3"/>
    <w:rsid w:val="00CA77DA"/>
    <w:rsid w:val="00CA7FC3"/>
    <w:rsid w:val="00CB026C"/>
    <w:rsid w:val="00CB03D3"/>
    <w:rsid w:val="00CB042A"/>
    <w:rsid w:val="00CB0460"/>
    <w:rsid w:val="00CB05E7"/>
    <w:rsid w:val="00CB0699"/>
    <w:rsid w:val="00CB075D"/>
    <w:rsid w:val="00CB07A0"/>
    <w:rsid w:val="00CB0BD0"/>
    <w:rsid w:val="00CB0E36"/>
    <w:rsid w:val="00CB1052"/>
    <w:rsid w:val="00CB1158"/>
    <w:rsid w:val="00CB121D"/>
    <w:rsid w:val="00CB12C3"/>
    <w:rsid w:val="00CB131A"/>
    <w:rsid w:val="00CB13B4"/>
    <w:rsid w:val="00CB15B7"/>
    <w:rsid w:val="00CB1696"/>
    <w:rsid w:val="00CB1A28"/>
    <w:rsid w:val="00CB1AA1"/>
    <w:rsid w:val="00CB1AC1"/>
    <w:rsid w:val="00CB1C81"/>
    <w:rsid w:val="00CB1F48"/>
    <w:rsid w:val="00CB1F67"/>
    <w:rsid w:val="00CB1FCD"/>
    <w:rsid w:val="00CB20FE"/>
    <w:rsid w:val="00CB2527"/>
    <w:rsid w:val="00CB278C"/>
    <w:rsid w:val="00CB2862"/>
    <w:rsid w:val="00CB2BD9"/>
    <w:rsid w:val="00CB2C14"/>
    <w:rsid w:val="00CB2D0F"/>
    <w:rsid w:val="00CB2FA7"/>
    <w:rsid w:val="00CB30F2"/>
    <w:rsid w:val="00CB312F"/>
    <w:rsid w:val="00CB348D"/>
    <w:rsid w:val="00CB34E1"/>
    <w:rsid w:val="00CB363F"/>
    <w:rsid w:val="00CB3746"/>
    <w:rsid w:val="00CB3A4E"/>
    <w:rsid w:val="00CB3B2F"/>
    <w:rsid w:val="00CB3BCC"/>
    <w:rsid w:val="00CB3C1D"/>
    <w:rsid w:val="00CB45B0"/>
    <w:rsid w:val="00CB4F3F"/>
    <w:rsid w:val="00CB4F84"/>
    <w:rsid w:val="00CB5237"/>
    <w:rsid w:val="00CB548A"/>
    <w:rsid w:val="00CB5952"/>
    <w:rsid w:val="00CB5A49"/>
    <w:rsid w:val="00CB5A8C"/>
    <w:rsid w:val="00CB5AB8"/>
    <w:rsid w:val="00CB5AE1"/>
    <w:rsid w:val="00CB5C15"/>
    <w:rsid w:val="00CB5E73"/>
    <w:rsid w:val="00CB6002"/>
    <w:rsid w:val="00CB6114"/>
    <w:rsid w:val="00CB6258"/>
    <w:rsid w:val="00CB640F"/>
    <w:rsid w:val="00CB6688"/>
    <w:rsid w:val="00CB678B"/>
    <w:rsid w:val="00CB68D8"/>
    <w:rsid w:val="00CB6B8E"/>
    <w:rsid w:val="00CB70BD"/>
    <w:rsid w:val="00CB71CB"/>
    <w:rsid w:val="00CB7330"/>
    <w:rsid w:val="00CB734D"/>
    <w:rsid w:val="00CB73D6"/>
    <w:rsid w:val="00CB7451"/>
    <w:rsid w:val="00CB7571"/>
    <w:rsid w:val="00CB7614"/>
    <w:rsid w:val="00CB7819"/>
    <w:rsid w:val="00CB79FE"/>
    <w:rsid w:val="00CB7A08"/>
    <w:rsid w:val="00CB7CFB"/>
    <w:rsid w:val="00CB7F1C"/>
    <w:rsid w:val="00CC0010"/>
    <w:rsid w:val="00CC015D"/>
    <w:rsid w:val="00CC018B"/>
    <w:rsid w:val="00CC01CA"/>
    <w:rsid w:val="00CC0478"/>
    <w:rsid w:val="00CC04CA"/>
    <w:rsid w:val="00CC1228"/>
    <w:rsid w:val="00CC1259"/>
    <w:rsid w:val="00CC14E4"/>
    <w:rsid w:val="00CC16CF"/>
    <w:rsid w:val="00CC1771"/>
    <w:rsid w:val="00CC1978"/>
    <w:rsid w:val="00CC1A21"/>
    <w:rsid w:val="00CC1BDE"/>
    <w:rsid w:val="00CC1C1D"/>
    <w:rsid w:val="00CC211A"/>
    <w:rsid w:val="00CC21AF"/>
    <w:rsid w:val="00CC2456"/>
    <w:rsid w:val="00CC252D"/>
    <w:rsid w:val="00CC2739"/>
    <w:rsid w:val="00CC2986"/>
    <w:rsid w:val="00CC2B56"/>
    <w:rsid w:val="00CC2B9D"/>
    <w:rsid w:val="00CC2C44"/>
    <w:rsid w:val="00CC2D2C"/>
    <w:rsid w:val="00CC32C1"/>
    <w:rsid w:val="00CC3301"/>
    <w:rsid w:val="00CC3505"/>
    <w:rsid w:val="00CC397D"/>
    <w:rsid w:val="00CC3BC4"/>
    <w:rsid w:val="00CC3DAE"/>
    <w:rsid w:val="00CC3F2A"/>
    <w:rsid w:val="00CC3F5A"/>
    <w:rsid w:val="00CC4053"/>
    <w:rsid w:val="00CC40DA"/>
    <w:rsid w:val="00CC4332"/>
    <w:rsid w:val="00CC4433"/>
    <w:rsid w:val="00CC44FE"/>
    <w:rsid w:val="00CC45E0"/>
    <w:rsid w:val="00CC46EB"/>
    <w:rsid w:val="00CC4790"/>
    <w:rsid w:val="00CC48AA"/>
    <w:rsid w:val="00CC48F1"/>
    <w:rsid w:val="00CC494F"/>
    <w:rsid w:val="00CC4990"/>
    <w:rsid w:val="00CC4B63"/>
    <w:rsid w:val="00CC4DCA"/>
    <w:rsid w:val="00CC4DFD"/>
    <w:rsid w:val="00CC4F04"/>
    <w:rsid w:val="00CC4F13"/>
    <w:rsid w:val="00CC50A9"/>
    <w:rsid w:val="00CC5248"/>
    <w:rsid w:val="00CC5556"/>
    <w:rsid w:val="00CC570F"/>
    <w:rsid w:val="00CC59C7"/>
    <w:rsid w:val="00CC5A06"/>
    <w:rsid w:val="00CC5B29"/>
    <w:rsid w:val="00CC5C2D"/>
    <w:rsid w:val="00CC5CF0"/>
    <w:rsid w:val="00CC6366"/>
    <w:rsid w:val="00CC636D"/>
    <w:rsid w:val="00CC66DE"/>
    <w:rsid w:val="00CC681C"/>
    <w:rsid w:val="00CC68F4"/>
    <w:rsid w:val="00CC6BC9"/>
    <w:rsid w:val="00CC6C36"/>
    <w:rsid w:val="00CC6C44"/>
    <w:rsid w:val="00CC6CFD"/>
    <w:rsid w:val="00CC6ED1"/>
    <w:rsid w:val="00CC701B"/>
    <w:rsid w:val="00CC72E2"/>
    <w:rsid w:val="00CC7851"/>
    <w:rsid w:val="00CC7895"/>
    <w:rsid w:val="00CC78FF"/>
    <w:rsid w:val="00CC7B08"/>
    <w:rsid w:val="00CC7BF8"/>
    <w:rsid w:val="00CC7C0C"/>
    <w:rsid w:val="00CC7C6E"/>
    <w:rsid w:val="00CC7EE2"/>
    <w:rsid w:val="00CD01AB"/>
    <w:rsid w:val="00CD0213"/>
    <w:rsid w:val="00CD03FE"/>
    <w:rsid w:val="00CD040E"/>
    <w:rsid w:val="00CD0452"/>
    <w:rsid w:val="00CD05E1"/>
    <w:rsid w:val="00CD0B1A"/>
    <w:rsid w:val="00CD0B59"/>
    <w:rsid w:val="00CD0BBA"/>
    <w:rsid w:val="00CD0D4F"/>
    <w:rsid w:val="00CD0D59"/>
    <w:rsid w:val="00CD0E4A"/>
    <w:rsid w:val="00CD103B"/>
    <w:rsid w:val="00CD105B"/>
    <w:rsid w:val="00CD13E6"/>
    <w:rsid w:val="00CD15D8"/>
    <w:rsid w:val="00CD1662"/>
    <w:rsid w:val="00CD168B"/>
    <w:rsid w:val="00CD1973"/>
    <w:rsid w:val="00CD1D47"/>
    <w:rsid w:val="00CD20E3"/>
    <w:rsid w:val="00CD2188"/>
    <w:rsid w:val="00CD2503"/>
    <w:rsid w:val="00CD255C"/>
    <w:rsid w:val="00CD28A1"/>
    <w:rsid w:val="00CD28EA"/>
    <w:rsid w:val="00CD2906"/>
    <w:rsid w:val="00CD2ADC"/>
    <w:rsid w:val="00CD2B37"/>
    <w:rsid w:val="00CD2B66"/>
    <w:rsid w:val="00CD2E48"/>
    <w:rsid w:val="00CD3005"/>
    <w:rsid w:val="00CD3075"/>
    <w:rsid w:val="00CD30DB"/>
    <w:rsid w:val="00CD30E4"/>
    <w:rsid w:val="00CD3124"/>
    <w:rsid w:val="00CD34FC"/>
    <w:rsid w:val="00CD380D"/>
    <w:rsid w:val="00CD3CED"/>
    <w:rsid w:val="00CD3E0B"/>
    <w:rsid w:val="00CD3EF4"/>
    <w:rsid w:val="00CD429D"/>
    <w:rsid w:val="00CD42C9"/>
    <w:rsid w:val="00CD4374"/>
    <w:rsid w:val="00CD44E8"/>
    <w:rsid w:val="00CD45C2"/>
    <w:rsid w:val="00CD4680"/>
    <w:rsid w:val="00CD488D"/>
    <w:rsid w:val="00CD496F"/>
    <w:rsid w:val="00CD4A04"/>
    <w:rsid w:val="00CD4A38"/>
    <w:rsid w:val="00CD4B18"/>
    <w:rsid w:val="00CD4D3A"/>
    <w:rsid w:val="00CD4EFB"/>
    <w:rsid w:val="00CD4F13"/>
    <w:rsid w:val="00CD506F"/>
    <w:rsid w:val="00CD5693"/>
    <w:rsid w:val="00CD5694"/>
    <w:rsid w:val="00CD570A"/>
    <w:rsid w:val="00CD583C"/>
    <w:rsid w:val="00CD585B"/>
    <w:rsid w:val="00CD58C4"/>
    <w:rsid w:val="00CD5AE3"/>
    <w:rsid w:val="00CD5BB0"/>
    <w:rsid w:val="00CD5C76"/>
    <w:rsid w:val="00CD604F"/>
    <w:rsid w:val="00CD6051"/>
    <w:rsid w:val="00CD63EC"/>
    <w:rsid w:val="00CD6B5E"/>
    <w:rsid w:val="00CD6B6D"/>
    <w:rsid w:val="00CD6F00"/>
    <w:rsid w:val="00CD6F35"/>
    <w:rsid w:val="00CD7064"/>
    <w:rsid w:val="00CD711E"/>
    <w:rsid w:val="00CD73FA"/>
    <w:rsid w:val="00CD74CA"/>
    <w:rsid w:val="00CD75E3"/>
    <w:rsid w:val="00CD7608"/>
    <w:rsid w:val="00CD761F"/>
    <w:rsid w:val="00CD76F8"/>
    <w:rsid w:val="00CD77A4"/>
    <w:rsid w:val="00CD7925"/>
    <w:rsid w:val="00CD7A58"/>
    <w:rsid w:val="00CD7DF0"/>
    <w:rsid w:val="00CD7FC7"/>
    <w:rsid w:val="00CE006A"/>
    <w:rsid w:val="00CE0151"/>
    <w:rsid w:val="00CE0283"/>
    <w:rsid w:val="00CE02B2"/>
    <w:rsid w:val="00CE0320"/>
    <w:rsid w:val="00CE0553"/>
    <w:rsid w:val="00CE057F"/>
    <w:rsid w:val="00CE060B"/>
    <w:rsid w:val="00CE06B5"/>
    <w:rsid w:val="00CE0A05"/>
    <w:rsid w:val="00CE0A07"/>
    <w:rsid w:val="00CE0AB4"/>
    <w:rsid w:val="00CE0CC5"/>
    <w:rsid w:val="00CE1004"/>
    <w:rsid w:val="00CE1362"/>
    <w:rsid w:val="00CE1699"/>
    <w:rsid w:val="00CE16A1"/>
    <w:rsid w:val="00CE1A56"/>
    <w:rsid w:val="00CE1FDF"/>
    <w:rsid w:val="00CE213F"/>
    <w:rsid w:val="00CE21BA"/>
    <w:rsid w:val="00CE2289"/>
    <w:rsid w:val="00CE23E8"/>
    <w:rsid w:val="00CE248F"/>
    <w:rsid w:val="00CE2627"/>
    <w:rsid w:val="00CE271B"/>
    <w:rsid w:val="00CE2877"/>
    <w:rsid w:val="00CE28EB"/>
    <w:rsid w:val="00CE2E53"/>
    <w:rsid w:val="00CE2EB2"/>
    <w:rsid w:val="00CE2EC7"/>
    <w:rsid w:val="00CE30E4"/>
    <w:rsid w:val="00CE3729"/>
    <w:rsid w:val="00CE3A93"/>
    <w:rsid w:val="00CE3C48"/>
    <w:rsid w:val="00CE41BB"/>
    <w:rsid w:val="00CE4712"/>
    <w:rsid w:val="00CE49C4"/>
    <w:rsid w:val="00CE4A8B"/>
    <w:rsid w:val="00CE4B37"/>
    <w:rsid w:val="00CE4B71"/>
    <w:rsid w:val="00CE4C07"/>
    <w:rsid w:val="00CE4CDB"/>
    <w:rsid w:val="00CE504E"/>
    <w:rsid w:val="00CE51D5"/>
    <w:rsid w:val="00CE525D"/>
    <w:rsid w:val="00CE5298"/>
    <w:rsid w:val="00CE5475"/>
    <w:rsid w:val="00CE54A5"/>
    <w:rsid w:val="00CE58DF"/>
    <w:rsid w:val="00CE5A05"/>
    <w:rsid w:val="00CE5B91"/>
    <w:rsid w:val="00CE5C99"/>
    <w:rsid w:val="00CE5CFE"/>
    <w:rsid w:val="00CE5F81"/>
    <w:rsid w:val="00CE64B9"/>
    <w:rsid w:val="00CE6564"/>
    <w:rsid w:val="00CE65A2"/>
    <w:rsid w:val="00CE6643"/>
    <w:rsid w:val="00CE67E8"/>
    <w:rsid w:val="00CE6827"/>
    <w:rsid w:val="00CE68A7"/>
    <w:rsid w:val="00CE694E"/>
    <w:rsid w:val="00CE6DD8"/>
    <w:rsid w:val="00CE6F35"/>
    <w:rsid w:val="00CE6FB1"/>
    <w:rsid w:val="00CE7183"/>
    <w:rsid w:val="00CE7372"/>
    <w:rsid w:val="00CE74FF"/>
    <w:rsid w:val="00CE79C0"/>
    <w:rsid w:val="00CF0462"/>
    <w:rsid w:val="00CF05F0"/>
    <w:rsid w:val="00CF0640"/>
    <w:rsid w:val="00CF0723"/>
    <w:rsid w:val="00CF0829"/>
    <w:rsid w:val="00CF097E"/>
    <w:rsid w:val="00CF0C49"/>
    <w:rsid w:val="00CF0C7C"/>
    <w:rsid w:val="00CF0E92"/>
    <w:rsid w:val="00CF0FE4"/>
    <w:rsid w:val="00CF0FEA"/>
    <w:rsid w:val="00CF120F"/>
    <w:rsid w:val="00CF1662"/>
    <w:rsid w:val="00CF1B00"/>
    <w:rsid w:val="00CF1BC3"/>
    <w:rsid w:val="00CF22C3"/>
    <w:rsid w:val="00CF23EE"/>
    <w:rsid w:val="00CF249B"/>
    <w:rsid w:val="00CF24DF"/>
    <w:rsid w:val="00CF2667"/>
    <w:rsid w:val="00CF26E2"/>
    <w:rsid w:val="00CF27AC"/>
    <w:rsid w:val="00CF28D1"/>
    <w:rsid w:val="00CF2A1A"/>
    <w:rsid w:val="00CF2ADD"/>
    <w:rsid w:val="00CF2CA8"/>
    <w:rsid w:val="00CF2D14"/>
    <w:rsid w:val="00CF308D"/>
    <w:rsid w:val="00CF30CB"/>
    <w:rsid w:val="00CF3118"/>
    <w:rsid w:val="00CF32CA"/>
    <w:rsid w:val="00CF33E5"/>
    <w:rsid w:val="00CF34FE"/>
    <w:rsid w:val="00CF35DA"/>
    <w:rsid w:val="00CF3786"/>
    <w:rsid w:val="00CF3C39"/>
    <w:rsid w:val="00CF3CD8"/>
    <w:rsid w:val="00CF41D3"/>
    <w:rsid w:val="00CF42DA"/>
    <w:rsid w:val="00CF448E"/>
    <w:rsid w:val="00CF4607"/>
    <w:rsid w:val="00CF46C6"/>
    <w:rsid w:val="00CF4961"/>
    <w:rsid w:val="00CF4AFE"/>
    <w:rsid w:val="00CF4C52"/>
    <w:rsid w:val="00CF4D06"/>
    <w:rsid w:val="00CF4E81"/>
    <w:rsid w:val="00CF5603"/>
    <w:rsid w:val="00CF562C"/>
    <w:rsid w:val="00CF56F2"/>
    <w:rsid w:val="00CF5737"/>
    <w:rsid w:val="00CF57B5"/>
    <w:rsid w:val="00CF58D4"/>
    <w:rsid w:val="00CF598E"/>
    <w:rsid w:val="00CF5A74"/>
    <w:rsid w:val="00CF5B91"/>
    <w:rsid w:val="00CF5E3B"/>
    <w:rsid w:val="00CF5EA9"/>
    <w:rsid w:val="00CF5EEA"/>
    <w:rsid w:val="00CF5F3B"/>
    <w:rsid w:val="00CF6082"/>
    <w:rsid w:val="00CF60D4"/>
    <w:rsid w:val="00CF62DF"/>
    <w:rsid w:val="00CF62ED"/>
    <w:rsid w:val="00CF6542"/>
    <w:rsid w:val="00CF654C"/>
    <w:rsid w:val="00CF6596"/>
    <w:rsid w:val="00CF67C5"/>
    <w:rsid w:val="00CF71DD"/>
    <w:rsid w:val="00CF723E"/>
    <w:rsid w:val="00CF7278"/>
    <w:rsid w:val="00CF73AD"/>
    <w:rsid w:val="00CF7596"/>
    <w:rsid w:val="00CF7AF2"/>
    <w:rsid w:val="00CF7BAD"/>
    <w:rsid w:val="00CF7C1A"/>
    <w:rsid w:val="00CF7C4B"/>
    <w:rsid w:val="00CF7EB3"/>
    <w:rsid w:val="00CF7F13"/>
    <w:rsid w:val="00D001DC"/>
    <w:rsid w:val="00D0028D"/>
    <w:rsid w:val="00D0073E"/>
    <w:rsid w:val="00D007DE"/>
    <w:rsid w:val="00D008A4"/>
    <w:rsid w:val="00D009F9"/>
    <w:rsid w:val="00D00AAE"/>
    <w:rsid w:val="00D0118B"/>
    <w:rsid w:val="00D014E8"/>
    <w:rsid w:val="00D01627"/>
    <w:rsid w:val="00D01642"/>
    <w:rsid w:val="00D019F4"/>
    <w:rsid w:val="00D01E34"/>
    <w:rsid w:val="00D0231C"/>
    <w:rsid w:val="00D02804"/>
    <w:rsid w:val="00D02961"/>
    <w:rsid w:val="00D02C94"/>
    <w:rsid w:val="00D02D97"/>
    <w:rsid w:val="00D03108"/>
    <w:rsid w:val="00D03365"/>
    <w:rsid w:val="00D034C3"/>
    <w:rsid w:val="00D03708"/>
    <w:rsid w:val="00D0379C"/>
    <w:rsid w:val="00D0388C"/>
    <w:rsid w:val="00D03B4C"/>
    <w:rsid w:val="00D03B99"/>
    <w:rsid w:val="00D03E2C"/>
    <w:rsid w:val="00D042E4"/>
    <w:rsid w:val="00D04443"/>
    <w:rsid w:val="00D0447C"/>
    <w:rsid w:val="00D0454F"/>
    <w:rsid w:val="00D0478F"/>
    <w:rsid w:val="00D04839"/>
    <w:rsid w:val="00D04883"/>
    <w:rsid w:val="00D04A1B"/>
    <w:rsid w:val="00D04EC9"/>
    <w:rsid w:val="00D0525C"/>
    <w:rsid w:val="00D053BA"/>
    <w:rsid w:val="00D053E5"/>
    <w:rsid w:val="00D05584"/>
    <w:rsid w:val="00D05735"/>
    <w:rsid w:val="00D05C0F"/>
    <w:rsid w:val="00D05C23"/>
    <w:rsid w:val="00D05D6D"/>
    <w:rsid w:val="00D060A8"/>
    <w:rsid w:val="00D061A6"/>
    <w:rsid w:val="00D062EC"/>
    <w:rsid w:val="00D063CB"/>
    <w:rsid w:val="00D063FF"/>
    <w:rsid w:val="00D06441"/>
    <w:rsid w:val="00D065D8"/>
    <w:rsid w:val="00D068A4"/>
    <w:rsid w:val="00D06C26"/>
    <w:rsid w:val="00D06E67"/>
    <w:rsid w:val="00D06F3B"/>
    <w:rsid w:val="00D07028"/>
    <w:rsid w:val="00D07085"/>
    <w:rsid w:val="00D072D7"/>
    <w:rsid w:val="00D073B9"/>
    <w:rsid w:val="00D07600"/>
    <w:rsid w:val="00D0783D"/>
    <w:rsid w:val="00D0789D"/>
    <w:rsid w:val="00D078BC"/>
    <w:rsid w:val="00D0796E"/>
    <w:rsid w:val="00D1008F"/>
    <w:rsid w:val="00D10203"/>
    <w:rsid w:val="00D102D1"/>
    <w:rsid w:val="00D10468"/>
    <w:rsid w:val="00D10668"/>
    <w:rsid w:val="00D10A75"/>
    <w:rsid w:val="00D10A79"/>
    <w:rsid w:val="00D10C67"/>
    <w:rsid w:val="00D10F9F"/>
    <w:rsid w:val="00D11105"/>
    <w:rsid w:val="00D111D8"/>
    <w:rsid w:val="00D1130C"/>
    <w:rsid w:val="00D11357"/>
    <w:rsid w:val="00D1147F"/>
    <w:rsid w:val="00D114B7"/>
    <w:rsid w:val="00D1189F"/>
    <w:rsid w:val="00D11909"/>
    <w:rsid w:val="00D11A28"/>
    <w:rsid w:val="00D11C9D"/>
    <w:rsid w:val="00D11CCF"/>
    <w:rsid w:val="00D11E24"/>
    <w:rsid w:val="00D121E9"/>
    <w:rsid w:val="00D12225"/>
    <w:rsid w:val="00D125B6"/>
    <w:rsid w:val="00D126F7"/>
    <w:rsid w:val="00D12719"/>
    <w:rsid w:val="00D129C9"/>
    <w:rsid w:val="00D129EB"/>
    <w:rsid w:val="00D129F5"/>
    <w:rsid w:val="00D12D51"/>
    <w:rsid w:val="00D12ED9"/>
    <w:rsid w:val="00D12F3C"/>
    <w:rsid w:val="00D13468"/>
    <w:rsid w:val="00D1360F"/>
    <w:rsid w:val="00D137F5"/>
    <w:rsid w:val="00D139F0"/>
    <w:rsid w:val="00D13A67"/>
    <w:rsid w:val="00D13AE7"/>
    <w:rsid w:val="00D13B7B"/>
    <w:rsid w:val="00D13BDA"/>
    <w:rsid w:val="00D13FBB"/>
    <w:rsid w:val="00D1403D"/>
    <w:rsid w:val="00D14042"/>
    <w:rsid w:val="00D141DD"/>
    <w:rsid w:val="00D143BE"/>
    <w:rsid w:val="00D143C6"/>
    <w:rsid w:val="00D14456"/>
    <w:rsid w:val="00D144C3"/>
    <w:rsid w:val="00D14555"/>
    <w:rsid w:val="00D145ED"/>
    <w:rsid w:val="00D147C5"/>
    <w:rsid w:val="00D1493E"/>
    <w:rsid w:val="00D1494A"/>
    <w:rsid w:val="00D14AD9"/>
    <w:rsid w:val="00D14ADD"/>
    <w:rsid w:val="00D14BFE"/>
    <w:rsid w:val="00D14D31"/>
    <w:rsid w:val="00D14DFF"/>
    <w:rsid w:val="00D14EAE"/>
    <w:rsid w:val="00D14F43"/>
    <w:rsid w:val="00D15020"/>
    <w:rsid w:val="00D15186"/>
    <w:rsid w:val="00D15188"/>
    <w:rsid w:val="00D1545E"/>
    <w:rsid w:val="00D154F3"/>
    <w:rsid w:val="00D15525"/>
    <w:rsid w:val="00D15631"/>
    <w:rsid w:val="00D1570E"/>
    <w:rsid w:val="00D159B0"/>
    <w:rsid w:val="00D15A10"/>
    <w:rsid w:val="00D15A24"/>
    <w:rsid w:val="00D15A28"/>
    <w:rsid w:val="00D15A44"/>
    <w:rsid w:val="00D15A99"/>
    <w:rsid w:val="00D15AF7"/>
    <w:rsid w:val="00D15D63"/>
    <w:rsid w:val="00D16107"/>
    <w:rsid w:val="00D16286"/>
    <w:rsid w:val="00D163EC"/>
    <w:rsid w:val="00D1643E"/>
    <w:rsid w:val="00D16442"/>
    <w:rsid w:val="00D1655A"/>
    <w:rsid w:val="00D16619"/>
    <w:rsid w:val="00D168BF"/>
    <w:rsid w:val="00D16970"/>
    <w:rsid w:val="00D16B84"/>
    <w:rsid w:val="00D16E06"/>
    <w:rsid w:val="00D16E4A"/>
    <w:rsid w:val="00D17367"/>
    <w:rsid w:val="00D174C5"/>
    <w:rsid w:val="00D176B2"/>
    <w:rsid w:val="00D17A01"/>
    <w:rsid w:val="00D17B93"/>
    <w:rsid w:val="00D17C6C"/>
    <w:rsid w:val="00D17CB0"/>
    <w:rsid w:val="00D17D4A"/>
    <w:rsid w:val="00D17E58"/>
    <w:rsid w:val="00D20172"/>
    <w:rsid w:val="00D201D2"/>
    <w:rsid w:val="00D203C2"/>
    <w:rsid w:val="00D20527"/>
    <w:rsid w:val="00D20677"/>
    <w:rsid w:val="00D2069A"/>
    <w:rsid w:val="00D2089E"/>
    <w:rsid w:val="00D208C6"/>
    <w:rsid w:val="00D20B3C"/>
    <w:rsid w:val="00D20BB0"/>
    <w:rsid w:val="00D20CF8"/>
    <w:rsid w:val="00D20E6E"/>
    <w:rsid w:val="00D20F61"/>
    <w:rsid w:val="00D21004"/>
    <w:rsid w:val="00D2120D"/>
    <w:rsid w:val="00D21338"/>
    <w:rsid w:val="00D21552"/>
    <w:rsid w:val="00D21610"/>
    <w:rsid w:val="00D216C5"/>
    <w:rsid w:val="00D21756"/>
    <w:rsid w:val="00D21887"/>
    <w:rsid w:val="00D21983"/>
    <w:rsid w:val="00D219E8"/>
    <w:rsid w:val="00D21E4A"/>
    <w:rsid w:val="00D21FDB"/>
    <w:rsid w:val="00D223D2"/>
    <w:rsid w:val="00D2240F"/>
    <w:rsid w:val="00D22524"/>
    <w:rsid w:val="00D226A8"/>
    <w:rsid w:val="00D2279A"/>
    <w:rsid w:val="00D228EC"/>
    <w:rsid w:val="00D229D5"/>
    <w:rsid w:val="00D22AB4"/>
    <w:rsid w:val="00D22B66"/>
    <w:rsid w:val="00D22B70"/>
    <w:rsid w:val="00D22BC7"/>
    <w:rsid w:val="00D22C23"/>
    <w:rsid w:val="00D22CAA"/>
    <w:rsid w:val="00D231E3"/>
    <w:rsid w:val="00D23397"/>
    <w:rsid w:val="00D23421"/>
    <w:rsid w:val="00D235D9"/>
    <w:rsid w:val="00D23657"/>
    <w:rsid w:val="00D237C9"/>
    <w:rsid w:val="00D2382F"/>
    <w:rsid w:val="00D23916"/>
    <w:rsid w:val="00D23C2E"/>
    <w:rsid w:val="00D23C86"/>
    <w:rsid w:val="00D23E91"/>
    <w:rsid w:val="00D24B63"/>
    <w:rsid w:val="00D24D92"/>
    <w:rsid w:val="00D24F82"/>
    <w:rsid w:val="00D24FB0"/>
    <w:rsid w:val="00D250E6"/>
    <w:rsid w:val="00D25163"/>
    <w:rsid w:val="00D25199"/>
    <w:rsid w:val="00D25618"/>
    <w:rsid w:val="00D2568B"/>
    <w:rsid w:val="00D256F4"/>
    <w:rsid w:val="00D25942"/>
    <w:rsid w:val="00D25CB9"/>
    <w:rsid w:val="00D25DF0"/>
    <w:rsid w:val="00D25F4A"/>
    <w:rsid w:val="00D2601F"/>
    <w:rsid w:val="00D2603A"/>
    <w:rsid w:val="00D260DC"/>
    <w:rsid w:val="00D264BA"/>
    <w:rsid w:val="00D264E7"/>
    <w:rsid w:val="00D266DE"/>
    <w:rsid w:val="00D2670B"/>
    <w:rsid w:val="00D2670E"/>
    <w:rsid w:val="00D267BA"/>
    <w:rsid w:val="00D2696E"/>
    <w:rsid w:val="00D26973"/>
    <w:rsid w:val="00D269C4"/>
    <w:rsid w:val="00D269C7"/>
    <w:rsid w:val="00D26B0F"/>
    <w:rsid w:val="00D26B72"/>
    <w:rsid w:val="00D26D59"/>
    <w:rsid w:val="00D26E02"/>
    <w:rsid w:val="00D274D4"/>
    <w:rsid w:val="00D2751E"/>
    <w:rsid w:val="00D27999"/>
    <w:rsid w:val="00D27B65"/>
    <w:rsid w:val="00D30254"/>
    <w:rsid w:val="00D30337"/>
    <w:rsid w:val="00D303C4"/>
    <w:rsid w:val="00D3043E"/>
    <w:rsid w:val="00D3049E"/>
    <w:rsid w:val="00D304FE"/>
    <w:rsid w:val="00D30675"/>
    <w:rsid w:val="00D306A4"/>
    <w:rsid w:val="00D307B0"/>
    <w:rsid w:val="00D30827"/>
    <w:rsid w:val="00D308B8"/>
    <w:rsid w:val="00D30A46"/>
    <w:rsid w:val="00D30D51"/>
    <w:rsid w:val="00D30FC9"/>
    <w:rsid w:val="00D3100A"/>
    <w:rsid w:val="00D31034"/>
    <w:rsid w:val="00D3151E"/>
    <w:rsid w:val="00D31685"/>
    <w:rsid w:val="00D31689"/>
    <w:rsid w:val="00D31918"/>
    <w:rsid w:val="00D31BD5"/>
    <w:rsid w:val="00D31E6C"/>
    <w:rsid w:val="00D31F93"/>
    <w:rsid w:val="00D31FC4"/>
    <w:rsid w:val="00D3233D"/>
    <w:rsid w:val="00D32415"/>
    <w:rsid w:val="00D32580"/>
    <w:rsid w:val="00D325D3"/>
    <w:rsid w:val="00D32654"/>
    <w:rsid w:val="00D32A00"/>
    <w:rsid w:val="00D32FF9"/>
    <w:rsid w:val="00D33035"/>
    <w:rsid w:val="00D332A2"/>
    <w:rsid w:val="00D33427"/>
    <w:rsid w:val="00D3384C"/>
    <w:rsid w:val="00D33BF0"/>
    <w:rsid w:val="00D33DC3"/>
    <w:rsid w:val="00D33E3F"/>
    <w:rsid w:val="00D33F35"/>
    <w:rsid w:val="00D3415A"/>
    <w:rsid w:val="00D341AB"/>
    <w:rsid w:val="00D341C7"/>
    <w:rsid w:val="00D34405"/>
    <w:rsid w:val="00D34450"/>
    <w:rsid w:val="00D34561"/>
    <w:rsid w:val="00D3467C"/>
    <w:rsid w:val="00D347FB"/>
    <w:rsid w:val="00D34C86"/>
    <w:rsid w:val="00D34CF4"/>
    <w:rsid w:val="00D35185"/>
    <w:rsid w:val="00D355E8"/>
    <w:rsid w:val="00D3571D"/>
    <w:rsid w:val="00D35AD8"/>
    <w:rsid w:val="00D35AF8"/>
    <w:rsid w:val="00D35B6C"/>
    <w:rsid w:val="00D35C8B"/>
    <w:rsid w:val="00D35E10"/>
    <w:rsid w:val="00D35F23"/>
    <w:rsid w:val="00D361E1"/>
    <w:rsid w:val="00D364FF"/>
    <w:rsid w:val="00D3651C"/>
    <w:rsid w:val="00D3661A"/>
    <w:rsid w:val="00D3677F"/>
    <w:rsid w:val="00D36F05"/>
    <w:rsid w:val="00D36F33"/>
    <w:rsid w:val="00D371AE"/>
    <w:rsid w:val="00D3722A"/>
    <w:rsid w:val="00D37534"/>
    <w:rsid w:val="00D3753A"/>
    <w:rsid w:val="00D37573"/>
    <w:rsid w:val="00D376E3"/>
    <w:rsid w:val="00D3778A"/>
    <w:rsid w:val="00D3789D"/>
    <w:rsid w:val="00D378BD"/>
    <w:rsid w:val="00D37A7D"/>
    <w:rsid w:val="00D37E6E"/>
    <w:rsid w:val="00D40023"/>
    <w:rsid w:val="00D40238"/>
    <w:rsid w:val="00D4069C"/>
    <w:rsid w:val="00D408B2"/>
    <w:rsid w:val="00D40AF3"/>
    <w:rsid w:val="00D40CEC"/>
    <w:rsid w:val="00D40D18"/>
    <w:rsid w:val="00D40E9B"/>
    <w:rsid w:val="00D40EB6"/>
    <w:rsid w:val="00D40FA1"/>
    <w:rsid w:val="00D413F0"/>
    <w:rsid w:val="00D414BC"/>
    <w:rsid w:val="00D41659"/>
    <w:rsid w:val="00D41695"/>
    <w:rsid w:val="00D41711"/>
    <w:rsid w:val="00D41A3B"/>
    <w:rsid w:val="00D41B30"/>
    <w:rsid w:val="00D41EEA"/>
    <w:rsid w:val="00D423FC"/>
    <w:rsid w:val="00D42592"/>
    <w:rsid w:val="00D4269E"/>
    <w:rsid w:val="00D42760"/>
    <w:rsid w:val="00D4290F"/>
    <w:rsid w:val="00D42A28"/>
    <w:rsid w:val="00D42D75"/>
    <w:rsid w:val="00D42E3D"/>
    <w:rsid w:val="00D4333A"/>
    <w:rsid w:val="00D4368D"/>
    <w:rsid w:val="00D437D1"/>
    <w:rsid w:val="00D43823"/>
    <w:rsid w:val="00D4391E"/>
    <w:rsid w:val="00D43A83"/>
    <w:rsid w:val="00D43AAC"/>
    <w:rsid w:val="00D43D01"/>
    <w:rsid w:val="00D43DCE"/>
    <w:rsid w:val="00D43DD6"/>
    <w:rsid w:val="00D43EBF"/>
    <w:rsid w:val="00D43F7B"/>
    <w:rsid w:val="00D43F7E"/>
    <w:rsid w:val="00D43F8E"/>
    <w:rsid w:val="00D4429A"/>
    <w:rsid w:val="00D4450D"/>
    <w:rsid w:val="00D446AB"/>
    <w:rsid w:val="00D448F0"/>
    <w:rsid w:val="00D448F7"/>
    <w:rsid w:val="00D44A01"/>
    <w:rsid w:val="00D44A3D"/>
    <w:rsid w:val="00D44BEB"/>
    <w:rsid w:val="00D44C47"/>
    <w:rsid w:val="00D44E34"/>
    <w:rsid w:val="00D44F3A"/>
    <w:rsid w:val="00D45320"/>
    <w:rsid w:val="00D4534A"/>
    <w:rsid w:val="00D4541C"/>
    <w:rsid w:val="00D454EC"/>
    <w:rsid w:val="00D45698"/>
    <w:rsid w:val="00D45737"/>
    <w:rsid w:val="00D457BF"/>
    <w:rsid w:val="00D4582C"/>
    <w:rsid w:val="00D458D4"/>
    <w:rsid w:val="00D4596E"/>
    <w:rsid w:val="00D4597A"/>
    <w:rsid w:val="00D4599E"/>
    <w:rsid w:val="00D45A13"/>
    <w:rsid w:val="00D45DE6"/>
    <w:rsid w:val="00D45E98"/>
    <w:rsid w:val="00D460FE"/>
    <w:rsid w:val="00D4618D"/>
    <w:rsid w:val="00D464E4"/>
    <w:rsid w:val="00D46527"/>
    <w:rsid w:val="00D46583"/>
    <w:rsid w:val="00D466B1"/>
    <w:rsid w:val="00D46CCE"/>
    <w:rsid w:val="00D46DDC"/>
    <w:rsid w:val="00D46F3C"/>
    <w:rsid w:val="00D46FF9"/>
    <w:rsid w:val="00D4701C"/>
    <w:rsid w:val="00D47039"/>
    <w:rsid w:val="00D47172"/>
    <w:rsid w:val="00D47251"/>
    <w:rsid w:val="00D473D0"/>
    <w:rsid w:val="00D47517"/>
    <w:rsid w:val="00D47801"/>
    <w:rsid w:val="00D47A8D"/>
    <w:rsid w:val="00D47B18"/>
    <w:rsid w:val="00D47C05"/>
    <w:rsid w:val="00D47CBE"/>
    <w:rsid w:val="00D50171"/>
    <w:rsid w:val="00D50411"/>
    <w:rsid w:val="00D50644"/>
    <w:rsid w:val="00D508D5"/>
    <w:rsid w:val="00D50B8E"/>
    <w:rsid w:val="00D50C7A"/>
    <w:rsid w:val="00D50DB1"/>
    <w:rsid w:val="00D50E17"/>
    <w:rsid w:val="00D50E33"/>
    <w:rsid w:val="00D51385"/>
    <w:rsid w:val="00D513C8"/>
    <w:rsid w:val="00D51433"/>
    <w:rsid w:val="00D51558"/>
    <w:rsid w:val="00D51698"/>
    <w:rsid w:val="00D51732"/>
    <w:rsid w:val="00D5186A"/>
    <w:rsid w:val="00D51A96"/>
    <w:rsid w:val="00D51AFF"/>
    <w:rsid w:val="00D51C02"/>
    <w:rsid w:val="00D51C14"/>
    <w:rsid w:val="00D51C1F"/>
    <w:rsid w:val="00D51C2C"/>
    <w:rsid w:val="00D51D57"/>
    <w:rsid w:val="00D51FF0"/>
    <w:rsid w:val="00D52144"/>
    <w:rsid w:val="00D521BA"/>
    <w:rsid w:val="00D522E7"/>
    <w:rsid w:val="00D52461"/>
    <w:rsid w:val="00D5276F"/>
    <w:rsid w:val="00D527A8"/>
    <w:rsid w:val="00D528D8"/>
    <w:rsid w:val="00D529DA"/>
    <w:rsid w:val="00D52C79"/>
    <w:rsid w:val="00D52DF3"/>
    <w:rsid w:val="00D530ED"/>
    <w:rsid w:val="00D53246"/>
    <w:rsid w:val="00D5351D"/>
    <w:rsid w:val="00D53965"/>
    <w:rsid w:val="00D53CA2"/>
    <w:rsid w:val="00D53FC7"/>
    <w:rsid w:val="00D540AD"/>
    <w:rsid w:val="00D5453C"/>
    <w:rsid w:val="00D547FD"/>
    <w:rsid w:val="00D54A07"/>
    <w:rsid w:val="00D54AF5"/>
    <w:rsid w:val="00D54BD4"/>
    <w:rsid w:val="00D54E44"/>
    <w:rsid w:val="00D5521A"/>
    <w:rsid w:val="00D559E0"/>
    <w:rsid w:val="00D559E1"/>
    <w:rsid w:val="00D559FF"/>
    <w:rsid w:val="00D55A36"/>
    <w:rsid w:val="00D55A96"/>
    <w:rsid w:val="00D55BE4"/>
    <w:rsid w:val="00D55C3F"/>
    <w:rsid w:val="00D55DA6"/>
    <w:rsid w:val="00D55F68"/>
    <w:rsid w:val="00D561E3"/>
    <w:rsid w:val="00D56243"/>
    <w:rsid w:val="00D56670"/>
    <w:rsid w:val="00D5689A"/>
    <w:rsid w:val="00D56A78"/>
    <w:rsid w:val="00D57067"/>
    <w:rsid w:val="00D57072"/>
    <w:rsid w:val="00D57233"/>
    <w:rsid w:val="00D576B7"/>
    <w:rsid w:val="00D577C3"/>
    <w:rsid w:val="00D57826"/>
    <w:rsid w:val="00D5792A"/>
    <w:rsid w:val="00D579B6"/>
    <w:rsid w:val="00D57A42"/>
    <w:rsid w:val="00D57D24"/>
    <w:rsid w:val="00D57E59"/>
    <w:rsid w:val="00D60075"/>
    <w:rsid w:val="00D602A5"/>
    <w:rsid w:val="00D603A2"/>
    <w:rsid w:val="00D6040C"/>
    <w:rsid w:val="00D604F7"/>
    <w:rsid w:val="00D6051F"/>
    <w:rsid w:val="00D60551"/>
    <w:rsid w:val="00D606A6"/>
    <w:rsid w:val="00D6071F"/>
    <w:rsid w:val="00D60795"/>
    <w:rsid w:val="00D60858"/>
    <w:rsid w:val="00D60920"/>
    <w:rsid w:val="00D60AF5"/>
    <w:rsid w:val="00D60C24"/>
    <w:rsid w:val="00D61018"/>
    <w:rsid w:val="00D61023"/>
    <w:rsid w:val="00D6108A"/>
    <w:rsid w:val="00D61249"/>
    <w:rsid w:val="00D61300"/>
    <w:rsid w:val="00D616C1"/>
    <w:rsid w:val="00D617F3"/>
    <w:rsid w:val="00D6199B"/>
    <w:rsid w:val="00D619FC"/>
    <w:rsid w:val="00D61AD9"/>
    <w:rsid w:val="00D61AE5"/>
    <w:rsid w:val="00D61BEC"/>
    <w:rsid w:val="00D61D6F"/>
    <w:rsid w:val="00D62056"/>
    <w:rsid w:val="00D620E2"/>
    <w:rsid w:val="00D62292"/>
    <w:rsid w:val="00D62679"/>
    <w:rsid w:val="00D628AA"/>
    <w:rsid w:val="00D62919"/>
    <w:rsid w:val="00D62AA7"/>
    <w:rsid w:val="00D62B78"/>
    <w:rsid w:val="00D62CCB"/>
    <w:rsid w:val="00D62F41"/>
    <w:rsid w:val="00D62F99"/>
    <w:rsid w:val="00D63060"/>
    <w:rsid w:val="00D630C3"/>
    <w:rsid w:val="00D630E0"/>
    <w:rsid w:val="00D631A2"/>
    <w:rsid w:val="00D632D5"/>
    <w:rsid w:val="00D63900"/>
    <w:rsid w:val="00D6392D"/>
    <w:rsid w:val="00D63C0C"/>
    <w:rsid w:val="00D63D01"/>
    <w:rsid w:val="00D63DA2"/>
    <w:rsid w:val="00D63DE8"/>
    <w:rsid w:val="00D63F4B"/>
    <w:rsid w:val="00D643B7"/>
    <w:rsid w:val="00D643C1"/>
    <w:rsid w:val="00D643F5"/>
    <w:rsid w:val="00D64585"/>
    <w:rsid w:val="00D64636"/>
    <w:rsid w:val="00D6468A"/>
    <w:rsid w:val="00D648DA"/>
    <w:rsid w:val="00D64AB0"/>
    <w:rsid w:val="00D64BC7"/>
    <w:rsid w:val="00D64CC2"/>
    <w:rsid w:val="00D64DB0"/>
    <w:rsid w:val="00D64ECE"/>
    <w:rsid w:val="00D65001"/>
    <w:rsid w:val="00D6515E"/>
    <w:rsid w:val="00D65237"/>
    <w:rsid w:val="00D653E2"/>
    <w:rsid w:val="00D65433"/>
    <w:rsid w:val="00D6555E"/>
    <w:rsid w:val="00D655A5"/>
    <w:rsid w:val="00D65B38"/>
    <w:rsid w:val="00D66330"/>
    <w:rsid w:val="00D665F0"/>
    <w:rsid w:val="00D66785"/>
    <w:rsid w:val="00D668E4"/>
    <w:rsid w:val="00D669AB"/>
    <w:rsid w:val="00D66E91"/>
    <w:rsid w:val="00D67466"/>
    <w:rsid w:val="00D67A32"/>
    <w:rsid w:val="00D67A83"/>
    <w:rsid w:val="00D67B49"/>
    <w:rsid w:val="00D67BBA"/>
    <w:rsid w:val="00D67C3B"/>
    <w:rsid w:val="00D67DF9"/>
    <w:rsid w:val="00D700AF"/>
    <w:rsid w:val="00D7016C"/>
    <w:rsid w:val="00D7026A"/>
    <w:rsid w:val="00D703C0"/>
    <w:rsid w:val="00D7042C"/>
    <w:rsid w:val="00D7047B"/>
    <w:rsid w:val="00D704B3"/>
    <w:rsid w:val="00D70735"/>
    <w:rsid w:val="00D707E3"/>
    <w:rsid w:val="00D708A4"/>
    <w:rsid w:val="00D70CC6"/>
    <w:rsid w:val="00D71052"/>
    <w:rsid w:val="00D7149F"/>
    <w:rsid w:val="00D7152F"/>
    <w:rsid w:val="00D71770"/>
    <w:rsid w:val="00D718CE"/>
    <w:rsid w:val="00D7199E"/>
    <w:rsid w:val="00D71AFE"/>
    <w:rsid w:val="00D71B68"/>
    <w:rsid w:val="00D71BD2"/>
    <w:rsid w:val="00D72097"/>
    <w:rsid w:val="00D723B9"/>
    <w:rsid w:val="00D7261E"/>
    <w:rsid w:val="00D726DB"/>
    <w:rsid w:val="00D72849"/>
    <w:rsid w:val="00D729A9"/>
    <w:rsid w:val="00D72B25"/>
    <w:rsid w:val="00D72C0D"/>
    <w:rsid w:val="00D72CA2"/>
    <w:rsid w:val="00D72D77"/>
    <w:rsid w:val="00D72DC5"/>
    <w:rsid w:val="00D730A6"/>
    <w:rsid w:val="00D7310D"/>
    <w:rsid w:val="00D73412"/>
    <w:rsid w:val="00D73420"/>
    <w:rsid w:val="00D73462"/>
    <w:rsid w:val="00D73723"/>
    <w:rsid w:val="00D73756"/>
    <w:rsid w:val="00D738DE"/>
    <w:rsid w:val="00D73A95"/>
    <w:rsid w:val="00D73E8C"/>
    <w:rsid w:val="00D740E3"/>
    <w:rsid w:val="00D741F4"/>
    <w:rsid w:val="00D74219"/>
    <w:rsid w:val="00D74253"/>
    <w:rsid w:val="00D7444F"/>
    <w:rsid w:val="00D746B3"/>
    <w:rsid w:val="00D746B6"/>
    <w:rsid w:val="00D7471B"/>
    <w:rsid w:val="00D74B8B"/>
    <w:rsid w:val="00D74C37"/>
    <w:rsid w:val="00D74E96"/>
    <w:rsid w:val="00D74EC4"/>
    <w:rsid w:val="00D74FBB"/>
    <w:rsid w:val="00D74FEC"/>
    <w:rsid w:val="00D75505"/>
    <w:rsid w:val="00D756FF"/>
    <w:rsid w:val="00D758AF"/>
    <w:rsid w:val="00D7593B"/>
    <w:rsid w:val="00D75A0F"/>
    <w:rsid w:val="00D75B73"/>
    <w:rsid w:val="00D75D7D"/>
    <w:rsid w:val="00D75E8F"/>
    <w:rsid w:val="00D75F63"/>
    <w:rsid w:val="00D761FC"/>
    <w:rsid w:val="00D7628B"/>
    <w:rsid w:val="00D76695"/>
    <w:rsid w:val="00D767D2"/>
    <w:rsid w:val="00D76F4B"/>
    <w:rsid w:val="00D7722F"/>
    <w:rsid w:val="00D772EB"/>
    <w:rsid w:val="00D7749C"/>
    <w:rsid w:val="00D77521"/>
    <w:rsid w:val="00D778A7"/>
    <w:rsid w:val="00D77AA3"/>
    <w:rsid w:val="00D77CBD"/>
    <w:rsid w:val="00D77DAB"/>
    <w:rsid w:val="00D77EB3"/>
    <w:rsid w:val="00D77ECA"/>
    <w:rsid w:val="00D800FE"/>
    <w:rsid w:val="00D8018F"/>
    <w:rsid w:val="00D803DD"/>
    <w:rsid w:val="00D805F6"/>
    <w:rsid w:val="00D80998"/>
    <w:rsid w:val="00D80A20"/>
    <w:rsid w:val="00D80AFE"/>
    <w:rsid w:val="00D80D13"/>
    <w:rsid w:val="00D80D1B"/>
    <w:rsid w:val="00D81074"/>
    <w:rsid w:val="00D815FC"/>
    <w:rsid w:val="00D81827"/>
    <w:rsid w:val="00D81A8D"/>
    <w:rsid w:val="00D81BAA"/>
    <w:rsid w:val="00D81BAB"/>
    <w:rsid w:val="00D81C15"/>
    <w:rsid w:val="00D81D58"/>
    <w:rsid w:val="00D81E92"/>
    <w:rsid w:val="00D81EBC"/>
    <w:rsid w:val="00D82194"/>
    <w:rsid w:val="00D8219F"/>
    <w:rsid w:val="00D8228F"/>
    <w:rsid w:val="00D823AC"/>
    <w:rsid w:val="00D825CF"/>
    <w:rsid w:val="00D826E2"/>
    <w:rsid w:val="00D8278B"/>
    <w:rsid w:val="00D82992"/>
    <w:rsid w:val="00D82B27"/>
    <w:rsid w:val="00D82B63"/>
    <w:rsid w:val="00D82B82"/>
    <w:rsid w:val="00D82F9B"/>
    <w:rsid w:val="00D8305B"/>
    <w:rsid w:val="00D830EB"/>
    <w:rsid w:val="00D83156"/>
    <w:rsid w:val="00D8329A"/>
    <w:rsid w:val="00D8339C"/>
    <w:rsid w:val="00D83664"/>
    <w:rsid w:val="00D83970"/>
    <w:rsid w:val="00D839D0"/>
    <w:rsid w:val="00D83AB7"/>
    <w:rsid w:val="00D83B4C"/>
    <w:rsid w:val="00D83B89"/>
    <w:rsid w:val="00D83B97"/>
    <w:rsid w:val="00D83CB1"/>
    <w:rsid w:val="00D8400F"/>
    <w:rsid w:val="00D842AB"/>
    <w:rsid w:val="00D8432B"/>
    <w:rsid w:val="00D8457F"/>
    <w:rsid w:val="00D84926"/>
    <w:rsid w:val="00D8496B"/>
    <w:rsid w:val="00D849CD"/>
    <w:rsid w:val="00D849FB"/>
    <w:rsid w:val="00D84ABB"/>
    <w:rsid w:val="00D84D02"/>
    <w:rsid w:val="00D84F0F"/>
    <w:rsid w:val="00D85245"/>
    <w:rsid w:val="00D856B5"/>
    <w:rsid w:val="00D85745"/>
    <w:rsid w:val="00D85C8D"/>
    <w:rsid w:val="00D85E38"/>
    <w:rsid w:val="00D85ECA"/>
    <w:rsid w:val="00D8622D"/>
    <w:rsid w:val="00D862DA"/>
    <w:rsid w:val="00D8640C"/>
    <w:rsid w:val="00D86456"/>
    <w:rsid w:val="00D86608"/>
    <w:rsid w:val="00D86650"/>
    <w:rsid w:val="00D86763"/>
    <w:rsid w:val="00D86A65"/>
    <w:rsid w:val="00D86DE9"/>
    <w:rsid w:val="00D8704C"/>
    <w:rsid w:val="00D870BD"/>
    <w:rsid w:val="00D87152"/>
    <w:rsid w:val="00D872A9"/>
    <w:rsid w:val="00D8738F"/>
    <w:rsid w:val="00D876F9"/>
    <w:rsid w:val="00D879F6"/>
    <w:rsid w:val="00D87A0A"/>
    <w:rsid w:val="00D87BEE"/>
    <w:rsid w:val="00D87C02"/>
    <w:rsid w:val="00D87D1C"/>
    <w:rsid w:val="00D900C6"/>
    <w:rsid w:val="00D90144"/>
    <w:rsid w:val="00D901D1"/>
    <w:rsid w:val="00D901F7"/>
    <w:rsid w:val="00D902E6"/>
    <w:rsid w:val="00D90411"/>
    <w:rsid w:val="00D90773"/>
    <w:rsid w:val="00D90B95"/>
    <w:rsid w:val="00D90ED8"/>
    <w:rsid w:val="00D90FC7"/>
    <w:rsid w:val="00D910A2"/>
    <w:rsid w:val="00D91440"/>
    <w:rsid w:val="00D9155C"/>
    <w:rsid w:val="00D91713"/>
    <w:rsid w:val="00D9180B"/>
    <w:rsid w:val="00D91C0B"/>
    <w:rsid w:val="00D91F97"/>
    <w:rsid w:val="00D92057"/>
    <w:rsid w:val="00D920DE"/>
    <w:rsid w:val="00D9275C"/>
    <w:rsid w:val="00D927FE"/>
    <w:rsid w:val="00D9284A"/>
    <w:rsid w:val="00D928CE"/>
    <w:rsid w:val="00D92938"/>
    <w:rsid w:val="00D92D9C"/>
    <w:rsid w:val="00D9306E"/>
    <w:rsid w:val="00D9319D"/>
    <w:rsid w:val="00D931E7"/>
    <w:rsid w:val="00D93356"/>
    <w:rsid w:val="00D9335E"/>
    <w:rsid w:val="00D9369C"/>
    <w:rsid w:val="00D936C9"/>
    <w:rsid w:val="00D9399E"/>
    <w:rsid w:val="00D93A2D"/>
    <w:rsid w:val="00D93A87"/>
    <w:rsid w:val="00D93CED"/>
    <w:rsid w:val="00D93D99"/>
    <w:rsid w:val="00D93F39"/>
    <w:rsid w:val="00D9415A"/>
    <w:rsid w:val="00D943FC"/>
    <w:rsid w:val="00D944C6"/>
    <w:rsid w:val="00D94758"/>
    <w:rsid w:val="00D9487B"/>
    <w:rsid w:val="00D94892"/>
    <w:rsid w:val="00D948AB"/>
    <w:rsid w:val="00D94BF5"/>
    <w:rsid w:val="00D94EA2"/>
    <w:rsid w:val="00D94F05"/>
    <w:rsid w:val="00D94F7B"/>
    <w:rsid w:val="00D95067"/>
    <w:rsid w:val="00D95169"/>
    <w:rsid w:val="00D951BE"/>
    <w:rsid w:val="00D952C8"/>
    <w:rsid w:val="00D952D6"/>
    <w:rsid w:val="00D95303"/>
    <w:rsid w:val="00D9576A"/>
    <w:rsid w:val="00D958C9"/>
    <w:rsid w:val="00D95A56"/>
    <w:rsid w:val="00D95CB8"/>
    <w:rsid w:val="00D95D41"/>
    <w:rsid w:val="00D962AA"/>
    <w:rsid w:val="00D963E3"/>
    <w:rsid w:val="00D96454"/>
    <w:rsid w:val="00D964D4"/>
    <w:rsid w:val="00D96546"/>
    <w:rsid w:val="00D965C9"/>
    <w:rsid w:val="00D9668D"/>
    <w:rsid w:val="00D96776"/>
    <w:rsid w:val="00D96889"/>
    <w:rsid w:val="00D9689E"/>
    <w:rsid w:val="00D96962"/>
    <w:rsid w:val="00D96A4B"/>
    <w:rsid w:val="00D9714C"/>
    <w:rsid w:val="00D975E4"/>
    <w:rsid w:val="00D9772F"/>
    <w:rsid w:val="00D97750"/>
    <w:rsid w:val="00D9780B"/>
    <w:rsid w:val="00D9784B"/>
    <w:rsid w:val="00D97966"/>
    <w:rsid w:val="00D979FC"/>
    <w:rsid w:val="00D97BAF"/>
    <w:rsid w:val="00D97C77"/>
    <w:rsid w:val="00D97D63"/>
    <w:rsid w:val="00D97E66"/>
    <w:rsid w:val="00D97EBE"/>
    <w:rsid w:val="00D97FC5"/>
    <w:rsid w:val="00D97FCB"/>
    <w:rsid w:val="00DA00E9"/>
    <w:rsid w:val="00DA024F"/>
    <w:rsid w:val="00DA037A"/>
    <w:rsid w:val="00DA04CB"/>
    <w:rsid w:val="00DA0512"/>
    <w:rsid w:val="00DA0592"/>
    <w:rsid w:val="00DA05E2"/>
    <w:rsid w:val="00DA118F"/>
    <w:rsid w:val="00DA164F"/>
    <w:rsid w:val="00DA17AE"/>
    <w:rsid w:val="00DA17F4"/>
    <w:rsid w:val="00DA185E"/>
    <w:rsid w:val="00DA191A"/>
    <w:rsid w:val="00DA1941"/>
    <w:rsid w:val="00DA1968"/>
    <w:rsid w:val="00DA1AB6"/>
    <w:rsid w:val="00DA1BF4"/>
    <w:rsid w:val="00DA1C68"/>
    <w:rsid w:val="00DA1CAD"/>
    <w:rsid w:val="00DA1D5F"/>
    <w:rsid w:val="00DA1D8A"/>
    <w:rsid w:val="00DA1D95"/>
    <w:rsid w:val="00DA2189"/>
    <w:rsid w:val="00DA25CB"/>
    <w:rsid w:val="00DA278F"/>
    <w:rsid w:val="00DA27FF"/>
    <w:rsid w:val="00DA2869"/>
    <w:rsid w:val="00DA2903"/>
    <w:rsid w:val="00DA29CC"/>
    <w:rsid w:val="00DA29E6"/>
    <w:rsid w:val="00DA2B9A"/>
    <w:rsid w:val="00DA2C8B"/>
    <w:rsid w:val="00DA2E51"/>
    <w:rsid w:val="00DA30F0"/>
    <w:rsid w:val="00DA3437"/>
    <w:rsid w:val="00DA344F"/>
    <w:rsid w:val="00DA34AD"/>
    <w:rsid w:val="00DA35BC"/>
    <w:rsid w:val="00DA3780"/>
    <w:rsid w:val="00DA38A9"/>
    <w:rsid w:val="00DA3D7B"/>
    <w:rsid w:val="00DA427F"/>
    <w:rsid w:val="00DA4301"/>
    <w:rsid w:val="00DA431F"/>
    <w:rsid w:val="00DA4362"/>
    <w:rsid w:val="00DA43A0"/>
    <w:rsid w:val="00DA4876"/>
    <w:rsid w:val="00DA498C"/>
    <w:rsid w:val="00DA4A4A"/>
    <w:rsid w:val="00DA4DF2"/>
    <w:rsid w:val="00DA509F"/>
    <w:rsid w:val="00DA515F"/>
    <w:rsid w:val="00DA5494"/>
    <w:rsid w:val="00DA55F2"/>
    <w:rsid w:val="00DA5638"/>
    <w:rsid w:val="00DA5680"/>
    <w:rsid w:val="00DA57F0"/>
    <w:rsid w:val="00DA5E1F"/>
    <w:rsid w:val="00DA5E44"/>
    <w:rsid w:val="00DA6059"/>
    <w:rsid w:val="00DA661D"/>
    <w:rsid w:val="00DA6721"/>
    <w:rsid w:val="00DA67A2"/>
    <w:rsid w:val="00DA6880"/>
    <w:rsid w:val="00DA6BD9"/>
    <w:rsid w:val="00DA6C5D"/>
    <w:rsid w:val="00DA6EDC"/>
    <w:rsid w:val="00DA6F8C"/>
    <w:rsid w:val="00DA703C"/>
    <w:rsid w:val="00DA7044"/>
    <w:rsid w:val="00DA7139"/>
    <w:rsid w:val="00DA7189"/>
    <w:rsid w:val="00DA72D1"/>
    <w:rsid w:val="00DA72FE"/>
    <w:rsid w:val="00DA7370"/>
    <w:rsid w:val="00DA73C5"/>
    <w:rsid w:val="00DA7466"/>
    <w:rsid w:val="00DA75A4"/>
    <w:rsid w:val="00DA767B"/>
    <w:rsid w:val="00DA79E0"/>
    <w:rsid w:val="00DB030B"/>
    <w:rsid w:val="00DB0357"/>
    <w:rsid w:val="00DB045A"/>
    <w:rsid w:val="00DB0660"/>
    <w:rsid w:val="00DB0693"/>
    <w:rsid w:val="00DB0970"/>
    <w:rsid w:val="00DB0C81"/>
    <w:rsid w:val="00DB0D28"/>
    <w:rsid w:val="00DB0F11"/>
    <w:rsid w:val="00DB0F9E"/>
    <w:rsid w:val="00DB100E"/>
    <w:rsid w:val="00DB115D"/>
    <w:rsid w:val="00DB1190"/>
    <w:rsid w:val="00DB1306"/>
    <w:rsid w:val="00DB162E"/>
    <w:rsid w:val="00DB1862"/>
    <w:rsid w:val="00DB1A22"/>
    <w:rsid w:val="00DB1AF2"/>
    <w:rsid w:val="00DB1CFE"/>
    <w:rsid w:val="00DB1EDD"/>
    <w:rsid w:val="00DB2247"/>
    <w:rsid w:val="00DB2311"/>
    <w:rsid w:val="00DB267A"/>
    <w:rsid w:val="00DB26C5"/>
    <w:rsid w:val="00DB29CF"/>
    <w:rsid w:val="00DB2A1F"/>
    <w:rsid w:val="00DB2C1C"/>
    <w:rsid w:val="00DB2F46"/>
    <w:rsid w:val="00DB2FC1"/>
    <w:rsid w:val="00DB31AA"/>
    <w:rsid w:val="00DB31CE"/>
    <w:rsid w:val="00DB3240"/>
    <w:rsid w:val="00DB3262"/>
    <w:rsid w:val="00DB3401"/>
    <w:rsid w:val="00DB353D"/>
    <w:rsid w:val="00DB37C5"/>
    <w:rsid w:val="00DB3973"/>
    <w:rsid w:val="00DB39F7"/>
    <w:rsid w:val="00DB3A11"/>
    <w:rsid w:val="00DB3BC1"/>
    <w:rsid w:val="00DB3DB9"/>
    <w:rsid w:val="00DB3E4D"/>
    <w:rsid w:val="00DB401A"/>
    <w:rsid w:val="00DB43FB"/>
    <w:rsid w:val="00DB4418"/>
    <w:rsid w:val="00DB4594"/>
    <w:rsid w:val="00DB45F6"/>
    <w:rsid w:val="00DB46A8"/>
    <w:rsid w:val="00DB4835"/>
    <w:rsid w:val="00DB49CD"/>
    <w:rsid w:val="00DB4A0E"/>
    <w:rsid w:val="00DB4A30"/>
    <w:rsid w:val="00DB4AA3"/>
    <w:rsid w:val="00DB4BDF"/>
    <w:rsid w:val="00DB4E3D"/>
    <w:rsid w:val="00DB4EB2"/>
    <w:rsid w:val="00DB50D0"/>
    <w:rsid w:val="00DB512A"/>
    <w:rsid w:val="00DB52D1"/>
    <w:rsid w:val="00DB56DF"/>
    <w:rsid w:val="00DB56F3"/>
    <w:rsid w:val="00DB5909"/>
    <w:rsid w:val="00DB5C5F"/>
    <w:rsid w:val="00DB5CE3"/>
    <w:rsid w:val="00DB5D28"/>
    <w:rsid w:val="00DB5E64"/>
    <w:rsid w:val="00DB60AD"/>
    <w:rsid w:val="00DB6146"/>
    <w:rsid w:val="00DB6481"/>
    <w:rsid w:val="00DB64A7"/>
    <w:rsid w:val="00DB64DE"/>
    <w:rsid w:val="00DB64E0"/>
    <w:rsid w:val="00DB6531"/>
    <w:rsid w:val="00DB67A3"/>
    <w:rsid w:val="00DB6896"/>
    <w:rsid w:val="00DB68A4"/>
    <w:rsid w:val="00DB68FF"/>
    <w:rsid w:val="00DB6AF0"/>
    <w:rsid w:val="00DB6B8D"/>
    <w:rsid w:val="00DB6CCC"/>
    <w:rsid w:val="00DB6D59"/>
    <w:rsid w:val="00DB7019"/>
    <w:rsid w:val="00DB7037"/>
    <w:rsid w:val="00DB71DA"/>
    <w:rsid w:val="00DB7218"/>
    <w:rsid w:val="00DB7230"/>
    <w:rsid w:val="00DB75A8"/>
    <w:rsid w:val="00DB76A3"/>
    <w:rsid w:val="00DB786C"/>
    <w:rsid w:val="00DB7912"/>
    <w:rsid w:val="00DB7C07"/>
    <w:rsid w:val="00DB7E20"/>
    <w:rsid w:val="00DB7E57"/>
    <w:rsid w:val="00DC0212"/>
    <w:rsid w:val="00DC03E7"/>
    <w:rsid w:val="00DC0446"/>
    <w:rsid w:val="00DC074E"/>
    <w:rsid w:val="00DC07EE"/>
    <w:rsid w:val="00DC0EBC"/>
    <w:rsid w:val="00DC0F52"/>
    <w:rsid w:val="00DC1384"/>
    <w:rsid w:val="00DC1722"/>
    <w:rsid w:val="00DC1B04"/>
    <w:rsid w:val="00DC1CA6"/>
    <w:rsid w:val="00DC1D5F"/>
    <w:rsid w:val="00DC1E5E"/>
    <w:rsid w:val="00DC2439"/>
    <w:rsid w:val="00DC255E"/>
    <w:rsid w:val="00DC2828"/>
    <w:rsid w:val="00DC2BA5"/>
    <w:rsid w:val="00DC2CC6"/>
    <w:rsid w:val="00DC2CED"/>
    <w:rsid w:val="00DC2CEE"/>
    <w:rsid w:val="00DC30AA"/>
    <w:rsid w:val="00DC3260"/>
    <w:rsid w:val="00DC32BA"/>
    <w:rsid w:val="00DC33FF"/>
    <w:rsid w:val="00DC34F3"/>
    <w:rsid w:val="00DC3623"/>
    <w:rsid w:val="00DC3858"/>
    <w:rsid w:val="00DC3C5E"/>
    <w:rsid w:val="00DC3EF8"/>
    <w:rsid w:val="00DC41E2"/>
    <w:rsid w:val="00DC44E3"/>
    <w:rsid w:val="00DC454D"/>
    <w:rsid w:val="00DC4595"/>
    <w:rsid w:val="00DC45AA"/>
    <w:rsid w:val="00DC47AD"/>
    <w:rsid w:val="00DC49B1"/>
    <w:rsid w:val="00DC49FF"/>
    <w:rsid w:val="00DC4A4C"/>
    <w:rsid w:val="00DC4B40"/>
    <w:rsid w:val="00DC4CDF"/>
    <w:rsid w:val="00DC4D86"/>
    <w:rsid w:val="00DC4D91"/>
    <w:rsid w:val="00DC4EB7"/>
    <w:rsid w:val="00DC5239"/>
    <w:rsid w:val="00DC5555"/>
    <w:rsid w:val="00DC555C"/>
    <w:rsid w:val="00DC55A0"/>
    <w:rsid w:val="00DC55C3"/>
    <w:rsid w:val="00DC5820"/>
    <w:rsid w:val="00DC5EB6"/>
    <w:rsid w:val="00DC5FAC"/>
    <w:rsid w:val="00DC5FB7"/>
    <w:rsid w:val="00DC5FD8"/>
    <w:rsid w:val="00DC619A"/>
    <w:rsid w:val="00DC6605"/>
    <w:rsid w:val="00DC666D"/>
    <w:rsid w:val="00DC67C5"/>
    <w:rsid w:val="00DC68C7"/>
    <w:rsid w:val="00DC6CB1"/>
    <w:rsid w:val="00DC6F8F"/>
    <w:rsid w:val="00DC7068"/>
    <w:rsid w:val="00DC7434"/>
    <w:rsid w:val="00DC748B"/>
    <w:rsid w:val="00DC7580"/>
    <w:rsid w:val="00DC77E6"/>
    <w:rsid w:val="00DC79CA"/>
    <w:rsid w:val="00DC7E07"/>
    <w:rsid w:val="00DC7EFC"/>
    <w:rsid w:val="00DD0159"/>
    <w:rsid w:val="00DD023D"/>
    <w:rsid w:val="00DD0C36"/>
    <w:rsid w:val="00DD0C5E"/>
    <w:rsid w:val="00DD0CDE"/>
    <w:rsid w:val="00DD0E0C"/>
    <w:rsid w:val="00DD0E41"/>
    <w:rsid w:val="00DD0FD4"/>
    <w:rsid w:val="00DD105A"/>
    <w:rsid w:val="00DD10FD"/>
    <w:rsid w:val="00DD1212"/>
    <w:rsid w:val="00DD1590"/>
    <w:rsid w:val="00DD17F1"/>
    <w:rsid w:val="00DD1B2A"/>
    <w:rsid w:val="00DD24B5"/>
    <w:rsid w:val="00DD2870"/>
    <w:rsid w:val="00DD2A00"/>
    <w:rsid w:val="00DD2AB0"/>
    <w:rsid w:val="00DD2C27"/>
    <w:rsid w:val="00DD2EBD"/>
    <w:rsid w:val="00DD30C4"/>
    <w:rsid w:val="00DD341D"/>
    <w:rsid w:val="00DD3476"/>
    <w:rsid w:val="00DD3889"/>
    <w:rsid w:val="00DD3919"/>
    <w:rsid w:val="00DD3A01"/>
    <w:rsid w:val="00DD3ADC"/>
    <w:rsid w:val="00DD3AE5"/>
    <w:rsid w:val="00DD3AED"/>
    <w:rsid w:val="00DD3E61"/>
    <w:rsid w:val="00DD3E86"/>
    <w:rsid w:val="00DD4004"/>
    <w:rsid w:val="00DD421B"/>
    <w:rsid w:val="00DD432D"/>
    <w:rsid w:val="00DD4443"/>
    <w:rsid w:val="00DD45AF"/>
    <w:rsid w:val="00DD4743"/>
    <w:rsid w:val="00DD48CD"/>
    <w:rsid w:val="00DD4947"/>
    <w:rsid w:val="00DD4C04"/>
    <w:rsid w:val="00DD5138"/>
    <w:rsid w:val="00DD51AC"/>
    <w:rsid w:val="00DD55A2"/>
    <w:rsid w:val="00DD5749"/>
    <w:rsid w:val="00DD582E"/>
    <w:rsid w:val="00DD5914"/>
    <w:rsid w:val="00DD59EF"/>
    <w:rsid w:val="00DD5BBF"/>
    <w:rsid w:val="00DD5E67"/>
    <w:rsid w:val="00DD5F44"/>
    <w:rsid w:val="00DD631B"/>
    <w:rsid w:val="00DD637C"/>
    <w:rsid w:val="00DD6474"/>
    <w:rsid w:val="00DD6484"/>
    <w:rsid w:val="00DD6518"/>
    <w:rsid w:val="00DD6537"/>
    <w:rsid w:val="00DD6666"/>
    <w:rsid w:val="00DD6667"/>
    <w:rsid w:val="00DD67C9"/>
    <w:rsid w:val="00DD68BE"/>
    <w:rsid w:val="00DD69BD"/>
    <w:rsid w:val="00DD6A62"/>
    <w:rsid w:val="00DD6C0B"/>
    <w:rsid w:val="00DD6CDA"/>
    <w:rsid w:val="00DD6F88"/>
    <w:rsid w:val="00DD6F9B"/>
    <w:rsid w:val="00DD7066"/>
    <w:rsid w:val="00DD74A2"/>
    <w:rsid w:val="00DD780A"/>
    <w:rsid w:val="00DD787F"/>
    <w:rsid w:val="00DD7DB3"/>
    <w:rsid w:val="00DD7DF2"/>
    <w:rsid w:val="00DD7EF2"/>
    <w:rsid w:val="00DE0157"/>
    <w:rsid w:val="00DE02D0"/>
    <w:rsid w:val="00DE03B7"/>
    <w:rsid w:val="00DE03DC"/>
    <w:rsid w:val="00DE0485"/>
    <w:rsid w:val="00DE05F1"/>
    <w:rsid w:val="00DE0677"/>
    <w:rsid w:val="00DE07B8"/>
    <w:rsid w:val="00DE0827"/>
    <w:rsid w:val="00DE0841"/>
    <w:rsid w:val="00DE0982"/>
    <w:rsid w:val="00DE09AB"/>
    <w:rsid w:val="00DE0A1C"/>
    <w:rsid w:val="00DE0BFB"/>
    <w:rsid w:val="00DE0C8D"/>
    <w:rsid w:val="00DE104B"/>
    <w:rsid w:val="00DE1214"/>
    <w:rsid w:val="00DE13B7"/>
    <w:rsid w:val="00DE1404"/>
    <w:rsid w:val="00DE16BA"/>
    <w:rsid w:val="00DE19A6"/>
    <w:rsid w:val="00DE1D06"/>
    <w:rsid w:val="00DE1F87"/>
    <w:rsid w:val="00DE2244"/>
    <w:rsid w:val="00DE2628"/>
    <w:rsid w:val="00DE2A18"/>
    <w:rsid w:val="00DE2D54"/>
    <w:rsid w:val="00DE3219"/>
    <w:rsid w:val="00DE3254"/>
    <w:rsid w:val="00DE3512"/>
    <w:rsid w:val="00DE3614"/>
    <w:rsid w:val="00DE37A3"/>
    <w:rsid w:val="00DE37E5"/>
    <w:rsid w:val="00DE383B"/>
    <w:rsid w:val="00DE3A49"/>
    <w:rsid w:val="00DE3AEC"/>
    <w:rsid w:val="00DE3B94"/>
    <w:rsid w:val="00DE3CBF"/>
    <w:rsid w:val="00DE3E31"/>
    <w:rsid w:val="00DE4880"/>
    <w:rsid w:val="00DE48EC"/>
    <w:rsid w:val="00DE498D"/>
    <w:rsid w:val="00DE49BE"/>
    <w:rsid w:val="00DE49E3"/>
    <w:rsid w:val="00DE4AAD"/>
    <w:rsid w:val="00DE4D4D"/>
    <w:rsid w:val="00DE4DD5"/>
    <w:rsid w:val="00DE4E6D"/>
    <w:rsid w:val="00DE4F16"/>
    <w:rsid w:val="00DE5018"/>
    <w:rsid w:val="00DE508C"/>
    <w:rsid w:val="00DE5405"/>
    <w:rsid w:val="00DE5437"/>
    <w:rsid w:val="00DE57A4"/>
    <w:rsid w:val="00DE57D7"/>
    <w:rsid w:val="00DE5D77"/>
    <w:rsid w:val="00DE5D82"/>
    <w:rsid w:val="00DE5EA4"/>
    <w:rsid w:val="00DE60B5"/>
    <w:rsid w:val="00DE61A2"/>
    <w:rsid w:val="00DE6576"/>
    <w:rsid w:val="00DE676B"/>
    <w:rsid w:val="00DE6A8D"/>
    <w:rsid w:val="00DE6B71"/>
    <w:rsid w:val="00DE6BC2"/>
    <w:rsid w:val="00DE6D2C"/>
    <w:rsid w:val="00DE70FD"/>
    <w:rsid w:val="00DE7942"/>
    <w:rsid w:val="00DE7AB6"/>
    <w:rsid w:val="00DE7AF1"/>
    <w:rsid w:val="00DE7B03"/>
    <w:rsid w:val="00DF000E"/>
    <w:rsid w:val="00DF0142"/>
    <w:rsid w:val="00DF0397"/>
    <w:rsid w:val="00DF0489"/>
    <w:rsid w:val="00DF06C1"/>
    <w:rsid w:val="00DF0709"/>
    <w:rsid w:val="00DF08E8"/>
    <w:rsid w:val="00DF0919"/>
    <w:rsid w:val="00DF095D"/>
    <w:rsid w:val="00DF0A4B"/>
    <w:rsid w:val="00DF0B95"/>
    <w:rsid w:val="00DF0C55"/>
    <w:rsid w:val="00DF0CAC"/>
    <w:rsid w:val="00DF0EF3"/>
    <w:rsid w:val="00DF0F4F"/>
    <w:rsid w:val="00DF1039"/>
    <w:rsid w:val="00DF119C"/>
    <w:rsid w:val="00DF1400"/>
    <w:rsid w:val="00DF14DE"/>
    <w:rsid w:val="00DF1647"/>
    <w:rsid w:val="00DF191E"/>
    <w:rsid w:val="00DF1993"/>
    <w:rsid w:val="00DF1B0B"/>
    <w:rsid w:val="00DF1C19"/>
    <w:rsid w:val="00DF1CA8"/>
    <w:rsid w:val="00DF2052"/>
    <w:rsid w:val="00DF2228"/>
    <w:rsid w:val="00DF238C"/>
    <w:rsid w:val="00DF2B0A"/>
    <w:rsid w:val="00DF3086"/>
    <w:rsid w:val="00DF30FB"/>
    <w:rsid w:val="00DF30FC"/>
    <w:rsid w:val="00DF33ED"/>
    <w:rsid w:val="00DF380C"/>
    <w:rsid w:val="00DF3871"/>
    <w:rsid w:val="00DF387C"/>
    <w:rsid w:val="00DF38B9"/>
    <w:rsid w:val="00DF3CB2"/>
    <w:rsid w:val="00DF3CBD"/>
    <w:rsid w:val="00DF3F49"/>
    <w:rsid w:val="00DF41A8"/>
    <w:rsid w:val="00DF4225"/>
    <w:rsid w:val="00DF4288"/>
    <w:rsid w:val="00DF4388"/>
    <w:rsid w:val="00DF4449"/>
    <w:rsid w:val="00DF45E7"/>
    <w:rsid w:val="00DF4614"/>
    <w:rsid w:val="00DF475F"/>
    <w:rsid w:val="00DF4A33"/>
    <w:rsid w:val="00DF4B83"/>
    <w:rsid w:val="00DF4CB4"/>
    <w:rsid w:val="00DF56CC"/>
    <w:rsid w:val="00DF5A5E"/>
    <w:rsid w:val="00DF5B9B"/>
    <w:rsid w:val="00DF5D4D"/>
    <w:rsid w:val="00DF5E90"/>
    <w:rsid w:val="00DF5EB5"/>
    <w:rsid w:val="00DF6022"/>
    <w:rsid w:val="00DF60C3"/>
    <w:rsid w:val="00DF62B8"/>
    <w:rsid w:val="00DF62F3"/>
    <w:rsid w:val="00DF63BE"/>
    <w:rsid w:val="00DF651D"/>
    <w:rsid w:val="00DF6589"/>
    <w:rsid w:val="00DF6742"/>
    <w:rsid w:val="00DF6962"/>
    <w:rsid w:val="00DF6A3E"/>
    <w:rsid w:val="00DF6C8D"/>
    <w:rsid w:val="00DF6D10"/>
    <w:rsid w:val="00DF6E45"/>
    <w:rsid w:val="00DF6FEF"/>
    <w:rsid w:val="00DF73D2"/>
    <w:rsid w:val="00DF7568"/>
    <w:rsid w:val="00DF76BC"/>
    <w:rsid w:val="00DF7830"/>
    <w:rsid w:val="00DF79E8"/>
    <w:rsid w:val="00DF7AED"/>
    <w:rsid w:val="00DF7B25"/>
    <w:rsid w:val="00DF7E50"/>
    <w:rsid w:val="00DF7F07"/>
    <w:rsid w:val="00E0010D"/>
    <w:rsid w:val="00E001DF"/>
    <w:rsid w:val="00E00279"/>
    <w:rsid w:val="00E002F2"/>
    <w:rsid w:val="00E003CC"/>
    <w:rsid w:val="00E005D8"/>
    <w:rsid w:val="00E007A7"/>
    <w:rsid w:val="00E007D2"/>
    <w:rsid w:val="00E00936"/>
    <w:rsid w:val="00E009C2"/>
    <w:rsid w:val="00E00A67"/>
    <w:rsid w:val="00E00B67"/>
    <w:rsid w:val="00E00BDC"/>
    <w:rsid w:val="00E00DD4"/>
    <w:rsid w:val="00E00F26"/>
    <w:rsid w:val="00E010B0"/>
    <w:rsid w:val="00E010DD"/>
    <w:rsid w:val="00E0121D"/>
    <w:rsid w:val="00E01281"/>
    <w:rsid w:val="00E01455"/>
    <w:rsid w:val="00E016B9"/>
    <w:rsid w:val="00E01771"/>
    <w:rsid w:val="00E01918"/>
    <w:rsid w:val="00E01940"/>
    <w:rsid w:val="00E019A0"/>
    <w:rsid w:val="00E01AFA"/>
    <w:rsid w:val="00E01DAB"/>
    <w:rsid w:val="00E01DEE"/>
    <w:rsid w:val="00E01E8A"/>
    <w:rsid w:val="00E02242"/>
    <w:rsid w:val="00E02322"/>
    <w:rsid w:val="00E023B8"/>
    <w:rsid w:val="00E02440"/>
    <w:rsid w:val="00E02900"/>
    <w:rsid w:val="00E0298F"/>
    <w:rsid w:val="00E02A5C"/>
    <w:rsid w:val="00E02B86"/>
    <w:rsid w:val="00E02FCE"/>
    <w:rsid w:val="00E0300F"/>
    <w:rsid w:val="00E030AC"/>
    <w:rsid w:val="00E03A18"/>
    <w:rsid w:val="00E03A6B"/>
    <w:rsid w:val="00E03BEA"/>
    <w:rsid w:val="00E03DA6"/>
    <w:rsid w:val="00E03DC1"/>
    <w:rsid w:val="00E03EB3"/>
    <w:rsid w:val="00E03EDA"/>
    <w:rsid w:val="00E03FC3"/>
    <w:rsid w:val="00E04092"/>
    <w:rsid w:val="00E040E5"/>
    <w:rsid w:val="00E040F8"/>
    <w:rsid w:val="00E0432B"/>
    <w:rsid w:val="00E0460D"/>
    <w:rsid w:val="00E04840"/>
    <w:rsid w:val="00E04851"/>
    <w:rsid w:val="00E04C5D"/>
    <w:rsid w:val="00E04D57"/>
    <w:rsid w:val="00E04E2E"/>
    <w:rsid w:val="00E04E31"/>
    <w:rsid w:val="00E04F1E"/>
    <w:rsid w:val="00E04FC5"/>
    <w:rsid w:val="00E04FF9"/>
    <w:rsid w:val="00E0521B"/>
    <w:rsid w:val="00E0535F"/>
    <w:rsid w:val="00E05433"/>
    <w:rsid w:val="00E05E2E"/>
    <w:rsid w:val="00E05E66"/>
    <w:rsid w:val="00E060C5"/>
    <w:rsid w:val="00E0617B"/>
    <w:rsid w:val="00E0684B"/>
    <w:rsid w:val="00E06972"/>
    <w:rsid w:val="00E06995"/>
    <w:rsid w:val="00E0700A"/>
    <w:rsid w:val="00E071A1"/>
    <w:rsid w:val="00E073A5"/>
    <w:rsid w:val="00E075A0"/>
    <w:rsid w:val="00E07648"/>
    <w:rsid w:val="00E07DB6"/>
    <w:rsid w:val="00E1014F"/>
    <w:rsid w:val="00E103E6"/>
    <w:rsid w:val="00E109FF"/>
    <w:rsid w:val="00E10E99"/>
    <w:rsid w:val="00E10FBC"/>
    <w:rsid w:val="00E111F8"/>
    <w:rsid w:val="00E1143C"/>
    <w:rsid w:val="00E116F9"/>
    <w:rsid w:val="00E117E5"/>
    <w:rsid w:val="00E11C31"/>
    <w:rsid w:val="00E11E02"/>
    <w:rsid w:val="00E120F0"/>
    <w:rsid w:val="00E121BA"/>
    <w:rsid w:val="00E1227C"/>
    <w:rsid w:val="00E12367"/>
    <w:rsid w:val="00E123DA"/>
    <w:rsid w:val="00E1262B"/>
    <w:rsid w:val="00E12BC5"/>
    <w:rsid w:val="00E12D7E"/>
    <w:rsid w:val="00E12FF7"/>
    <w:rsid w:val="00E13020"/>
    <w:rsid w:val="00E1342F"/>
    <w:rsid w:val="00E135A1"/>
    <w:rsid w:val="00E13727"/>
    <w:rsid w:val="00E1388D"/>
    <w:rsid w:val="00E1389F"/>
    <w:rsid w:val="00E138B5"/>
    <w:rsid w:val="00E13B49"/>
    <w:rsid w:val="00E13FF2"/>
    <w:rsid w:val="00E14244"/>
    <w:rsid w:val="00E143E6"/>
    <w:rsid w:val="00E1445C"/>
    <w:rsid w:val="00E146BB"/>
    <w:rsid w:val="00E14708"/>
    <w:rsid w:val="00E1496E"/>
    <w:rsid w:val="00E149FA"/>
    <w:rsid w:val="00E14C0A"/>
    <w:rsid w:val="00E14D42"/>
    <w:rsid w:val="00E14D8C"/>
    <w:rsid w:val="00E14FCE"/>
    <w:rsid w:val="00E15324"/>
    <w:rsid w:val="00E15581"/>
    <w:rsid w:val="00E15582"/>
    <w:rsid w:val="00E15645"/>
    <w:rsid w:val="00E158C0"/>
    <w:rsid w:val="00E1597A"/>
    <w:rsid w:val="00E16312"/>
    <w:rsid w:val="00E16342"/>
    <w:rsid w:val="00E165A3"/>
    <w:rsid w:val="00E16729"/>
    <w:rsid w:val="00E167AB"/>
    <w:rsid w:val="00E167DF"/>
    <w:rsid w:val="00E168D0"/>
    <w:rsid w:val="00E168F5"/>
    <w:rsid w:val="00E169D2"/>
    <w:rsid w:val="00E16C08"/>
    <w:rsid w:val="00E16D20"/>
    <w:rsid w:val="00E16E5D"/>
    <w:rsid w:val="00E16EC7"/>
    <w:rsid w:val="00E16EF1"/>
    <w:rsid w:val="00E16FB6"/>
    <w:rsid w:val="00E1705E"/>
    <w:rsid w:val="00E172D1"/>
    <w:rsid w:val="00E1745A"/>
    <w:rsid w:val="00E1752D"/>
    <w:rsid w:val="00E175D1"/>
    <w:rsid w:val="00E1761D"/>
    <w:rsid w:val="00E17692"/>
    <w:rsid w:val="00E176C6"/>
    <w:rsid w:val="00E177A0"/>
    <w:rsid w:val="00E17935"/>
    <w:rsid w:val="00E17960"/>
    <w:rsid w:val="00E17F63"/>
    <w:rsid w:val="00E2011E"/>
    <w:rsid w:val="00E20230"/>
    <w:rsid w:val="00E203B2"/>
    <w:rsid w:val="00E2046F"/>
    <w:rsid w:val="00E20787"/>
    <w:rsid w:val="00E20B94"/>
    <w:rsid w:val="00E20D72"/>
    <w:rsid w:val="00E20DD7"/>
    <w:rsid w:val="00E20E83"/>
    <w:rsid w:val="00E20EE7"/>
    <w:rsid w:val="00E2112C"/>
    <w:rsid w:val="00E2124B"/>
    <w:rsid w:val="00E212B7"/>
    <w:rsid w:val="00E213CB"/>
    <w:rsid w:val="00E21472"/>
    <w:rsid w:val="00E21738"/>
    <w:rsid w:val="00E21958"/>
    <w:rsid w:val="00E21A4C"/>
    <w:rsid w:val="00E21BF2"/>
    <w:rsid w:val="00E21BF8"/>
    <w:rsid w:val="00E21DAF"/>
    <w:rsid w:val="00E22062"/>
    <w:rsid w:val="00E220E3"/>
    <w:rsid w:val="00E222A8"/>
    <w:rsid w:val="00E222F5"/>
    <w:rsid w:val="00E223B9"/>
    <w:rsid w:val="00E22400"/>
    <w:rsid w:val="00E22682"/>
    <w:rsid w:val="00E228AD"/>
    <w:rsid w:val="00E2292B"/>
    <w:rsid w:val="00E22C64"/>
    <w:rsid w:val="00E22ED1"/>
    <w:rsid w:val="00E22F05"/>
    <w:rsid w:val="00E23613"/>
    <w:rsid w:val="00E23673"/>
    <w:rsid w:val="00E2367F"/>
    <w:rsid w:val="00E236EB"/>
    <w:rsid w:val="00E237F3"/>
    <w:rsid w:val="00E237F6"/>
    <w:rsid w:val="00E238D1"/>
    <w:rsid w:val="00E23A9F"/>
    <w:rsid w:val="00E23D27"/>
    <w:rsid w:val="00E23EB2"/>
    <w:rsid w:val="00E24540"/>
    <w:rsid w:val="00E2468E"/>
    <w:rsid w:val="00E2470E"/>
    <w:rsid w:val="00E24751"/>
    <w:rsid w:val="00E25138"/>
    <w:rsid w:val="00E25146"/>
    <w:rsid w:val="00E251D9"/>
    <w:rsid w:val="00E25213"/>
    <w:rsid w:val="00E25297"/>
    <w:rsid w:val="00E252BE"/>
    <w:rsid w:val="00E2535E"/>
    <w:rsid w:val="00E25405"/>
    <w:rsid w:val="00E25414"/>
    <w:rsid w:val="00E2587F"/>
    <w:rsid w:val="00E25C18"/>
    <w:rsid w:val="00E25C3F"/>
    <w:rsid w:val="00E25DCE"/>
    <w:rsid w:val="00E25E28"/>
    <w:rsid w:val="00E2608F"/>
    <w:rsid w:val="00E2610C"/>
    <w:rsid w:val="00E2648F"/>
    <w:rsid w:val="00E265A2"/>
    <w:rsid w:val="00E267A2"/>
    <w:rsid w:val="00E268A5"/>
    <w:rsid w:val="00E26B53"/>
    <w:rsid w:val="00E26B88"/>
    <w:rsid w:val="00E26C73"/>
    <w:rsid w:val="00E26CEB"/>
    <w:rsid w:val="00E26F18"/>
    <w:rsid w:val="00E26FAC"/>
    <w:rsid w:val="00E27017"/>
    <w:rsid w:val="00E271E8"/>
    <w:rsid w:val="00E276F7"/>
    <w:rsid w:val="00E27778"/>
    <w:rsid w:val="00E277C5"/>
    <w:rsid w:val="00E2781C"/>
    <w:rsid w:val="00E278FE"/>
    <w:rsid w:val="00E2798B"/>
    <w:rsid w:val="00E279A3"/>
    <w:rsid w:val="00E27A6F"/>
    <w:rsid w:val="00E27B48"/>
    <w:rsid w:val="00E27B5F"/>
    <w:rsid w:val="00E27DBC"/>
    <w:rsid w:val="00E27DD4"/>
    <w:rsid w:val="00E27EBC"/>
    <w:rsid w:val="00E27F12"/>
    <w:rsid w:val="00E30081"/>
    <w:rsid w:val="00E3008F"/>
    <w:rsid w:val="00E3017E"/>
    <w:rsid w:val="00E309DB"/>
    <w:rsid w:val="00E30AFB"/>
    <w:rsid w:val="00E30CC6"/>
    <w:rsid w:val="00E30D6D"/>
    <w:rsid w:val="00E30DF8"/>
    <w:rsid w:val="00E30F2E"/>
    <w:rsid w:val="00E30F4D"/>
    <w:rsid w:val="00E31009"/>
    <w:rsid w:val="00E310F3"/>
    <w:rsid w:val="00E31132"/>
    <w:rsid w:val="00E312E4"/>
    <w:rsid w:val="00E3136B"/>
    <w:rsid w:val="00E315C1"/>
    <w:rsid w:val="00E31793"/>
    <w:rsid w:val="00E317B5"/>
    <w:rsid w:val="00E31B45"/>
    <w:rsid w:val="00E31C01"/>
    <w:rsid w:val="00E31E36"/>
    <w:rsid w:val="00E32243"/>
    <w:rsid w:val="00E32641"/>
    <w:rsid w:val="00E32680"/>
    <w:rsid w:val="00E327A6"/>
    <w:rsid w:val="00E327D4"/>
    <w:rsid w:val="00E3280F"/>
    <w:rsid w:val="00E3288C"/>
    <w:rsid w:val="00E330A0"/>
    <w:rsid w:val="00E330E6"/>
    <w:rsid w:val="00E3313B"/>
    <w:rsid w:val="00E33177"/>
    <w:rsid w:val="00E3326F"/>
    <w:rsid w:val="00E33408"/>
    <w:rsid w:val="00E334A4"/>
    <w:rsid w:val="00E335C5"/>
    <w:rsid w:val="00E338C2"/>
    <w:rsid w:val="00E338E3"/>
    <w:rsid w:val="00E33938"/>
    <w:rsid w:val="00E33E26"/>
    <w:rsid w:val="00E33E38"/>
    <w:rsid w:val="00E34462"/>
    <w:rsid w:val="00E34653"/>
    <w:rsid w:val="00E346BE"/>
    <w:rsid w:val="00E34741"/>
    <w:rsid w:val="00E34961"/>
    <w:rsid w:val="00E34E50"/>
    <w:rsid w:val="00E34EFF"/>
    <w:rsid w:val="00E355A6"/>
    <w:rsid w:val="00E35689"/>
    <w:rsid w:val="00E3582D"/>
    <w:rsid w:val="00E3586E"/>
    <w:rsid w:val="00E359B4"/>
    <w:rsid w:val="00E35B35"/>
    <w:rsid w:val="00E35EAE"/>
    <w:rsid w:val="00E363BC"/>
    <w:rsid w:val="00E3640E"/>
    <w:rsid w:val="00E36515"/>
    <w:rsid w:val="00E3661A"/>
    <w:rsid w:val="00E36730"/>
    <w:rsid w:val="00E36763"/>
    <w:rsid w:val="00E368C3"/>
    <w:rsid w:val="00E36942"/>
    <w:rsid w:val="00E36A76"/>
    <w:rsid w:val="00E36B40"/>
    <w:rsid w:val="00E36F7B"/>
    <w:rsid w:val="00E3743F"/>
    <w:rsid w:val="00E3764A"/>
    <w:rsid w:val="00E37843"/>
    <w:rsid w:val="00E378D0"/>
    <w:rsid w:val="00E37B46"/>
    <w:rsid w:val="00E37BDC"/>
    <w:rsid w:val="00E37C0D"/>
    <w:rsid w:val="00E37DCD"/>
    <w:rsid w:val="00E37DD9"/>
    <w:rsid w:val="00E40168"/>
    <w:rsid w:val="00E40185"/>
    <w:rsid w:val="00E402C8"/>
    <w:rsid w:val="00E403FE"/>
    <w:rsid w:val="00E404EB"/>
    <w:rsid w:val="00E4093F"/>
    <w:rsid w:val="00E409DB"/>
    <w:rsid w:val="00E409E6"/>
    <w:rsid w:val="00E40E12"/>
    <w:rsid w:val="00E40F4F"/>
    <w:rsid w:val="00E40F86"/>
    <w:rsid w:val="00E41151"/>
    <w:rsid w:val="00E41274"/>
    <w:rsid w:val="00E4157F"/>
    <w:rsid w:val="00E415B2"/>
    <w:rsid w:val="00E416EE"/>
    <w:rsid w:val="00E41B51"/>
    <w:rsid w:val="00E41DE9"/>
    <w:rsid w:val="00E41F4A"/>
    <w:rsid w:val="00E41F53"/>
    <w:rsid w:val="00E42298"/>
    <w:rsid w:val="00E4239A"/>
    <w:rsid w:val="00E423B4"/>
    <w:rsid w:val="00E4281F"/>
    <w:rsid w:val="00E42AAD"/>
    <w:rsid w:val="00E42AB4"/>
    <w:rsid w:val="00E42C93"/>
    <w:rsid w:val="00E42FC0"/>
    <w:rsid w:val="00E4318E"/>
    <w:rsid w:val="00E43431"/>
    <w:rsid w:val="00E434B7"/>
    <w:rsid w:val="00E436EC"/>
    <w:rsid w:val="00E43762"/>
    <w:rsid w:val="00E4381A"/>
    <w:rsid w:val="00E43844"/>
    <w:rsid w:val="00E438DF"/>
    <w:rsid w:val="00E43A72"/>
    <w:rsid w:val="00E43C06"/>
    <w:rsid w:val="00E43E9C"/>
    <w:rsid w:val="00E43EC1"/>
    <w:rsid w:val="00E43EF8"/>
    <w:rsid w:val="00E443DA"/>
    <w:rsid w:val="00E4442D"/>
    <w:rsid w:val="00E4498A"/>
    <w:rsid w:val="00E449B1"/>
    <w:rsid w:val="00E449B6"/>
    <w:rsid w:val="00E44AB3"/>
    <w:rsid w:val="00E44D6A"/>
    <w:rsid w:val="00E44E0A"/>
    <w:rsid w:val="00E44E6E"/>
    <w:rsid w:val="00E44F03"/>
    <w:rsid w:val="00E450C3"/>
    <w:rsid w:val="00E45372"/>
    <w:rsid w:val="00E453C7"/>
    <w:rsid w:val="00E453C9"/>
    <w:rsid w:val="00E453F5"/>
    <w:rsid w:val="00E45858"/>
    <w:rsid w:val="00E45859"/>
    <w:rsid w:val="00E458DE"/>
    <w:rsid w:val="00E45934"/>
    <w:rsid w:val="00E45A36"/>
    <w:rsid w:val="00E45CDC"/>
    <w:rsid w:val="00E45DB6"/>
    <w:rsid w:val="00E4602B"/>
    <w:rsid w:val="00E4628C"/>
    <w:rsid w:val="00E463CB"/>
    <w:rsid w:val="00E463CF"/>
    <w:rsid w:val="00E4641F"/>
    <w:rsid w:val="00E46468"/>
    <w:rsid w:val="00E46487"/>
    <w:rsid w:val="00E467E9"/>
    <w:rsid w:val="00E4681C"/>
    <w:rsid w:val="00E4696C"/>
    <w:rsid w:val="00E46CC6"/>
    <w:rsid w:val="00E46CED"/>
    <w:rsid w:val="00E471AA"/>
    <w:rsid w:val="00E472B1"/>
    <w:rsid w:val="00E4731F"/>
    <w:rsid w:val="00E47378"/>
    <w:rsid w:val="00E474FB"/>
    <w:rsid w:val="00E479D8"/>
    <w:rsid w:val="00E47A83"/>
    <w:rsid w:val="00E47AE8"/>
    <w:rsid w:val="00E47B31"/>
    <w:rsid w:val="00E47BBE"/>
    <w:rsid w:val="00E47BD4"/>
    <w:rsid w:val="00E47C3A"/>
    <w:rsid w:val="00E47CD7"/>
    <w:rsid w:val="00E47D67"/>
    <w:rsid w:val="00E501F7"/>
    <w:rsid w:val="00E503C2"/>
    <w:rsid w:val="00E50603"/>
    <w:rsid w:val="00E506A9"/>
    <w:rsid w:val="00E5082D"/>
    <w:rsid w:val="00E5087E"/>
    <w:rsid w:val="00E50AC7"/>
    <w:rsid w:val="00E50D43"/>
    <w:rsid w:val="00E50E9C"/>
    <w:rsid w:val="00E50F87"/>
    <w:rsid w:val="00E5121E"/>
    <w:rsid w:val="00E512A0"/>
    <w:rsid w:val="00E512B5"/>
    <w:rsid w:val="00E51348"/>
    <w:rsid w:val="00E51ADC"/>
    <w:rsid w:val="00E51C7D"/>
    <w:rsid w:val="00E51D7E"/>
    <w:rsid w:val="00E51EFE"/>
    <w:rsid w:val="00E520B6"/>
    <w:rsid w:val="00E520E2"/>
    <w:rsid w:val="00E5243A"/>
    <w:rsid w:val="00E527A0"/>
    <w:rsid w:val="00E528B4"/>
    <w:rsid w:val="00E52DC7"/>
    <w:rsid w:val="00E52EF1"/>
    <w:rsid w:val="00E52FA8"/>
    <w:rsid w:val="00E530F1"/>
    <w:rsid w:val="00E5352A"/>
    <w:rsid w:val="00E535F0"/>
    <w:rsid w:val="00E536DE"/>
    <w:rsid w:val="00E53A48"/>
    <w:rsid w:val="00E53B2B"/>
    <w:rsid w:val="00E53DC7"/>
    <w:rsid w:val="00E53FCC"/>
    <w:rsid w:val="00E540F6"/>
    <w:rsid w:val="00E5428E"/>
    <w:rsid w:val="00E543E8"/>
    <w:rsid w:val="00E5448F"/>
    <w:rsid w:val="00E545C9"/>
    <w:rsid w:val="00E546D2"/>
    <w:rsid w:val="00E5476E"/>
    <w:rsid w:val="00E54AAA"/>
    <w:rsid w:val="00E54D71"/>
    <w:rsid w:val="00E54E7B"/>
    <w:rsid w:val="00E54EB2"/>
    <w:rsid w:val="00E551DA"/>
    <w:rsid w:val="00E5525C"/>
    <w:rsid w:val="00E5545F"/>
    <w:rsid w:val="00E5548B"/>
    <w:rsid w:val="00E554E8"/>
    <w:rsid w:val="00E5582C"/>
    <w:rsid w:val="00E5587F"/>
    <w:rsid w:val="00E559A8"/>
    <w:rsid w:val="00E55A48"/>
    <w:rsid w:val="00E55C93"/>
    <w:rsid w:val="00E55D65"/>
    <w:rsid w:val="00E55F9B"/>
    <w:rsid w:val="00E5600D"/>
    <w:rsid w:val="00E56019"/>
    <w:rsid w:val="00E563FF"/>
    <w:rsid w:val="00E5647B"/>
    <w:rsid w:val="00E5669B"/>
    <w:rsid w:val="00E567B3"/>
    <w:rsid w:val="00E56889"/>
    <w:rsid w:val="00E5696F"/>
    <w:rsid w:val="00E56ECF"/>
    <w:rsid w:val="00E56FCC"/>
    <w:rsid w:val="00E56FEF"/>
    <w:rsid w:val="00E57222"/>
    <w:rsid w:val="00E57262"/>
    <w:rsid w:val="00E574A9"/>
    <w:rsid w:val="00E57BC1"/>
    <w:rsid w:val="00E57C55"/>
    <w:rsid w:val="00E57C6F"/>
    <w:rsid w:val="00E6021D"/>
    <w:rsid w:val="00E60422"/>
    <w:rsid w:val="00E604D5"/>
    <w:rsid w:val="00E60650"/>
    <w:rsid w:val="00E608CA"/>
    <w:rsid w:val="00E60C40"/>
    <w:rsid w:val="00E60C78"/>
    <w:rsid w:val="00E60E61"/>
    <w:rsid w:val="00E61355"/>
    <w:rsid w:val="00E613BC"/>
    <w:rsid w:val="00E61468"/>
    <w:rsid w:val="00E6178C"/>
    <w:rsid w:val="00E61AF6"/>
    <w:rsid w:val="00E61B8C"/>
    <w:rsid w:val="00E61C1D"/>
    <w:rsid w:val="00E61C43"/>
    <w:rsid w:val="00E61CCB"/>
    <w:rsid w:val="00E61D01"/>
    <w:rsid w:val="00E61F1E"/>
    <w:rsid w:val="00E61F39"/>
    <w:rsid w:val="00E62062"/>
    <w:rsid w:val="00E62125"/>
    <w:rsid w:val="00E62155"/>
    <w:rsid w:val="00E621C0"/>
    <w:rsid w:val="00E621C3"/>
    <w:rsid w:val="00E62215"/>
    <w:rsid w:val="00E6256D"/>
    <w:rsid w:val="00E625D4"/>
    <w:rsid w:val="00E62696"/>
    <w:rsid w:val="00E628E9"/>
    <w:rsid w:val="00E629A2"/>
    <w:rsid w:val="00E62A76"/>
    <w:rsid w:val="00E62CCC"/>
    <w:rsid w:val="00E62D05"/>
    <w:rsid w:val="00E62DDA"/>
    <w:rsid w:val="00E62EBC"/>
    <w:rsid w:val="00E62F63"/>
    <w:rsid w:val="00E6312C"/>
    <w:rsid w:val="00E632BE"/>
    <w:rsid w:val="00E633E1"/>
    <w:rsid w:val="00E6354F"/>
    <w:rsid w:val="00E6378D"/>
    <w:rsid w:val="00E63A00"/>
    <w:rsid w:val="00E63E4F"/>
    <w:rsid w:val="00E641D2"/>
    <w:rsid w:val="00E64243"/>
    <w:rsid w:val="00E644C8"/>
    <w:rsid w:val="00E6452C"/>
    <w:rsid w:val="00E647AF"/>
    <w:rsid w:val="00E648C1"/>
    <w:rsid w:val="00E648C9"/>
    <w:rsid w:val="00E648E9"/>
    <w:rsid w:val="00E649B2"/>
    <w:rsid w:val="00E6501B"/>
    <w:rsid w:val="00E65033"/>
    <w:rsid w:val="00E652E3"/>
    <w:rsid w:val="00E65666"/>
    <w:rsid w:val="00E65740"/>
    <w:rsid w:val="00E65837"/>
    <w:rsid w:val="00E658B5"/>
    <w:rsid w:val="00E65949"/>
    <w:rsid w:val="00E6596B"/>
    <w:rsid w:val="00E65B37"/>
    <w:rsid w:val="00E65B4D"/>
    <w:rsid w:val="00E65EF3"/>
    <w:rsid w:val="00E65F22"/>
    <w:rsid w:val="00E6616C"/>
    <w:rsid w:val="00E66384"/>
    <w:rsid w:val="00E6649D"/>
    <w:rsid w:val="00E66861"/>
    <w:rsid w:val="00E66B15"/>
    <w:rsid w:val="00E66CC0"/>
    <w:rsid w:val="00E66E21"/>
    <w:rsid w:val="00E67062"/>
    <w:rsid w:val="00E67063"/>
    <w:rsid w:val="00E67324"/>
    <w:rsid w:val="00E674CC"/>
    <w:rsid w:val="00E67B06"/>
    <w:rsid w:val="00E67D87"/>
    <w:rsid w:val="00E67E1F"/>
    <w:rsid w:val="00E67EE3"/>
    <w:rsid w:val="00E67F3D"/>
    <w:rsid w:val="00E67F6E"/>
    <w:rsid w:val="00E7008E"/>
    <w:rsid w:val="00E701AC"/>
    <w:rsid w:val="00E70262"/>
    <w:rsid w:val="00E70426"/>
    <w:rsid w:val="00E7047C"/>
    <w:rsid w:val="00E704D6"/>
    <w:rsid w:val="00E70909"/>
    <w:rsid w:val="00E70A6A"/>
    <w:rsid w:val="00E70CD2"/>
    <w:rsid w:val="00E70E7F"/>
    <w:rsid w:val="00E70E86"/>
    <w:rsid w:val="00E70F38"/>
    <w:rsid w:val="00E710FC"/>
    <w:rsid w:val="00E7136B"/>
    <w:rsid w:val="00E7146A"/>
    <w:rsid w:val="00E7149F"/>
    <w:rsid w:val="00E7175D"/>
    <w:rsid w:val="00E71762"/>
    <w:rsid w:val="00E718DE"/>
    <w:rsid w:val="00E71915"/>
    <w:rsid w:val="00E71A20"/>
    <w:rsid w:val="00E71BD7"/>
    <w:rsid w:val="00E71CBF"/>
    <w:rsid w:val="00E71EDC"/>
    <w:rsid w:val="00E71F46"/>
    <w:rsid w:val="00E71F7D"/>
    <w:rsid w:val="00E724D5"/>
    <w:rsid w:val="00E72741"/>
    <w:rsid w:val="00E7299F"/>
    <w:rsid w:val="00E729C1"/>
    <w:rsid w:val="00E72A19"/>
    <w:rsid w:val="00E72A30"/>
    <w:rsid w:val="00E72C56"/>
    <w:rsid w:val="00E72E06"/>
    <w:rsid w:val="00E72FE7"/>
    <w:rsid w:val="00E73048"/>
    <w:rsid w:val="00E73459"/>
    <w:rsid w:val="00E735A7"/>
    <w:rsid w:val="00E73D13"/>
    <w:rsid w:val="00E73EE3"/>
    <w:rsid w:val="00E73FFF"/>
    <w:rsid w:val="00E74073"/>
    <w:rsid w:val="00E7407F"/>
    <w:rsid w:val="00E740B1"/>
    <w:rsid w:val="00E740D7"/>
    <w:rsid w:val="00E74680"/>
    <w:rsid w:val="00E74D6C"/>
    <w:rsid w:val="00E75008"/>
    <w:rsid w:val="00E7577F"/>
    <w:rsid w:val="00E75A0F"/>
    <w:rsid w:val="00E75B19"/>
    <w:rsid w:val="00E75C7E"/>
    <w:rsid w:val="00E75FE5"/>
    <w:rsid w:val="00E76182"/>
    <w:rsid w:val="00E761EB"/>
    <w:rsid w:val="00E762C8"/>
    <w:rsid w:val="00E763D7"/>
    <w:rsid w:val="00E7650D"/>
    <w:rsid w:val="00E766B3"/>
    <w:rsid w:val="00E768BB"/>
    <w:rsid w:val="00E768E5"/>
    <w:rsid w:val="00E7691E"/>
    <w:rsid w:val="00E769B0"/>
    <w:rsid w:val="00E769D1"/>
    <w:rsid w:val="00E76CE6"/>
    <w:rsid w:val="00E7714C"/>
    <w:rsid w:val="00E77598"/>
    <w:rsid w:val="00E775E6"/>
    <w:rsid w:val="00E779B5"/>
    <w:rsid w:val="00E77C29"/>
    <w:rsid w:val="00E77E45"/>
    <w:rsid w:val="00E77F92"/>
    <w:rsid w:val="00E8007E"/>
    <w:rsid w:val="00E800BA"/>
    <w:rsid w:val="00E801B6"/>
    <w:rsid w:val="00E80261"/>
    <w:rsid w:val="00E8050B"/>
    <w:rsid w:val="00E805E6"/>
    <w:rsid w:val="00E80649"/>
    <w:rsid w:val="00E8074E"/>
    <w:rsid w:val="00E8076A"/>
    <w:rsid w:val="00E80802"/>
    <w:rsid w:val="00E80862"/>
    <w:rsid w:val="00E80916"/>
    <w:rsid w:val="00E80A4E"/>
    <w:rsid w:val="00E80B4C"/>
    <w:rsid w:val="00E80BD4"/>
    <w:rsid w:val="00E80CD1"/>
    <w:rsid w:val="00E80D3A"/>
    <w:rsid w:val="00E80DF0"/>
    <w:rsid w:val="00E80FA7"/>
    <w:rsid w:val="00E810A1"/>
    <w:rsid w:val="00E811F6"/>
    <w:rsid w:val="00E81357"/>
    <w:rsid w:val="00E8138E"/>
    <w:rsid w:val="00E8173D"/>
    <w:rsid w:val="00E817B5"/>
    <w:rsid w:val="00E81983"/>
    <w:rsid w:val="00E81A2D"/>
    <w:rsid w:val="00E81A41"/>
    <w:rsid w:val="00E81B61"/>
    <w:rsid w:val="00E81E72"/>
    <w:rsid w:val="00E82226"/>
    <w:rsid w:val="00E822E1"/>
    <w:rsid w:val="00E822E5"/>
    <w:rsid w:val="00E823AF"/>
    <w:rsid w:val="00E826AD"/>
    <w:rsid w:val="00E827E8"/>
    <w:rsid w:val="00E82843"/>
    <w:rsid w:val="00E82AAA"/>
    <w:rsid w:val="00E82C84"/>
    <w:rsid w:val="00E834BD"/>
    <w:rsid w:val="00E83576"/>
    <w:rsid w:val="00E83745"/>
    <w:rsid w:val="00E83876"/>
    <w:rsid w:val="00E83944"/>
    <w:rsid w:val="00E83C1B"/>
    <w:rsid w:val="00E83CCB"/>
    <w:rsid w:val="00E83E93"/>
    <w:rsid w:val="00E83F2D"/>
    <w:rsid w:val="00E840DF"/>
    <w:rsid w:val="00E8452A"/>
    <w:rsid w:val="00E845BD"/>
    <w:rsid w:val="00E845DE"/>
    <w:rsid w:val="00E846C9"/>
    <w:rsid w:val="00E8475C"/>
    <w:rsid w:val="00E848D6"/>
    <w:rsid w:val="00E8494A"/>
    <w:rsid w:val="00E849B4"/>
    <w:rsid w:val="00E849D0"/>
    <w:rsid w:val="00E849F4"/>
    <w:rsid w:val="00E84E86"/>
    <w:rsid w:val="00E84F34"/>
    <w:rsid w:val="00E85064"/>
    <w:rsid w:val="00E850C7"/>
    <w:rsid w:val="00E85204"/>
    <w:rsid w:val="00E85285"/>
    <w:rsid w:val="00E8560F"/>
    <w:rsid w:val="00E8570E"/>
    <w:rsid w:val="00E858E9"/>
    <w:rsid w:val="00E859B2"/>
    <w:rsid w:val="00E859C2"/>
    <w:rsid w:val="00E861FE"/>
    <w:rsid w:val="00E86599"/>
    <w:rsid w:val="00E8671D"/>
    <w:rsid w:val="00E86942"/>
    <w:rsid w:val="00E86F03"/>
    <w:rsid w:val="00E87323"/>
    <w:rsid w:val="00E87596"/>
    <w:rsid w:val="00E876F9"/>
    <w:rsid w:val="00E8775B"/>
    <w:rsid w:val="00E8780A"/>
    <w:rsid w:val="00E87C69"/>
    <w:rsid w:val="00E87CD3"/>
    <w:rsid w:val="00E90120"/>
    <w:rsid w:val="00E90130"/>
    <w:rsid w:val="00E901CA"/>
    <w:rsid w:val="00E901F7"/>
    <w:rsid w:val="00E902B3"/>
    <w:rsid w:val="00E9030D"/>
    <w:rsid w:val="00E9089B"/>
    <w:rsid w:val="00E908B9"/>
    <w:rsid w:val="00E9094D"/>
    <w:rsid w:val="00E909DA"/>
    <w:rsid w:val="00E90B9B"/>
    <w:rsid w:val="00E90CFA"/>
    <w:rsid w:val="00E90F01"/>
    <w:rsid w:val="00E9106C"/>
    <w:rsid w:val="00E911C4"/>
    <w:rsid w:val="00E9137F"/>
    <w:rsid w:val="00E914BE"/>
    <w:rsid w:val="00E915EA"/>
    <w:rsid w:val="00E916D5"/>
    <w:rsid w:val="00E91901"/>
    <w:rsid w:val="00E91A0D"/>
    <w:rsid w:val="00E91B81"/>
    <w:rsid w:val="00E91BF1"/>
    <w:rsid w:val="00E91CEB"/>
    <w:rsid w:val="00E91D15"/>
    <w:rsid w:val="00E91E2A"/>
    <w:rsid w:val="00E91FD3"/>
    <w:rsid w:val="00E920D8"/>
    <w:rsid w:val="00E921E3"/>
    <w:rsid w:val="00E927ED"/>
    <w:rsid w:val="00E92BF4"/>
    <w:rsid w:val="00E932DD"/>
    <w:rsid w:val="00E932EB"/>
    <w:rsid w:val="00E93495"/>
    <w:rsid w:val="00E934C4"/>
    <w:rsid w:val="00E93524"/>
    <w:rsid w:val="00E93526"/>
    <w:rsid w:val="00E9364D"/>
    <w:rsid w:val="00E938F5"/>
    <w:rsid w:val="00E93ABA"/>
    <w:rsid w:val="00E93B8A"/>
    <w:rsid w:val="00E93DC7"/>
    <w:rsid w:val="00E93E09"/>
    <w:rsid w:val="00E93F1B"/>
    <w:rsid w:val="00E9403E"/>
    <w:rsid w:val="00E940B3"/>
    <w:rsid w:val="00E94145"/>
    <w:rsid w:val="00E94205"/>
    <w:rsid w:val="00E945BA"/>
    <w:rsid w:val="00E94783"/>
    <w:rsid w:val="00E94889"/>
    <w:rsid w:val="00E949E8"/>
    <w:rsid w:val="00E94A7C"/>
    <w:rsid w:val="00E94C4C"/>
    <w:rsid w:val="00E94EB3"/>
    <w:rsid w:val="00E950D8"/>
    <w:rsid w:val="00E951AB"/>
    <w:rsid w:val="00E954D7"/>
    <w:rsid w:val="00E957FC"/>
    <w:rsid w:val="00E95883"/>
    <w:rsid w:val="00E9588A"/>
    <w:rsid w:val="00E959A5"/>
    <w:rsid w:val="00E95CB5"/>
    <w:rsid w:val="00E95F2C"/>
    <w:rsid w:val="00E9613D"/>
    <w:rsid w:val="00E96192"/>
    <w:rsid w:val="00E961FD"/>
    <w:rsid w:val="00E96356"/>
    <w:rsid w:val="00E96439"/>
    <w:rsid w:val="00E9664F"/>
    <w:rsid w:val="00E9665E"/>
    <w:rsid w:val="00E9672F"/>
    <w:rsid w:val="00E96931"/>
    <w:rsid w:val="00E96D4E"/>
    <w:rsid w:val="00E96DF4"/>
    <w:rsid w:val="00E96E6F"/>
    <w:rsid w:val="00E97162"/>
    <w:rsid w:val="00E97200"/>
    <w:rsid w:val="00E97604"/>
    <w:rsid w:val="00E9769F"/>
    <w:rsid w:val="00E9778D"/>
    <w:rsid w:val="00E979DC"/>
    <w:rsid w:val="00E97A89"/>
    <w:rsid w:val="00E97AC5"/>
    <w:rsid w:val="00E97B68"/>
    <w:rsid w:val="00E97D73"/>
    <w:rsid w:val="00E97DD5"/>
    <w:rsid w:val="00EA0289"/>
    <w:rsid w:val="00EA0421"/>
    <w:rsid w:val="00EA0517"/>
    <w:rsid w:val="00EA0592"/>
    <w:rsid w:val="00EA08EE"/>
    <w:rsid w:val="00EA0ABE"/>
    <w:rsid w:val="00EA0D56"/>
    <w:rsid w:val="00EA0DDA"/>
    <w:rsid w:val="00EA0FAA"/>
    <w:rsid w:val="00EA0FFA"/>
    <w:rsid w:val="00EA1598"/>
    <w:rsid w:val="00EA175A"/>
    <w:rsid w:val="00EA19DF"/>
    <w:rsid w:val="00EA19E8"/>
    <w:rsid w:val="00EA1B27"/>
    <w:rsid w:val="00EA1B5B"/>
    <w:rsid w:val="00EA1B68"/>
    <w:rsid w:val="00EA1BA7"/>
    <w:rsid w:val="00EA1C3B"/>
    <w:rsid w:val="00EA1CEA"/>
    <w:rsid w:val="00EA1FA9"/>
    <w:rsid w:val="00EA1FE7"/>
    <w:rsid w:val="00EA2205"/>
    <w:rsid w:val="00EA22C7"/>
    <w:rsid w:val="00EA2665"/>
    <w:rsid w:val="00EA267E"/>
    <w:rsid w:val="00EA27D5"/>
    <w:rsid w:val="00EA2836"/>
    <w:rsid w:val="00EA2E36"/>
    <w:rsid w:val="00EA2FCB"/>
    <w:rsid w:val="00EA30EF"/>
    <w:rsid w:val="00EA3112"/>
    <w:rsid w:val="00EA312A"/>
    <w:rsid w:val="00EA32C6"/>
    <w:rsid w:val="00EA3561"/>
    <w:rsid w:val="00EA35C8"/>
    <w:rsid w:val="00EA3731"/>
    <w:rsid w:val="00EA37C3"/>
    <w:rsid w:val="00EA3827"/>
    <w:rsid w:val="00EA3876"/>
    <w:rsid w:val="00EA38B7"/>
    <w:rsid w:val="00EA38DC"/>
    <w:rsid w:val="00EA3A16"/>
    <w:rsid w:val="00EA3A27"/>
    <w:rsid w:val="00EA3BAC"/>
    <w:rsid w:val="00EA3BBB"/>
    <w:rsid w:val="00EA3D21"/>
    <w:rsid w:val="00EA4317"/>
    <w:rsid w:val="00EA433F"/>
    <w:rsid w:val="00EA4380"/>
    <w:rsid w:val="00EA43D0"/>
    <w:rsid w:val="00EA4583"/>
    <w:rsid w:val="00EA4733"/>
    <w:rsid w:val="00EA495D"/>
    <w:rsid w:val="00EA4AE4"/>
    <w:rsid w:val="00EA4DB9"/>
    <w:rsid w:val="00EA4E2D"/>
    <w:rsid w:val="00EA4E40"/>
    <w:rsid w:val="00EA4E9D"/>
    <w:rsid w:val="00EA4F80"/>
    <w:rsid w:val="00EA4FDF"/>
    <w:rsid w:val="00EA558F"/>
    <w:rsid w:val="00EA5992"/>
    <w:rsid w:val="00EA5A11"/>
    <w:rsid w:val="00EA5C69"/>
    <w:rsid w:val="00EA5CD1"/>
    <w:rsid w:val="00EA5DA0"/>
    <w:rsid w:val="00EA6090"/>
    <w:rsid w:val="00EA6167"/>
    <w:rsid w:val="00EA6207"/>
    <w:rsid w:val="00EA66B7"/>
    <w:rsid w:val="00EA6741"/>
    <w:rsid w:val="00EA689C"/>
    <w:rsid w:val="00EA6A05"/>
    <w:rsid w:val="00EA6D9F"/>
    <w:rsid w:val="00EA7149"/>
    <w:rsid w:val="00EA71FC"/>
    <w:rsid w:val="00EA7589"/>
    <w:rsid w:val="00EA7669"/>
    <w:rsid w:val="00EA78C8"/>
    <w:rsid w:val="00EA7B9B"/>
    <w:rsid w:val="00EA7C41"/>
    <w:rsid w:val="00EA7FB2"/>
    <w:rsid w:val="00EB0260"/>
    <w:rsid w:val="00EB02A3"/>
    <w:rsid w:val="00EB0310"/>
    <w:rsid w:val="00EB034B"/>
    <w:rsid w:val="00EB0479"/>
    <w:rsid w:val="00EB0547"/>
    <w:rsid w:val="00EB07E2"/>
    <w:rsid w:val="00EB0CD9"/>
    <w:rsid w:val="00EB0E07"/>
    <w:rsid w:val="00EB11D1"/>
    <w:rsid w:val="00EB13C5"/>
    <w:rsid w:val="00EB148F"/>
    <w:rsid w:val="00EB152B"/>
    <w:rsid w:val="00EB178E"/>
    <w:rsid w:val="00EB17DA"/>
    <w:rsid w:val="00EB181B"/>
    <w:rsid w:val="00EB1838"/>
    <w:rsid w:val="00EB1C48"/>
    <w:rsid w:val="00EB1CA4"/>
    <w:rsid w:val="00EB1CA9"/>
    <w:rsid w:val="00EB1D36"/>
    <w:rsid w:val="00EB1E27"/>
    <w:rsid w:val="00EB2153"/>
    <w:rsid w:val="00EB218D"/>
    <w:rsid w:val="00EB222D"/>
    <w:rsid w:val="00EB2548"/>
    <w:rsid w:val="00EB2718"/>
    <w:rsid w:val="00EB28BB"/>
    <w:rsid w:val="00EB2D8E"/>
    <w:rsid w:val="00EB2DCE"/>
    <w:rsid w:val="00EB2DEA"/>
    <w:rsid w:val="00EB2FB5"/>
    <w:rsid w:val="00EB3091"/>
    <w:rsid w:val="00EB34BB"/>
    <w:rsid w:val="00EB3664"/>
    <w:rsid w:val="00EB379B"/>
    <w:rsid w:val="00EB38D3"/>
    <w:rsid w:val="00EB396D"/>
    <w:rsid w:val="00EB3B54"/>
    <w:rsid w:val="00EB3B5A"/>
    <w:rsid w:val="00EB3BD1"/>
    <w:rsid w:val="00EB3D03"/>
    <w:rsid w:val="00EB3D92"/>
    <w:rsid w:val="00EB42C1"/>
    <w:rsid w:val="00EB43E5"/>
    <w:rsid w:val="00EB450B"/>
    <w:rsid w:val="00EB483E"/>
    <w:rsid w:val="00EB49E0"/>
    <w:rsid w:val="00EB4A0F"/>
    <w:rsid w:val="00EB4FDF"/>
    <w:rsid w:val="00EB5144"/>
    <w:rsid w:val="00EB5428"/>
    <w:rsid w:val="00EB552B"/>
    <w:rsid w:val="00EB56FE"/>
    <w:rsid w:val="00EB5964"/>
    <w:rsid w:val="00EB5B82"/>
    <w:rsid w:val="00EB5FCE"/>
    <w:rsid w:val="00EB6041"/>
    <w:rsid w:val="00EB6212"/>
    <w:rsid w:val="00EB638C"/>
    <w:rsid w:val="00EB6460"/>
    <w:rsid w:val="00EB651E"/>
    <w:rsid w:val="00EB65E2"/>
    <w:rsid w:val="00EB667F"/>
    <w:rsid w:val="00EB66F3"/>
    <w:rsid w:val="00EB673A"/>
    <w:rsid w:val="00EB67C6"/>
    <w:rsid w:val="00EB6883"/>
    <w:rsid w:val="00EB69A2"/>
    <w:rsid w:val="00EB6A5E"/>
    <w:rsid w:val="00EB6CF7"/>
    <w:rsid w:val="00EB702F"/>
    <w:rsid w:val="00EB7151"/>
    <w:rsid w:val="00EB751F"/>
    <w:rsid w:val="00EB759C"/>
    <w:rsid w:val="00EB77B9"/>
    <w:rsid w:val="00EB7844"/>
    <w:rsid w:val="00EB78DB"/>
    <w:rsid w:val="00EB79D1"/>
    <w:rsid w:val="00EB7A54"/>
    <w:rsid w:val="00EB7A62"/>
    <w:rsid w:val="00EB7BCC"/>
    <w:rsid w:val="00EB7C93"/>
    <w:rsid w:val="00EC0028"/>
    <w:rsid w:val="00EC0111"/>
    <w:rsid w:val="00EC0433"/>
    <w:rsid w:val="00EC05E5"/>
    <w:rsid w:val="00EC0636"/>
    <w:rsid w:val="00EC0783"/>
    <w:rsid w:val="00EC09D6"/>
    <w:rsid w:val="00EC0B0E"/>
    <w:rsid w:val="00EC0BC9"/>
    <w:rsid w:val="00EC0BE2"/>
    <w:rsid w:val="00EC0C1B"/>
    <w:rsid w:val="00EC0E86"/>
    <w:rsid w:val="00EC105D"/>
    <w:rsid w:val="00EC10E0"/>
    <w:rsid w:val="00EC114F"/>
    <w:rsid w:val="00EC1236"/>
    <w:rsid w:val="00EC1898"/>
    <w:rsid w:val="00EC1939"/>
    <w:rsid w:val="00EC19CB"/>
    <w:rsid w:val="00EC1A19"/>
    <w:rsid w:val="00EC1A5B"/>
    <w:rsid w:val="00EC1AA9"/>
    <w:rsid w:val="00EC1CE0"/>
    <w:rsid w:val="00EC1DC3"/>
    <w:rsid w:val="00EC1E88"/>
    <w:rsid w:val="00EC1F5A"/>
    <w:rsid w:val="00EC1F74"/>
    <w:rsid w:val="00EC210B"/>
    <w:rsid w:val="00EC23B7"/>
    <w:rsid w:val="00EC2422"/>
    <w:rsid w:val="00EC2635"/>
    <w:rsid w:val="00EC26F7"/>
    <w:rsid w:val="00EC27B4"/>
    <w:rsid w:val="00EC2927"/>
    <w:rsid w:val="00EC29BE"/>
    <w:rsid w:val="00EC2BE0"/>
    <w:rsid w:val="00EC3142"/>
    <w:rsid w:val="00EC31CD"/>
    <w:rsid w:val="00EC31F9"/>
    <w:rsid w:val="00EC341C"/>
    <w:rsid w:val="00EC35BC"/>
    <w:rsid w:val="00EC3648"/>
    <w:rsid w:val="00EC364C"/>
    <w:rsid w:val="00EC3696"/>
    <w:rsid w:val="00EC38E9"/>
    <w:rsid w:val="00EC3B74"/>
    <w:rsid w:val="00EC3BC1"/>
    <w:rsid w:val="00EC3D03"/>
    <w:rsid w:val="00EC3DB9"/>
    <w:rsid w:val="00EC401D"/>
    <w:rsid w:val="00EC41F8"/>
    <w:rsid w:val="00EC42B4"/>
    <w:rsid w:val="00EC4319"/>
    <w:rsid w:val="00EC47D9"/>
    <w:rsid w:val="00EC47E2"/>
    <w:rsid w:val="00EC48B3"/>
    <w:rsid w:val="00EC48D5"/>
    <w:rsid w:val="00EC4BEF"/>
    <w:rsid w:val="00EC4D0D"/>
    <w:rsid w:val="00EC4EBD"/>
    <w:rsid w:val="00EC4F0C"/>
    <w:rsid w:val="00EC5325"/>
    <w:rsid w:val="00EC54AE"/>
    <w:rsid w:val="00EC58D1"/>
    <w:rsid w:val="00EC58FD"/>
    <w:rsid w:val="00EC59BB"/>
    <w:rsid w:val="00EC5A42"/>
    <w:rsid w:val="00EC5AD9"/>
    <w:rsid w:val="00EC5CA9"/>
    <w:rsid w:val="00EC5CC6"/>
    <w:rsid w:val="00EC5CFF"/>
    <w:rsid w:val="00EC5EC8"/>
    <w:rsid w:val="00EC5F76"/>
    <w:rsid w:val="00EC6434"/>
    <w:rsid w:val="00EC6529"/>
    <w:rsid w:val="00EC662A"/>
    <w:rsid w:val="00EC6820"/>
    <w:rsid w:val="00EC699D"/>
    <w:rsid w:val="00EC6A85"/>
    <w:rsid w:val="00EC6A87"/>
    <w:rsid w:val="00EC6D89"/>
    <w:rsid w:val="00EC725A"/>
    <w:rsid w:val="00EC727E"/>
    <w:rsid w:val="00EC751B"/>
    <w:rsid w:val="00EC759E"/>
    <w:rsid w:val="00EC7976"/>
    <w:rsid w:val="00EC7B85"/>
    <w:rsid w:val="00EC7D3A"/>
    <w:rsid w:val="00EC7FDB"/>
    <w:rsid w:val="00ED0020"/>
    <w:rsid w:val="00ED0088"/>
    <w:rsid w:val="00ED0588"/>
    <w:rsid w:val="00ED0609"/>
    <w:rsid w:val="00ED097B"/>
    <w:rsid w:val="00ED0AAC"/>
    <w:rsid w:val="00ED0CDC"/>
    <w:rsid w:val="00ED0E50"/>
    <w:rsid w:val="00ED127B"/>
    <w:rsid w:val="00ED1287"/>
    <w:rsid w:val="00ED128C"/>
    <w:rsid w:val="00ED1419"/>
    <w:rsid w:val="00ED1493"/>
    <w:rsid w:val="00ED14E7"/>
    <w:rsid w:val="00ED1657"/>
    <w:rsid w:val="00ED1AE6"/>
    <w:rsid w:val="00ED2148"/>
    <w:rsid w:val="00ED22D7"/>
    <w:rsid w:val="00ED24A7"/>
    <w:rsid w:val="00ED24BB"/>
    <w:rsid w:val="00ED256F"/>
    <w:rsid w:val="00ED2A48"/>
    <w:rsid w:val="00ED30AE"/>
    <w:rsid w:val="00ED3205"/>
    <w:rsid w:val="00ED3316"/>
    <w:rsid w:val="00ED33E2"/>
    <w:rsid w:val="00ED3689"/>
    <w:rsid w:val="00ED3714"/>
    <w:rsid w:val="00ED372C"/>
    <w:rsid w:val="00ED39C5"/>
    <w:rsid w:val="00ED3BC1"/>
    <w:rsid w:val="00ED3E45"/>
    <w:rsid w:val="00ED4181"/>
    <w:rsid w:val="00ED4304"/>
    <w:rsid w:val="00ED43BF"/>
    <w:rsid w:val="00ED478E"/>
    <w:rsid w:val="00ED484C"/>
    <w:rsid w:val="00ED4ACB"/>
    <w:rsid w:val="00ED4C11"/>
    <w:rsid w:val="00ED4FBB"/>
    <w:rsid w:val="00ED520F"/>
    <w:rsid w:val="00ED53D3"/>
    <w:rsid w:val="00ED53F3"/>
    <w:rsid w:val="00ED553E"/>
    <w:rsid w:val="00ED5637"/>
    <w:rsid w:val="00ED57C7"/>
    <w:rsid w:val="00ED58B5"/>
    <w:rsid w:val="00ED5C2C"/>
    <w:rsid w:val="00ED5D9D"/>
    <w:rsid w:val="00ED5FCC"/>
    <w:rsid w:val="00ED6034"/>
    <w:rsid w:val="00ED6069"/>
    <w:rsid w:val="00ED6618"/>
    <w:rsid w:val="00ED664B"/>
    <w:rsid w:val="00ED6716"/>
    <w:rsid w:val="00ED675B"/>
    <w:rsid w:val="00ED6B0E"/>
    <w:rsid w:val="00ED6B1D"/>
    <w:rsid w:val="00ED6D1B"/>
    <w:rsid w:val="00ED6D43"/>
    <w:rsid w:val="00ED6D86"/>
    <w:rsid w:val="00ED6D98"/>
    <w:rsid w:val="00ED6E4B"/>
    <w:rsid w:val="00ED6EC0"/>
    <w:rsid w:val="00ED6EE4"/>
    <w:rsid w:val="00ED6FCD"/>
    <w:rsid w:val="00ED71EB"/>
    <w:rsid w:val="00ED7228"/>
    <w:rsid w:val="00ED724B"/>
    <w:rsid w:val="00ED7568"/>
    <w:rsid w:val="00ED773C"/>
    <w:rsid w:val="00ED78F7"/>
    <w:rsid w:val="00ED7C17"/>
    <w:rsid w:val="00EE01E1"/>
    <w:rsid w:val="00EE025C"/>
    <w:rsid w:val="00EE027E"/>
    <w:rsid w:val="00EE08BB"/>
    <w:rsid w:val="00EE0960"/>
    <w:rsid w:val="00EE0BA1"/>
    <w:rsid w:val="00EE0C1D"/>
    <w:rsid w:val="00EE0C69"/>
    <w:rsid w:val="00EE0C71"/>
    <w:rsid w:val="00EE0E03"/>
    <w:rsid w:val="00EE0E1A"/>
    <w:rsid w:val="00EE0F11"/>
    <w:rsid w:val="00EE114B"/>
    <w:rsid w:val="00EE117C"/>
    <w:rsid w:val="00EE123E"/>
    <w:rsid w:val="00EE15DB"/>
    <w:rsid w:val="00EE15E5"/>
    <w:rsid w:val="00EE199B"/>
    <w:rsid w:val="00EE19DD"/>
    <w:rsid w:val="00EE1A30"/>
    <w:rsid w:val="00EE1ABC"/>
    <w:rsid w:val="00EE1C47"/>
    <w:rsid w:val="00EE1CEE"/>
    <w:rsid w:val="00EE1EC0"/>
    <w:rsid w:val="00EE1F6B"/>
    <w:rsid w:val="00EE2072"/>
    <w:rsid w:val="00EE2079"/>
    <w:rsid w:val="00EE2729"/>
    <w:rsid w:val="00EE2748"/>
    <w:rsid w:val="00EE27F4"/>
    <w:rsid w:val="00EE28C1"/>
    <w:rsid w:val="00EE295D"/>
    <w:rsid w:val="00EE2DB5"/>
    <w:rsid w:val="00EE3103"/>
    <w:rsid w:val="00EE3302"/>
    <w:rsid w:val="00EE3505"/>
    <w:rsid w:val="00EE352A"/>
    <w:rsid w:val="00EE35B5"/>
    <w:rsid w:val="00EE36BE"/>
    <w:rsid w:val="00EE3C29"/>
    <w:rsid w:val="00EE3DDD"/>
    <w:rsid w:val="00EE3EF1"/>
    <w:rsid w:val="00EE3F4D"/>
    <w:rsid w:val="00EE400D"/>
    <w:rsid w:val="00EE4096"/>
    <w:rsid w:val="00EE4114"/>
    <w:rsid w:val="00EE427D"/>
    <w:rsid w:val="00EE4501"/>
    <w:rsid w:val="00EE4619"/>
    <w:rsid w:val="00EE4709"/>
    <w:rsid w:val="00EE4815"/>
    <w:rsid w:val="00EE48CD"/>
    <w:rsid w:val="00EE48DE"/>
    <w:rsid w:val="00EE4A48"/>
    <w:rsid w:val="00EE4DF0"/>
    <w:rsid w:val="00EE4E96"/>
    <w:rsid w:val="00EE5437"/>
    <w:rsid w:val="00EE5483"/>
    <w:rsid w:val="00EE55C1"/>
    <w:rsid w:val="00EE5709"/>
    <w:rsid w:val="00EE5A80"/>
    <w:rsid w:val="00EE6004"/>
    <w:rsid w:val="00EE6477"/>
    <w:rsid w:val="00EE64B1"/>
    <w:rsid w:val="00EE65C0"/>
    <w:rsid w:val="00EE671E"/>
    <w:rsid w:val="00EE672B"/>
    <w:rsid w:val="00EE69D6"/>
    <w:rsid w:val="00EE6D03"/>
    <w:rsid w:val="00EE71C9"/>
    <w:rsid w:val="00EE7320"/>
    <w:rsid w:val="00EE746C"/>
    <w:rsid w:val="00EE74D9"/>
    <w:rsid w:val="00EE75B8"/>
    <w:rsid w:val="00EE773D"/>
    <w:rsid w:val="00EE793F"/>
    <w:rsid w:val="00EE7A77"/>
    <w:rsid w:val="00EF03A0"/>
    <w:rsid w:val="00EF03CA"/>
    <w:rsid w:val="00EF0431"/>
    <w:rsid w:val="00EF0714"/>
    <w:rsid w:val="00EF073D"/>
    <w:rsid w:val="00EF085A"/>
    <w:rsid w:val="00EF0B88"/>
    <w:rsid w:val="00EF0D4A"/>
    <w:rsid w:val="00EF0F24"/>
    <w:rsid w:val="00EF1326"/>
    <w:rsid w:val="00EF133C"/>
    <w:rsid w:val="00EF142D"/>
    <w:rsid w:val="00EF1453"/>
    <w:rsid w:val="00EF15F6"/>
    <w:rsid w:val="00EF165F"/>
    <w:rsid w:val="00EF188C"/>
    <w:rsid w:val="00EF1B5D"/>
    <w:rsid w:val="00EF1B6D"/>
    <w:rsid w:val="00EF1CB0"/>
    <w:rsid w:val="00EF1CD1"/>
    <w:rsid w:val="00EF1D49"/>
    <w:rsid w:val="00EF1F59"/>
    <w:rsid w:val="00EF2103"/>
    <w:rsid w:val="00EF2208"/>
    <w:rsid w:val="00EF2596"/>
    <w:rsid w:val="00EF2855"/>
    <w:rsid w:val="00EF299D"/>
    <w:rsid w:val="00EF2B1A"/>
    <w:rsid w:val="00EF30DA"/>
    <w:rsid w:val="00EF34A2"/>
    <w:rsid w:val="00EF352D"/>
    <w:rsid w:val="00EF38F8"/>
    <w:rsid w:val="00EF3EC6"/>
    <w:rsid w:val="00EF416F"/>
    <w:rsid w:val="00EF42C3"/>
    <w:rsid w:val="00EF439A"/>
    <w:rsid w:val="00EF44E3"/>
    <w:rsid w:val="00EF4569"/>
    <w:rsid w:val="00EF477D"/>
    <w:rsid w:val="00EF4916"/>
    <w:rsid w:val="00EF492A"/>
    <w:rsid w:val="00EF4AEE"/>
    <w:rsid w:val="00EF4CFB"/>
    <w:rsid w:val="00EF4DFA"/>
    <w:rsid w:val="00EF53AC"/>
    <w:rsid w:val="00EF54AB"/>
    <w:rsid w:val="00EF55B9"/>
    <w:rsid w:val="00EF5674"/>
    <w:rsid w:val="00EF57D2"/>
    <w:rsid w:val="00EF5F15"/>
    <w:rsid w:val="00EF60EF"/>
    <w:rsid w:val="00EF60F0"/>
    <w:rsid w:val="00EF61E3"/>
    <w:rsid w:val="00EF626A"/>
    <w:rsid w:val="00EF645A"/>
    <w:rsid w:val="00EF64CE"/>
    <w:rsid w:val="00EF6638"/>
    <w:rsid w:val="00EF677E"/>
    <w:rsid w:val="00EF6785"/>
    <w:rsid w:val="00EF6883"/>
    <w:rsid w:val="00EF6991"/>
    <w:rsid w:val="00EF6B2F"/>
    <w:rsid w:val="00EF6E41"/>
    <w:rsid w:val="00EF6FA4"/>
    <w:rsid w:val="00EF7100"/>
    <w:rsid w:val="00EF7544"/>
    <w:rsid w:val="00EF7600"/>
    <w:rsid w:val="00EF7A16"/>
    <w:rsid w:val="00EF7CD0"/>
    <w:rsid w:val="00EF7E80"/>
    <w:rsid w:val="00F00066"/>
    <w:rsid w:val="00F00103"/>
    <w:rsid w:val="00F0021B"/>
    <w:rsid w:val="00F005CB"/>
    <w:rsid w:val="00F005CC"/>
    <w:rsid w:val="00F005EE"/>
    <w:rsid w:val="00F006A7"/>
    <w:rsid w:val="00F006BC"/>
    <w:rsid w:val="00F006F8"/>
    <w:rsid w:val="00F0077E"/>
    <w:rsid w:val="00F008BC"/>
    <w:rsid w:val="00F00B49"/>
    <w:rsid w:val="00F00B77"/>
    <w:rsid w:val="00F00B83"/>
    <w:rsid w:val="00F00F8F"/>
    <w:rsid w:val="00F00FB8"/>
    <w:rsid w:val="00F01000"/>
    <w:rsid w:val="00F010FE"/>
    <w:rsid w:val="00F0123A"/>
    <w:rsid w:val="00F01449"/>
    <w:rsid w:val="00F0147B"/>
    <w:rsid w:val="00F017DD"/>
    <w:rsid w:val="00F017EC"/>
    <w:rsid w:val="00F018F3"/>
    <w:rsid w:val="00F01A6D"/>
    <w:rsid w:val="00F01AE4"/>
    <w:rsid w:val="00F01D56"/>
    <w:rsid w:val="00F01F82"/>
    <w:rsid w:val="00F01FD3"/>
    <w:rsid w:val="00F020B2"/>
    <w:rsid w:val="00F02496"/>
    <w:rsid w:val="00F027AA"/>
    <w:rsid w:val="00F02862"/>
    <w:rsid w:val="00F02898"/>
    <w:rsid w:val="00F02B33"/>
    <w:rsid w:val="00F02B51"/>
    <w:rsid w:val="00F02C71"/>
    <w:rsid w:val="00F02C97"/>
    <w:rsid w:val="00F02EF5"/>
    <w:rsid w:val="00F02FD6"/>
    <w:rsid w:val="00F0333B"/>
    <w:rsid w:val="00F036E6"/>
    <w:rsid w:val="00F03857"/>
    <w:rsid w:val="00F0386B"/>
    <w:rsid w:val="00F0386C"/>
    <w:rsid w:val="00F0393E"/>
    <w:rsid w:val="00F03BF4"/>
    <w:rsid w:val="00F03F3B"/>
    <w:rsid w:val="00F03FB4"/>
    <w:rsid w:val="00F0420A"/>
    <w:rsid w:val="00F047EB"/>
    <w:rsid w:val="00F048AE"/>
    <w:rsid w:val="00F049E5"/>
    <w:rsid w:val="00F04A93"/>
    <w:rsid w:val="00F04C21"/>
    <w:rsid w:val="00F04C88"/>
    <w:rsid w:val="00F04F32"/>
    <w:rsid w:val="00F05048"/>
    <w:rsid w:val="00F0514B"/>
    <w:rsid w:val="00F0549E"/>
    <w:rsid w:val="00F05848"/>
    <w:rsid w:val="00F05896"/>
    <w:rsid w:val="00F05A72"/>
    <w:rsid w:val="00F05AEE"/>
    <w:rsid w:val="00F05B8F"/>
    <w:rsid w:val="00F05BCD"/>
    <w:rsid w:val="00F05BE0"/>
    <w:rsid w:val="00F05C4B"/>
    <w:rsid w:val="00F05C67"/>
    <w:rsid w:val="00F05CAF"/>
    <w:rsid w:val="00F060BC"/>
    <w:rsid w:val="00F06139"/>
    <w:rsid w:val="00F062D2"/>
    <w:rsid w:val="00F0646F"/>
    <w:rsid w:val="00F06579"/>
    <w:rsid w:val="00F066CD"/>
    <w:rsid w:val="00F06B4A"/>
    <w:rsid w:val="00F06C18"/>
    <w:rsid w:val="00F06DB3"/>
    <w:rsid w:val="00F06F0E"/>
    <w:rsid w:val="00F06F7B"/>
    <w:rsid w:val="00F07158"/>
    <w:rsid w:val="00F07160"/>
    <w:rsid w:val="00F0719D"/>
    <w:rsid w:val="00F073B3"/>
    <w:rsid w:val="00F07468"/>
    <w:rsid w:val="00F07554"/>
    <w:rsid w:val="00F077C0"/>
    <w:rsid w:val="00F07818"/>
    <w:rsid w:val="00F07C5F"/>
    <w:rsid w:val="00F07C82"/>
    <w:rsid w:val="00F07D2E"/>
    <w:rsid w:val="00F07D74"/>
    <w:rsid w:val="00F07DD0"/>
    <w:rsid w:val="00F07E33"/>
    <w:rsid w:val="00F07F1A"/>
    <w:rsid w:val="00F07F72"/>
    <w:rsid w:val="00F1040F"/>
    <w:rsid w:val="00F10459"/>
    <w:rsid w:val="00F10480"/>
    <w:rsid w:val="00F10BBB"/>
    <w:rsid w:val="00F10BBF"/>
    <w:rsid w:val="00F10CDD"/>
    <w:rsid w:val="00F10D6B"/>
    <w:rsid w:val="00F10DB6"/>
    <w:rsid w:val="00F10ECD"/>
    <w:rsid w:val="00F10F57"/>
    <w:rsid w:val="00F10F96"/>
    <w:rsid w:val="00F10FA8"/>
    <w:rsid w:val="00F10FF7"/>
    <w:rsid w:val="00F110A1"/>
    <w:rsid w:val="00F11222"/>
    <w:rsid w:val="00F11297"/>
    <w:rsid w:val="00F11360"/>
    <w:rsid w:val="00F11791"/>
    <w:rsid w:val="00F11928"/>
    <w:rsid w:val="00F11DDC"/>
    <w:rsid w:val="00F1205A"/>
    <w:rsid w:val="00F1211E"/>
    <w:rsid w:val="00F1214A"/>
    <w:rsid w:val="00F1234E"/>
    <w:rsid w:val="00F12389"/>
    <w:rsid w:val="00F12414"/>
    <w:rsid w:val="00F129D2"/>
    <w:rsid w:val="00F12C79"/>
    <w:rsid w:val="00F12E9A"/>
    <w:rsid w:val="00F12E9F"/>
    <w:rsid w:val="00F1302B"/>
    <w:rsid w:val="00F133F9"/>
    <w:rsid w:val="00F1353A"/>
    <w:rsid w:val="00F136FA"/>
    <w:rsid w:val="00F13820"/>
    <w:rsid w:val="00F138A7"/>
    <w:rsid w:val="00F13F76"/>
    <w:rsid w:val="00F1409C"/>
    <w:rsid w:val="00F14142"/>
    <w:rsid w:val="00F14302"/>
    <w:rsid w:val="00F1430E"/>
    <w:rsid w:val="00F144DF"/>
    <w:rsid w:val="00F145AA"/>
    <w:rsid w:val="00F1489C"/>
    <w:rsid w:val="00F149CA"/>
    <w:rsid w:val="00F14A65"/>
    <w:rsid w:val="00F14F8C"/>
    <w:rsid w:val="00F1503D"/>
    <w:rsid w:val="00F15282"/>
    <w:rsid w:val="00F1537A"/>
    <w:rsid w:val="00F153C1"/>
    <w:rsid w:val="00F154DF"/>
    <w:rsid w:val="00F15516"/>
    <w:rsid w:val="00F1557E"/>
    <w:rsid w:val="00F159B5"/>
    <w:rsid w:val="00F15BEF"/>
    <w:rsid w:val="00F15DEC"/>
    <w:rsid w:val="00F15EBA"/>
    <w:rsid w:val="00F1663D"/>
    <w:rsid w:val="00F16768"/>
    <w:rsid w:val="00F16856"/>
    <w:rsid w:val="00F168A7"/>
    <w:rsid w:val="00F16B7B"/>
    <w:rsid w:val="00F16CEE"/>
    <w:rsid w:val="00F16CEF"/>
    <w:rsid w:val="00F16DAA"/>
    <w:rsid w:val="00F1700D"/>
    <w:rsid w:val="00F1707A"/>
    <w:rsid w:val="00F1715B"/>
    <w:rsid w:val="00F1734F"/>
    <w:rsid w:val="00F1737D"/>
    <w:rsid w:val="00F17580"/>
    <w:rsid w:val="00F176A7"/>
    <w:rsid w:val="00F177AD"/>
    <w:rsid w:val="00F178AA"/>
    <w:rsid w:val="00F17A07"/>
    <w:rsid w:val="00F17AFC"/>
    <w:rsid w:val="00F17CF1"/>
    <w:rsid w:val="00F17FEE"/>
    <w:rsid w:val="00F20043"/>
    <w:rsid w:val="00F2009A"/>
    <w:rsid w:val="00F20324"/>
    <w:rsid w:val="00F20342"/>
    <w:rsid w:val="00F20363"/>
    <w:rsid w:val="00F20490"/>
    <w:rsid w:val="00F204F5"/>
    <w:rsid w:val="00F20917"/>
    <w:rsid w:val="00F20DED"/>
    <w:rsid w:val="00F20ECC"/>
    <w:rsid w:val="00F20F42"/>
    <w:rsid w:val="00F21132"/>
    <w:rsid w:val="00F212A6"/>
    <w:rsid w:val="00F21328"/>
    <w:rsid w:val="00F213C9"/>
    <w:rsid w:val="00F21435"/>
    <w:rsid w:val="00F2144D"/>
    <w:rsid w:val="00F21612"/>
    <w:rsid w:val="00F2176B"/>
    <w:rsid w:val="00F217B9"/>
    <w:rsid w:val="00F217CC"/>
    <w:rsid w:val="00F217E8"/>
    <w:rsid w:val="00F218EE"/>
    <w:rsid w:val="00F218F7"/>
    <w:rsid w:val="00F2192B"/>
    <w:rsid w:val="00F21DAF"/>
    <w:rsid w:val="00F21F36"/>
    <w:rsid w:val="00F21FD1"/>
    <w:rsid w:val="00F2209E"/>
    <w:rsid w:val="00F224B7"/>
    <w:rsid w:val="00F22684"/>
    <w:rsid w:val="00F22757"/>
    <w:rsid w:val="00F228A7"/>
    <w:rsid w:val="00F22B85"/>
    <w:rsid w:val="00F22C2E"/>
    <w:rsid w:val="00F22D82"/>
    <w:rsid w:val="00F22F71"/>
    <w:rsid w:val="00F22FE8"/>
    <w:rsid w:val="00F2300A"/>
    <w:rsid w:val="00F2322C"/>
    <w:rsid w:val="00F23438"/>
    <w:rsid w:val="00F238BA"/>
    <w:rsid w:val="00F2391D"/>
    <w:rsid w:val="00F2393B"/>
    <w:rsid w:val="00F239CE"/>
    <w:rsid w:val="00F23A8E"/>
    <w:rsid w:val="00F23B2B"/>
    <w:rsid w:val="00F23B4A"/>
    <w:rsid w:val="00F23D30"/>
    <w:rsid w:val="00F23E4B"/>
    <w:rsid w:val="00F23E8E"/>
    <w:rsid w:val="00F23F0C"/>
    <w:rsid w:val="00F23F6F"/>
    <w:rsid w:val="00F24250"/>
    <w:rsid w:val="00F244E7"/>
    <w:rsid w:val="00F248E1"/>
    <w:rsid w:val="00F24A21"/>
    <w:rsid w:val="00F24B1F"/>
    <w:rsid w:val="00F24D27"/>
    <w:rsid w:val="00F25014"/>
    <w:rsid w:val="00F25377"/>
    <w:rsid w:val="00F254A5"/>
    <w:rsid w:val="00F258E9"/>
    <w:rsid w:val="00F25AA6"/>
    <w:rsid w:val="00F25F24"/>
    <w:rsid w:val="00F25F65"/>
    <w:rsid w:val="00F264C1"/>
    <w:rsid w:val="00F2665E"/>
    <w:rsid w:val="00F2670E"/>
    <w:rsid w:val="00F2679F"/>
    <w:rsid w:val="00F268E0"/>
    <w:rsid w:val="00F26AD2"/>
    <w:rsid w:val="00F26AEB"/>
    <w:rsid w:val="00F26CB8"/>
    <w:rsid w:val="00F26D40"/>
    <w:rsid w:val="00F26D9B"/>
    <w:rsid w:val="00F26E2F"/>
    <w:rsid w:val="00F26F37"/>
    <w:rsid w:val="00F274DA"/>
    <w:rsid w:val="00F274DF"/>
    <w:rsid w:val="00F275EC"/>
    <w:rsid w:val="00F2777D"/>
    <w:rsid w:val="00F278E2"/>
    <w:rsid w:val="00F27B99"/>
    <w:rsid w:val="00F27C5C"/>
    <w:rsid w:val="00F27D74"/>
    <w:rsid w:val="00F27F61"/>
    <w:rsid w:val="00F302AA"/>
    <w:rsid w:val="00F30570"/>
    <w:rsid w:val="00F30589"/>
    <w:rsid w:val="00F30705"/>
    <w:rsid w:val="00F30BB6"/>
    <w:rsid w:val="00F30C22"/>
    <w:rsid w:val="00F30C72"/>
    <w:rsid w:val="00F30D36"/>
    <w:rsid w:val="00F30E3B"/>
    <w:rsid w:val="00F3108A"/>
    <w:rsid w:val="00F313CD"/>
    <w:rsid w:val="00F31528"/>
    <w:rsid w:val="00F31577"/>
    <w:rsid w:val="00F31855"/>
    <w:rsid w:val="00F319DF"/>
    <w:rsid w:val="00F31B38"/>
    <w:rsid w:val="00F31C0D"/>
    <w:rsid w:val="00F3200A"/>
    <w:rsid w:val="00F321BC"/>
    <w:rsid w:val="00F32640"/>
    <w:rsid w:val="00F3265B"/>
    <w:rsid w:val="00F326E7"/>
    <w:rsid w:val="00F327B7"/>
    <w:rsid w:val="00F32835"/>
    <w:rsid w:val="00F32944"/>
    <w:rsid w:val="00F32A64"/>
    <w:rsid w:val="00F32B69"/>
    <w:rsid w:val="00F32D37"/>
    <w:rsid w:val="00F32D6B"/>
    <w:rsid w:val="00F3315F"/>
    <w:rsid w:val="00F33248"/>
    <w:rsid w:val="00F33530"/>
    <w:rsid w:val="00F3353F"/>
    <w:rsid w:val="00F3365C"/>
    <w:rsid w:val="00F3371B"/>
    <w:rsid w:val="00F33BC1"/>
    <w:rsid w:val="00F33CFD"/>
    <w:rsid w:val="00F33E4F"/>
    <w:rsid w:val="00F33E66"/>
    <w:rsid w:val="00F33F47"/>
    <w:rsid w:val="00F340B6"/>
    <w:rsid w:val="00F3413C"/>
    <w:rsid w:val="00F346C9"/>
    <w:rsid w:val="00F34717"/>
    <w:rsid w:val="00F34778"/>
    <w:rsid w:val="00F347F5"/>
    <w:rsid w:val="00F34B59"/>
    <w:rsid w:val="00F34FF7"/>
    <w:rsid w:val="00F35060"/>
    <w:rsid w:val="00F35083"/>
    <w:rsid w:val="00F351A5"/>
    <w:rsid w:val="00F35326"/>
    <w:rsid w:val="00F3537C"/>
    <w:rsid w:val="00F35772"/>
    <w:rsid w:val="00F35787"/>
    <w:rsid w:val="00F358A7"/>
    <w:rsid w:val="00F35C93"/>
    <w:rsid w:val="00F35CA3"/>
    <w:rsid w:val="00F35D50"/>
    <w:rsid w:val="00F36045"/>
    <w:rsid w:val="00F36091"/>
    <w:rsid w:val="00F361B7"/>
    <w:rsid w:val="00F36373"/>
    <w:rsid w:val="00F36618"/>
    <w:rsid w:val="00F36815"/>
    <w:rsid w:val="00F36836"/>
    <w:rsid w:val="00F36A1C"/>
    <w:rsid w:val="00F36A93"/>
    <w:rsid w:val="00F36BBC"/>
    <w:rsid w:val="00F36C58"/>
    <w:rsid w:val="00F37198"/>
    <w:rsid w:val="00F372CC"/>
    <w:rsid w:val="00F3740E"/>
    <w:rsid w:val="00F3741E"/>
    <w:rsid w:val="00F376FE"/>
    <w:rsid w:val="00F37B7E"/>
    <w:rsid w:val="00F37BA0"/>
    <w:rsid w:val="00F37BE5"/>
    <w:rsid w:val="00F37C29"/>
    <w:rsid w:val="00F37C38"/>
    <w:rsid w:val="00F37CDF"/>
    <w:rsid w:val="00F37CE3"/>
    <w:rsid w:val="00F37D1D"/>
    <w:rsid w:val="00F37E22"/>
    <w:rsid w:val="00F4002C"/>
    <w:rsid w:val="00F402BF"/>
    <w:rsid w:val="00F403F4"/>
    <w:rsid w:val="00F4043D"/>
    <w:rsid w:val="00F40794"/>
    <w:rsid w:val="00F40856"/>
    <w:rsid w:val="00F40BAE"/>
    <w:rsid w:val="00F40CCA"/>
    <w:rsid w:val="00F40DF4"/>
    <w:rsid w:val="00F41115"/>
    <w:rsid w:val="00F411D2"/>
    <w:rsid w:val="00F41219"/>
    <w:rsid w:val="00F4129E"/>
    <w:rsid w:val="00F4137B"/>
    <w:rsid w:val="00F415A9"/>
    <w:rsid w:val="00F416FB"/>
    <w:rsid w:val="00F41929"/>
    <w:rsid w:val="00F4196F"/>
    <w:rsid w:val="00F4198F"/>
    <w:rsid w:val="00F419E9"/>
    <w:rsid w:val="00F41A50"/>
    <w:rsid w:val="00F41C48"/>
    <w:rsid w:val="00F41DE7"/>
    <w:rsid w:val="00F41DEC"/>
    <w:rsid w:val="00F4201B"/>
    <w:rsid w:val="00F4203E"/>
    <w:rsid w:val="00F42175"/>
    <w:rsid w:val="00F421FE"/>
    <w:rsid w:val="00F42221"/>
    <w:rsid w:val="00F422CF"/>
    <w:rsid w:val="00F422F1"/>
    <w:rsid w:val="00F424E6"/>
    <w:rsid w:val="00F425BF"/>
    <w:rsid w:val="00F427E4"/>
    <w:rsid w:val="00F42807"/>
    <w:rsid w:val="00F42877"/>
    <w:rsid w:val="00F429E7"/>
    <w:rsid w:val="00F42C9B"/>
    <w:rsid w:val="00F42D51"/>
    <w:rsid w:val="00F42E11"/>
    <w:rsid w:val="00F42E78"/>
    <w:rsid w:val="00F42FE8"/>
    <w:rsid w:val="00F4311D"/>
    <w:rsid w:val="00F43167"/>
    <w:rsid w:val="00F43360"/>
    <w:rsid w:val="00F43439"/>
    <w:rsid w:val="00F43576"/>
    <w:rsid w:val="00F43618"/>
    <w:rsid w:val="00F4362A"/>
    <w:rsid w:val="00F43912"/>
    <w:rsid w:val="00F43B2D"/>
    <w:rsid w:val="00F440C8"/>
    <w:rsid w:val="00F4425F"/>
    <w:rsid w:val="00F44270"/>
    <w:rsid w:val="00F44278"/>
    <w:rsid w:val="00F443C4"/>
    <w:rsid w:val="00F444C8"/>
    <w:rsid w:val="00F44666"/>
    <w:rsid w:val="00F446EA"/>
    <w:rsid w:val="00F4499C"/>
    <w:rsid w:val="00F44B02"/>
    <w:rsid w:val="00F44B09"/>
    <w:rsid w:val="00F44B38"/>
    <w:rsid w:val="00F44BBF"/>
    <w:rsid w:val="00F44DD0"/>
    <w:rsid w:val="00F44DD1"/>
    <w:rsid w:val="00F45026"/>
    <w:rsid w:val="00F45043"/>
    <w:rsid w:val="00F4512A"/>
    <w:rsid w:val="00F4535D"/>
    <w:rsid w:val="00F455B0"/>
    <w:rsid w:val="00F4562B"/>
    <w:rsid w:val="00F45F70"/>
    <w:rsid w:val="00F45FB2"/>
    <w:rsid w:val="00F46028"/>
    <w:rsid w:val="00F46346"/>
    <w:rsid w:val="00F464FF"/>
    <w:rsid w:val="00F46500"/>
    <w:rsid w:val="00F46592"/>
    <w:rsid w:val="00F46796"/>
    <w:rsid w:val="00F4685B"/>
    <w:rsid w:val="00F46A20"/>
    <w:rsid w:val="00F46C93"/>
    <w:rsid w:val="00F46F83"/>
    <w:rsid w:val="00F46FA9"/>
    <w:rsid w:val="00F47121"/>
    <w:rsid w:val="00F4732E"/>
    <w:rsid w:val="00F47400"/>
    <w:rsid w:val="00F47518"/>
    <w:rsid w:val="00F4751D"/>
    <w:rsid w:val="00F4774E"/>
    <w:rsid w:val="00F478CA"/>
    <w:rsid w:val="00F47D83"/>
    <w:rsid w:val="00F500F0"/>
    <w:rsid w:val="00F503B7"/>
    <w:rsid w:val="00F50442"/>
    <w:rsid w:val="00F5051D"/>
    <w:rsid w:val="00F507AE"/>
    <w:rsid w:val="00F5088E"/>
    <w:rsid w:val="00F508CE"/>
    <w:rsid w:val="00F508FD"/>
    <w:rsid w:val="00F50B45"/>
    <w:rsid w:val="00F50CC4"/>
    <w:rsid w:val="00F50CE2"/>
    <w:rsid w:val="00F50E3C"/>
    <w:rsid w:val="00F5108A"/>
    <w:rsid w:val="00F51128"/>
    <w:rsid w:val="00F513E1"/>
    <w:rsid w:val="00F515E8"/>
    <w:rsid w:val="00F515FD"/>
    <w:rsid w:val="00F51615"/>
    <w:rsid w:val="00F51D57"/>
    <w:rsid w:val="00F51E1C"/>
    <w:rsid w:val="00F51FD3"/>
    <w:rsid w:val="00F523EC"/>
    <w:rsid w:val="00F5247D"/>
    <w:rsid w:val="00F524C4"/>
    <w:rsid w:val="00F52529"/>
    <w:rsid w:val="00F526C7"/>
    <w:rsid w:val="00F52B33"/>
    <w:rsid w:val="00F52EA9"/>
    <w:rsid w:val="00F52EB8"/>
    <w:rsid w:val="00F52F4D"/>
    <w:rsid w:val="00F52F93"/>
    <w:rsid w:val="00F53085"/>
    <w:rsid w:val="00F531A7"/>
    <w:rsid w:val="00F531BD"/>
    <w:rsid w:val="00F531ED"/>
    <w:rsid w:val="00F53358"/>
    <w:rsid w:val="00F53511"/>
    <w:rsid w:val="00F535A2"/>
    <w:rsid w:val="00F53922"/>
    <w:rsid w:val="00F539A2"/>
    <w:rsid w:val="00F53A68"/>
    <w:rsid w:val="00F53D07"/>
    <w:rsid w:val="00F53EE8"/>
    <w:rsid w:val="00F54608"/>
    <w:rsid w:val="00F54685"/>
    <w:rsid w:val="00F5484F"/>
    <w:rsid w:val="00F54AB7"/>
    <w:rsid w:val="00F54AE7"/>
    <w:rsid w:val="00F54DAF"/>
    <w:rsid w:val="00F54DB3"/>
    <w:rsid w:val="00F550F1"/>
    <w:rsid w:val="00F55203"/>
    <w:rsid w:val="00F5524D"/>
    <w:rsid w:val="00F552E2"/>
    <w:rsid w:val="00F552F2"/>
    <w:rsid w:val="00F55476"/>
    <w:rsid w:val="00F555BE"/>
    <w:rsid w:val="00F55C58"/>
    <w:rsid w:val="00F55CBF"/>
    <w:rsid w:val="00F55E52"/>
    <w:rsid w:val="00F55F03"/>
    <w:rsid w:val="00F5624B"/>
    <w:rsid w:val="00F56343"/>
    <w:rsid w:val="00F5652F"/>
    <w:rsid w:val="00F56573"/>
    <w:rsid w:val="00F565DC"/>
    <w:rsid w:val="00F5690D"/>
    <w:rsid w:val="00F56BC4"/>
    <w:rsid w:val="00F56D6D"/>
    <w:rsid w:val="00F56F5D"/>
    <w:rsid w:val="00F56F73"/>
    <w:rsid w:val="00F56FC4"/>
    <w:rsid w:val="00F571E1"/>
    <w:rsid w:val="00F571F2"/>
    <w:rsid w:val="00F57224"/>
    <w:rsid w:val="00F572CC"/>
    <w:rsid w:val="00F573CB"/>
    <w:rsid w:val="00F574BA"/>
    <w:rsid w:val="00F575E1"/>
    <w:rsid w:val="00F57743"/>
    <w:rsid w:val="00F57EF0"/>
    <w:rsid w:val="00F60127"/>
    <w:rsid w:val="00F60283"/>
    <w:rsid w:val="00F606E5"/>
    <w:rsid w:val="00F607C8"/>
    <w:rsid w:val="00F608D6"/>
    <w:rsid w:val="00F60BB8"/>
    <w:rsid w:val="00F60CC8"/>
    <w:rsid w:val="00F60D8C"/>
    <w:rsid w:val="00F60DD2"/>
    <w:rsid w:val="00F60EED"/>
    <w:rsid w:val="00F60F9C"/>
    <w:rsid w:val="00F60FE6"/>
    <w:rsid w:val="00F61140"/>
    <w:rsid w:val="00F61359"/>
    <w:rsid w:val="00F617A4"/>
    <w:rsid w:val="00F617A7"/>
    <w:rsid w:val="00F61A69"/>
    <w:rsid w:val="00F61DC7"/>
    <w:rsid w:val="00F61F50"/>
    <w:rsid w:val="00F61F5D"/>
    <w:rsid w:val="00F62221"/>
    <w:rsid w:val="00F62252"/>
    <w:rsid w:val="00F622FA"/>
    <w:rsid w:val="00F625F4"/>
    <w:rsid w:val="00F62700"/>
    <w:rsid w:val="00F627E2"/>
    <w:rsid w:val="00F62931"/>
    <w:rsid w:val="00F629C8"/>
    <w:rsid w:val="00F629D0"/>
    <w:rsid w:val="00F62CFA"/>
    <w:rsid w:val="00F62E95"/>
    <w:rsid w:val="00F63294"/>
    <w:rsid w:val="00F63432"/>
    <w:rsid w:val="00F63843"/>
    <w:rsid w:val="00F63AC0"/>
    <w:rsid w:val="00F64100"/>
    <w:rsid w:val="00F6423A"/>
    <w:rsid w:val="00F644AB"/>
    <w:rsid w:val="00F645E0"/>
    <w:rsid w:val="00F64791"/>
    <w:rsid w:val="00F647B6"/>
    <w:rsid w:val="00F64B8A"/>
    <w:rsid w:val="00F64CF9"/>
    <w:rsid w:val="00F64D25"/>
    <w:rsid w:val="00F64D97"/>
    <w:rsid w:val="00F652D8"/>
    <w:rsid w:val="00F6548E"/>
    <w:rsid w:val="00F65632"/>
    <w:rsid w:val="00F65683"/>
    <w:rsid w:val="00F65E6E"/>
    <w:rsid w:val="00F65FA1"/>
    <w:rsid w:val="00F65FB8"/>
    <w:rsid w:val="00F65FBE"/>
    <w:rsid w:val="00F66134"/>
    <w:rsid w:val="00F66225"/>
    <w:rsid w:val="00F66764"/>
    <w:rsid w:val="00F66A14"/>
    <w:rsid w:val="00F66AF2"/>
    <w:rsid w:val="00F66B9A"/>
    <w:rsid w:val="00F66D6B"/>
    <w:rsid w:val="00F66D8A"/>
    <w:rsid w:val="00F66DFC"/>
    <w:rsid w:val="00F66E05"/>
    <w:rsid w:val="00F674BD"/>
    <w:rsid w:val="00F6751D"/>
    <w:rsid w:val="00F677FB"/>
    <w:rsid w:val="00F67851"/>
    <w:rsid w:val="00F67A03"/>
    <w:rsid w:val="00F67E6C"/>
    <w:rsid w:val="00F67EF3"/>
    <w:rsid w:val="00F67FBB"/>
    <w:rsid w:val="00F67FD2"/>
    <w:rsid w:val="00F701D0"/>
    <w:rsid w:val="00F7043E"/>
    <w:rsid w:val="00F70542"/>
    <w:rsid w:val="00F70786"/>
    <w:rsid w:val="00F707FE"/>
    <w:rsid w:val="00F7086D"/>
    <w:rsid w:val="00F708DD"/>
    <w:rsid w:val="00F7097F"/>
    <w:rsid w:val="00F709BC"/>
    <w:rsid w:val="00F70C79"/>
    <w:rsid w:val="00F70CBF"/>
    <w:rsid w:val="00F70F7B"/>
    <w:rsid w:val="00F71106"/>
    <w:rsid w:val="00F712D7"/>
    <w:rsid w:val="00F7130B"/>
    <w:rsid w:val="00F71520"/>
    <w:rsid w:val="00F715CE"/>
    <w:rsid w:val="00F717F7"/>
    <w:rsid w:val="00F7182A"/>
    <w:rsid w:val="00F71857"/>
    <w:rsid w:val="00F71998"/>
    <w:rsid w:val="00F71B4B"/>
    <w:rsid w:val="00F71EF0"/>
    <w:rsid w:val="00F7212F"/>
    <w:rsid w:val="00F721F2"/>
    <w:rsid w:val="00F7222E"/>
    <w:rsid w:val="00F725B1"/>
    <w:rsid w:val="00F7260B"/>
    <w:rsid w:val="00F726E0"/>
    <w:rsid w:val="00F726FD"/>
    <w:rsid w:val="00F7288B"/>
    <w:rsid w:val="00F729F7"/>
    <w:rsid w:val="00F72C7C"/>
    <w:rsid w:val="00F72E7B"/>
    <w:rsid w:val="00F72EE4"/>
    <w:rsid w:val="00F72F09"/>
    <w:rsid w:val="00F731C9"/>
    <w:rsid w:val="00F73356"/>
    <w:rsid w:val="00F73819"/>
    <w:rsid w:val="00F73C0D"/>
    <w:rsid w:val="00F74084"/>
    <w:rsid w:val="00F740C3"/>
    <w:rsid w:val="00F740EC"/>
    <w:rsid w:val="00F742AE"/>
    <w:rsid w:val="00F74303"/>
    <w:rsid w:val="00F74326"/>
    <w:rsid w:val="00F7443F"/>
    <w:rsid w:val="00F74472"/>
    <w:rsid w:val="00F74AE2"/>
    <w:rsid w:val="00F75228"/>
    <w:rsid w:val="00F7535C"/>
    <w:rsid w:val="00F7554B"/>
    <w:rsid w:val="00F7573A"/>
    <w:rsid w:val="00F7579B"/>
    <w:rsid w:val="00F7590F"/>
    <w:rsid w:val="00F75FD4"/>
    <w:rsid w:val="00F75FE2"/>
    <w:rsid w:val="00F76167"/>
    <w:rsid w:val="00F76179"/>
    <w:rsid w:val="00F76320"/>
    <w:rsid w:val="00F763A7"/>
    <w:rsid w:val="00F767EC"/>
    <w:rsid w:val="00F76955"/>
    <w:rsid w:val="00F76A38"/>
    <w:rsid w:val="00F76A98"/>
    <w:rsid w:val="00F770CE"/>
    <w:rsid w:val="00F772CC"/>
    <w:rsid w:val="00F776A8"/>
    <w:rsid w:val="00F779E2"/>
    <w:rsid w:val="00F779F8"/>
    <w:rsid w:val="00F77DF0"/>
    <w:rsid w:val="00F77E5F"/>
    <w:rsid w:val="00F80071"/>
    <w:rsid w:val="00F800C8"/>
    <w:rsid w:val="00F80278"/>
    <w:rsid w:val="00F802B1"/>
    <w:rsid w:val="00F80553"/>
    <w:rsid w:val="00F805E1"/>
    <w:rsid w:val="00F806E2"/>
    <w:rsid w:val="00F80A5C"/>
    <w:rsid w:val="00F80B30"/>
    <w:rsid w:val="00F80B52"/>
    <w:rsid w:val="00F80BF8"/>
    <w:rsid w:val="00F80C4F"/>
    <w:rsid w:val="00F80E8B"/>
    <w:rsid w:val="00F80EF6"/>
    <w:rsid w:val="00F80F47"/>
    <w:rsid w:val="00F80F9E"/>
    <w:rsid w:val="00F81017"/>
    <w:rsid w:val="00F81054"/>
    <w:rsid w:val="00F8113D"/>
    <w:rsid w:val="00F8155C"/>
    <w:rsid w:val="00F81698"/>
    <w:rsid w:val="00F816EF"/>
    <w:rsid w:val="00F818B3"/>
    <w:rsid w:val="00F819A2"/>
    <w:rsid w:val="00F81C76"/>
    <w:rsid w:val="00F81DBA"/>
    <w:rsid w:val="00F81FF1"/>
    <w:rsid w:val="00F82278"/>
    <w:rsid w:val="00F8244F"/>
    <w:rsid w:val="00F824AA"/>
    <w:rsid w:val="00F82746"/>
    <w:rsid w:val="00F82829"/>
    <w:rsid w:val="00F82B63"/>
    <w:rsid w:val="00F831C4"/>
    <w:rsid w:val="00F831FF"/>
    <w:rsid w:val="00F8353D"/>
    <w:rsid w:val="00F8363D"/>
    <w:rsid w:val="00F83830"/>
    <w:rsid w:val="00F839A3"/>
    <w:rsid w:val="00F83AE7"/>
    <w:rsid w:val="00F842B7"/>
    <w:rsid w:val="00F845DE"/>
    <w:rsid w:val="00F84849"/>
    <w:rsid w:val="00F84AFF"/>
    <w:rsid w:val="00F84D0B"/>
    <w:rsid w:val="00F84E1A"/>
    <w:rsid w:val="00F84F03"/>
    <w:rsid w:val="00F853C8"/>
    <w:rsid w:val="00F853D8"/>
    <w:rsid w:val="00F8569E"/>
    <w:rsid w:val="00F856CB"/>
    <w:rsid w:val="00F857D8"/>
    <w:rsid w:val="00F8582A"/>
    <w:rsid w:val="00F85A14"/>
    <w:rsid w:val="00F85F45"/>
    <w:rsid w:val="00F8603A"/>
    <w:rsid w:val="00F863E3"/>
    <w:rsid w:val="00F8641F"/>
    <w:rsid w:val="00F8644F"/>
    <w:rsid w:val="00F864A1"/>
    <w:rsid w:val="00F864BB"/>
    <w:rsid w:val="00F86514"/>
    <w:rsid w:val="00F86992"/>
    <w:rsid w:val="00F86A2E"/>
    <w:rsid w:val="00F86C6E"/>
    <w:rsid w:val="00F86D5E"/>
    <w:rsid w:val="00F86E5E"/>
    <w:rsid w:val="00F86EB7"/>
    <w:rsid w:val="00F86F4F"/>
    <w:rsid w:val="00F86F75"/>
    <w:rsid w:val="00F87324"/>
    <w:rsid w:val="00F87A43"/>
    <w:rsid w:val="00F87C7A"/>
    <w:rsid w:val="00F87F4F"/>
    <w:rsid w:val="00F9010F"/>
    <w:rsid w:val="00F9028B"/>
    <w:rsid w:val="00F90342"/>
    <w:rsid w:val="00F90413"/>
    <w:rsid w:val="00F906E1"/>
    <w:rsid w:val="00F90952"/>
    <w:rsid w:val="00F909BB"/>
    <w:rsid w:val="00F90D1C"/>
    <w:rsid w:val="00F90D25"/>
    <w:rsid w:val="00F90EB0"/>
    <w:rsid w:val="00F911B5"/>
    <w:rsid w:val="00F913C6"/>
    <w:rsid w:val="00F9147A"/>
    <w:rsid w:val="00F9160F"/>
    <w:rsid w:val="00F91A4D"/>
    <w:rsid w:val="00F91B41"/>
    <w:rsid w:val="00F91E1E"/>
    <w:rsid w:val="00F92209"/>
    <w:rsid w:val="00F92374"/>
    <w:rsid w:val="00F9269C"/>
    <w:rsid w:val="00F928D2"/>
    <w:rsid w:val="00F92927"/>
    <w:rsid w:val="00F92A42"/>
    <w:rsid w:val="00F92A52"/>
    <w:rsid w:val="00F92B06"/>
    <w:rsid w:val="00F92B19"/>
    <w:rsid w:val="00F92C5C"/>
    <w:rsid w:val="00F92E04"/>
    <w:rsid w:val="00F92E0F"/>
    <w:rsid w:val="00F92FF2"/>
    <w:rsid w:val="00F92FF8"/>
    <w:rsid w:val="00F93135"/>
    <w:rsid w:val="00F9321A"/>
    <w:rsid w:val="00F937ED"/>
    <w:rsid w:val="00F93986"/>
    <w:rsid w:val="00F93B24"/>
    <w:rsid w:val="00F93C13"/>
    <w:rsid w:val="00F93C3A"/>
    <w:rsid w:val="00F93D26"/>
    <w:rsid w:val="00F93F57"/>
    <w:rsid w:val="00F93FA3"/>
    <w:rsid w:val="00F943A2"/>
    <w:rsid w:val="00F94602"/>
    <w:rsid w:val="00F946C7"/>
    <w:rsid w:val="00F94864"/>
    <w:rsid w:val="00F94B7A"/>
    <w:rsid w:val="00F94D39"/>
    <w:rsid w:val="00F94D89"/>
    <w:rsid w:val="00F9516C"/>
    <w:rsid w:val="00F95204"/>
    <w:rsid w:val="00F95210"/>
    <w:rsid w:val="00F9526A"/>
    <w:rsid w:val="00F9563B"/>
    <w:rsid w:val="00F9569A"/>
    <w:rsid w:val="00F958C2"/>
    <w:rsid w:val="00F95A99"/>
    <w:rsid w:val="00F95BDD"/>
    <w:rsid w:val="00F95D98"/>
    <w:rsid w:val="00F96250"/>
    <w:rsid w:val="00F9636C"/>
    <w:rsid w:val="00F964AF"/>
    <w:rsid w:val="00F966F6"/>
    <w:rsid w:val="00F96839"/>
    <w:rsid w:val="00F968E8"/>
    <w:rsid w:val="00F96C91"/>
    <w:rsid w:val="00F96D42"/>
    <w:rsid w:val="00F96D8E"/>
    <w:rsid w:val="00F96E6E"/>
    <w:rsid w:val="00F96EC9"/>
    <w:rsid w:val="00F96F74"/>
    <w:rsid w:val="00F97332"/>
    <w:rsid w:val="00F974D6"/>
    <w:rsid w:val="00F97830"/>
    <w:rsid w:val="00F9795F"/>
    <w:rsid w:val="00F97A40"/>
    <w:rsid w:val="00F97B73"/>
    <w:rsid w:val="00F97BCF"/>
    <w:rsid w:val="00F97C19"/>
    <w:rsid w:val="00F97EE3"/>
    <w:rsid w:val="00FA0088"/>
    <w:rsid w:val="00FA0222"/>
    <w:rsid w:val="00FA02EE"/>
    <w:rsid w:val="00FA030F"/>
    <w:rsid w:val="00FA0A4D"/>
    <w:rsid w:val="00FA0CA7"/>
    <w:rsid w:val="00FA0ED1"/>
    <w:rsid w:val="00FA0F8B"/>
    <w:rsid w:val="00FA0FE5"/>
    <w:rsid w:val="00FA1022"/>
    <w:rsid w:val="00FA142F"/>
    <w:rsid w:val="00FA16F3"/>
    <w:rsid w:val="00FA17DF"/>
    <w:rsid w:val="00FA19B3"/>
    <w:rsid w:val="00FA1B03"/>
    <w:rsid w:val="00FA1C70"/>
    <w:rsid w:val="00FA1EBF"/>
    <w:rsid w:val="00FA1F46"/>
    <w:rsid w:val="00FA1FB4"/>
    <w:rsid w:val="00FA2063"/>
    <w:rsid w:val="00FA208E"/>
    <w:rsid w:val="00FA20CA"/>
    <w:rsid w:val="00FA224E"/>
    <w:rsid w:val="00FA287B"/>
    <w:rsid w:val="00FA3103"/>
    <w:rsid w:val="00FA3125"/>
    <w:rsid w:val="00FA324F"/>
    <w:rsid w:val="00FA33A6"/>
    <w:rsid w:val="00FA35BF"/>
    <w:rsid w:val="00FA378C"/>
    <w:rsid w:val="00FA3949"/>
    <w:rsid w:val="00FA39E7"/>
    <w:rsid w:val="00FA3A7E"/>
    <w:rsid w:val="00FA3C64"/>
    <w:rsid w:val="00FA3D4C"/>
    <w:rsid w:val="00FA3E1E"/>
    <w:rsid w:val="00FA3F36"/>
    <w:rsid w:val="00FA3F54"/>
    <w:rsid w:val="00FA3FFC"/>
    <w:rsid w:val="00FA40B3"/>
    <w:rsid w:val="00FA40EC"/>
    <w:rsid w:val="00FA4499"/>
    <w:rsid w:val="00FA4611"/>
    <w:rsid w:val="00FA46BF"/>
    <w:rsid w:val="00FA481B"/>
    <w:rsid w:val="00FA48BB"/>
    <w:rsid w:val="00FA4A02"/>
    <w:rsid w:val="00FA4A52"/>
    <w:rsid w:val="00FA4C26"/>
    <w:rsid w:val="00FA4EE3"/>
    <w:rsid w:val="00FA52C3"/>
    <w:rsid w:val="00FA5579"/>
    <w:rsid w:val="00FA559C"/>
    <w:rsid w:val="00FA5648"/>
    <w:rsid w:val="00FA56E4"/>
    <w:rsid w:val="00FA59AA"/>
    <w:rsid w:val="00FA59E3"/>
    <w:rsid w:val="00FA5A1C"/>
    <w:rsid w:val="00FA5B3F"/>
    <w:rsid w:val="00FA5C63"/>
    <w:rsid w:val="00FA6246"/>
    <w:rsid w:val="00FA63F1"/>
    <w:rsid w:val="00FA651F"/>
    <w:rsid w:val="00FA68B5"/>
    <w:rsid w:val="00FA6BA8"/>
    <w:rsid w:val="00FA6CA1"/>
    <w:rsid w:val="00FA70D9"/>
    <w:rsid w:val="00FA7368"/>
    <w:rsid w:val="00FA74BC"/>
    <w:rsid w:val="00FA7548"/>
    <w:rsid w:val="00FA75D6"/>
    <w:rsid w:val="00FA76B5"/>
    <w:rsid w:val="00FA77C5"/>
    <w:rsid w:val="00FA7982"/>
    <w:rsid w:val="00FA7B80"/>
    <w:rsid w:val="00FA7C2B"/>
    <w:rsid w:val="00FA7DAF"/>
    <w:rsid w:val="00FA7DF3"/>
    <w:rsid w:val="00FA7EAB"/>
    <w:rsid w:val="00FA7F29"/>
    <w:rsid w:val="00FA7FEE"/>
    <w:rsid w:val="00FB02BA"/>
    <w:rsid w:val="00FB03D7"/>
    <w:rsid w:val="00FB0603"/>
    <w:rsid w:val="00FB0686"/>
    <w:rsid w:val="00FB0845"/>
    <w:rsid w:val="00FB09C2"/>
    <w:rsid w:val="00FB0B18"/>
    <w:rsid w:val="00FB0B53"/>
    <w:rsid w:val="00FB0D19"/>
    <w:rsid w:val="00FB135F"/>
    <w:rsid w:val="00FB145D"/>
    <w:rsid w:val="00FB1618"/>
    <w:rsid w:val="00FB18EA"/>
    <w:rsid w:val="00FB1C25"/>
    <w:rsid w:val="00FB1C64"/>
    <w:rsid w:val="00FB236F"/>
    <w:rsid w:val="00FB2645"/>
    <w:rsid w:val="00FB280F"/>
    <w:rsid w:val="00FB29FE"/>
    <w:rsid w:val="00FB2ACA"/>
    <w:rsid w:val="00FB2F8D"/>
    <w:rsid w:val="00FB2FDE"/>
    <w:rsid w:val="00FB3396"/>
    <w:rsid w:val="00FB33AF"/>
    <w:rsid w:val="00FB352A"/>
    <w:rsid w:val="00FB3921"/>
    <w:rsid w:val="00FB3CA5"/>
    <w:rsid w:val="00FB3F0D"/>
    <w:rsid w:val="00FB4424"/>
    <w:rsid w:val="00FB44DD"/>
    <w:rsid w:val="00FB45BA"/>
    <w:rsid w:val="00FB46A2"/>
    <w:rsid w:val="00FB4813"/>
    <w:rsid w:val="00FB4B9F"/>
    <w:rsid w:val="00FB5190"/>
    <w:rsid w:val="00FB519A"/>
    <w:rsid w:val="00FB5558"/>
    <w:rsid w:val="00FB55A0"/>
    <w:rsid w:val="00FB55E9"/>
    <w:rsid w:val="00FB5671"/>
    <w:rsid w:val="00FB57F2"/>
    <w:rsid w:val="00FB586E"/>
    <w:rsid w:val="00FB5980"/>
    <w:rsid w:val="00FB5ED6"/>
    <w:rsid w:val="00FB5EF6"/>
    <w:rsid w:val="00FB60B2"/>
    <w:rsid w:val="00FB6235"/>
    <w:rsid w:val="00FB6261"/>
    <w:rsid w:val="00FB6425"/>
    <w:rsid w:val="00FB6427"/>
    <w:rsid w:val="00FB6478"/>
    <w:rsid w:val="00FB651A"/>
    <w:rsid w:val="00FB673E"/>
    <w:rsid w:val="00FB6FD5"/>
    <w:rsid w:val="00FB7189"/>
    <w:rsid w:val="00FB7247"/>
    <w:rsid w:val="00FB753B"/>
    <w:rsid w:val="00FB7559"/>
    <w:rsid w:val="00FB759C"/>
    <w:rsid w:val="00FB7A18"/>
    <w:rsid w:val="00FC028A"/>
    <w:rsid w:val="00FC02AD"/>
    <w:rsid w:val="00FC0382"/>
    <w:rsid w:val="00FC0466"/>
    <w:rsid w:val="00FC0B2B"/>
    <w:rsid w:val="00FC0E2E"/>
    <w:rsid w:val="00FC1023"/>
    <w:rsid w:val="00FC10B7"/>
    <w:rsid w:val="00FC131A"/>
    <w:rsid w:val="00FC1348"/>
    <w:rsid w:val="00FC14CA"/>
    <w:rsid w:val="00FC1612"/>
    <w:rsid w:val="00FC1864"/>
    <w:rsid w:val="00FC1C86"/>
    <w:rsid w:val="00FC1FF2"/>
    <w:rsid w:val="00FC2108"/>
    <w:rsid w:val="00FC2399"/>
    <w:rsid w:val="00FC27FA"/>
    <w:rsid w:val="00FC2864"/>
    <w:rsid w:val="00FC2935"/>
    <w:rsid w:val="00FC2953"/>
    <w:rsid w:val="00FC2980"/>
    <w:rsid w:val="00FC2CB6"/>
    <w:rsid w:val="00FC2CF6"/>
    <w:rsid w:val="00FC2E99"/>
    <w:rsid w:val="00FC2F92"/>
    <w:rsid w:val="00FC2FE3"/>
    <w:rsid w:val="00FC3386"/>
    <w:rsid w:val="00FC35BF"/>
    <w:rsid w:val="00FC3C85"/>
    <w:rsid w:val="00FC3CEA"/>
    <w:rsid w:val="00FC3D57"/>
    <w:rsid w:val="00FC3EB4"/>
    <w:rsid w:val="00FC41C5"/>
    <w:rsid w:val="00FC425C"/>
    <w:rsid w:val="00FC44CF"/>
    <w:rsid w:val="00FC4A62"/>
    <w:rsid w:val="00FC4D32"/>
    <w:rsid w:val="00FC4D38"/>
    <w:rsid w:val="00FC51B8"/>
    <w:rsid w:val="00FC5201"/>
    <w:rsid w:val="00FC551A"/>
    <w:rsid w:val="00FC55E0"/>
    <w:rsid w:val="00FC561E"/>
    <w:rsid w:val="00FC5768"/>
    <w:rsid w:val="00FC58EF"/>
    <w:rsid w:val="00FC59B3"/>
    <w:rsid w:val="00FC5E30"/>
    <w:rsid w:val="00FC5E85"/>
    <w:rsid w:val="00FC5FD1"/>
    <w:rsid w:val="00FC6571"/>
    <w:rsid w:val="00FC6823"/>
    <w:rsid w:val="00FC6863"/>
    <w:rsid w:val="00FC6A06"/>
    <w:rsid w:val="00FC6A32"/>
    <w:rsid w:val="00FC6BE7"/>
    <w:rsid w:val="00FC6C2D"/>
    <w:rsid w:val="00FC6C79"/>
    <w:rsid w:val="00FC6CB9"/>
    <w:rsid w:val="00FC6E1A"/>
    <w:rsid w:val="00FC6F1E"/>
    <w:rsid w:val="00FC7079"/>
    <w:rsid w:val="00FC70A8"/>
    <w:rsid w:val="00FC7578"/>
    <w:rsid w:val="00FC75D9"/>
    <w:rsid w:val="00FC79AB"/>
    <w:rsid w:val="00FC7AA2"/>
    <w:rsid w:val="00FC7C62"/>
    <w:rsid w:val="00FC7FC5"/>
    <w:rsid w:val="00FD025B"/>
    <w:rsid w:val="00FD0395"/>
    <w:rsid w:val="00FD06D1"/>
    <w:rsid w:val="00FD0F37"/>
    <w:rsid w:val="00FD115B"/>
    <w:rsid w:val="00FD1505"/>
    <w:rsid w:val="00FD157A"/>
    <w:rsid w:val="00FD15F7"/>
    <w:rsid w:val="00FD16AB"/>
    <w:rsid w:val="00FD16D4"/>
    <w:rsid w:val="00FD17AC"/>
    <w:rsid w:val="00FD1807"/>
    <w:rsid w:val="00FD1C62"/>
    <w:rsid w:val="00FD1DC0"/>
    <w:rsid w:val="00FD1E9D"/>
    <w:rsid w:val="00FD200B"/>
    <w:rsid w:val="00FD20BD"/>
    <w:rsid w:val="00FD219C"/>
    <w:rsid w:val="00FD2205"/>
    <w:rsid w:val="00FD24A4"/>
    <w:rsid w:val="00FD2719"/>
    <w:rsid w:val="00FD2858"/>
    <w:rsid w:val="00FD2A99"/>
    <w:rsid w:val="00FD2BEE"/>
    <w:rsid w:val="00FD2D28"/>
    <w:rsid w:val="00FD2E3A"/>
    <w:rsid w:val="00FD2F5D"/>
    <w:rsid w:val="00FD2FEC"/>
    <w:rsid w:val="00FD314F"/>
    <w:rsid w:val="00FD336B"/>
    <w:rsid w:val="00FD3479"/>
    <w:rsid w:val="00FD34DB"/>
    <w:rsid w:val="00FD3775"/>
    <w:rsid w:val="00FD37C4"/>
    <w:rsid w:val="00FD37E2"/>
    <w:rsid w:val="00FD38DC"/>
    <w:rsid w:val="00FD391B"/>
    <w:rsid w:val="00FD3929"/>
    <w:rsid w:val="00FD395E"/>
    <w:rsid w:val="00FD3B5D"/>
    <w:rsid w:val="00FD3C71"/>
    <w:rsid w:val="00FD3DB9"/>
    <w:rsid w:val="00FD3E17"/>
    <w:rsid w:val="00FD3E67"/>
    <w:rsid w:val="00FD3ECE"/>
    <w:rsid w:val="00FD3EE5"/>
    <w:rsid w:val="00FD3EEE"/>
    <w:rsid w:val="00FD3F6E"/>
    <w:rsid w:val="00FD40A8"/>
    <w:rsid w:val="00FD40F0"/>
    <w:rsid w:val="00FD418A"/>
    <w:rsid w:val="00FD47D4"/>
    <w:rsid w:val="00FD48C1"/>
    <w:rsid w:val="00FD4B41"/>
    <w:rsid w:val="00FD4D45"/>
    <w:rsid w:val="00FD4DB7"/>
    <w:rsid w:val="00FD5054"/>
    <w:rsid w:val="00FD51AB"/>
    <w:rsid w:val="00FD51DA"/>
    <w:rsid w:val="00FD5241"/>
    <w:rsid w:val="00FD52E5"/>
    <w:rsid w:val="00FD5879"/>
    <w:rsid w:val="00FD5958"/>
    <w:rsid w:val="00FD5961"/>
    <w:rsid w:val="00FD5EF7"/>
    <w:rsid w:val="00FD613A"/>
    <w:rsid w:val="00FD62B9"/>
    <w:rsid w:val="00FD63BD"/>
    <w:rsid w:val="00FD6457"/>
    <w:rsid w:val="00FD64DD"/>
    <w:rsid w:val="00FD6715"/>
    <w:rsid w:val="00FD6A22"/>
    <w:rsid w:val="00FD6B81"/>
    <w:rsid w:val="00FD6BFC"/>
    <w:rsid w:val="00FD6D47"/>
    <w:rsid w:val="00FD6F48"/>
    <w:rsid w:val="00FD6F5C"/>
    <w:rsid w:val="00FD6FFC"/>
    <w:rsid w:val="00FD700E"/>
    <w:rsid w:val="00FD706E"/>
    <w:rsid w:val="00FD7168"/>
    <w:rsid w:val="00FD7355"/>
    <w:rsid w:val="00FD755E"/>
    <w:rsid w:val="00FD76FA"/>
    <w:rsid w:val="00FD770C"/>
    <w:rsid w:val="00FD773B"/>
    <w:rsid w:val="00FD77B3"/>
    <w:rsid w:val="00FD7BCB"/>
    <w:rsid w:val="00FD7BCC"/>
    <w:rsid w:val="00FD7C78"/>
    <w:rsid w:val="00FD7CD3"/>
    <w:rsid w:val="00FE0097"/>
    <w:rsid w:val="00FE010F"/>
    <w:rsid w:val="00FE02D6"/>
    <w:rsid w:val="00FE0334"/>
    <w:rsid w:val="00FE03E8"/>
    <w:rsid w:val="00FE05C9"/>
    <w:rsid w:val="00FE0812"/>
    <w:rsid w:val="00FE0B39"/>
    <w:rsid w:val="00FE0CF0"/>
    <w:rsid w:val="00FE0E83"/>
    <w:rsid w:val="00FE1230"/>
    <w:rsid w:val="00FE1243"/>
    <w:rsid w:val="00FE1361"/>
    <w:rsid w:val="00FE1404"/>
    <w:rsid w:val="00FE16E3"/>
    <w:rsid w:val="00FE1AC4"/>
    <w:rsid w:val="00FE1CDC"/>
    <w:rsid w:val="00FE200F"/>
    <w:rsid w:val="00FE2227"/>
    <w:rsid w:val="00FE22E4"/>
    <w:rsid w:val="00FE2312"/>
    <w:rsid w:val="00FE23FB"/>
    <w:rsid w:val="00FE2566"/>
    <w:rsid w:val="00FE2665"/>
    <w:rsid w:val="00FE2685"/>
    <w:rsid w:val="00FE2750"/>
    <w:rsid w:val="00FE2786"/>
    <w:rsid w:val="00FE28C2"/>
    <w:rsid w:val="00FE2C9C"/>
    <w:rsid w:val="00FE2D17"/>
    <w:rsid w:val="00FE2EC6"/>
    <w:rsid w:val="00FE3228"/>
    <w:rsid w:val="00FE32DA"/>
    <w:rsid w:val="00FE37D2"/>
    <w:rsid w:val="00FE3B3D"/>
    <w:rsid w:val="00FE3CC9"/>
    <w:rsid w:val="00FE3DC3"/>
    <w:rsid w:val="00FE3E29"/>
    <w:rsid w:val="00FE410C"/>
    <w:rsid w:val="00FE4189"/>
    <w:rsid w:val="00FE434B"/>
    <w:rsid w:val="00FE44C5"/>
    <w:rsid w:val="00FE44F5"/>
    <w:rsid w:val="00FE459D"/>
    <w:rsid w:val="00FE507C"/>
    <w:rsid w:val="00FE524F"/>
    <w:rsid w:val="00FE550B"/>
    <w:rsid w:val="00FE5589"/>
    <w:rsid w:val="00FE5844"/>
    <w:rsid w:val="00FE58D2"/>
    <w:rsid w:val="00FE5FD3"/>
    <w:rsid w:val="00FE63DD"/>
    <w:rsid w:val="00FE6940"/>
    <w:rsid w:val="00FE7194"/>
    <w:rsid w:val="00FE723B"/>
    <w:rsid w:val="00FE724C"/>
    <w:rsid w:val="00FE7879"/>
    <w:rsid w:val="00FE7C02"/>
    <w:rsid w:val="00FE7CC9"/>
    <w:rsid w:val="00FE7D13"/>
    <w:rsid w:val="00FE7DDC"/>
    <w:rsid w:val="00FE7E31"/>
    <w:rsid w:val="00FE7ECD"/>
    <w:rsid w:val="00FE7F44"/>
    <w:rsid w:val="00FF0062"/>
    <w:rsid w:val="00FF0117"/>
    <w:rsid w:val="00FF06B5"/>
    <w:rsid w:val="00FF06C1"/>
    <w:rsid w:val="00FF083D"/>
    <w:rsid w:val="00FF0AA9"/>
    <w:rsid w:val="00FF0CC3"/>
    <w:rsid w:val="00FF0DDD"/>
    <w:rsid w:val="00FF1018"/>
    <w:rsid w:val="00FF1021"/>
    <w:rsid w:val="00FF1072"/>
    <w:rsid w:val="00FF10F3"/>
    <w:rsid w:val="00FF1162"/>
    <w:rsid w:val="00FF1169"/>
    <w:rsid w:val="00FF128A"/>
    <w:rsid w:val="00FF13CD"/>
    <w:rsid w:val="00FF13FF"/>
    <w:rsid w:val="00FF141F"/>
    <w:rsid w:val="00FF17F0"/>
    <w:rsid w:val="00FF1B11"/>
    <w:rsid w:val="00FF21FF"/>
    <w:rsid w:val="00FF23A6"/>
    <w:rsid w:val="00FF242F"/>
    <w:rsid w:val="00FF243B"/>
    <w:rsid w:val="00FF2470"/>
    <w:rsid w:val="00FF251D"/>
    <w:rsid w:val="00FF26AD"/>
    <w:rsid w:val="00FF2747"/>
    <w:rsid w:val="00FF27FE"/>
    <w:rsid w:val="00FF290F"/>
    <w:rsid w:val="00FF2A77"/>
    <w:rsid w:val="00FF2D66"/>
    <w:rsid w:val="00FF2F18"/>
    <w:rsid w:val="00FF3136"/>
    <w:rsid w:val="00FF3328"/>
    <w:rsid w:val="00FF364B"/>
    <w:rsid w:val="00FF3779"/>
    <w:rsid w:val="00FF397E"/>
    <w:rsid w:val="00FF3BC8"/>
    <w:rsid w:val="00FF406D"/>
    <w:rsid w:val="00FF4346"/>
    <w:rsid w:val="00FF4492"/>
    <w:rsid w:val="00FF45F1"/>
    <w:rsid w:val="00FF49A2"/>
    <w:rsid w:val="00FF4B3F"/>
    <w:rsid w:val="00FF4CCD"/>
    <w:rsid w:val="00FF4DB0"/>
    <w:rsid w:val="00FF5197"/>
    <w:rsid w:val="00FF51A2"/>
    <w:rsid w:val="00FF53C4"/>
    <w:rsid w:val="00FF5A1F"/>
    <w:rsid w:val="00FF5CE3"/>
    <w:rsid w:val="00FF622F"/>
    <w:rsid w:val="00FF62FB"/>
    <w:rsid w:val="00FF6491"/>
    <w:rsid w:val="00FF678A"/>
    <w:rsid w:val="00FF67BE"/>
    <w:rsid w:val="00FF6963"/>
    <w:rsid w:val="00FF698C"/>
    <w:rsid w:val="00FF6A8D"/>
    <w:rsid w:val="00FF6AC1"/>
    <w:rsid w:val="00FF6BE9"/>
    <w:rsid w:val="00FF6DDC"/>
    <w:rsid w:val="00FF71AD"/>
    <w:rsid w:val="00FF71D6"/>
    <w:rsid w:val="00FF7370"/>
    <w:rsid w:val="00FF7446"/>
    <w:rsid w:val="00FF7478"/>
    <w:rsid w:val="00FF7676"/>
    <w:rsid w:val="00FF77C5"/>
    <w:rsid w:val="00FF784C"/>
    <w:rsid w:val="00FF786A"/>
    <w:rsid w:val="00FF7954"/>
    <w:rsid w:val="00FF7BFA"/>
    <w:rsid w:val="00FF7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A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customStyle="1" w:styleId="NoNorm">
    <w:name w:val="No Norm"/>
    <w:basedOn w:val="Normal"/>
    <w:qFormat/>
    <w:rsid w:val="002D6DFF"/>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character" w:customStyle="1" w:styleId="FootnoteTextChar">
    <w:name w:val="Footnote Text Char"/>
    <w:link w:val="FootnoteText"/>
    <w:uiPriority w:val="53"/>
    <w:rsid w:val="002D6DFF"/>
  </w:style>
  <w:style w:type="paragraph" w:customStyle="1" w:styleId="Noindentnormal">
    <w:name w:val="No indent normal"/>
    <w:basedOn w:val="NoNorm"/>
    <w:qFormat/>
    <w:rsid w:val="002D6DFF"/>
    <w:pPr>
      <w:tabs>
        <w:tab w:val="clear" w:pos="2160"/>
        <w:tab w:val="left" w:pos="1418"/>
      </w:tabs>
      <w:ind w:left="1418" w:hanging="709"/>
    </w:pPr>
  </w:style>
  <w:style w:type="paragraph" w:customStyle="1" w:styleId="Indentlista">
    <w:name w:val="Indent list a)"/>
    <w:basedOn w:val="Noindentnormal"/>
    <w:qFormat/>
    <w:rsid w:val="002D6DFF"/>
    <w:pPr>
      <w:tabs>
        <w:tab w:val="left" w:pos="2268"/>
      </w:tabs>
      <w:spacing w:before="60"/>
      <w:ind w:left="2268" w:hanging="567"/>
    </w:pPr>
  </w:style>
  <w:style w:type="character" w:styleId="CommentReference">
    <w:name w:val="annotation reference"/>
    <w:uiPriority w:val="99"/>
    <w:semiHidden/>
    <w:unhideWhenUsed/>
    <w:locked/>
    <w:rsid w:val="002D6DFF"/>
    <w:rPr>
      <w:sz w:val="16"/>
      <w:szCs w:val="16"/>
    </w:rPr>
  </w:style>
  <w:style w:type="paragraph" w:styleId="CommentText">
    <w:name w:val="annotation text"/>
    <w:basedOn w:val="Normal"/>
    <w:link w:val="CommentTextChar"/>
    <w:uiPriority w:val="99"/>
    <w:unhideWhenUsed/>
    <w:locked/>
    <w:rsid w:val="002D6DFF"/>
    <w:pPr>
      <w:tabs>
        <w:tab w:val="clear" w:pos="720"/>
      </w:tabs>
      <w:spacing w:before="120" w:line="312" w:lineRule="auto"/>
      <w:ind w:left="709" w:firstLine="0"/>
      <w:jc w:val="both"/>
    </w:pPr>
    <w:rPr>
      <w:rFonts w:ascii="Arial" w:hAnsi="Arial" w:cs="Arial"/>
      <w:sz w:val="20"/>
      <w:szCs w:val="20"/>
    </w:rPr>
  </w:style>
  <w:style w:type="character" w:customStyle="1" w:styleId="CommentTextChar">
    <w:name w:val="Comment Text Char"/>
    <w:basedOn w:val="DefaultParagraphFont"/>
    <w:link w:val="CommentText"/>
    <w:uiPriority w:val="99"/>
    <w:rsid w:val="002D6DF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6D2C74"/>
    <w:pPr>
      <w:tabs>
        <w:tab w:val="left" w:pos="720"/>
      </w:tabs>
      <w:spacing w:before="0" w:line="240" w:lineRule="auto"/>
      <w:ind w:left="0" w:firstLine="720"/>
      <w:jc w:val="left"/>
    </w:pPr>
    <w:rPr>
      <w:rFonts w:ascii="Univers" w:hAnsi="Univers" w:cs="Times New Roman"/>
      <w:b/>
      <w:bCs/>
    </w:rPr>
  </w:style>
  <w:style w:type="character" w:customStyle="1" w:styleId="CommentSubjectChar">
    <w:name w:val="Comment Subject Char"/>
    <w:basedOn w:val="CommentTextChar"/>
    <w:link w:val="CommentSubject"/>
    <w:uiPriority w:val="99"/>
    <w:semiHidden/>
    <w:rsid w:val="006D2C74"/>
    <w:rPr>
      <w:rFonts w:ascii="Arial" w:hAnsi="Arial" w:cs="Arial"/>
      <w:b/>
      <w:bCs/>
      <w:sz w:val="20"/>
      <w:szCs w:val="20"/>
    </w:rPr>
  </w:style>
  <w:style w:type="paragraph" w:styleId="Revision">
    <w:name w:val="Revision"/>
    <w:hidden/>
    <w:uiPriority w:val="99"/>
    <w:semiHidden/>
    <w:rsid w:val="00A005CF"/>
  </w:style>
  <w:style w:type="paragraph" w:styleId="ListBullet5">
    <w:name w:val="List Bullet 5"/>
    <w:basedOn w:val="Normal"/>
    <w:uiPriority w:val="99"/>
    <w:unhideWhenUsed/>
    <w:locked/>
    <w:rsid w:val="00BD0900"/>
    <w:pPr>
      <w:tabs>
        <w:tab w:val="clear" w:pos="720"/>
        <w:tab w:val="num" w:pos="1492"/>
      </w:tabs>
      <w:spacing w:before="120" w:line="312" w:lineRule="auto"/>
      <w:ind w:left="1492" w:hanging="360"/>
      <w:contextualSpacing/>
      <w:jc w:val="both"/>
    </w:pPr>
    <w:rPr>
      <w:rFonts w:ascii="Arial" w:hAnsi="Arial" w:cs="Arial"/>
      <w:sz w:val="22"/>
      <w:szCs w:val="22"/>
    </w:rPr>
  </w:style>
  <w:style w:type="paragraph" w:styleId="ListParagraph">
    <w:name w:val="List Paragraph"/>
    <w:basedOn w:val="Normal"/>
    <w:uiPriority w:val="34"/>
    <w:qFormat/>
    <w:locked/>
    <w:rsid w:val="000E1BF2"/>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59" w:lineRule="auto"/>
      <w:ind w:left="720" w:right="0" w:firstLine="0"/>
      <w:contextualSpacing/>
    </w:pPr>
    <w:rPr>
      <w:rFonts w:asciiTheme="minorHAnsi" w:eastAsiaTheme="minorHAnsi" w:hAnsiTheme="minorHAnsi" w:cstheme="minorBidi"/>
      <w:kern w:val="2"/>
      <w:sz w:val="22"/>
      <w:szCs w:val="22"/>
      <w:lang w:eastAsia="en-US"/>
      <w14:ligatures w14:val="standardContextual"/>
    </w:rPr>
  </w:style>
  <w:style w:type="paragraph" w:customStyle="1" w:styleId="Pa2">
    <w:name w:val="Pa2"/>
    <w:basedOn w:val="Normal"/>
    <w:next w:val="Normal"/>
    <w:uiPriority w:val="99"/>
    <w:rsid w:val="00F02C97"/>
    <w:pPr>
      <w:tabs>
        <w:tab w:val="clear" w:pos="720"/>
        <w:tab w:val="clear" w:pos="1440"/>
        <w:tab w:val="clear" w:pos="2160"/>
        <w:tab w:val="clear" w:pos="2880"/>
        <w:tab w:val="clear" w:pos="3600"/>
        <w:tab w:val="clear" w:pos="4320"/>
        <w:tab w:val="clear" w:pos="5040"/>
        <w:tab w:val="clear" w:pos="5760"/>
        <w:tab w:val="clear" w:pos="6480"/>
        <w:tab w:val="clear" w:pos="7200"/>
      </w:tabs>
      <w:autoSpaceDE w:val="0"/>
      <w:autoSpaceDN w:val="0"/>
      <w:adjustRightInd w:val="0"/>
      <w:spacing w:line="241" w:lineRule="atLeast"/>
      <w:ind w:right="0" w:firstLine="0"/>
    </w:pPr>
    <w:rPr>
      <w:rFonts w:ascii="Calibri Light" w:eastAsiaTheme="minorHAnsi" w:hAnsi="Calibri Light" w:cs="Calibri Light"/>
      <w:sz w:val="24"/>
      <w:szCs w:val="24"/>
      <w:lang w:eastAsia="en-US"/>
      <w14:ligatures w14:val="standardContextual"/>
    </w:rPr>
  </w:style>
  <w:style w:type="character" w:styleId="Hyperlink">
    <w:name w:val="Hyperlink"/>
    <w:basedOn w:val="DefaultParagraphFont"/>
    <w:uiPriority w:val="99"/>
    <w:unhideWhenUsed/>
    <w:locked/>
    <w:rsid w:val="00F42D51"/>
    <w:rPr>
      <w:color w:val="0000FF" w:themeColor="hyperlink"/>
      <w:u w:val="single"/>
    </w:rPr>
  </w:style>
  <w:style w:type="character" w:styleId="UnresolvedMention">
    <w:name w:val="Unresolved Mention"/>
    <w:basedOn w:val="DefaultParagraphFont"/>
    <w:uiPriority w:val="99"/>
    <w:semiHidden/>
    <w:unhideWhenUsed/>
    <w:rsid w:val="00F42D51"/>
    <w:rPr>
      <w:color w:val="605E5C"/>
      <w:shd w:val="clear" w:color="auto" w:fill="E1DFDD"/>
    </w:rPr>
  </w:style>
  <w:style w:type="paragraph" w:styleId="NormalWeb">
    <w:name w:val="Normal (Web)"/>
    <w:basedOn w:val="Normal"/>
    <w:uiPriority w:val="99"/>
    <w:unhideWhenUsed/>
    <w:locked/>
    <w:rsid w:val="003C3645"/>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customStyle="1" w:styleId="ssbf">
    <w:name w:val="ss_bf"/>
    <w:basedOn w:val="DefaultParagraphFont"/>
    <w:rsid w:val="003C3645"/>
  </w:style>
  <w:style w:type="character" w:customStyle="1" w:styleId="ssit">
    <w:name w:val="ss_it"/>
    <w:basedOn w:val="DefaultParagraphFont"/>
    <w:rsid w:val="003C3645"/>
  </w:style>
  <w:style w:type="character" w:customStyle="1" w:styleId="ssprior">
    <w:name w:val="ss_prior"/>
    <w:basedOn w:val="DefaultParagraphFont"/>
    <w:rsid w:val="003C3645"/>
  </w:style>
  <w:style w:type="paragraph" w:customStyle="1" w:styleId="pf0">
    <w:name w:val="pf0"/>
    <w:basedOn w:val="Normal"/>
    <w:rsid w:val="003C3645"/>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customStyle="1" w:styleId="cf01">
    <w:name w:val="cf01"/>
    <w:basedOn w:val="DefaultParagraphFont"/>
    <w:rsid w:val="003C3645"/>
    <w:rPr>
      <w:rFonts w:ascii="Segoe UI" w:hAnsi="Segoe UI" w:cs="Segoe UI" w:hint="default"/>
      <w:sz w:val="18"/>
      <w:szCs w:val="18"/>
    </w:rPr>
  </w:style>
  <w:style w:type="character" w:customStyle="1" w:styleId="cf11">
    <w:name w:val="cf11"/>
    <w:basedOn w:val="DefaultParagraphFont"/>
    <w:rsid w:val="003C3645"/>
    <w:rPr>
      <w:rFonts w:ascii="Segoe UI" w:hAnsi="Segoe UI" w:cs="Segoe UI" w:hint="default"/>
      <w:i/>
      <w:iCs/>
      <w:sz w:val="18"/>
      <w:szCs w:val="18"/>
    </w:rPr>
  </w:style>
  <w:style w:type="paragraph" w:customStyle="1" w:styleId="Body">
    <w:name w:val="Body"/>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05D35"/>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05D3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05D35"/>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05D35"/>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6659">
      <w:bodyDiv w:val="1"/>
      <w:marLeft w:val="0"/>
      <w:marRight w:val="0"/>
      <w:marTop w:val="0"/>
      <w:marBottom w:val="0"/>
      <w:divBdr>
        <w:top w:val="none" w:sz="0" w:space="0" w:color="auto"/>
        <w:left w:val="none" w:sz="0" w:space="0" w:color="auto"/>
        <w:bottom w:val="none" w:sz="0" w:space="0" w:color="auto"/>
        <w:right w:val="none" w:sz="0" w:space="0" w:color="auto"/>
      </w:divBdr>
    </w:div>
    <w:div w:id="3110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71EB4076-7E56-4153-88A2-4C910ABF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107</Pages>
  <Words>29496</Words>
  <Characters>168128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2024-11-11T22:21:00Z</dcterms:created>
  <dcterms:modified xsi:type="dcterms:W3CDTF">2026-06-16T04:54:00Z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