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A0128" w14:textId="77777777" w:rsidR="00985AA9" w:rsidRPr="00704FF8" w:rsidRDefault="00985AA9" w:rsidP="00704FF8">
      <w:pPr>
        <w:pStyle w:val="OrdersTopLine"/>
      </w:pPr>
      <w:r w:rsidRPr="00704FF8">
        <w:t>HIGH COURT OF AUSTRALIA</w:t>
      </w:r>
    </w:p>
    <w:p w14:paraId="1DCB6002" w14:textId="77777777" w:rsidR="00985AA9" w:rsidRPr="00704FF8" w:rsidRDefault="00985AA9" w:rsidP="00704FF8">
      <w:pPr>
        <w:pStyle w:val="OrderCentre"/>
      </w:pPr>
    </w:p>
    <w:p w14:paraId="1E2EE599" w14:textId="77777777" w:rsidR="00985AA9" w:rsidRPr="00C46004" w:rsidRDefault="00985AA9" w:rsidP="00704FF8">
      <w:pPr>
        <w:pStyle w:val="OrderCentre"/>
        <w:rPr>
          <w:spacing w:val="-4"/>
          <w:sz w:val="24"/>
          <w:szCs w:val="24"/>
        </w:rPr>
      </w:pPr>
      <w:r w:rsidRPr="00C46004">
        <w:rPr>
          <w:spacing w:val="-4"/>
          <w:sz w:val="24"/>
          <w:szCs w:val="24"/>
        </w:rPr>
        <w:t>GAGELER CJ,</w:t>
      </w:r>
    </w:p>
    <w:p w14:paraId="082AF341" w14:textId="77777777" w:rsidR="00985AA9" w:rsidRPr="00704FF8" w:rsidRDefault="00985AA9" w:rsidP="00704FF8">
      <w:pPr>
        <w:pStyle w:val="OrderCentre"/>
      </w:pPr>
      <w:r w:rsidRPr="00C46004">
        <w:rPr>
          <w:spacing w:val="-4"/>
          <w:sz w:val="24"/>
          <w:szCs w:val="24"/>
        </w:rPr>
        <w:t>GORDON, EDELMAN, STEWARD, GLEESON, JAGOT AND BEECH</w:t>
      </w:r>
      <w:r w:rsidRPr="00C46004">
        <w:rPr>
          <w:spacing w:val="-4"/>
          <w:sz w:val="24"/>
          <w:szCs w:val="24"/>
        </w:rPr>
        <w:noBreakHyphen/>
        <w:t>JONES JJ</w:t>
      </w:r>
    </w:p>
    <w:p w14:paraId="72C2C1D4" w14:textId="77777777" w:rsidR="00985AA9" w:rsidRPr="00427F3A" w:rsidRDefault="00985AA9" w:rsidP="00EE5374">
      <w:pPr>
        <w:pStyle w:val="Centre"/>
        <w:rPr>
          <w:lang w:val="en-AU"/>
        </w:rPr>
      </w:pPr>
    </w:p>
    <w:p w14:paraId="3492CB37" w14:textId="77777777" w:rsidR="00985AA9" w:rsidRPr="00704FF8" w:rsidRDefault="00985AA9" w:rsidP="00704FF8">
      <w:pPr>
        <w:pStyle w:val="OrdersCenteredBorder"/>
      </w:pPr>
    </w:p>
    <w:p w14:paraId="7E8AD7B7" w14:textId="77777777" w:rsidR="00985AA9" w:rsidRPr="00704FF8" w:rsidRDefault="00985AA9" w:rsidP="0032341F">
      <w:pPr>
        <w:pStyle w:val="OrdersBodyHeading"/>
      </w:pPr>
    </w:p>
    <w:p w14:paraId="2F828669" w14:textId="77777777" w:rsidR="00985AA9" w:rsidRDefault="00985AA9" w:rsidP="009362E8">
      <w:pPr>
        <w:pStyle w:val="OrdersPartyName"/>
        <w:ind w:right="-1"/>
      </w:pPr>
      <w:r w:rsidRPr="005912E3">
        <w:t xml:space="preserve">MPWEREMPWER ABORIGINAL CORPORATION </w:t>
      </w:r>
    </w:p>
    <w:p w14:paraId="3D6B3898" w14:textId="77777777" w:rsidR="00985AA9" w:rsidRPr="0032341F" w:rsidRDefault="00985AA9" w:rsidP="009362E8">
      <w:pPr>
        <w:pStyle w:val="OrdersPartyName"/>
        <w:ind w:right="-1"/>
      </w:pPr>
      <w:r w:rsidRPr="005912E3">
        <w:t>RNTBC</w:t>
      </w:r>
      <w:r w:rsidRPr="0032341F">
        <w:tab/>
        <w:t>APPELLANT</w:t>
      </w:r>
    </w:p>
    <w:p w14:paraId="5566FFE0" w14:textId="77777777" w:rsidR="00985AA9" w:rsidRPr="0032341F" w:rsidRDefault="00985AA9" w:rsidP="009362E8">
      <w:pPr>
        <w:pStyle w:val="OrdersPartyName"/>
        <w:ind w:right="-1"/>
      </w:pPr>
    </w:p>
    <w:p w14:paraId="6B731A5A" w14:textId="77777777" w:rsidR="00985AA9" w:rsidRPr="0032341F" w:rsidRDefault="00985AA9" w:rsidP="009362E8">
      <w:pPr>
        <w:pStyle w:val="OrdersPartyName"/>
        <w:ind w:right="-1"/>
      </w:pPr>
      <w:r w:rsidRPr="0032341F">
        <w:t>AND</w:t>
      </w:r>
    </w:p>
    <w:p w14:paraId="39C6D0B4" w14:textId="77777777" w:rsidR="00985AA9" w:rsidRPr="0032341F" w:rsidRDefault="00985AA9" w:rsidP="009362E8">
      <w:pPr>
        <w:pStyle w:val="OrdersPartyName"/>
        <w:ind w:right="-1"/>
      </w:pPr>
    </w:p>
    <w:p w14:paraId="1B415359" w14:textId="77777777" w:rsidR="00985AA9" w:rsidRDefault="00985AA9" w:rsidP="009362E8">
      <w:pPr>
        <w:pStyle w:val="OrdersPartyName"/>
        <w:ind w:right="-1"/>
      </w:pPr>
      <w:r w:rsidRPr="005912E3">
        <w:t xml:space="preserve">MINISTER FOR TERRITORY FAMILIES AND </w:t>
      </w:r>
    </w:p>
    <w:p w14:paraId="34273B86" w14:textId="77777777" w:rsidR="00985AA9" w:rsidRDefault="00985AA9" w:rsidP="009362E8">
      <w:pPr>
        <w:pStyle w:val="OrdersPartyName"/>
        <w:ind w:right="-1"/>
      </w:pPr>
      <w:r w:rsidRPr="005912E3">
        <w:t xml:space="preserve">URBAN HOUSING AS DELEGATE OF THE </w:t>
      </w:r>
    </w:p>
    <w:p w14:paraId="60235460" w14:textId="77777777" w:rsidR="00985AA9" w:rsidRPr="0032341F" w:rsidRDefault="00985AA9" w:rsidP="009362E8">
      <w:pPr>
        <w:pStyle w:val="OrdersPartyName"/>
        <w:ind w:right="-1"/>
      </w:pPr>
      <w:r w:rsidRPr="005912E3">
        <w:t>MINISTER FOR THE ENVIRONMENT</w:t>
      </w:r>
      <w:r>
        <w:t xml:space="preserve"> </w:t>
      </w:r>
      <w:r w:rsidRPr="005912E3">
        <w:t>&amp; ANOR</w:t>
      </w:r>
      <w:r w:rsidRPr="0032341F">
        <w:tab/>
        <w:t>RESPONDENT</w:t>
      </w:r>
      <w:r>
        <w:t>S</w:t>
      </w:r>
    </w:p>
    <w:p w14:paraId="4668D8C4" w14:textId="77777777" w:rsidR="00985AA9" w:rsidRPr="00427F3A" w:rsidRDefault="00985AA9" w:rsidP="00AF0A5E">
      <w:pPr>
        <w:pStyle w:val="BodyHeading"/>
      </w:pPr>
    </w:p>
    <w:p w14:paraId="3F50B4A4" w14:textId="77777777" w:rsidR="00985AA9" w:rsidRPr="00427F3A" w:rsidRDefault="00985AA9" w:rsidP="00BE0A6C">
      <w:pPr>
        <w:pStyle w:val="BodyHeading"/>
      </w:pPr>
    </w:p>
    <w:p w14:paraId="162EBE77" w14:textId="77777777" w:rsidR="00985AA9" w:rsidRPr="00427F3A" w:rsidRDefault="00985AA9" w:rsidP="00EE5374">
      <w:pPr>
        <w:pStyle w:val="CentreItalics"/>
      </w:pPr>
      <w:proofErr w:type="spellStart"/>
      <w:r w:rsidRPr="005912E3">
        <w:t>Mpwerempwer</w:t>
      </w:r>
      <w:proofErr w:type="spellEnd"/>
      <w:r w:rsidRPr="005912E3">
        <w:t xml:space="preserve"> Aboriginal Corporation RNTBC v Minister for Territory Families and Urban Housing as delegate of the Minister for the Environment</w:t>
      </w:r>
    </w:p>
    <w:p w14:paraId="1A4D8844" w14:textId="77777777" w:rsidR="00985AA9" w:rsidRPr="00427F3A" w:rsidRDefault="00985AA9" w:rsidP="00E90E4F">
      <w:pPr>
        <w:pStyle w:val="OrdersCentre"/>
      </w:pPr>
      <w:r>
        <w:t>[2026</w:t>
      </w:r>
      <w:r w:rsidRPr="00427F3A">
        <w:t xml:space="preserve">] HCA </w:t>
      </w:r>
      <w:r>
        <w:t>23</w:t>
      </w:r>
    </w:p>
    <w:p w14:paraId="2B71528D" w14:textId="77777777" w:rsidR="00985AA9" w:rsidRDefault="00985AA9" w:rsidP="00E90E4F">
      <w:pPr>
        <w:pStyle w:val="OrdersCentreItalics"/>
      </w:pPr>
      <w:r>
        <w:t xml:space="preserve">Date of Hearing: </w:t>
      </w:r>
      <w:r w:rsidRPr="00CC6219">
        <w:t>10 February 2026</w:t>
      </w:r>
    </w:p>
    <w:p w14:paraId="3578A764" w14:textId="77777777" w:rsidR="00985AA9" w:rsidRPr="00427F3A" w:rsidRDefault="00985AA9" w:rsidP="00E90E4F">
      <w:pPr>
        <w:pStyle w:val="OrdersCentreItalics"/>
      </w:pPr>
      <w:r>
        <w:t>Date of Judgment: 5 August 2026</w:t>
      </w:r>
    </w:p>
    <w:p w14:paraId="70BA7BB2" w14:textId="77777777" w:rsidR="00985AA9" w:rsidRDefault="00985AA9" w:rsidP="00E90E4F">
      <w:pPr>
        <w:pStyle w:val="OrdersCentre"/>
      </w:pPr>
      <w:r w:rsidRPr="00CC6219">
        <w:t>D14/2025</w:t>
      </w:r>
    </w:p>
    <w:p w14:paraId="3D2849BC" w14:textId="77777777" w:rsidR="00985AA9" w:rsidRPr="00427F3A" w:rsidRDefault="00985AA9" w:rsidP="00E90E4F">
      <w:pPr>
        <w:pStyle w:val="OrdersCentre"/>
      </w:pPr>
    </w:p>
    <w:p w14:paraId="4DA184B1" w14:textId="77777777" w:rsidR="00985AA9" w:rsidRPr="00BE0A6C" w:rsidRDefault="00985AA9" w:rsidP="00E90E4F">
      <w:pPr>
        <w:pStyle w:val="OrderCentreBold"/>
      </w:pPr>
      <w:r w:rsidRPr="00BE0A6C">
        <w:t>ORDER</w:t>
      </w:r>
    </w:p>
    <w:p w14:paraId="486C5A82" w14:textId="77777777" w:rsidR="00985AA9" w:rsidRPr="00427F3A" w:rsidRDefault="00985AA9" w:rsidP="00736C52">
      <w:pPr>
        <w:pStyle w:val="Centre"/>
        <w:rPr>
          <w:lang w:val="en-AU"/>
        </w:rPr>
      </w:pPr>
    </w:p>
    <w:p w14:paraId="7FD90FC1" w14:textId="77777777" w:rsidR="00985AA9" w:rsidRPr="007375A0" w:rsidRDefault="00985AA9" w:rsidP="00CD7778">
      <w:pPr>
        <w:pStyle w:val="OrdersText"/>
      </w:pPr>
      <w:r>
        <w:t>1.</w:t>
      </w:r>
      <w:r>
        <w:tab/>
      </w:r>
      <w:r w:rsidRPr="007375A0">
        <w:t>Appeal allowed.</w:t>
      </w:r>
    </w:p>
    <w:p w14:paraId="453E59D9" w14:textId="77777777" w:rsidR="00985AA9" w:rsidRDefault="00985AA9" w:rsidP="00CD7778">
      <w:pPr>
        <w:pStyle w:val="OrdersText"/>
      </w:pPr>
    </w:p>
    <w:p w14:paraId="0409A1B1" w14:textId="77777777" w:rsidR="00985AA9" w:rsidRPr="007375A0" w:rsidRDefault="00985AA9" w:rsidP="00CD7778">
      <w:pPr>
        <w:pStyle w:val="OrdersText"/>
      </w:pPr>
      <w:r w:rsidRPr="007375A0">
        <w:t xml:space="preserve">2. </w:t>
      </w:r>
      <w:r>
        <w:tab/>
      </w:r>
      <w:r w:rsidRPr="007375A0">
        <w:t>Paragraph 1 of the orders of the Court of Appeal of the Northern Territory of Australia dated 12 May 2025 be set aside and</w:t>
      </w:r>
      <w:r>
        <w:t>,</w:t>
      </w:r>
      <w:r w:rsidRPr="007375A0">
        <w:t xml:space="preserve"> in lieu thereof</w:t>
      </w:r>
      <w:r>
        <w:t>,</w:t>
      </w:r>
      <w:r w:rsidRPr="007375A0">
        <w:t xml:space="preserve"> it be ordered that:</w:t>
      </w:r>
    </w:p>
    <w:p w14:paraId="008CBE33" w14:textId="77777777" w:rsidR="00985AA9" w:rsidRDefault="00985AA9" w:rsidP="00CD7778">
      <w:pPr>
        <w:pStyle w:val="OrdersText"/>
      </w:pPr>
    </w:p>
    <w:p w14:paraId="3269552A" w14:textId="77777777" w:rsidR="00985AA9" w:rsidRDefault="00985AA9" w:rsidP="00AC1BC3">
      <w:pPr>
        <w:pStyle w:val="OrdersText"/>
        <w:ind w:left="1418"/>
      </w:pPr>
      <w:r>
        <w:t>(a)</w:t>
      </w:r>
      <w:r w:rsidRPr="007375A0">
        <w:t xml:space="preserve"> </w:t>
      </w:r>
      <w:r>
        <w:tab/>
      </w:r>
      <w:r w:rsidRPr="007375A0">
        <w:t>The appeal is allowed.</w:t>
      </w:r>
      <w:r>
        <w:t xml:space="preserve"> </w:t>
      </w:r>
    </w:p>
    <w:p w14:paraId="0DF4ED4D" w14:textId="77777777" w:rsidR="00985AA9" w:rsidRDefault="00985AA9" w:rsidP="00AC1BC3">
      <w:pPr>
        <w:pStyle w:val="OrdersText"/>
        <w:ind w:left="1418"/>
      </w:pPr>
    </w:p>
    <w:p w14:paraId="08405511" w14:textId="77777777" w:rsidR="00985AA9" w:rsidRPr="007375A0" w:rsidRDefault="00985AA9" w:rsidP="00AC1BC3">
      <w:pPr>
        <w:pStyle w:val="OrdersText"/>
        <w:ind w:left="1418"/>
      </w:pPr>
      <w:r>
        <w:t>(b)</w:t>
      </w:r>
      <w:r w:rsidRPr="007375A0">
        <w:t xml:space="preserve"> </w:t>
      </w:r>
      <w:r>
        <w:tab/>
      </w:r>
      <w:r w:rsidRPr="007375A0">
        <w:t xml:space="preserve">Paragraph 1 of the orders of the Supreme Court of the Northern Territory </w:t>
      </w:r>
      <w:r>
        <w:t xml:space="preserve">of Australia </w:t>
      </w:r>
      <w:r w:rsidRPr="007375A0">
        <w:t>made on 31 January 2024 be set aside and</w:t>
      </w:r>
      <w:r>
        <w:t>,</w:t>
      </w:r>
      <w:r w:rsidRPr="007375A0">
        <w:t xml:space="preserve"> in lieu thereof</w:t>
      </w:r>
      <w:r>
        <w:t>,</w:t>
      </w:r>
      <w:r w:rsidRPr="007375A0">
        <w:t xml:space="preserve"> it be ordered that:</w:t>
      </w:r>
    </w:p>
    <w:p w14:paraId="270C1DD8" w14:textId="77777777" w:rsidR="00985AA9" w:rsidRDefault="00985AA9" w:rsidP="00AC1BC3">
      <w:pPr>
        <w:pStyle w:val="OrdersText"/>
        <w:ind w:left="1418"/>
      </w:pPr>
    </w:p>
    <w:p w14:paraId="16E1AD31" w14:textId="77777777" w:rsidR="00985AA9" w:rsidRPr="007375A0" w:rsidRDefault="00985AA9" w:rsidP="00AC1BC3">
      <w:pPr>
        <w:pStyle w:val="OrdersText"/>
        <w:ind w:left="2127"/>
      </w:pPr>
      <w:r>
        <w:t>(</w:t>
      </w:r>
      <w:proofErr w:type="spellStart"/>
      <w:r>
        <w:t>i</w:t>
      </w:r>
      <w:proofErr w:type="spellEnd"/>
      <w:r>
        <w:t>)</w:t>
      </w:r>
      <w:r w:rsidRPr="007375A0">
        <w:t xml:space="preserve"> </w:t>
      </w:r>
      <w:r>
        <w:tab/>
        <w:t>t</w:t>
      </w:r>
      <w:r w:rsidRPr="007375A0">
        <w:t xml:space="preserve">he </w:t>
      </w:r>
      <w:r>
        <w:t>l</w:t>
      </w:r>
      <w:r w:rsidRPr="007375A0">
        <w:t xml:space="preserve">icence granted to the </w:t>
      </w:r>
      <w:r>
        <w:t>s</w:t>
      </w:r>
      <w:r w:rsidRPr="007375A0">
        <w:t xml:space="preserve">econd </w:t>
      </w:r>
      <w:r>
        <w:t>d</w:t>
      </w:r>
      <w:r w:rsidRPr="007375A0">
        <w:t>efendant on 15</w:t>
      </w:r>
      <w:r>
        <w:t> </w:t>
      </w:r>
      <w:r w:rsidRPr="007375A0">
        <w:t xml:space="preserve">November 2021 bearing licence number WDCP10358 be quashed; and </w:t>
      </w:r>
    </w:p>
    <w:p w14:paraId="6ABDF818" w14:textId="42260B7E" w:rsidR="00985AA9" w:rsidRDefault="00985AA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i/>
          <w:lang w:eastAsia="en-US"/>
        </w:rPr>
      </w:pPr>
      <w:r>
        <w:br w:type="page"/>
      </w:r>
    </w:p>
    <w:p w14:paraId="4893B25F" w14:textId="652EB8EE" w:rsidR="00985AA9" w:rsidRDefault="00985AA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i/>
          <w:lang w:eastAsia="en-US"/>
        </w:rPr>
      </w:pPr>
      <w:r>
        <w:lastRenderedPageBreak/>
        <w:br w:type="page"/>
      </w:r>
    </w:p>
    <w:p w14:paraId="4C797B2C" w14:textId="77777777" w:rsidR="00985AA9" w:rsidRDefault="00985AA9" w:rsidP="00AC1BC3">
      <w:pPr>
        <w:pStyle w:val="OrdersText"/>
        <w:ind w:left="2127"/>
      </w:pPr>
    </w:p>
    <w:p w14:paraId="14E39743" w14:textId="77777777" w:rsidR="00985AA9" w:rsidRPr="007375A0" w:rsidRDefault="00985AA9" w:rsidP="00AC1BC3">
      <w:pPr>
        <w:pStyle w:val="OrdersText"/>
        <w:ind w:left="2127"/>
      </w:pPr>
      <w:r>
        <w:t>(ii)</w:t>
      </w:r>
      <w:r w:rsidRPr="007375A0">
        <w:t xml:space="preserve"> </w:t>
      </w:r>
      <w:r>
        <w:tab/>
        <w:t>t</w:t>
      </w:r>
      <w:r w:rsidRPr="007375A0">
        <w:t xml:space="preserve">he matter be remitted to the Minister administering the </w:t>
      </w:r>
      <w:r w:rsidRPr="00CD7778">
        <w:rPr>
          <w:i w:val="0"/>
        </w:rPr>
        <w:t>Water Act 1992</w:t>
      </w:r>
      <w:r>
        <w:rPr>
          <w:iCs/>
        </w:rPr>
        <w:t xml:space="preserve"> </w:t>
      </w:r>
      <w:r>
        <w:t>(NT)</w:t>
      </w:r>
      <w:r w:rsidRPr="007375A0">
        <w:t xml:space="preserve"> to be decided according to law.</w:t>
      </w:r>
    </w:p>
    <w:p w14:paraId="7A2E9BBC" w14:textId="77777777" w:rsidR="00985AA9" w:rsidRDefault="00985AA9" w:rsidP="00AC1BC3">
      <w:pPr>
        <w:pStyle w:val="OrdersText"/>
        <w:ind w:left="1418"/>
      </w:pPr>
    </w:p>
    <w:p w14:paraId="6919768D" w14:textId="77777777" w:rsidR="00985AA9" w:rsidRPr="007375A0" w:rsidRDefault="00985AA9" w:rsidP="00AC1BC3">
      <w:pPr>
        <w:pStyle w:val="OrdersText"/>
        <w:ind w:left="1418"/>
      </w:pPr>
      <w:r>
        <w:t>(c)</w:t>
      </w:r>
      <w:r w:rsidRPr="007375A0">
        <w:t xml:space="preserve"> </w:t>
      </w:r>
      <w:r>
        <w:tab/>
      </w:r>
      <w:r w:rsidRPr="007375A0">
        <w:t>The issue of the costs of the proceeding before the Supreme Court be remitted to the primary judge.</w:t>
      </w:r>
    </w:p>
    <w:p w14:paraId="10E5F7C9" w14:textId="77777777" w:rsidR="00985AA9" w:rsidRDefault="00985AA9" w:rsidP="00CD7778">
      <w:pPr>
        <w:pStyle w:val="OrdersText"/>
      </w:pPr>
    </w:p>
    <w:p w14:paraId="615F9776" w14:textId="77777777" w:rsidR="00985AA9" w:rsidRDefault="00985AA9" w:rsidP="00CD7778">
      <w:pPr>
        <w:pStyle w:val="OrdersText"/>
      </w:pPr>
      <w:r w:rsidRPr="007375A0">
        <w:t xml:space="preserve">3. </w:t>
      </w:r>
      <w:r>
        <w:tab/>
      </w:r>
      <w:r w:rsidRPr="007375A0">
        <w:t xml:space="preserve">The </w:t>
      </w:r>
      <w:r>
        <w:t>s</w:t>
      </w:r>
      <w:r w:rsidRPr="007375A0">
        <w:t xml:space="preserve">econd </w:t>
      </w:r>
      <w:r>
        <w:t>r</w:t>
      </w:r>
      <w:r w:rsidRPr="007375A0">
        <w:t xml:space="preserve">espondent pay the </w:t>
      </w:r>
      <w:r>
        <w:t>a</w:t>
      </w:r>
      <w:r w:rsidRPr="007375A0">
        <w:t>ppellant's costs of this appeal limited to the third ground of appeal.</w:t>
      </w:r>
    </w:p>
    <w:p w14:paraId="2B42619C" w14:textId="77777777" w:rsidR="00985AA9" w:rsidRPr="007375A0" w:rsidRDefault="00985AA9" w:rsidP="00CD7778">
      <w:pPr>
        <w:pStyle w:val="OrdersText"/>
      </w:pPr>
    </w:p>
    <w:p w14:paraId="2CA76C0C" w14:textId="77777777" w:rsidR="00985AA9" w:rsidRDefault="00985AA9" w:rsidP="00CD7778">
      <w:pPr>
        <w:pStyle w:val="OrdersText"/>
      </w:pPr>
      <w:r w:rsidRPr="007375A0">
        <w:t xml:space="preserve">4. </w:t>
      </w:r>
      <w:r>
        <w:tab/>
      </w:r>
      <w:r w:rsidRPr="007375A0">
        <w:t>The issue of the costs of the appeal before the Court of Appeal of the Northern Territory of Australia be remitted to that Court</w:t>
      </w:r>
      <w:r>
        <w:t>.</w:t>
      </w:r>
    </w:p>
    <w:p w14:paraId="2DE8E20D" w14:textId="77777777" w:rsidR="00985AA9" w:rsidRDefault="00985AA9" w:rsidP="00EE5374">
      <w:pPr>
        <w:pStyle w:val="Body"/>
      </w:pPr>
    </w:p>
    <w:p w14:paraId="5A34D075" w14:textId="77777777" w:rsidR="00985AA9" w:rsidRPr="00427F3A" w:rsidRDefault="00985AA9" w:rsidP="00EE5374">
      <w:pPr>
        <w:pStyle w:val="Body"/>
      </w:pPr>
    </w:p>
    <w:p w14:paraId="372DFA23" w14:textId="77777777" w:rsidR="00985AA9" w:rsidRPr="00427F3A" w:rsidRDefault="00985AA9" w:rsidP="0032341F">
      <w:pPr>
        <w:pStyle w:val="OrdersBody"/>
      </w:pPr>
      <w:r w:rsidRPr="00427F3A">
        <w:t xml:space="preserve">On appeal from the </w:t>
      </w:r>
      <w:r w:rsidRPr="00CC6219">
        <w:t>Supreme Court of the Northern Territory</w:t>
      </w:r>
    </w:p>
    <w:p w14:paraId="79E1DE30" w14:textId="77777777" w:rsidR="00985AA9" w:rsidRDefault="00985AA9" w:rsidP="00EE5374">
      <w:pPr>
        <w:pStyle w:val="Body"/>
      </w:pPr>
    </w:p>
    <w:p w14:paraId="6915D098" w14:textId="77777777" w:rsidR="00985AA9" w:rsidRPr="00427F3A" w:rsidRDefault="00985AA9" w:rsidP="00EE5374">
      <w:pPr>
        <w:pStyle w:val="Body"/>
      </w:pPr>
    </w:p>
    <w:p w14:paraId="04F04C7C" w14:textId="77777777" w:rsidR="00985AA9" w:rsidRPr="00427F3A" w:rsidRDefault="00985AA9" w:rsidP="00E90E4F">
      <w:pPr>
        <w:pStyle w:val="OrdersBodyHeading"/>
      </w:pPr>
      <w:r w:rsidRPr="00427F3A">
        <w:t>Representation</w:t>
      </w:r>
    </w:p>
    <w:p w14:paraId="11B2EECA" w14:textId="77777777" w:rsidR="00985AA9" w:rsidRDefault="00985AA9" w:rsidP="00EE5374">
      <w:pPr>
        <w:pStyle w:val="Body"/>
      </w:pPr>
    </w:p>
    <w:p w14:paraId="187F88A3" w14:textId="77777777" w:rsidR="00985AA9" w:rsidRPr="00CC6219" w:rsidRDefault="00985AA9" w:rsidP="00E90E4F">
      <w:pPr>
        <w:pStyle w:val="OrdersBody"/>
      </w:pPr>
      <w:r w:rsidRPr="00CC6219">
        <w:t>C P Young KC and L E Hilly with H Douglas for the appellant (instructed by Central Land Council)</w:t>
      </w:r>
    </w:p>
    <w:p w14:paraId="6FA9931A" w14:textId="77777777" w:rsidR="00985AA9" w:rsidRPr="00CC6219" w:rsidRDefault="00985AA9" w:rsidP="00CC6219">
      <w:pPr>
        <w:pStyle w:val="Body"/>
      </w:pPr>
    </w:p>
    <w:p w14:paraId="577D4DFF" w14:textId="77777777" w:rsidR="00985AA9" w:rsidRPr="00CC6219" w:rsidRDefault="00985AA9" w:rsidP="00CC6219">
      <w:pPr>
        <w:pStyle w:val="OrdersBody"/>
      </w:pPr>
      <w:r w:rsidRPr="00CC6219">
        <w:t>N Christ</w:t>
      </w:r>
      <w:r>
        <w:t>r</w:t>
      </w:r>
      <w:r w:rsidRPr="00CC6219">
        <w:t>up SC, Solicitor</w:t>
      </w:r>
      <w:r>
        <w:t>-</w:t>
      </w:r>
      <w:r w:rsidRPr="00CC6219">
        <w:t>General for the Northern Territory, and C Jacobi KC with L S Spargo-Peattie for the first respondent (instructed by Solicitor for the Northern Territory)</w:t>
      </w:r>
    </w:p>
    <w:p w14:paraId="7D260BB8" w14:textId="77777777" w:rsidR="00985AA9" w:rsidRPr="00CC6219" w:rsidRDefault="00985AA9" w:rsidP="001B3C97">
      <w:pPr>
        <w:pStyle w:val="Body"/>
      </w:pPr>
    </w:p>
    <w:p w14:paraId="379C9B1D" w14:textId="77777777" w:rsidR="00985AA9" w:rsidRPr="00CC6219" w:rsidRDefault="00985AA9" w:rsidP="00E90E4F">
      <w:pPr>
        <w:pStyle w:val="OrdersBody"/>
      </w:pPr>
      <w:r w:rsidRPr="00CC6219">
        <w:t xml:space="preserve">J M Horton KC with W </w:t>
      </w:r>
      <w:proofErr w:type="gramStart"/>
      <w:r w:rsidRPr="00CC6219">
        <w:t>A</w:t>
      </w:r>
      <w:proofErr w:type="gramEnd"/>
      <w:r w:rsidRPr="00CC6219">
        <w:t xml:space="preserve"> </w:t>
      </w:r>
      <w:proofErr w:type="spellStart"/>
      <w:r w:rsidRPr="00CC6219">
        <w:t>Isdale</w:t>
      </w:r>
      <w:proofErr w:type="spellEnd"/>
      <w:r w:rsidRPr="00CC6219">
        <w:t xml:space="preserve"> for the second respondent (instructed by Ward Keller)</w:t>
      </w:r>
    </w:p>
    <w:p w14:paraId="0DF77863" w14:textId="77777777" w:rsidR="00985AA9" w:rsidRDefault="00985AA9" w:rsidP="00A01277">
      <w:pPr>
        <w:pStyle w:val="Body"/>
      </w:pPr>
    </w:p>
    <w:p w14:paraId="69D22110" w14:textId="77777777" w:rsidR="00985AA9" w:rsidRDefault="00985AA9" w:rsidP="00EE5374">
      <w:pPr>
        <w:pStyle w:val="Body"/>
      </w:pPr>
    </w:p>
    <w:p w14:paraId="3D4B5E5F" w14:textId="77777777" w:rsidR="00985AA9" w:rsidRDefault="00985AA9" w:rsidP="00EE5374">
      <w:pPr>
        <w:pStyle w:val="Body"/>
      </w:pPr>
    </w:p>
    <w:p w14:paraId="0F702A25" w14:textId="77777777" w:rsidR="00985AA9" w:rsidRDefault="00985AA9" w:rsidP="00EE5374">
      <w:pPr>
        <w:pStyle w:val="Body"/>
      </w:pPr>
    </w:p>
    <w:p w14:paraId="5D0D99CB" w14:textId="77777777" w:rsidR="00985AA9" w:rsidRDefault="00985AA9" w:rsidP="00EE5374">
      <w:pPr>
        <w:pStyle w:val="Body"/>
      </w:pPr>
    </w:p>
    <w:p w14:paraId="6DD1DE1B" w14:textId="77777777" w:rsidR="00985AA9" w:rsidRDefault="00985AA9" w:rsidP="00EE5374">
      <w:pPr>
        <w:pStyle w:val="Body"/>
      </w:pPr>
    </w:p>
    <w:p w14:paraId="27429816" w14:textId="77777777" w:rsidR="00985AA9" w:rsidRDefault="00985AA9" w:rsidP="00EE5374">
      <w:pPr>
        <w:pStyle w:val="Body"/>
      </w:pPr>
    </w:p>
    <w:p w14:paraId="40D15B95" w14:textId="77777777" w:rsidR="00985AA9" w:rsidRDefault="00985AA9" w:rsidP="00EE5374">
      <w:pPr>
        <w:pStyle w:val="Body"/>
      </w:pPr>
    </w:p>
    <w:p w14:paraId="3AB349EE" w14:textId="77777777" w:rsidR="00985AA9" w:rsidRDefault="00985AA9" w:rsidP="00EE5374">
      <w:pPr>
        <w:pStyle w:val="Body"/>
      </w:pPr>
    </w:p>
    <w:p w14:paraId="0B281165" w14:textId="77777777" w:rsidR="00985AA9" w:rsidRDefault="00985AA9" w:rsidP="00EE5374">
      <w:pPr>
        <w:pStyle w:val="Body"/>
      </w:pPr>
    </w:p>
    <w:p w14:paraId="1B3012AE" w14:textId="77777777" w:rsidR="00985AA9" w:rsidRPr="00427F3A" w:rsidRDefault="00985AA9" w:rsidP="00EE5374">
      <w:pPr>
        <w:pStyle w:val="Body"/>
      </w:pPr>
    </w:p>
    <w:p w14:paraId="1E495F86" w14:textId="77777777" w:rsidR="00985AA9" w:rsidRPr="00427F3A" w:rsidRDefault="00985AA9" w:rsidP="00F9713B">
      <w:pPr>
        <w:pStyle w:val="Notice"/>
        <w:rPr>
          <w:lang w:val="en-AU"/>
        </w:rPr>
      </w:pPr>
      <w:r w:rsidRPr="00427F3A">
        <w:rPr>
          <w:lang w:val="en-AU"/>
        </w:rPr>
        <w:t>Notice:  This copy of the Court's Reasons for Judgment is subject to formal revision prior to publication in the Commonwealth Law Reports.</w:t>
      </w:r>
    </w:p>
    <w:p w14:paraId="193F6A4A" w14:textId="22F044B9" w:rsidR="00985AA9" w:rsidRDefault="00985AA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29FD18E6" w14:textId="77777777" w:rsidR="00985AA9" w:rsidRDefault="00985AA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985AA9" w:rsidSect="00985AA9">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lastRenderedPageBreak/>
        <w:br w:type="page"/>
      </w:r>
    </w:p>
    <w:p w14:paraId="49133219" w14:textId="77777777" w:rsidR="00985AA9" w:rsidRPr="008B39A4" w:rsidRDefault="00985AA9" w:rsidP="007A74C0">
      <w:pPr>
        <w:pStyle w:val="CatchwordsBold"/>
        <w:tabs>
          <w:tab w:val="clear" w:pos="3600"/>
          <w:tab w:val="clear" w:pos="6480"/>
          <w:tab w:val="left" w:pos="7560"/>
        </w:tabs>
      </w:pPr>
      <w:r w:rsidRPr="008B39A4">
        <w:lastRenderedPageBreak/>
        <w:t>CATCHWORDS</w:t>
      </w:r>
    </w:p>
    <w:p w14:paraId="0075BE6E" w14:textId="77777777" w:rsidR="00985AA9" w:rsidRPr="008B39A4" w:rsidRDefault="00985AA9" w:rsidP="001649CA">
      <w:pPr>
        <w:pStyle w:val="CatchwordsBold"/>
      </w:pPr>
    </w:p>
    <w:p w14:paraId="4017312B" w14:textId="77777777" w:rsidR="00985AA9" w:rsidRPr="006D08CC" w:rsidRDefault="00985AA9" w:rsidP="001500A5">
      <w:pPr>
        <w:pStyle w:val="Default"/>
        <w:rPr>
          <w:rFonts w:eastAsia="Times New Roman"/>
          <w:b/>
          <w:color w:val="auto"/>
          <w:sz w:val="26"/>
          <w:szCs w:val="20"/>
          <w:lang w:eastAsia="en-AU"/>
        </w:rPr>
      </w:pPr>
      <w:proofErr w:type="spellStart"/>
      <w:r w:rsidRPr="003D3D38">
        <w:rPr>
          <w:rFonts w:eastAsia="Times New Roman"/>
          <w:b/>
          <w:color w:val="auto"/>
          <w:sz w:val="26"/>
          <w:szCs w:val="20"/>
          <w:lang w:eastAsia="en-AU"/>
        </w:rPr>
        <w:t>Mpwerempwer</w:t>
      </w:r>
      <w:proofErr w:type="spellEnd"/>
      <w:r w:rsidRPr="003D3D38">
        <w:rPr>
          <w:rFonts w:eastAsia="Times New Roman"/>
          <w:b/>
          <w:color w:val="auto"/>
          <w:sz w:val="26"/>
          <w:szCs w:val="20"/>
          <w:lang w:eastAsia="en-AU"/>
        </w:rPr>
        <w:t xml:space="preserve"> Aboriginal Corporation R</w:t>
      </w:r>
      <w:r>
        <w:rPr>
          <w:rFonts w:eastAsia="Times New Roman"/>
          <w:b/>
          <w:color w:val="auto"/>
          <w:sz w:val="26"/>
          <w:szCs w:val="20"/>
          <w:lang w:eastAsia="en-AU"/>
        </w:rPr>
        <w:t xml:space="preserve">NTBC v </w:t>
      </w:r>
      <w:r w:rsidRPr="003D3D38">
        <w:rPr>
          <w:rFonts w:eastAsia="Times New Roman"/>
          <w:b/>
          <w:color w:val="auto"/>
          <w:sz w:val="26"/>
          <w:szCs w:val="20"/>
          <w:lang w:eastAsia="en-AU"/>
        </w:rPr>
        <w:t xml:space="preserve">Minister </w:t>
      </w:r>
      <w:r>
        <w:rPr>
          <w:rFonts w:eastAsia="Times New Roman"/>
          <w:b/>
          <w:color w:val="auto"/>
          <w:sz w:val="26"/>
          <w:szCs w:val="20"/>
          <w:lang w:eastAsia="en-AU"/>
        </w:rPr>
        <w:t>f</w:t>
      </w:r>
      <w:r w:rsidRPr="003D3D38">
        <w:rPr>
          <w:rFonts w:eastAsia="Times New Roman"/>
          <w:b/>
          <w:color w:val="auto"/>
          <w:sz w:val="26"/>
          <w:szCs w:val="20"/>
          <w:lang w:eastAsia="en-AU"/>
        </w:rPr>
        <w:t xml:space="preserve">or Territory Families </w:t>
      </w:r>
      <w:r>
        <w:rPr>
          <w:rFonts w:eastAsia="Times New Roman"/>
          <w:b/>
          <w:color w:val="auto"/>
          <w:sz w:val="26"/>
          <w:szCs w:val="20"/>
          <w:lang w:eastAsia="en-AU"/>
        </w:rPr>
        <w:t>a</w:t>
      </w:r>
      <w:r w:rsidRPr="003D3D38">
        <w:rPr>
          <w:rFonts w:eastAsia="Times New Roman"/>
          <w:b/>
          <w:color w:val="auto"/>
          <w:sz w:val="26"/>
          <w:szCs w:val="20"/>
          <w:lang w:eastAsia="en-AU"/>
        </w:rPr>
        <w:t xml:space="preserve">nd Urban Housing </w:t>
      </w:r>
      <w:r>
        <w:rPr>
          <w:rFonts w:eastAsia="Times New Roman"/>
          <w:b/>
          <w:color w:val="auto"/>
          <w:sz w:val="26"/>
          <w:szCs w:val="20"/>
          <w:lang w:eastAsia="en-AU"/>
        </w:rPr>
        <w:t>a</w:t>
      </w:r>
      <w:r w:rsidRPr="003D3D38">
        <w:rPr>
          <w:rFonts w:eastAsia="Times New Roman"/>
          <w:b/>
          <w:color w:val="auto"/>
          <w:sz w:val="26"/>
          <w:szCs w:val="20"/>
          <w:lang w:eastAsia="en-AU"/>
        </w:rPr>
        <w:t xml:space="preserve">s </w:t>
      </w:r>
      <w:r>
        <w:rPr>
          <w:rFonts w:eastAsia="Times New Roman"/>
          <w:b/>
          <w:color w:val="auto"/>
          <w:sz w:val="26"/>
          <w:szCs w:val="20"/>
          <w:lang w:eastAsia="en-AU"/>
        </w:rPr>
        <w:t>d</w:t>
      </w:r>
      <w:r w:rsidRPr="003D3D38">
        <w:rPr>
          <w:rFonts w:eastAsia="Times New Roman"/>
          <w:b/>
          <w:color w:val="auto"/>
          <w:sz w:val="26"/>
          <w:szCs w:val="20"/>
          <w:lang w:eastAsia="en-AU"/>
        </w:rPr>
        <w:t xml:space="preserve">elegate </w:t>
      </w:r>
      <w:r>
        <w:rPr>
          <w:rFonts w:eastAsia="Times New Roman"/>
          <w:b/>
          <w:color w:val="auto"/>
          <w:sz w:val="26"/>
          <w:szCs w:val="20"/>
          <w:lang w:eastAsia="en-AU"/>
        </w:rPr>
        <w:t>o</w:t>
      </w:r>
      <w:r w:rsidRPr="003D3D38">
        <w:rPr>
          <w:rFonts w:eastAsia="Times New Roman"/>
          <w:b/>
          <w:color w:val="auto"/>
          <w:sz w:val="26"/>
          <w:szCs w:val="20"/>
          <w:lang w:eastAsia="en-AU"/>
        </w:rPr>
        <w:t xml:space="preserve">f </w:t>
      </w:r>
      <w:r>
        <w:rPr>
          <w:rFonts w:eastAsia="Times New Roman"/>
          <w:b/>
          <w:color w:val="auto"/>
          <w:sz w:val="26"/>
          <w:szCs w:val="20"/>
          <w:lang w:eastAsia="en-AU"/>
        </w:rPr>
        <w:t>t</w:t>
      </w:r>
      <w:r w:rsidRPr="003D3D38">
        <w:rPr>
          <w:rFonts w:eastAsia="Times New Roman"/>
          <w:b/>
          <w:color w:val="auto"/>
          <w:sz w:val="26"/>
          <w:szCs w:val="20"/>
          <w:lang w:eastAsia="en-AU"/>
        </w:rPr>
        <w:t xml:space="preserve">he Minister </w:t>
      </w:r>
      <w:r>
        <w:rPr>
          <w:rFonts w:eastAsia="Times New Roman"/>
          <w:b/>
          <w:color w:val="auto"/>
          <w:sz w:val="26"/>
          <w:szCs w:val="20"/>
          <w:lang w:eastAsia="en-AU"/>
        </w:rPr>
        <w:t>f</w:t>
      </w:r>
      <w:r w:rsidRPr="003D3D38">
        <w:rPr>
          <w:rFonts w:eastAsia="Times New Roman"/>
          <w:b/>
          <w:color w:val="auto"/>
          <w:sz w:val="26"/>
          <w:szCs w:val="20"/>
          <w:lang w:eastAsia="en-AU"/>
        </w:rPr>
        <w:t xml:space="preserve">or </w:t>
      </w:r>
      <w:r>
        <w:rPr>
          <w:rFonts w:eastAsia="Times New Roman"/>
          <w:b/>
          <w:color w:val="auto"/>
          <w:sz w:val="26"/>
          <w:szCs w:val="20"/>
          <w:lang w:eastAsia="en-AU"/>
        </w:rPr>
        <w:t>t</w:t>
      </w:r>
      <w:r w:rsidRPr="003D3D38">
        <w:rPr>
          <w:rFonts w:eastAsia="Times New Roman"/>
          <w:b/>
          <w:color w:val="auto"/>
          <w:sz w:val="26"/>
          <w:szCs w:val="20"/>
          <w:lang w:eastAsia="en-AU"/>
        </w:rPr>
        <w:t>he Environment</w:t>
      </w:r>
    </w:p>
    <w:p w14:paraId="54C602BB" w14:textId="77777777" w:rsidR="00985AA9" w:rsidRPr="006D08CC" w:rsidRDefault="00985AA9" w:rsidP="001649CA">
      <w:pPr>
        <w:pStyle w:val="CatchwordsText"/>
      </w:pPr>
    </w:p>
    <w:p w14:paraId="4B63A982" w14:textId="77777777" w:rsidR="00985AA9" w:rsidRPr="00CB753A" w:rsidRDefault="00985AA9" w:rsidP="001649CA">
      <w:pPr>
        <w:pStyle w:val="CatchwordsText"/>
      </w:pPr>
      <w:r>
        <w:t xml:space="preserve">Administrative law – Judicial review – Water extraction licence – Where 30-year water extraction licence granted under s 60 of </w:t>
      </w:r>
      <w:r w:rsidRPr="4494B9F9">
        <w:rPr>
          <w:i/>
          <w:iCs/>
        </w:rPr>
        <w:t xml:space="preserve">Water Act 1992 </w:t>
      </w:r>
      <w:r>
        <w:t>(NT) ("Water Act") – Where Minister required to be satisfied under s 60(4)(b) of Water Act that special circumstances justified grant of licence for period exceeding ten years – Where Minister required to take into account protection of Aboriginal cultural values associated with water – Where condition of licence was that licensee develop and submit Aboriginal cultural values impact assessment – Whether Minister satisfied that special circumstances justified grant of licence for period exceeding ten years – Whether Minister failed to take into account mandatory relevant consideration of Aboriginal cultural values – Whether Minister failed to accord procedural fairness to prescribed body corporate for relevant native title holders.</w:t>
      </w:r>
    </w:p>
    <w:p w14:paraId="496AB771" w14:textId="77777777" w:rsidR="00985AA9" w:rsidRPr="006D08CC" w:rsidRDefault="00985AA9" w:rsidP="001649CA">
      <w:pPr>
        <w:pStyle w:val="CatchwordsText"/>
      </w:pPr>
    </w:p>
    <w:p w14:paraId="1E0C5460" w14:textId="77777777" w:rsidR="00985AA9" w:rsidRPr="00D35A3A" w:rsidRDefault="00985AA9" w:rsidP="00D35A3A">
      <w:pPr>
        <w:pStyle w:val="CatchwordsText"/>
      </w:pPr>
      <w:r>
        <w:t xml:space="preserve">Words and phrases </w:t>
      </w:r>
      <w:r w:rsidRPr="005B462E">
        <w:t>–</w:t>
      </w:r>
      <w:r>
        <w:t xml:space="preserve"> </w:t>
      </w:r>
      <w:r w:rsidRPr="00D35A3A">
        <w:t>"Aboriginal cultural values", "Aboriginal cultural values impact assessment",</w:t>
      </w:r>
      <w:r>
        <w:t xml:space="preserve"> "adverse conclusion",</w:t>
      </w:r>
      <w:r w:rsidRPr="00D35A3A">
        <w:t xml:space="preserve"> "condition", "condition precedent", </w:t>
      </w:r>
      <w:r>
        <w:t xml:space="preserve">"cultural and biodiversity values", </w:t>
      </w:r>
      <w:r w:rsidRPr="00D35A3A">
        <w:t xml:space="preserve">"discharge of statutory function", "groundwater", </w:t>
      </w:r>
      <w:r>
        <w:t>"</w:t>
      </w:r>
      <w:r w:rsidRPr="00B35050">
        <w:t>groundwater dependent ecosystems</w:t>
      </w:r>
      <w:r>
        <w:t xml:space="preserve">", "interpretation of reasons", </w:t>
      </w:r>
      <w:r w:rsidRPr="00D35A3A">
        <w:t>"judicial review", "jurisdiction</w:t>
      </w:r>
      <w:r>
        <w:t>al</w:t>
      </w:r>
      <w:r w:rsidRPr="00D35A3A">
        <w:t xml:space="preserve"> error",</w:t>
      </w:r>
      <w:r>
        <w:t xml:space="preserve"> "jurisdictional fact",</w:t>
      </w:r>
      <w:r w:rsidRPr="00D35A3A">
        <w:t xml:space="preserve"> "mandatory relevant consideration", </w:t>
      </w:r>
      <w:r>
        <w:t xml:space="preserve">"must take into account", </w:t>
      </w:r>
      <w:r w:rsidRPr="00D35A3A">
        <w:t xml:space="preserve">"native title holders", "procedural fairness", </w:t>
      </w:r>
      <w:r>
        <w:t xml:space="preserve">"requirement of reasons", "requirement to manifest satisfaction", </w:t>
      </w:r>
      <w:r w:rsidRPr="00D35A3A">
        <w:t>"review panel", "satisfied", "special circumstances"</w:t>
      </w:r>
      <w:r>
        <w:t xml:space="preserve">, "state of mind", "state of satisfaction", </w:t>
      </w:r>
      <w:r w:rsidRPr="00D35A3A">
        <w:t>"water allocation plan", "water extraction licence", "water extraction licence decision".</w:t>
      </w:r>
    </w:p>
    <w:p w14:paraId="5A0DB70C" w14:textId="77777777" w:rsidR="00985AA9" w:rsidRDefault="00985AA9" w:rsidP="001649CA">
      <w:pPr>
        <w:pStyle w:val="CatchwordsText"/>
      </w:pPr>
    </w:p>
    <w:p w14:paraId="5B342ED6" w14:textId="77777777" w:rsidR="00985AA9" w:rsidRPr="004A7AE9" w:rsidRDefault="00985AA9" w:rsidP="009E38C8">
      <w:pPr>
        <w:pStyle w:val="CatchwordsText"/>
      </w:pPr>
      <w:r>
        <w:rPr>
          <w:i/>
          <w:iCs/>
        </w:rPr>
        <w:t xml:space="preserve">Water Act 1992 </w:t>
      </w:r>
      <w:r>
        <w:t>(NT), ss 30, 60, 71A-71E, 90.</w:t>
      </w:r>
    </w:p>
    <w:p w14:paraId="7BF59BA9" w14:textId="77777777" w:rsidR="00985AA9" w:rsidRPr="00BD53AC" w:rsidRDefault="00985AA9" w:rsidP="001649CA">
      <w:pPr>
        <w:pStyle w:val="CatchwordsText"/>
        <w:rPr>
          <w:vertAlign w:val="subscript"/>
        </w:rPr>
      </w:pPr>
    </w:p>
    <w:p w14:paraId="76892074" w14:textId="05AF0BA3" w:rsidR="00985AA9" w:rsidRDefault="00985AA9" w:rsidP="00985AA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p>
    <w:p w14:paraId="275E2BAE" w14:textId="7438E987" w:rsidR="00985AA9" w:rsidRDefault="00985AA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4663C8B8" w14:textId="7D180B3D" w:rsidR="00985AA9" w:rsidRDefault="00985AA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lastRenderedPageBreak/>
        <w:br w:type="page"/>
      </w:r>
    </w:p>
    <w:p w14:paraId="1E741F8B" w14:textId="77777777" w:rsidR="00985AA9" w:rsidRDefault="00985AA9" w:rsidP="007E042A">
      <w:pPr>
        <w:pStyle w:val="FixListStyle"/>
        <w:tabs>
          <w:tab w:val="clear" w:pos="720"/>
          <w:tab w:val="left" w:pos="0"/>
        </w:tabs>
        <w:spacing w:after="260" w:line="280" w:lineRule="exact"/>
        <w:ind w:right="0"/>
        <w:jc w:val="both"/>
        <w:rPr>
          <w:rFonts w:ascii="Times New Roman" w:hAnsi="Times New Roman"/>
        </w:rPr>
        <w:sectPr w:rsidR="00985AA9" w:rsidSect="00985AA9">
          <w:pgSz w:w="11907" w:h="16839" w:code="9"/>
          <w:pgMar w:top="1440" w:right="1701" w:bottom="1984" w:left="1701" w:header="720" w:footer="720" w:gutter="0"/>
          <w:pgNumType w:start="1"/>
          <w:cols w:space="720"/>
          <w:titlePg/>
          <w:docGrid w:linePitch="354"/>
        </w:sectPr>
      </w:pPr>
    </w:p>
    <w:p w14:paraId="015B4D5D" w14:textId="1E90FBE5" w:rsidR="003B47B6" w:rsidRPr="007E042A" w:rsidRDefault="007E042A" w:rsidP="007E042A">
      <w:pPr>
        <w:pStyle w:val="FixListStyle"/>
        <w:tabs>
          <w:tab w:val="clear" w:pos="720"/>
          <w:tab w:val="left" w:pos="0"/>
        </w:tabs>
        <w:spacing w:after="260" w:line="280" w:lineRule="exact"/>
        <w:ind w:right="0"/>
        <w:jc w:val="both"/>
        <w:rPr>
          <w:rFonts w:ascii="Times New Roman" w:hAnsi="Times New Roman"/>
        </w:rPr>
      </w:pPr>
      <w:r w:rsidRPr="007E042A">
        <w:rPr>
          <w:rFonts w:ascii="Times New Roman" w:hAnsi="Times New Roman"/>
        </w:rPr>
        <w:lastRenderedPageBreak/>
        <w:t xml:space="preserve">GAGELER CJ.   </w:t>
      </w:r>
      <w:r w:rsidR="00456060" w:rsidRPr="007E042A">
        <w:rPr>
          <w:rFonts w:ascii="Times New Roman" w:hAnsi="Times New Roman"/>
        </w:rPr>
        <w:t>This</w:t>
      </w:r>
      <w:r w:rsidR="00532E46" w:rsidRPr="007E042A">
        <w:rPr>
          <w:rFonts w:ascii="Times New Roman" w:hAnsi="Times New Roman"/>
        </w:rPr>
        <w:t xml:space="preserve"> </w:t>
      </w:r>
      <w:r w:rsidR="00391E2C" w:rsidRPr="007E042A">
        <w:rPr>
          <w:rFonts w:ascii="Times New Roman" w:hAnsi="Times New Roman"/>
        </w:rPr>
        <w:t xml:space="preserve">is an </w:t>
      </w:r>
      <w:r w:rsidR="00444CEF" w:rsidRPr="007E042A">
        <w:rPr>
          <w:rFonts w:ascii="Times New Roman" w:hAnsi="Times New Roman"/>
        </w:rPr>
        <w:t xml:space="preserve">appeal from </w:t>
      </w:r>
      <w:r w:rsidR="00532E46" w:rsidRPr="007E042A">
        <w:rPr>
          <w:rFonts w:ascii="Times New Roman" w:hAnsi="Times New Roman"/>
        </w:rPr>
        <w:t xml:space="preserve">a decision of </w:t>
      </w:r>
      <w:r w:rsidR="00224F28" w:rsidRPr="007E042A">
        <w:rPr>
          <w:rFonts w:ascii="Times New Roman" w:hAnsi="Times New Roman"/>
        </w:rPr>
        <w:t>the Court of Appeal of the Northern Territory</w:t>
      </w:r>
      <w:r w:rsidR="00280528" w:rsidRPr="007E042A">
        <w:rPr>
          <w:rFonts w:ascii="Times New Roman" w:hAnsi="Times New Roman"/>
        </w:rPr>
        <w:t xml:space="preserve"> </w:t>
      </w:r>
      <w:r w:rsidR="00952F68" w:rsidRPr="007E042A">
        <w:rPr>
          <w:rFonts w:ascii="Times New Roman" w:hAnsi="Times New Roman"/>
        </w:rPr>
        <w:t>(</w:t>
      </w:r>
      <w:r w:rsidR="00356678" w:rsidRPr="007E042A">
        <w:rPr>
          <w:rFonts w:ascii="Times New Roman" w:hAnsi="Times New Roman"/>
        </w:rPr>
        <w:t xml:space="preserve">Kelly, </w:t>
      </w:r>
      <w:proofErr w:type="spellStart"/>
      <w:r w:rsidR="00356678" w:rsidRPr="007E042A">
        <w:rPr>
          <w:rFonts w:ascii="Times New Roman" w:hAnsi="Times New Roman"/>
        </w:rPr>
        <w:t>Huntingford</w:t>
      </w:r>
      <w:proofErr w:type="spellEnd"/>
      <w:r w:rsidR="00356678" w:rsidRPr="007E042A">
        <w:rPr>
          <w:rFonts w:ascii="Times New Roman" w:hAnsi="Times New Roman"/>
        </w:rPr>
        <w:t xml:space="preserve"> </w:t>
      </w:r>
      <w:r w:rsidR="00952F68" w:rsidRPr="007E042A">
        <w:rPr>
          <w:rFonts w:ascii="Times New Roman" w:hAnsi="Times New Roman"/>
        </w:rPr>
        <w:t xml:space="preserve">and </w:t>
      </w:r>
      <w:r w:rsidR="00356678" w:rsidRPr="007E042A">
        <w:rPr>
          <w:rFonts w:ascii="Times New Roman" w:hAnsi="Times New Roman"/>
        </w:rPr>
        <w:t xml:space="preserve">Burns </w:t>
      </w:r>
      <w:r w:rsidR="00952F68" w:rsidRPr="007E042A">
        <w:rPr>
          <w:rFonts w:ascii="Times New Roman" w:hAnsi="Times New Roman"/>
        </w:rPr>
        <w:t>JJ)</w:t>
      </w:r>
      <w:r w:rsidR="00770F40" w:rsidRPr="007E042A">
        <w:rPr>
          <w:rStyle w:val="FootnoteReference"/>
          <w:rFonts w:ascii="Times New Roman" w:hAnsi="Times New Roman"/>
          <w:sz w:val="24"/>
        </w:rPr>
        <w:footnoteReference w:id="2"/>
      </w:r>
      <w:r w:rsidR="00E31825" w:rsidRPr="007E042A">
        <w:rPr>
          <w:rFonts w:ascii="Times New Roman" w:hAnsi="Times New Roman"/>
        </w:rPr>
        <w:t xml:space="preserve"> </w:t>
      </w:r>
      <w:r w:rsidR="000D4A0F" w:rsidRPr="007E042A">
        <w:rPr>
          <w:rFonts w:ascii="Times New Roman" w:hAnsi="Times New Roman"/>
        </w:rPr>
        <w:t xml:space="preserve">which </w:t>
      </w:r>
      <w:r w:rsidR="00770F40" w:rsidRPr="007E042A">
        <w:rPr>
          <w:rFonts w:ascii="Times New Roman" w:hAnsi="Times New Roman"/>
        </w:rPr>
        <w:t>affirm</w:t>
      </w:r>
      <w:r w:rsidR="000D4A0F" w:rsidRPr="007E042A">
        <w:rPr>
          <w:rFonts w:ascii="Times New Roman" w:hAnsi="Times New Roman"/>
        </w:rPr>
        <w:t>ed</w:t>
      </w:r>
      <w:r w:rsidR="00B178AF" w:rsidRPr="007E042A">
        <w:rPr>
          <w:rFonts w:ascii="Times New Roman" w:hAnsi="Times New Roman"/>
        </w:rPr>
        <w:t xml:space="preserve"> </w:t>
      </w:r>
      <w:r w:rsidR="00770F40" w:rsidRPr="007E042A">
        <w:rPr>
          <w:rFonts w:ascii="Times New Roman" w:hAnsi="Times New Roman"/>
        </w:rPr>
        <w:t xml:space="preserve">a decision </w:t>
      </w:r>
      <w:r w:rsidR="005708CD" w:rsidRPr="007E042A">
        <w:rPr>
          <w:rFonts w:ascii="Times New Roman" w:hAnsi="Times New Roman"/>
        </w:rPr>
        <w:t>of</w:t>
      </w:r>
      <w:r w:rsidR="00B178AF" w:rsidRPr="007E042A">
        <w:rPr>
          <w:rFonts w:ascii="Times New Roman" w:hAnsi="Times New Roman"/>
        </w:rPr>
        <w:t xml:space="preserve"> the primary judge in the Supreme Court of the Northern Territory </w:t>
      </w:r>
      <w:r w:rsidR="006E59D4" w:rsidRPr="007E042A">
        <w:rPr>
          <w:rFonts w:ascii="Times New Roman" w:hAnsi="Times New Roman"/>
        </w:rPr>
        <w:t>(</w:t>
      </w:r>
      <w:r w:rsidR="0060118C" w:rsidRPr="007E042A">
        <w:rPr>
          <w:rFonts w:ascii="Times New Roman" w:hAnsi="Times New Roman"/>
        </w:rPr>
        <w:t xml:space="preserve">Barr </w:t>
      </w:r>
      <w:r w:rsidR="006E59D4" w:rsidRPr="007E042A">
        <w:rPr>
          <w:rFonts w:ascii="Times New Roman" w:hAnsi="Times New Roman"/>
        </w:rPr>
        <w:t>J)</w:t>
      </w:r>
      <w:r w:rsidR="00E31825" w:rsidRPr="007E042A">
        <w:rPr>
          <w:rStyle w:val="FootnoteReference"/>
          <w:rFonts w:ascii="Times New Roman" w:hAnsi="Times New Roman"/>
          <w:sz w:val="24"/>
        </w:rPr>
        <w:footnoteReference w:id="3"/>
      </w:r>
      <w:r w:rsidR="00E31825" w:rsidRPr="007E042A">
        <w:rPr>
          <w:rFonts w:ascii="Times New Roman" w:hAnsi="Times New Roman"/>
        </w:rPr>
        <w:t xml:space="preserve"> to dismiss an application </w:t>
      </w:r>
      <w:r w:rsidR="00A12B80" w:rsidRPr="007E042A">
        <w:rPr>
          <w:rFonts w:ascii="Times New Roman" w:hAnsi="Times New Roman"/>
        </w:rPr>
        <w:t>by the appellant (</w:t>
      </w:r>
      <w:r w:rsidR="00742313" w:rsidRPr="007E042A">
        <w:rPr>
          <w:rFonts w:ascii="Times New Roman" w:hAnsi="Times New Roman"/>
        </w:rPr>
        <w:t>"</w:t>
      </w:r>
      <w:r w:rsidR="00342F93" w:rsidRPr="007E042A">
        <w:rPr>
          <w:rFonts w:ascii="Times New Roman" w:hAnsi="Times New Roman"/>
        </w:rPr>
        <w:t>MAC</w:t>
      </w:r>
      <w:r w:rsidR="00416C8B" w:rsidRPr="007E042A">
        <w:rPr>
          <w:rFonts w:ascii="Times New Roman" w:hAnsi="Times New Roman"/>
        </w:rPr>
        <w:t xml:space="preserve">") for an order in the nature of certiorari </w:t>
      </w:r>
      <w:r w:rsidR="008964A3" w:rsidRPr="007E042A">
        <w:rPr>
          <w:rFonts w:ascii="Times New Roman" w:hAnsi="Times New Roman"/>
        </w:rPr>
        <w:t xml:space="preserve">to </w:t>
      </w:r>
      <w:r w:rsidR="007E19B6" w:rsidRPr="007E042A">
        <w:rPr>
          <w:rFonts w:ascii="Times New Roman" w:hAnsi="Times New Roman"/>
        </w:rPr>
        <w:t>quas</w:t>
      </w:r>
      <w:r w:rsidR="00F83BB9" w:rsidRPr="007E042A">
        <w:rPr>
          <w:rFonts w:ascii="Times New Roman" w:hAnsi="Times New Roman"/>
        </w:rPr>
        <w:t>h</w:t>
      </w:r>
      <w:r w:rsidR="008964A3" w:rsidRPr="007E042A">
        <w:rPr>
          <w:rFonts w:ascii="Times New Roman" w:hAnsi="Times New Roman"/>
        </w:rPr>
        <w:t xml:space="preserve"> </w:t>
      </w:r>
      <w:r w:rsidR="00590367" w:rsidRPr="007E042A">
        <w:rPr>
          <w:rFonts w:ascii="Times New Roman" w:hAnsi="Times New Roman"/>
        </w:rPr>
        <w:t xml:space="preserve">the </w:t>
      </w:r>
      <w:r w:rsidR="001E34E8" w:rsidRPr="007E042A">
        <w:rPr>
          <w:rFonts w:ascii="Times New Roman" w:hAnsi="Times New Roman"/>
        </w:rPr>
        <w:t xml:space="preserve">purported </w:t>
      </w:r>
      <w:r w:rsidR="00590367" w:rsidRPr="007E042A">
        <w:rPr>
          <w:rFonts w:ascii="Times New Roman" w:hAnsi="Times New Roman"/>
        </w:rPr>
        <w:t xml:space="preserve">grant </w:t>
      </w:r>
      <w:r w:rsidR="001E34E8" w:rsidRPr="007E042A">
        <w:rPr>
          <w:rFonts w:ascii="Times New Roman" w:hAnsi="Times New Roman"/>
        </w:rPr>
        <w:t xml:space="preserve">to the second respondent ("Fortune") </w:t>
      </w:r>
      <w:r w:rsidR="0045076F" w:rsidRPr="007E042A">
        <w:rPr>
          <w:rFonts w:ascii="Times New Roman" w:hAnsi="Times New Roman"/>
        </w:rPr>
        <w:t xml:space="preserve">by the first respondent ("the </w:t>
      </w:r>
      <w:r w:rsidR="00685A5B" w:rsidRPr="007E042A">
        <w:rPr>
          <w:rFonts w:ascii="Times New Roman" w:hAnsi="Times New Roman"/>
        </w:rPr>
        <w:t xml:space="preserve">delegate </w:t>
      </w:r>
      <w:r w:rsidR="0045076F" w:rsidRPr="007E042A">
        <w:rPr>
          <w:rFonts w:ascii="Times New Roman" w:hAnsi="Times New Roman"/>
        </w:rPr>
        <w:t xml:space="preserve">Minister") </w:t>
      </w:r>
      <w:r w:rsidR="00A475B5" w:rsidRPr="007E042A">
        <w:rPr>
          <w:rFonts w:ascii="Times New Roman" w:hAnsi="Times New Roman"/>
        </w:rPr>
        <w:t xml:space="preserve">under s 30(3)(a)(ii) of the </w:t>
      </w:r>
      <w:r w:rsidR="00A475B5" w:rsidRPr="007E042A">
        <w:rPr>
          <w:rFonts w:ascii="Times New Roman" w:hAnsi="Times New Roman"/>
          <w:i/>
          <w:iCs/>
        </w:rPr>
        <w:t>Water Act 1992</w:t>
      </w:r>
      <w:r w:rsidR="007D71F8">
        <w:rPr>
          <w:rFonts w:ascii="Times New Roman" w:hAnsi="Times New Roman"/>
          <w:i/>
          <w:iCs/>
        </w:rPr>
        <w:t xml:space="preserve"> </w:t>
      </w:r>
      <w:r w:rsidR="00A475B5" w:rsidRPr="007E042A">
        <w:rPr>
          <w:rFonts w:ascii="Times New Roman" w:hAnsi="Times New Roman"/>
        </w:rPr>
        <w:t>(NT)</w:t>
      </w:r>
      <w:r w:rsidR="00AC4E7B" w:rsidRPr="007E042A">
        <w:rPr>
          <w:rFonts w:ascii="Times New Roman" w:hAnsi="Times New Roman"/>
        </w:rPr>
        <w:t xml:space="preserve"> </w:t>
      </w:r>
      <w:r w:rsidR="00590367" w:rsidRPr="007E042A">
        <w:rPr>
          <w:rFonts w:ascii="Times New Roman" w:hAnsi="Times New Roman"/>
        </w:rPr>
        <w:t xml:space="preserve">of </w:t>
      </w:r>
      <w:r w:rsidR="00C6148B" w:rsidRPr="007E042A">
        <w:rPr>
          <w:rFonts w:ascii="Times New Roman" w:hAnsi="Times New Roman"/>
        </w:rPr>
        <w:t xml:space="preserve">a </w:t>
      </w:r>
      <w:r w:rsidR="00A5194C" w:rsidRPr="007E042A">
        <w:rPr>
          <w:rFonts w:ascii="Times New Roman" w:hAnsi="Times New Roman"/>
        </w:rPr>
        <w:t xml:space="preserve">30-year </w:t>
      </w:r>
      <w:r w:rsidR="00BC2D19" w:rsidRPr="007E042A">
        <w:rPr>
          <w:rFonts w:ascii="Times New Roman" w:hAnsi="Times New Roman"/>
        </w:rPr>
        <w:t xml:space="preserve">licence to </w:t>
      </w:r>
      <w:r w:rsidR="003E2629" w:rsidRPr="007E042A">
        <w:rPr>
          <w:rFonts w:ascii="Times New Roman" w:hAnsi="Times New Roman"/>
        </w:rPr>
        <w:t>extract</w:t>
      </w:r>
      <w:r w:rsidR="00BC2D19" w:rsidRPr="007E042A">
        <w:rPr>
          <w:rFonts w:ascii="Times New Roman" w:hAnsi="Times New Roman"/>
        </w:rPr>
        <w:t xml:space="preserve"> groundwater </w:t>
      </w:r>
      <w:r w:rsidR="002939C6" w:rsidRPr="007E042A">
        <w:rPr>
          <w:rFonts w:ascii="Times New Roman" w:hAnsi="Times New Roman"/>
        </w:rPr>
        <w:t>("the water extraction licence")</w:t>
      </w:r>
      <w:r w:rsidR="009C6DC9" w:rsidRPr="007E042A">
        <w:rPr>
          <w:rFonts w:ascii="Times New Roman" w:hAnsi="Times New Roman"/>
        </w:rPr>
        <w:t xml:space="preserve">. </w:t>
      </w:r>
    </w:p>
    <w:p w14:paraId="79745E0A" w14:textId="3A2FE07E" w:rsidR="007D2092" w:rsidRPr="007E042A" w:rsidRDefault="003B47B6"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702D16" w:rsidRPr="007E042A">
        <w:rPr>
          <w:rFonts w:ascii="Times New Roman" w:hAnsi="Times New Roman"/>
        </w:rPr>
        <w:t>T</w:t>
      </w:r>
      <w:r w:rsidR="009707B4" w:rsidRPr="007E042A">
        <w:rPr>
          <w:rFonts w:ascii="Times New Roman" w:hAnsi="Times New Roman"/>
        </w:rPr>
        <w:t xml:space="preserve">he </w:t>
      </w:r>
      <w:r w:rsidR="00C82D71" w:rsidRPr="007E042A">
        <w:rPr>
          <w:rFonts w:ascii="Times New Roman" w:hAnsi="Times New Roman"/>
        </w:rPr>
        <w:t>delegate Minister</w:t>
      </w:r>
      <w:r w:rsidR="00640F4F" w:rsidRPr="007E042A">
        <w:rPr>
          <w:rFonts w:ascii="Times New Roman" w:hAnsi="Times New Roman"/>
        </w:rPr>
        <w:t xml:space="preserve"> purported to make</w:t>
      </w:r>
      <w:r w:rsidR="00EF59AF" w:rsidRPr="007E042A">
        <w:rPr>
          <w:rFonts w:ascii="Times New Roman" w:hAnsi="Times New Roman"/>
        </w:rPr>
        <w:t xml:space="preserve"> the </w:t>
      </w:r>
      <w:r w:rsidR="001B3AB3" w:rsidRPr="007E042A">
        <w:rPr>
          <w:rFonts w:ascii="Times New Roman" w:hAnsi="Times New Roman"/>
        </w:rPr>
        <w:t xml:space="preserve">decision to grant the </w:t>
      </w:r>
      <w:r w:rsidR="009707B4" w:rsidRPr="007E042A">
        <w:rPr>
          <w:rFonts w:ascii="Times New Roman" w:hAnsi="Times New Roman"/>
        </w:rPr>
        <w:t xml:space="preserve">water extraction licence </w:t>
      </w:r>
      <w:r w:rsidR="008640C9" w:rsidRPr="007E042A">
        <w:rPr>
          <w:rFonts w:ascii="Times New Roman" w:hAnsi="Times New Roman"/>
        </w:rPr>
        <w:t xml:space="preserve">under s 30(3)(a)(ii) of the </w:t>
      </w:r>
      <w:r w:rsidR="008640C9" w:rsidRPr="007E042A">
        <w:rPr>
          <w:rFonts w:ascii="Times New Roman" w:hAnsi="Times New Roman"/>
          <w:i/>
          <w:iCs/>
        </w:rPr>
        <w:t xml:space="preserve">Water Act </w:t>
      </w:r>
      <w:r w:rsidR="00176276" w:rsidRPr="007E042A">
        <w:rPr>
          <w:rFonts w:ascii="Times New Roman" w:hAnsi="Times New Roman"/>
        </w:rPr>
        <w:t xml:space="preserve">on </w:t>
      </w:r>
      <w:r w:rsidR="007D1A73" w:rsidRPr="007E042A">
        <w:rPr>
          <w:rFonts w:ascii="Times New Roman" w:hAnsi="Times New Roman"/>
        </w:rPr>
        <w:t xml:space="preserve">a </w:t>
      </w:r>
      <w:r w:rsidR="00176276" w:rsidRPr="007E042A">
        <w:rPr>
          <w:rFonts w:ascii="Times New Roman" w:hAnsi="Times New Roman"/>
        </w:rPr>
        <w:t xml:space="preserve">review </w:t>
      </w:r>
      <w:r w:rsidR="007D1A73" w:rsidRPr="007E042A">
        <w:rPr>
          <w:rFonts w:ascii="Times New Roman" w:hAnsi="Times New Roman"/>
        </w:rPr>
        <w:t>of</w:t>
      </w:r>
      <w:r w:rsidR="00D87814" w:rsidRPr="007E042A">
        <w:rPr>
          <w:rFonts w:ascii="Times New Roman" w:hAnsi="Times New Roman"/>
        </w:rPr>
        <w:t xml:space="preserve"> </w:t>
      </w:r>
      <w:r w:rsidR="002F366D" w:rsidRPr="007E042A">
        <w:rPr>
          <w:rFonts w:ascii="Times New Roman" w:hAnsi="Times New Roman"/>
        </w:rPr>
        <w:t>a</w:t>
      </w:r>
      <w:r w:rsidR="00DC2379" w:rsidRPr="007E042A">
        <w:rPr>
          <w:rFonts w:ascii="Times New Roman" w:hAnsi="Times New Roman"/>
        </w:rPr>
        <w:t xml:space="preserve">n </w:t>
      </w:r>
      <w:r w:rsidR="003F064F" w:rsidRPr="007E042A">
        <w:rPr>
          <w:rFonts w:ascii="Times New Roman" w:hAnsi="Times New Roman"/>
        </w:rPr>
        <w:t xml:space="preserve">earlier </w:t>
      </w:r>
      <w:r w:rsidR="00B5118C" w:rsidRPr="007E042A">
        <w:rPr>
          <w:rFonts w:ascii="Times New Roman" w:hAnsi="Times New Roman"/>
        </w:rPr>
        <w:t>decision</w:t>
      </w:r>
      <w:r w:rsidR="0048725D" w:rsidRPr="007E042A">
        <w:rPr>
          <w:rFonts w:ascii="Times New Roman" w:hAnsi="Times New Roman"/>
        </w:rPr>
        <w:t xml:space="preserve"> </w:t>
      </w:r>
      <w:r w:rsidR="00B5118C" w:rsidRPr="007E042A">
        <w:rPr>
          <w:rFonts w:ascii="Times New Roman" w:hAnsi="Times New Roman"/>
        </w:rPr>
        <w:t xml:space="preserve">made by the </w:t>
      </w:r>
      <w:r w:rsidR="00FC6796" w:rsidRPr="007E042A">
        <w:rPr>
          <w:rFonts w:ascii="Times New Roman" w:hAnsi="Times New Roman"/>
        </w:rPr>
        <w:t xml:space="preserve">Controller of Water Resources </w:t>
      </w:r>
      <w:r w:rsidR="00B304FE" w:rsidRPr="007E042A">
        <w:rPr>
          <w:rFonts w:ascii="Times New Roman" w:hAnsi="Times New Roman"/>
        </w:rPr>
        <w:t xml:space="preserve">("the Controller") </w:t>
      </w:r>
      <w:r w:rsidR="009603F3" w:rsidRPr="007E042A">
        <w:rPr>
          <w:rFonts w:ascii="Times New Roman" w:hAnsi="Times New Roman"/>
        </w:rPr>
        <w:t>under s</w:t>
      </w:r>
      <w:r w:rsidR="00B831DA">
        <w:rPr>
          <w:rFonts w:ascii="Times New Roman" w:hAnsi="Times New Roman"/>
        </w:rPr>
        <w:t> </w:t>
      </w:r>
      <w:r w:rsidR="009603F3" w:rsidRPr="007E042A">
        <w:rPr>
          <w:rFonts w:ascii="Times New Roman" w:hAnsi="Times New Roman"/>
        </w:rPr>
        <w:t>60(1)</w:t>
      </w:r>
      <w:r w:rsidR="002F6DB6" w:rsidRPr="007E042A">
        <w:rPr>
          <w:rFonts w:ascii="Times New Roman" w:hAnsi="Times New Roman"/>
        </w:rPr>
        <w:t xml:space="preserve"> of the </w:t>
      </w:r>
      <w:r w:rsidR="002F6DB6" w:rsidRPr="007E042A">
        <w:rPr>
          <w:rFonts w:ascii="Times New Roman" w:hAnsi="Times New Roman"/>
          <w:i/>
          <w:iCs/>
        </w:rPr>
        <w:t>Water Act</w:t>
      </w:r>
      <w:r w:rsidR="00D87814" w:rsidRPr="007E042A">
        <w:rPr>
          <w:rFonts w:ascii="Times New Roman" w:hAnsi="Times New Roman"/>
        </w:rPr>
        <w:t xml:space="preserve"> and in substitution for that earlier decision. </w:t>
      </w:r>
      <w:r w:rsidR="00F00301" w:rsidRPr="007E042A">
        <w:rPr>
          <w:rFonts w:ascii="Times New Roman" w:hAnsi="Times New Roman"/>
        </w:rPr>
        <w:t>The delegate Minister</w:t>
      </w:r>
      <w:r w:rsidR="009603F3" w:rsidRPr="007E042A">
        <w:rPr>
          <w:rFonts w:ascii="Times New Roman" w:hAnsi="Times New Roman"/>
        </w:rPr>
        <w:t xml:space="preserve"> </w:t>
      </w:r>
      <w:r w:rsidR="00D87814" w:rsidRPr="007E042A">
        <w:rPr>
          <w:rFonts w:ascii="Times New Roman" w:hAnsi="Times New Roman"/>
        </w:rPr>
        <w:t xml:space="preserve">did so </w:t>
      </w:r>
      <w:r w:rsidR="00795D2A" w:rsidRPr="007E042A">
        <w:rPr>
          <w:rFonts w:ascii="Times New Roman" w:hAnsi="Times New Roman"/>
        </w:rPr>
        <w:t>having been sent</w:t>
      </w:r>
      <w:r w:rsidR="00E73C8D" w:rsidRPr="007E042A">
        <w:rPr>
          <w:rFonts w:ascii="Times New Roman" w:hAnsi="Times New Roman"/>
        </w:rPr>
        <w:t xml:space="preserve"> </w:t>
      </w:r>
      <w:r w:rsidR="00795D2A" w:rsidRPr="007E042A">
        <w:rPr>
          <w:rFonts w:ascii="Times New Roman" w:hAnsi="Times New Roman"/>
        </w:rPr>
        <w:t>extensive</w:t>
      </w:r>
      <w:r w:rsidR="00E73C8D" w:rsidRPr="007E042A">
        <w:rPr>
          <w:rFonts w:ascii="Times New Roman" w:hAnsi="Times New Roman"/>
        </w:rPr>
        <w:t xml:space="preserve"> </w:t>
      </w:r>
      <w:r w:rsidR="00B02D48" w:rsidRPr="007E042A">
        <w:rPr>
          <w:rFonts w:ascii="Times New Roman" w:hAnsi="Times New Roman"/>
        </w:rPr>
        <w:t xml:space="preserve">Ministerial briefings </w:t>
      </w:r>
      <w:r w:rsidR="00E13025" w:rsidRPr="007E042A">
        <w:rPr>
          <w:rFonts w:ascii="Times New Roman" w:hAnsi="Times New Roman"/>
        </w:rPr>
        <w:t xml:space="preserve">by </w:t>
      </w:r>
      <w:r w:rsidR="00924287" w:rsidRPr="007E042A">
        <w:rPr>
          <w:rFonts w:ascii="Times New Roman" w:hAnsi="Times New Roman"/>
        </w:rPr>
        <w:t xml:space="preserve">the Department administering </w:t>
      </w:r>
      <w:r w:rsidR="00C5101F" w:rsidRPr="007E042A">
        <w:rPr>
          <w:rFonts w:ascii="Times New Roman" w:hAnsi="Times New Roman"/>
        </w:rPr>
        <w:t xml:space="preserve">the </w:t>
      </w:r>
      <w:r w:rsidR="00C5101F" w:rsidRPr="007E042A">
        <w:rPr>
          <w:rFonts w:ascii="Times New Roman" w:hAnsi="Times New Roman"/>
          <w:i/>
          <w:iCs/>
        </w:rPr>
        <w:t>Water Act</w:t>
      </w:r>
      <w:r w:rsidR="00A127B5" w:rsidRPr="007E042A">
        <w:rPr>
          <w:rFonts w:ascii="Times New Roman" w:hAnsi="Times New Roman"/>
          <w:b/>
          <w:bCs/>
        </w:rPr>
        <w:t xml:space="preserve"> </w:t>
      </w:r>
      <w:r w:rsidR="007514D2" w:rsidRPr="007E042A">
        <w:rPr>
          <w:rFonts w:ascii="Times New Roman" w:hAnsi="Times New Roman"/>
        </w:rPr>
        <w:t xml:space="preserve">following </w:t>
      </w:r>
      <w:r w:rsidR="002A2C85" w:rsidRPr="007E042A">
        <w:rPr>
          <w:rFonts w:ascii="Times New Roman" w:hAnsi="Times New Roman"/>
        </w:rPr>
        <w:t>receipt of</w:t>
      </w:r>
      <w:r w:rsidR="00146BC9" w:rsidRPr="007E042A">
        <w:rPr>
          <w:rFonts w:ascii="Times New Roman" w:hAnsi="Times New Roman"/>
        </w:rPr>
        <w:t xml:space="preserve"> advice </w:t>
      </w:r>
      <w:r w:rsidR="005D3953" w:rsidRPr="007E042A">
        <w:rPr>
          <w:rFonts w:ascii="Times New Roman" w:hAnsi="Times New Roman"/>
        </w:rPr>
        <w:t>from</w:t>
      </w:r>
      <w:r w:rsidR="007F2F56" w:rsidRPr="007E042A">
        <w:rPr>
          <w:rFonts w:ascii="Times New Roman" w:hAnsi="Times New Roman"/>
        </w:rPr>
        <w:t xml:space="preserve"> </w:t>
      </w:r>
      <w:r w:rsidR="00B071B0" w:rsidRPr="007E042A">
        <w:rPr>
          <w:rFonts w:ascii="Times New Roman" w:hAnsi="Times New Roman"/>
        </w:rPr>
        <w:t xml:space="preserve">the </w:t>
      </w:r>
      <w:r w:rsidR="0005732C" w:rsidRPr="007E042A">
        <w:rPr>
          <w:rFonts w:ascii="Times New Roman" w:hAnsi="Times New Roman"/>
        </w:rPr>
        <w:t>Water Resources Review Panel</w:t>
      </w:r>
      <w:r w:rsidR="000E2B33" w:rsidRPr="007E042A">
        <w:rPr>
          <w:rFonts w:ascii="Times New Roman" w:hAnsi="Times New Roman"/>
        </w:rPr>
        <w:t xml:space="preserve"> </w:t>
      </w:r>
      <w:r w:rsidR="00EB1707" w:rsidRPr="007E042A">
        <w:rPr>
          <w:rFonts w:ascii="Times New Roman" w:hAnsi="Times New Roman"/>
        </w:rPr>
        <w:t>("</w:t>
      </w:r>
      <w:r w:rsidR="000E2B33" w:rsidRPr="007E042A">
        <w:rPr>
          <w:rFonts w:ascii="Times New Roman" w:hAnsi="Times New Roman"/>
        </w:rPr>
        <w:t>the</w:t>
      </w:r>
      <w:r w:rsidR="00457052" w:rsidRPr="007E042A">
        <w:rPr>
          <w:rFonts w:ascii="Times New Roman" w:hAnsi="Times New Roman"/>
        </w:rPr>
        <w:t xml:space="preserve"> Review</w:t>
      </w:r>
      <w:r w:rsidR="000E2B33" w:rsidRPr="007E042A">
        <w:rPr>
          <w:rFonts w:ascii="Times New Roman" w:hAnsi="Times New Roman"/>
        </w:rPr>
        <w:t xml:space="preserve"> Panel") </w:t>
      </w:r>
      <w:r w:rsidR="00946209" w:rsidRPr="007E042A">
        <w:rPr>
          <w:rFonts w:ascii="Times New Roman" w:hAnsi="Times New Roman"/>
        </w:rPr>
        <w:t>in accordance with s 30</w:t>
      </w:r>
      <w:r w:rsidR="00BB71CF" w:rsidRPr="007E042A">
        <w:rPr>
          <w:rFonts w:ascii="Times New Roman" w:hAnsi="Times New Roman"/>
        </w:rPr>
        <w:t xml:space="preserve">(3)(b) and </w:t>
      </w:r>
      <w:r w:rsidR="00946209" w:rsidRPr="007E042A">
        <w:rPr>
          <w:rFonts w:ascii="Times New Roman" w:hAnsi="Times New Roman"/>
        </w:rPr>
        <w:t>(4)</w:t>
      </w:r>
      <w:r w:rsidR="007D2092" w:rsidRPr="007E042A">
        <w:rPr>
          <w:rFonts w:ascii="Times New Roman" w:hAnsi="Times New Roman"/>
        </w:rPr>
        <w:t xml:space="preserve"> of the </w:t>
      </w:r>
      <w:r w:rsidR="007D2092" w:rsidRPr="007E042A">
        <w:rPr>
          <w:rFonts w:ascii="Times New Roman" w:hAnsi="Times New Roman"/>
          <w:i/>
          <w:iCs/>
        </w:rPr>
        <w:t>Water Act</w:t>
      </w:r>
      <w:r w:rsidR="007514D2" w:rsidRPr="007E042A">
        <w:rPr>
          <w:rFonts w:ascii="Times New Roman" w:hAnsi="Times New Roman"/>
        </w:rPr>
        <w:t xml:space="preserve">. </w:t>
      </w:r>
    </w:p>
    <w:p w14:paraId="79375C5F" w14:textId="5EE1E656" w:rsidR="0051602F" w:rsidRPr="007E042A" w:rsidRDefault="007D2092"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892862" w:rsidRPr="007E042A">
        <w:rPr>
          <w:rFonts w:ascii="Times New Roman" w:hAnsi="Times New Roman"/>
        </w:rPr>
        <w:t xml:space="preserve">In accordance </w:t>
      </w:r>
      <w:r w:rsidR="0051326B" w:rsidRPr="007E042A">
        <w:rPr>
          <w:rFonts w:ascii="Times New Roman" w:hAnsi="Times New Roman"/>
        </w:rPr>
        <w:t xml:space="preserve">with s 71E of the </w:t>
      </w:r>
      <w:r w:rsidR="0051326B" w:rsidRPr="007E042A">
        <w:rPr>
          <w:rFonts w:ascii="Times New Roman" w:hAnsi="Times New Roman"/>
          <w:i/>
          <w:iCs/>
        </w:rPr>
        <w:t>Water Act</w:t>
      </w:r>
      <w:r w:rsidR="0051326B" w:rsidRPr="007E042A">
        <w:rPr>
          <w:rFonts w:ascii="Times New Roman" w:hAnsi="Times New Roman"/>
        </w:rPr>
        <w:t>, t</w:t>
      </w:r>
      <w:r w:rsidR="00025643" w:rsidRPr="007E042A">
        <w:rPr>
          <w:rFonts w:ascii="Times New Roman" w:hAnsi="Times New Roman"/>
        </w:rPr>
        <w:t xml:space="preserve">he delegate Minister </w:t>
      </w:r>
      <w:r w:rsidR="007B6252" w:rsidRPr="007E042A">
        <w:rPr>
          <w:rFonts w:ascii="Times New Roman" w:hAnsi="Times New Roman"/>
        </w:rPr>
        <w:t>made</w:t>
      </w:r>
      <w:r w:rsidR="008968A0" w:rsidRPr="007E042A">
        <w:rPr>
          <w:rFonts w:ascii="Times New Roman" w:hAnsi="Times New Roman"/>
        </w:rPr>
        <w:t xml:space="preserve"> </w:t>
      </w:r>
      <w:r w:rsidR="00F52ADB" w:rsidRPr="007E042A">
        <w:rPr>
          <w:rFonts w:ascii="Times New Roman" w:hAnsi="Times New Roman"/>
        </w:rPr>
        <w:t>a</w:t>
      </w:r>
      <w:r w:rsidR="008F1D5B" w:rsidRPr="007E042A">
        <w:rPr>
          <w:rFonts w:ascii="Times New Roman" w:hAnsi="Times New Roman"/>
        </w:rPr>
        <w:t xml:space="preserve"> </w:t>
      </w:r>
      <w:r w:rsidR="00F52ADB" w:rsidRPr="007E042A">
        <w:rPr>
          <w:rFonts w:ascii="Times New Roman" w:hAnsi="Times New Roman"/>
        </w:rPr>
        <w:t>record of th</w:t>
      </w:r>
      <w:r w:rsidR="009611B4" w:rsidRPr="007E042A">
        <w:rPr>
          <w:rFonts w:ascii="Times New Roman" w:hAnsi="Times New Roman"/>
        </w:rPr>
        <w:t>e</w:t>
      </w:r>
      <w:r w:rsidR="005E0267" w:rsidRPr="007E042A">
        <w:rPr>
          <w:rFonts w:ascii="Times New Roman" w:hAnsi="Times New Roman"/>
        </w:rPr>
        <w:t xml:space="preserve"> </w:t>
      </w:r>
      <w:proofErr w:type="gramStart"/>
      <w:r w:rsidR="005E0267" w:rsidRPr="007E042A">
        <w:rPr>
          <w:rFonts w:ascii="Times New Roman" w:hAnsi="Times New Roman"/>
        </w:rPr>
        <w:t>decision</w:t>
      </w:r>
      <w:proofErr w:type="gramEnd"/>
      <w:r w:rsidRPr="007E042A">
        <w:rPr>
          <w:rFonts w:ascii="Times New Roman" w:hAnsi="Times New Roman"/>
        </w:rPr>
        <w:t xml:space="preserve"> </w:t>
      </w:r>
      <w:r w:rsidR="00E16954" w:rsidRPr="007E042A">
        <w:rPr>
          <w:rFonts w:ascii="Times New Roman" w:hAnsi="Times New Roman"/>
        </w:rPr>
        <w:t>and the Controller</w:t>
      </w:r>
      <w:r w:rsidR="00BC6BAC" w:rsidRPr="007E042A">
        <w:rPr>
          <w:rFonts w:ascii="Times New Roman" w:hAnsi="Times New Roman"/>
        </w:rPr>
        <w:t xml:space="preserve"> </w:t>
      </w:r>
      <w:r w:rsidR="008968A0" w:rsidRPr="007E042A">
        <w:rPr>
          <w:rFonts w:ascii="Times New Roman" w:hAnsi="Times New Roman"/>
        </w:rPr>
        <w:t xml:space="preserve">subsequently </w:t>
      </w:r>
      <w:r w:rsidR="00BC6BAC" w:rsidRPr="007E042A">
        <w:rPr>
          <w:rFonts w:ascii="Times New Roman" w:hAnsi="Times New Roman"/>
        </w:rPr>
        <w:t>gave public notice of</w:t>
      </w:r>
      <w:r w:rsidR="008968A0" w:rsidRPr="007E042A">
        <w:rPr>
          <w:rFonts w:ascii="Times New Roman" w:hAnsi="Times New Roman"/>
        </w:rPr>
        <w:t xml:space="preserve"> that record</w:t>
      </w:r>
      <w:r w:rsidR="00DB296A" w:rsidRPr="007E042A">
        <w:rPr>
          <w:rFonts w:ascii="Times New Roman" w:hAnsi="Times New Roman"/>
        </w:rPr>
        <w:t xml:space="preserve">. The record of the decision </w:t>
      </w:r>
      <w:r w:rsidR="005340B6" w:rsidRPr="007E042A">
        <w:rPr>
          <w:rFonts w:ascii="Times New Roman" w:hAnsi="Times New Roman"/>
        </w:rPr>
        <w:t xml:space="preserve">so made and notified </w:t>
      </w:r>
      <w:r w:rsidR="00204B4D" w:rsidRPr="007E042A">
        <w:rPr>
          <w:rFonts w:ascii="Times New Roman" w:hAnsi="Times New Roman"/>
        </w:rPr>
        <w:t>was</w:t>
      </w:r>
      <w:r w:rsidR="008F1D5B" w:rsidRPr="007E042A">
        <w:rPr>
          <w:rFonts w:ascii="Times New Roman" w:hAnsi="Times New Roman"/>
        </w:rPr>
        <w:t xml:space="preserve"> </w:t>
      </w:r>
      <w:r w:rsidR="00204B4D" w:rsidRPr="007E042A">
        <w:rPr>
          <w:rFonts w:ascii="Times New Roman" w:hAnsi="Times New Roman"/>
        </w:rPr>
        <w:t>required</w:t>
      </w:r>
      <w:r w:rsidR="00E86C2C" w:rsidRPr="007E042A">
        <w:rPr>
          <w:rFonts w:ascii="Times New Roman" w:hAnsi="Times New Roman"/>
        </w:rPr>
        <w:t xml:space="preserve"> by</w:t>
      </w:r>
      <w:r w:rsidR="008F1D5B" w:rsidRPr="007E042A">
        <w:rPr>
          <w:rFonts w:ascii="Times New Roman" w:hAnsi="Times New Roman"/>
        </w:rPr>
        <w:t xml:space="preserve"> s 71</w:t>
      </w:r>
      <w:proofErr w:type="gramStart"/>
      <w:r w:rsidR="008F1D5B" w:rsidRPr="007E042A">
        <w:rPr>
          <w:rFonts w:ascii="Times New Roman" w:hAnsi="Times New Roman"/>
        </w:rPr>
        <w:t>E(</w:t>
      </w:r>
      <w:proofErr w:type="gramEnd"/>
      <w:r w:rsidR="008F1D5B" w:rsidRPr="007E042A">
        <w:rPr>
          <w:rFonts w:ascii="Times New Roman" w:hAnsi="Times New Roman"/>
        </w:rPr>
        <w:t>4</w:t>
      </w:r>
      <w:r w:rsidR="00052C78" w:rsidRPr="007E042A">
        <w:rPr>
          <w:rFonts w:ascii="Times New Roman" w:hAnsi="Times New Roman"/>
        </w:rPr>
        <w:t>)</w:t>
      </w:r>
      <w:r w:rsidR="00270744" w:rsidRPr="007E042A">
        <w:rPr>
          <w:rFonts w:ascii="Times New Roman" w:hAnsi="Times New Roman"/>
        </w:rPr>
        <w:t xml:space="preserve"> </w:t>
      </w:r>
      <w:r w:rsidR="008F1D5B" w:rsidRPr="007E042A">
        <w:rPr>
          <w:rFonts w:ascii="Times New Roman" w:hAnsi="Times New Roman"/>
        </w:rPr>
        <w:t xml:space="preserve">to </w:t>
      </w:r>
      <w:r w:rsidR="0008445B" w:rsidRPr="007E042A">
        <w:rPr>
          <w:rFonts w:ascii="Times New Roman" w:hAnsi="Times New Roman"/>
        </w:rPr>
        <w:t>"</w:t>
      </w:r>
      <w:r w:rsidR="008F1D5B" w:rsidRPr="007E042A">
        <w:rPr>
          <w:rFonts w:ascii="Times New Roman" w:hAnsi="Times New Roman"/>
        </w:rPr>
        <w:t xml:space="preserve">include </w:t>
      </w:r>
      <w:r w:rsidR="00FE79D5" w:rsidRPr="007E042A">
        <w:rPr>
          <w:rFonts w:ascii="Times New Roman" w:hAnsi="Times New Roman"/>
        </w:rPr>
        <w:t xml:space="preserve">the </w:t>
      </w:r>
      <w:r w:rsidR="00270744" w:rsidRPr="007E042A">
        <w:rPr>
          <w:rFonts w:ascii="Times New Roman" w:hAnsi="Times New Roman"/>
        </w:rPr>
        <w:t>reasons for the decision</w:t>
      </w:r>
      <w:r w:rsidR="0008445B" w:rsidRPr="007E042A">
        <w:rPr>
          <w:rFonts w:ascii="Times New Roman" w:hAnsi="Times New Roman"/>
        </w:rPr>
        <w:t>"</w:t>
      </w:r>
      <w:r w:rsidR="00211214" w:rsidRPr="007E042A">
        <w:rPr>
          <w:rFonts w:ascii="Times New Roman" w:hAnsi="Times New Roman"/>
        </w:rPr>
        <w:t xml:space="preserve">. </w:t>
      </w:r>
    </w:p>
    <w:p w14:paraId="33F2C9CD" w14:textId="03B5AEF2" w:rsidR="00742FF8" w:rsidRPr="007E042A" w:rsidRDefault="0089630A"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8E768F" w:rsidRPr="007E042A">
        <w:rPr>
          <w:rFonts w:ascii="Times New Roman" w:hAnsi="Times New Roman"/>
        </w:rPr>
        <w:t>T</w:t>
      </w:r>
      <w:r w:rsidR="002F7933" w:rsidRPr="007E042A">
        <w:rPr>
          <w:rFonts w:ascii="Times New Roman" w:hAnsi="Times New Roman"/>
        </w:rPr>
        <w:t xml:space="preserve">he Court of Appeal </w:t>
      </w:r>
      <w:r w:rsidR="008E768F" w:rsidRPr="007E042A">
        <w:rPr>
          <w:rFonts w:ascii="Times New Roman" w:hAnsi="Times New Roman"/>
        </w:rPr>
        <w:t>held,</w:t>
      </w:r>
      <w:r w:rsidR="002F5FC5" w:rsidRPr="007E042A">
        <w:rPr>
          <w:rStyle w:val="FootnoteReference"/>
          <w:rFonts w:ascii="Times New Roman" w:hAnsi="Times New Roman"/>
          <w:sz w:val="24"/>
        </w:rPr>
        <w:footnoteReference w:id="4"/>
      </w:r>
      <w:r w:rsidR="008E768F" w:rsidRPr="007E042A">
        <w:rPr>
          <w:rFonts w:ascii="Times New Roman" w:hAnsi="Times New Roman"/>
        </w:rPr>
        <w:t xml:space="preserve"> and it is</w:t>
      </w:r>
      <w:r w:rsidR="002F7933" w:rsidRPr="007E042A">
        <w:rPr>
          <w:rFonts w:ascii="Times New Roman" w:hAnsi="Times New Roman"/>
        </w:rPr>
        <w:t xml:space="preserve"> no longer in dispute</w:t>
      </w:r>
      <w:r w:rsidR="000F7DDF" w:rsidRPr="007E042A">
        <w:rPr>
          <w:rFonts w:ascii="Times New Roman" w:hAnsi="Times New Roman"/>
        </w:rPr>
        <w:t>,</w:t>
      </w:r>
      <w:r w:rsidR="002F7933" w:rsidRPr="007E042A">
        <w:rPr>
          <w:rFonts w:ascii="Times New Roman" w:hAnsi="Times New Roman"/>
        </w:rPr>
        <w:t xml:space="preserve"> </w:t>
      </w:r>
      <w:r w:rsidR="009B6F89" w:rsidRPr="007E042A">
        <w:rPr>
          <w:rFonts w:ascii="Times New Roman" w:hAnsi="Times New Roman"/>
        </w:rPr>
        <w:t xml:space="preserve">that </w:t>
      </w:r>
      <w:r w:rsidR="00A743CB" w:rsidRPr="007E042A">
        <w:rPr>
          <w:rFonts w:ascii="Times New Roman" w:hAnsi="Times New Roman"/>
        </w:rPr>
        <w:t xml:space="preserve">the </w:t>
      </w:r>
      <w:r w:rsidR="00174D9D" w:rsidRPr="007E042A">
        <w:rPr>
          <w:rFonts w:ascii="Times New Roman" w:hAnsi="Times New Roman"/>
        </w:rPr>
        <w:t xml:space="preserve">delegate </w:t>
      </w:r>
      <w:r w:rsidR="00A743CB" w:rsidRPr="007E042A">
        <w:rPr>
          <w:rFonts w:ascii="Times New Roman" w:hAnsi="Times New Roman"/>
        </w:rPr>
        <w:t>Minister</w:t>
      </w:r>
      <w:r w:rsidR="00B304FE" w:rsidRPr="007E042A">
        <w:rPr>
          <w:rFonts w:ascii="Times New Roman" w:hAnsi="Times New Roman"/>
        </w:rPr>
        <w:t xml:space="preserve"> </w:t>
      </w:r>
      <w:r w:rsidR="00FA14C1" w:rsidRPr="007E042A">
        <w:rPr>
          <w:rFonts w:ascii="Times New Roman" w:hAnsi="Times New Roman"/>
        </w:rPr>
        <w:t xml:space="preserve">in making </w:t>
      </w:r>
      <w:r w:rsidR="00097188" w:rsidRPr="007E042A">
        <w:rPr>
          <w:rFonts w:ascii="Times New Roman" w:hAnsi="Times New Roman"/>
        </w:rPr>
        <w:t>a</w:t>
      </w:r>
      <w:r w:rsidR="00FA14C1" w:rsidRPr="007E042A">
        <w:rPr>
          <w:rFonts w:ascii="Times New Roman" w:hAnsi="Times New Roman"/>
        </w:rPr>
        <w:t xml:space="preserve"> decision under s 30(3)(a)(ii) of the </w:t>
      </w:r>
      <w:r w:rsidR="00FA14C1" w:rsidRPr="007E042A">
        <w:rPr>
          <w:rFonts w:ascii="Times New Roman" w:hAnsi="Times New Roman"/>
          <w:i/>
          <w:iCs/>
        </w:rPr>
        <w:t xml:space="preserve">Water Act </w:t>
      </w:r>
      <w:r w:rsidR="00FE4B27" w:rsidRPr="007E042A">
        <w:rPr>
          <w:rFonts w:ascii="Times New Roman" w:hAnsi="Times New Roman"/>
        </w:rPr>
        <w:t xml:space="preserve">on review of the decision of the Controller under s 60(1) </w:t>
      </w:r>
      <w:r w:rsidR="00EF5555" w:rsidRPr="007E042A">
        <w:rPr>
          <w:rFonts w:ascii="Times New Roman" w:hAnsi="Times New Roman"/>
        </w:rPr>
        <w:t>was pr</w:t>
      </w:r>
      <w:r w:rsidR="0070030C" w:rsidRPr="007E042A">
        <w:rPr>
          <w:rFonts w:ascii="Times New Roman" w:hAnsi="Times New Roman"/>
        </w:rPr>
        <w:t>ecluded</w:t>
      </w:r>
      <w:r w:rsidR="00EF5555" w:rsidRPr="007E042A">
        <w:rPr>
          <w:rFonts w:ascii="Times New Roman" w:hAnsi="Times New Roman"/>
        </w:rPr>
        <w:t xml:space="preserve"> </w:t>
      </w:r>
      <w:r w:rsidR="003F3B0C" w:rsidRPr="007E042A">
        <w:rPr>
          <w:rFonts w:ascii="Times New Roman" w:hAnsi="Times New Roman"/>
        </w:rPr>
        <w:t xml:space="preserve">by s 60(3) </w:t>
      </w:r>
      <w:r w:rsidR="009461D9" w:rsidRPr="007E042A">
        <w:rPr>
          <w:rFonts w:ascii="Times New Roman" w:hAnsi="Times New Roman"/>
        </w:rPr>
        <w:t>read with</w:t>
      </w:r>
      <w:r w:rsidR="002D661D" w:rsidRPr="007E042A">
        <w:rPr>
          <w:rFonts w:ascii="Times New Roman" w:hAnsi="Times New Roman"/>
        </w:rPr>
        <w:t xml:space="preserve"> </w:t>
      </w:r>
      <w:r w:rsidR="009461D9" w:rsidRPr="007E042A">
        <w:rPr>
          <w:rFonts w:ascii="Times New Roman" w:hAnsi="Times New Roman"/>
        </w:rPr>
        <w:t>s</w:t>
      </w:r>
      <w:r w:rsidR="002208B2">
        <w:rPr>
          <w:rFonts w:ascii="Times New Roman" w:hAnsi="Times New Roman"/>
        </w:rPr>
        <w:t> </w:t>
      </w:r>
      <w:r w:rsidR="009461D9" w:rsidRPr="007E042A">
        <w:rPr>
          <w:rFonts w:ascii="Times New Roman" w:hAnsi="Times New Roman"/>
        </w:rPr>
        <w:t>60</w:t>
      </w:r>
      <w:r w:rsidR="002D661D" w:rsidRPr="007E042A">
        <w:rPr>
          <w:rFonts w:ascii="Times New Roman" w:hAnsi="Times New Roman"/>
        </w:rPr>
        <w:t xml:space="preserve">(4)(b) </w:t>
      </w:r>
      <w:r w:rsidR="00EF5555" w:rsidRPr="007E042A">
        <w:rPr>
          <w:rFonts w:ascii="Times New Roman" w:hAnsi="Times New Roman"/>
        </w:rPr>
        <w:t>from</w:t>
      </w:r>
      <w:r w:rsidR="00407497" w:rsidRPr="007E042A">
        <w:rPr>
          <w:rFonts w:ascii="Times New Roman" w:hAnsi="Times New Roman"/>
        </w:rPr>
        <w:t xml:space="preserve"> </w:t>
      </w:r>
      <w:r w:rsidR="00615F15" w:rsidRPr="007E042A">
        <w:rPr>
          <w:rFonts w:ascii="Times New Roman" w:hAnsi="Times New Roman"/>
        </w:rPr>
        <w:t xml:space="preserve">granting </w:t>
      </w:r>
      <w:r w:rsidR="00670638" w:rsidRPr="007E042A">
        <w:rPr>
          <w:rFonts w:ascii="Times New Roman" w:hAnsi="Times New Roman"/>
        </w:rPr>
        <w:t xml:space="preserve">a licence to extract groundwater </w:t>
      </w:r>
      <w:r w:rsidR="00407497" w:rsidRPr="007E042A">
        <w:rPr>
          <w:rFonts w:ascii="Times New Roman" w:hAnsi="Times New Roman"/>
        </w:rPr>
        <w:t xml:space="preserve">for a </w:t>
      </w:r>
      <w:r w:rsidR="00DF693D" w:rsidRPr="007E042A">
        <w:rPr>
          <w:rFonts w:ascii="Times New Roman" w:hAnsi="Times New Roman"/>
        </w:rPr>
        <w:t>period</w:t>
      </w:r>
      <w:r w:rsidR="00407497" w:rsidRPr="007E042A">
        <w:rPr>
          <w:rFonts w:ascii="Times New Roman" w:hAnsi="Times New Roman"/>
        </w:rPr>
        <w:t xml:space="preserve"> </w:t>
      </w:r>
      <w:r w:rsidR="00DF693D" w:rsidRPr="007E042A">
        <w:rPr>
          <w:rFonts w:ascii="Times New Roman" w:hAnsi="Times New Roman"/>
        </w:rPr>
        <w:t xml:space="preserve">exceeding </w:t>
      </w:r>
      <w:r w:rsidR="00987786" w:rsidRPr="007E042A">
        <w:rPr>
          <w:rFonts w:ascii="Times New Roman" w:hAnsi="Times New Roman"/>
        </w:rPr>
        <w:t>ten</w:t>
      </w:r>
      <w:r w:rsidR="00DF693D" w:rsidRPr="007E042A">
        <w:rPr>
          <w:rFonts w:ascii="Times New Roman" w:hAnsi="Times New Roman"/>
        </w:rPr>
        <w:t xml:space="preserve"> years </w:t>
      </w:r>
      <w:r w:rsidR="00670638" w:rsidRPr="007E042A">
        <w:rPr>
          <w:rFonts w:ascii="Times New Roman" w:hAnsi="Times New Roman"/>
        </w:rPr>
        <w:t>unless</w:t>
      </w:r>
      <w:r w:rsidR="000E0ABA" w:rsidRPr="007E042A">
        <w:rPr>
          <w:rFonts w:ascii="Times New Roman" w:hAnsi="Times New Roman"/>
        </w:rPr>
        <w:t xml:space="preserve"> the </w:t>
      </w:r>
      <w:r w:rsidR="009F5601" w:rsidRPr="007E042A">
        <w:rPr>
          <w:rFonts w:ascii="Times New Roman" w:hAnsi="Times New Roman"/>
        </w:rPr>
        <w:t>delegate</w:t>
      </w:r>
      <w:r w:rsidR="00765470" w:rsidRPr="007E042A">
        <w:rPr>
          <w:rFonts w:ascii="Times New Roman" w:hAnsi="Times New Roman"/>
        </w:rPr>
        <w:t xml:space="preserve"> </w:t>
      </w:r>
      <w:r w:rsidR="000E0ABA" w:rsidRPr="007E042A">
        <w:rPr>
          <w:rFonts w:ascii="Times New Roman" w:hAnsi="Times New Roman"/>
        </w:rPr>
        <w:t>Minister</w:t>
      </w:r>
      <w:r w:rsidR="00B7661D" w:rsidRPr="007E042A">
        <w:rPr>
          <w:rFonts w:ascii="Times New Roman" w:hAnsi="Times New Roman"/>
        </w:rPr>
        <w:t xml:space="preserve"> </w:t>
      </w:r>
      <w:r w:rsidR="00AC1F15" w:rsidRPr="007E042A">
        <w:rPr>
          <w:rFonts w:ascii="Times New Roman" w:hAnsi="Times New Roman"/>
        </w:rPr>
        <w:t>was "satisfied that speci</w:t>
      </w:r>
      <w:r w:rsidR="00E54E65" w:rsidRPr="007E042A">
        <w:rPr>
          <w:rFonts w:ascii="Times New Roman" w:hAnsi="Times New Roman"/>
        </w:rPr>
        <w:t>al circumstances justify the longer period".</w:t>
      </w:r>
      <w:r w:rsidR="009518BA" w:rsidRPr="007E042A">
        <w:rPr>
          <w:rFonts w:ascii="Times New Roman" w:hAnsi="Times New Roman"/>
        </w:rPr>
        <w:t xml:space="preserve"> The </w:t>
      </w:r>
      <w:r w:rsidR="000E5012" w:rsidRPr="007E042A">
        <w:rPr>
          <w:rFonts w:ascii="Times New Roman" w:hAnsi="Times New Roman"/>
        </w:rPr>
        <w:t xml:space="preserve">"satisfaction" </w:t>
      </w:r>
      <w:r w:rsidR="00802106" w:rsidRPr="007E042A">
        <w:rPr>
          <w:rFonts w:ascii="Times New Roman" w:hAnsi="Times New Roman"/>
        </w:rPr>
        <w:t xml:space="preserve">so </w:t>
      </w:r>
      <w:r w:rsidR="000E5012" w:rsidRPr="007E042A">
        <w:rPr>
          <w:rFonts w:ascii="Times New Roman" w:hAnsi="Times New Roman"/>
        </w:rPr>
        <w:t xml:space="preserve">required </w:t>
      </w:r>
      <w:proofErr w:type="gramStart"/>
      <w:r w:rsidR="002370AF" w:rsidRPr="007E042A">
        <w:rPr>
          <w:rFonts w:ascii="Times New Roman" w:hAnsi="Times New Roman"/>
        </w:rPr>
        <w:t xml:space="preserve">in order </w:t>
      </w:r>
      <w:r w:rsidR="00776961" w:rsidRPr="007E042A">
        <w:rPr>
          <w:rFonts w:ascii="Times New Roman" w:hAnsi="Times New Roman"/>
        </w:rPr>
        <w:t>for</w:t>
      </w:r>
      <w:proofErr w:type="gramEnd"/>
      <w:r w:rsidR="00776961" w:rsidRPr="007E042A">
        <w:rPr>
          <w:rFonts w:ascii="Times New Roman" w:hAnsi="Times New Roman"/>
        </w:rPr>
        <w:t xml:space="preserve"> the delegate Minister </w:t>
      </w:r>
      <w:r w:rsidR="002370AF" w:rsidRPr="007E042A">
        <w:rPr>
          <w:rFonts w:ascii="Times New Roman" w:hAnsi="Times New Roman"/>
        </w:rPr>
        <w:t xml:space="preserve">to </w:t>
      </w:r>
      <w:r w:rsidR="005972BB" w:rsidRPr="007E042A">
        <w:rPr>
          <w:rFonts w:ascii="Times New Roman" w:hAnsi="Times New Roman"/>
        </w:rPr>
        <w:t xml:space="preserve">have </w:t>
      </w:r>
      <w:r w:rsidR="00776961" w:rsidRPr="007E042A">
        <w:rPr>
          <w:rFonts w:ascii="Times New Roman" w:hAnsi="Times New Roman"/>
        </w:rPr>
        <w:t xml:space="preserve">had </w:t>
      </w:r>
      <w:r w:rsidR="00DD71BF" w:rsidRPr="007E042A">
        <w:rPr>
          <w:rFonts w:ascii="Times New Roman" w:hAnsi="Times New Roman"/>
        </w:rPr>
        <w:t xml:space="preserve">statutory authority to </w:t>
      </w:r>
      <w:r w:rsidR="002370AF" w:rsidRPr="007E042A">
        <w:rPr>
          <w:rFonts w:ascii="Times New Roman" w:hAnsi="Times New Roman"/>
        </w:rPr>
        <w:t xml:space="preserve">grant </w:t>
      </w:r>
      <w:r w:rsidR="00B01372" w:rsidRPr="007E042A">
        <w:rPr>
          <w:rFonts w:ascii="Times New Roman" w:hAnsi="Times New Roman"/>
        </w:rPr>
        <w:t xml:space="preserve">the water extraction licence </w:t>
      </w:r>
      <w:r w:rsidR="003C2372" w:rsidRPr="007E042A">
        <w:rPr>
          <w:rFonts w:ascii="Times New Roman" w:hAnsi="Times New Roman"/>
        </w:rPr>
        <w:t xml:space="preserve">was </w:t>
      </w:r>
      <w:r w:rsidR="003C2372" w:rsidRPr="007E042A">
        <w:rPr>
          <w:rFonts w:ascii="Times New Roman" w:hAnsi="Times New Roman"/>
        </w:rPr>
        <w:lastRenderedPageBreak/>
        <w:t xml:space="preserve">a state of mind </w:t>
      </w:r>
      <w:r w:rsidR="002A21BE" w:rsidRPr="007E042A">
        <w:rPr>
          <w:rFonts w:ascii="Times New Roman" w:hAnsi="Times New Roman"/>
        </w:rPr>
        <w:t xml:space="preserve">on the part of the delegate Minister </w:t>
      </w:r>
      <w:r w:rsidR="003C2372" w:rsidRPr="007E042A">
        <w:rPr>
          <w:rFonts w:ascii="Times New Roman" w:hAnsi="Times New Roman"/>
        </w:rPr>
        <w:t xml:space="preserve">the existence of which </w:t>
      </w:r>
      <w:r w:rsidR="002B14A9" w:rsidRPr="007E042A">
        <w:rPr>
          <w:rFonts w:ascii="Times New Roman" w:hAnsi="Times New Roman"/>
        </w:rPr>
        <w:t>is properly labelled a "jurisdictional fact"</w:t>
      </w:r>
      <w:r w:rsidR="00626098" w:rsidRPr="007E042A">
        <w:rPr>
          <w:rFonts w:ascii="Times New Roman" w:hAnsi="Times New Roman"/>
        </w:rPr>
        <w:t>.</w:t>
      </w:r>
      <w:r w:rsidR="002A21BE" w:rsidRPr="007E042A">
        <w:rPr>
          <w:rStyle w:val="FootnoteReference"/>
          <w:rFonts w:ascii="Times New Roman" w:hAnsi="Times New Roman"/>
          <w:sz w:val="24"/>
        </w:rPr>
        <w:footnoteReference w:id="5"/>
      </w:r>
      <w:r w:rsidR="002B14A9" w:rsidRPr="007E042A">
        <w:rPr>
          <w:rFonts w:ascii="Times New Roman" w:hAnsi="Times New Roman"/>
        </w:rPr>
        <w:t xml:space="preserve"> </w:t>
      </w:r>
    </w:p>
    <w:p w14:paraId="06E63587" w14:textId="797AED5D" w:rsidR="00E54E65" w:rsidRPr="007E042A" w:rsidRDefault="00742FF8"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9518BA" w:rsidRPr="007E042A">
        <w:rPr>
          <w:rFonts w:ascii="Times New Roman" w:hAnsi="Times New Roman"/>
        </w:rPr>
        <w:t xml:space="preserve">The </w:t>
      </w:r>
      <w:r w:rsidR="0043161E" w:rsidRPr="007E042A">
        <w:rPr>
          <w:rFonts w:ascii="Times New Roman" w:hAnsi="Times New Roman"/>
        </w:rPr>
        <w:t>Court of Appeal found that</w:t>
      </w:r>
      <w:r w:rsidR="00D077B3" w:rsidRPr="007E042A">
        <w:rPr>
          <w:rFonts w:ascii="Times New Roman" w:hAnsi="Times New Roman"/>
        </w:rPr>
        <w:t xml:space="preserve">, in </w:t>
      </w:r>
      <w:r w:rsidR="00723597" w:rsidRPr="007E042A">
        <w:rPr>
          <w:rFonts w:ascii="Times New Roman" w:hAnsi="Times New Roman"/>
        </w:rPr>
        <w:t xml:space="preserve">deciding to grant the </w:t>
      </w:r>
      <w:r w:rsidR="00A939A7" w:rsidRPr="007E042A">
        <w:rPr>
          <w:rFonts w:ascii="Times New Roman" w:hAnsi="Times New Roman"/>
        </w:rPr>
        <w:t xml:space="preserve">water extraction licence, </w:t>
      </w:r>
      <w:r w:rsidRPr="007E042A">
        <w:rPr>
          <w:rFonts w:ascii="Times New Roman" w:hAnsi="Times New Roman"/>
        </w:rPr>
        <w:t xml:space="preserve">the delegate Minister </w:t>
      </w:r>
      <w:r w:rsidR="00331D66" w:rsidRPr="007E042A">
        <w:rPr>
          <w:rFonts w:ascii="Times New Roman" w:hAnsi="Times New Roman"/>
        </w:rPr>
        <w:t xml:space="preserve">in fact </w:t>
      </w:r>
      <w:r w:rsidR="00F04379" w:rsidRPr="007E042A">
        <w:rPr>
          <w:rFonts w:ascii="Times New Roman" w:hAnsi="Times New Roman"/>
        </w:rPr>
        <w:t>formed a state of satisfaction</w:t>
      </w:r>
      <w:r w:rsidR="00EE44B1" w:rsidRPr="007E042A">
        <w:rPr>
          <w:rFonts w:ascii="Times New Roman" w:hAnsi="Times New Roman"/>
        </w:rPr>
        <w:t xml:space="preserve"> that special circumstances justified the </w:t>
      </w:r>
      <w:r w:rsidR="002C3FB0" w:rsidRPr="007E042A">
        <w:rPr>
          <w:rFonts w:ascii="Times New Roman" w:hAnsi="Times New Roman"/>
        </w:rPr>
        <w:t xml:space="preserve">grant of the water extraction licence for the </w:t>
      </w:r>
      <w:r w:rsidR="00EE44B1" w:rsidRPr="007E042A">
        <w:rPr>
          <w:rFonts w:ascii="Times New Roman" w:hAnsi="Times New Roman"/>
        </w:rPr>
        <w:t>longer period</w:t>
      </w:r>
      <w:r w:rsidR="002C3FB0" w:rsidRPr="007E042A">
        <w:rPr>
          <w:rFonts w:ascii="Times New Roman" w:hAnsi="Times New Roman"/>
        </w:rPr>
        <w:t xml:space="preserve"> of </w:t>
      </w:r>
      <w:r w:rsidR="009546FD" w:rsidRPr="007E042A">
        <w:rPr>
          <w:rFonts w:ascii="Times New Roman" w:hAnsi="Times New Roman"/>
        </w:rPr>
        <w:t>30 years.</w:t>
      </w:r>
      <w:r w:rsidR="009546FD" w:rsidRPr="007E042A">
        <w:rPr>
          <w:rStyle w:val="FootnoteReference"/>
          <w:rFonts w:ascii="Times New Roman" w:hAnsi="Times New Roman"/>
          <w:sz w:val="24"/>
        </w:rPr>
        <w:footnoteReference w:id="6"/>
      </w:r>
    </w:p>
    <w:p w14:paraId="7FBC1EDE" w14:textId="5276C39E" w:rsidR="002D3D62" w:rsidRPr="007E042A" w:rsidRDefault="002D3D62"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BF2F8C" w:rsidRPr="007E042A">
        <w:rPr>
          <w:rFonts w:ascii="Times New Roman" w:hAnsi="Times New Roman"/>
        </w:rPr>
        <w:t xml:space="preserve">MAC's principal ground of appeal </w:t>
      </w:r>
      <w:r w:rsidR="00503A2F" w:rsidRPr="007E042A">
        <w:rPr>
          <w:rFonts w:ascii="Times New Roman" w:hAnsi="Times New Roman"/>
        </w:rPr>
        <w:t>to</w:t>
      </w:r>
      <w:r w:rsidR="002D715E" w:rsidRPr="007E042A">
        <w:rPr>
          <w:rFonts w:ascii="Times New Roman" w:hAnsi="Times New Roman"/>
        </w:rPr>
        <w:t xml:space="preserve"> this Court </w:t>
      </w:r>
      <w:r w:rsidR="00A672B7" w:rsidRPr="007E042A">
        <w:rPr>
          <w:rFonts w:ascii="Times New Roman" w:hAnsi="Times New Roman"/>
        </w:rPr>
        <w:t>boils down to</w:t>
      </w:r>
      <w:r w:rsidR="006074FD" w:rsidRPr="007E042A">
        <w:rPr>
          <w:rFonts w:ascii="Times New Roman" w:hAnsi="Times New Roman"/>
        </w:rPr>
        <w:t xml:space="preserve"> a challenge </w:t>
      </w:r>
      <w:r w:rsidR="00A26492" w:rsidRPr="007E042A">
        <w:rPr>
          <w:rFonts w:ascii="Times New Roman" w:hAnsi="Times New Roman"/>
        </w:rPr>
        <w:t>to the correctness of that finding of fact</w:t>
      </w:r>
      <w:r w:rsidR="006A5CD4" w:rsidRPr="007E042A">
        <w:rPr>
          <w:rFonts w:ascii="Times New Roman" w:hAnsi="Times New Roman"/>
        </w:rPr>
        <w:t xml:space="preserve">. </w:t>
      </w:r>
      <w:r w:rsidR="005D011A" w:rsidRPr="007E042A">
        <w:rPr>
          <w:rFonts w:ascii="Times New Roman" w:hAnsi="Times New Roman"/>
        </w:rPr>
        <w:t xml:space="preserve">Against the background </w:t>
      </w:r>
      <w:r w:rsidR="008C2370" w:rsidRPr="007E042A">
        <w:rPr>
          <w:rFonts w:ascii="Times New Roman" w:hAnsi="Times New Roman"/>
        </w:rPr>
        <w:t>of</w:t>
      </w:r>
      <w:r w:rsidR="00463493" w:rsidRPr="007E042A">
        <w:rPr>
          <w:rFonts w:ascii="Times New Roman" w:hAnsi="Times New Roman"/>
        </w:rPr>
        <w:t xml:space="preserve"> the </w:t>
      </w:r>
      <w:r w:rsidR="008C2370" w:rsidRPr="007E042A">
        <w:rPr>
          <w:rFonts w:ascii="Times New Roman" w:hAnsi="Times New Roman"/>
        </w:rPr>
        <w:t xml:space="preserve">circumstances </w:t>
      </w:r>
      <w:r w:rsidR="007A3D34" w:rsidRPr="007E042A">
        <w:rPr>
          <w:rFonts w:ascii="Times New Roman" w:hAnsi="Times New Roman"/>
        </w:rPr>
        <w:t>set out by Gordon, Steward</w:t>
      </w:r>
      <w:r w:rsidR="00496B04" w:rsidRPr="007E042A">
        <w:rPr>
          <w:rFonts w:ascii="Times New Roman" w:hAnsi="Times New Roman"/>
        </w:rPr>
        <w:t>, Gleeson</w:t>
      </w:r>
      <w:r w:rsidR="007A3D34" w:rsidRPr="007E042A">
        <w:rPr>
          <w:rFonts w:ascii="Times New Roman" w:hAnsi="Times New Roman"/>
        </w:rPr>
        <w:t xml:space="preserve"> and Beech-Jones JJ, </w:t>
      </w:r>
      <w:r w:rsidR="00F04379" w:rsidRPr="007E042A">
        <w:rPr>
          <w:rFonts w:ascii="Times New Roman" w:hAnsi="Times New Roman"/>
        </w:rPr>
        <w:t xml:space="preserve">I consider that </w:t>
      </w:r>
      <w:r w:rsidR="00455F4C" w:rsidRPr="007E042A">
        <w:rPr>
          <w:rFonts w:ascii="Times New Roman" w:hAnsi="Times New Roman"/>
        </w:rPr>
        <w:t>the challenge must su</w:t>
      </w:r>
      <w:r w:rsidR="002057E2" w:rsidRPr="007E042A">
        <w:rPr>
          <w:rFonts w:ascii="Times New Roman" w:hAnsi="Times New Roman"/>
        </w:rPr>
        <w:t>cceed.</w:t>
      </w:r>
    </w:p>
    <w:p w14:paraId="09559233" w14:textId="08A4F86B" w:rsidR="005A110C" w:rsidRPr="007E042A" w:rsidRDefault="00463493"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AB62F6" w:rsidRPr="007E042A">
        <w:rPr>
          <w:rFonts w:ascii="Times New Roman" w:hAnsi="Times New Roman"/>
        </w:rPr>
        <w:t>It is beyond controversy</w:t>
      </w:r>
      <w:r w:rsidR="000E5B59" w:rsidRPr="007E042A">
        <w:rPr>
          <w:rFonts w:ascii="Times New Roman" w:hAnsi="Times New Roman"/>
        </w:rPr>
        <w:t xml:space="preserve"> that</w:t>
      </w:r>
      <w:r w:rsidR="00E53E2A" w:rsidRPr="007E042A">
        <w:rPr>
          <w:rFonts w:ascii="Times New Roman" w:hAnsi="Times New Roman"/>
        </w:rPr>
        <w:t xml:space="preserve"> "[l]</w:t>
      </w:r>
      <w:proofErr w:type="spellStart"/>
      <w:r w:rsidR="00E53E2A" w:rsidRPr="007E042A">
        <w:rPr>
          <w:rFonts w:ascii="Times New Roman" w:hAnsi="Times New Roman"/>
        </w:rPr>
        <w:t>ike</w:t>
      </w:r>
      <w:proofErr w:type="spellEnd"/>
      <w:r w:rsidR="00E53E2A" w:rsidRPr="007E042A">
        <w:rPr>
          <w:rFonts w:ascii="Times New Roman" w:hAnsi="Times New Roman"/>
        </w:rPr>
        <w:t xml:space="preserve"> other historical facts to be determined </w:t>
      </w:r>
      <w:r w:rsidR="00251CA9" w:rsidRPr="007E042A">
        <w:rPr>
          <w:rFonts w:ascii="Times New Roman" w:hAnsi="Times New Roman"/>
        </w:rPr>
        <w:t xml:space="preserve">in other civil proceedings, the </w:t>
      </w:r>
      <w:r w:rsidR="00FA3F42" w:rsidRPr="007E042A">
        <w:rPr>
          <w:rFonts w:ascii="Times New Roman" w:hAnsi="Times New Roman"/>
        </w:rPr>
        <w:t xml:space="preserve">facts as to what </w:t>
      </w:r>
      <w:r w:rsidR="00771B51" w:rsidRPr="007E042A">
        <w:rPr>
          <w:rFonts w:ascii="Times New Roman" w:hAnsi="Times New Roman"/>
        </w:rPr>
        <w:t xml:space="preserve">occurred in the making of </w:t>
      </w:r>
      <w:r w:rsidR="006D7D70" w:rsidRPr="007E042A">
        <w:rPr>
          <w:rFonts w:ascii="Times New Roman" w:hAnsi="Times New Roman"/>
        </w:rPr>
        <w:t>[an administrative]</w:t>
      </w:r>
      <w:r w:rsidR="00771B51" w:rsidRPr="007E042A">
        <w:rPr>
          <w:rFonts w:ascii="Times New Roman" w:hAnsi="Times New Roman"/>
        </w:rPr>
        <w:t xml:space="preserve"> decision</w:t>
      </w:r>
      <w:r w:rsidR="006D7D70" w:rsidRPr="007E042A">
        <w:rPr>
          <w:rFonts w:ascii="Times New Roman" w:hAnsi="Times New Roman"/>
        </w:rPr>
        <w:t xml:space="preserve"> must be determined </w:t>
      </w:r>
      <w:r w:rsidR="00251CA9" w:rsidRPr="007E042A">
        <w:rPr>
          <w:rFonts w:ascii="Times New Roman" w:hAnsi="Times New Roman"/>
        </w:rPr>
        <w:t>in an application for judicial review</w:t>
      </w:r>
      <w:r w:rsidR="0008139D" w:rsidRPr="007E042A">
        <w:rPr>
          <w:rFonts w:ascii="Times New Roman" w:hAnsi="Times New Roman"/>
        </w:rPr>
        <w:t xml:space="preserve"> </w:t>
      </w:r>
      <w:r w:rsidR="00261886" w:rsidRPr="007E042A">
        <w:rPr>
          <w:rFonts w:ascii="Times New Roman" w:hAnsi="Times New Roman"/>
        </w:rPr>
        <w:t>on the balance of probab</w:t>
      </w:r>
      <w:r w:rsidR="002178BF" w:rsidRPr="007E042A">
        <w:rPr>
          <w:rFonts w:ascii="Times New Roman" w:hAnsi="Times New Roman"/>
        </w:rPr>
        <w:t xml:space="preserve">ilities by inferences drawn from the totality </w:t>
      </w:r>
      <w:r w:rsidR="00251CA9" w:rsidRPr="007E042A">
        <w:rPr>
          <w:rFonts w:ascii="Times New Roman" w:hAnsi="Times New Roman"/>
        </w:rPr>
        <w:t>of the evidence"</w:t>
      </w:r>
      <w:r w:rsidR="00323134" w:rsidRPr="007E042A">
        <w:rPr>
          <w:rFonts w:ascii="Times New Roman" w:hAnsi="Times New Roman"/>
        </w:rPr>
        <w:t>.</w:t>
      </w:r>
      <w:r w:rsidR="00251CA9" w:rsidRPr="007E042A">
        <w:rPr>
          <w:rStyle w:val="FootnoteReference"/>
          <w:rFonts w:ascii="Times New Roman" w:hAnsi="Times New Roman"/>
          <w:sz w:val="24"/>
        </w:rPr>
        <w:footnoteReference w:id="7"/>
      </w:r>
      <w:r w:rsidR="008E4089" w:rsidRPr="007E042A">
        <w:rPr>
          <w:rFonts w:ascii="Times New Roman" w:hAnsi="Times New Roman"/>
        </w:rPr>
        <w:t xml:space="preserve"> </w:t>
      </w:r>
      <w:r w:rsidR="00323134" w:rsidRPr="007E042A">
        <w:rPr>
          <w:rFonts w:ascii="Times New Roman" w:hAnsi="Times New Roman"/>
        </w:rPr>
        <w:t>It is also beyond controversy that</w:t>
      </w:r>
      <w:r w:rsidR="00835804" w:rsidRPr="007E042A">
        <w:rPr>
          <w:rFonts w:ascii="Times New Roman" w:hAnsi="Times New Roman"/>
        </w:rPr>
        <w:t xml:space="preserve"> </w:t>
      </w:r>
      <w:r w:rsidR="000748AE" w:rsidRPr="007E042A">
        <w:rPr>
          <w:rFonts w:ascii="Times New Roman" w:hAnsi="Times New Roman"/>
        </w:rPr>
        <w:t xml:space="preserve">the applicant </w:t>
      </w:r>
      <w:r w:rsidR="00786A88" w:rsidRPr="007E042A">
        <w:rPr>
          <w:rFonts w:ascii="Times New Roman" w:hAnsi="Times New Roman"/>
        </w:rPr>
        <w:t>for judicial review</w:t>
      </w:r>
      <w:r w:rsidR="002D4A4D" w:rsidRPr="007E042A">
        <w:rPr>
          <w:rFonts w:ascii="Times New Roman" w:hAnsi="Times New Roman"/>
        </w:rPr>
        <w:t xml:space="preserve"> </w:t>
      </w:r>
      <w:r w:rsidR="00A756D3" w:rsidRPr="007E042A">
        <w:rPr>
          <w:rFonts w:ascii="Times New Roman" w:hAnsi="Times New Roman"/>
        </w:rPr>
        <w:t xml:space="preserve">bears the onus of </w:t>
      </w:r>
      <w:r w:rsidR="00E05883" w:rsidRPr="007E042A">
        <w:rPr>
          <w:rFonts w:ascii="Times New Roman" w:hAnsi="Times New Roman"/>
        </w:rPr>
        <w:t>proving</w:t>
      </w:r>
      <w:r w:rsidR="00F944BC" w:rsidRPr="007E042A">
        <w:rPr>
          <w:rFonts w:ascii="Times New Roman" w:hAnsi="Times New Roman"/>
        </w:rPr>
        <w:t xml:space="preserve"> </w:t>
      </w:r>
      <w:r w:rsidR="009852E4" w:rsidRPr="007E042A">
        <w:rPr>
          <w:rFonts w:ascii="Times New Roman" w:hAnsi="Times New Roman"/>
        </w:rPr>
        <w:t xml:space="preserve">on the balance of probabilities </w:t>
      </w:r>
      <w:r w:rsidR="0042203F" w:rsidRPr="007E042A">
        <w:rPr>
          <w:rFonts w:ascii="Times New Roman" w:hAnsi="Times New Roman"/>
        </w:rPr>
        <w:t xml:space="preserve">all of the </w:t>
      </w:r>
      <w:r w:rsidR="00F944BC" w:rsidRPr="007E042A">
        <w:rPr>
          <w:rFonts w:ascii="Times New Roman" w:hAnsi="Times New Roman"/>
        </w:rPr>
        <w:t xml:space="preserve">facts </w:t>
      </w:r>
      <w:r w:rsidR="0042203F" w:rsidRPr="007E042A">
        <w:rPr>
          <w:rFonts w:ascii="Times New Roman" w:hAnsi="Times New Roman"/>
        </w:rPr>
        <w:t>that</w:t>
      </w:r>
      <w:r w:rsidR="00506C5D" w:rsidRPr="007E042A">
        <w:rPr>
          <w:rFonts w:ascii="Times New Roman" w:hAnsi="Times New Roman"/>
        </w:rPr>
        <w:t xml:space="preserve"> are </w:t>
      </w:r>
      <w:r w:rsidR="0021129E" w:rsidRPr="007E042A">
        <w:rPr>
          <w:rFonts w:ascii="Times New Roman" w:hAnsi="Times New Roman"/>
        </w:rPr>
        <w:t xml:space="preserve">necessary to </w:t>
      </w:r>
      <w:r w:rsidR="0042203F" w:rsidRPr="007E042A">
        <w:rPr>
          <w:rFonts w:ascii="Times New Roman" w:hAnsi="Times New Roman"/>
        </w:rPr>
        <w:t>establish</w:t>
      </w:r>
      <w:r w:rsidR="0021129E" w:rsidRPr="007E042A">
        <w:rPr>
          <w:rFonts w:ascii="Times New Roman" w:hAnsi="Times New Roman"/>
        </w:rPr>
        <w:t xml:space="preserve"> </w:t>
      </w:r>
      <w:r w:rsidR="008D1920" w:rsidRPr="007E042A">
        <w:rPr>
          <w:rFonts w:ascii="Times New Roman" w:hAnsi="Times New Roman"/>
        </w:rPr>
        <w:t xml:space="preserve">that </w:t>
      </w:r>
      <w:r w:rsidR="002F198E" w:rsidRPr="007E042A">
        <w:rPr>
          <w:rFonts w:ascii="Times New Roman" w:hAnsi="Times New Roman"/>
        </w:rPr>
        <w:t>the maker of the</w:t>
      </w:r>
      <w:r w:rsidR="008D1920" w:rsidRPr="007E042A">
        <w:rPr>
          <w:rFonts w:ascii="Times New Roman" w:hAnsi="Times New Roman"/>
        </w:rPr>
        <w:t xml:space="preserve"> decision exceeded </w:t>
      </w:r>
      <w:r w:rsidR="00466A01" w:rsidRPr="007E042A">
        <w:rPr>
          <w:rFonts w:ascii="Times New Roman" w:hAnsi="Times New Roman"/>
        </w:rPr>
        <w:t>a</w:t>
      </w:r>
      <w:r w:rsidR="00DF6D27" w:rsidRPr="007E042A">
        <w:rPr>
          <w:rFonts w:ascii="Times New Roman" w:hAnsi="Times New Roman"/>
        </w:rPr>
        <w:t xml:space="preserve"> limit of the decision-making authority conferred by statute.</w:t>
      </w:r>
      <w:r w:rsidR="002F198E" w:rsidRPr="007E042A">
        <w:rPr>
          <w:rStyle w:val="FootnoteReference"/>
          <w:rFonts w:ascii="Times New Roman" w:hAnsi="Times New Roman"/>
          <w:sz w:val="24"/>
        </w:rPr>
        <w:footnoteReference w:id="8"/>
      </w:r>
      <w:r w:rsidR="00786A88" w:rsidRPr="007E042A">
        <w:rPr>
          <w:rFonts w:ascii="Times New Roman" w:hAnsi="Times New Roman"/>
        </w:rPr>
        <w:t xml:space="preserve"> </w:t>
      </w:r>
    </w:p>
    <w:p w14:paraId="4A32E44D" w14:textId="36F2992B" w:rsidR="00463493" w:rsidRPr="007E042A" w:rsidRDefault="005A110C"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12086B" w:rsidRPr="007E042A">
        <w:rPr>
          <w:rFonts w:ascii="Times New Roman" w:hAnsi="Times New Roman"/>
        </w:rPr>
        <w:t xml:space="preserve">Thus, in order to establish that </w:t>
      </w:r>
      <w:r w:rsidR="006A5B9C" w:rsidRPr="007E042A">
        <w:rPr>
          <w:rFonts w:ascii="Times New Roman" w:hAnsi="Times New Roman"/>
        </w:rPr>
        <w:t xml:space="preserve">the delegate Minister </w:t>
      </w:r>
      <w:r w:rsidR="00BB4755" w:rsidRPr="007E042A">
        <w:rPr>
          <w:rFonts w:ascii="Times New Roman" w:hAnsi="Times New Roman"/>
        </w:rPr>
        <w:t xml:space="preserve">exceeded the limit of </w:t>
      </w:r>
      <w:r w:rsidR="00C400B6" w:rsidRPr="007E042A">
        <w:rPr>
          <w:rFonts w:ascii="Times New Roman" w:hAnsi="Times New Roman"/>
        </w:rPr>
        <w:t xml:space="preserve">the </w:t>
      </w:r>
      <w:r w:rsidR="00BB4755" w:rsidRPr="007E042A">
        <w:rPr>
          <w:rFonts w:ascii="Times New Roman" w:hAnsi="Times New Roman"/>
        </w:rPr>
        <w:t xml:space="preserve">decision-making authority set by s 60(3) </w:t>
      </w:r>
      <w:r w:rsidR="0087118C" w:rsidRPr="007E042A">
        <w:rPr>
          <w:rFonts w:ascii="Times New Roman" w:hAnsi="Times New Roman"/>
        </w:rPr>
        <w:t xml:space="preserve">read with s 60(4)(b) </w:t>
      </w:r>
      <w:r w:rsidR="006D1FBE" w:rsidRPr="007E042A">
        <w:rPr>
          <w:rFonts w:ascii="Times New Roman" w:hAnsi="Times New Roman"/>
        </w:rPr>
        <w:t xml:space="preserve">in purporting to make the decision under s 30(3)(a)(ii) of the </w:t>
      </w:r>
      <w:r w:rsidR="006D1FBE" w:rsidRPr="007E042A">
        <w:rPr>
          <w:rFonts w:ascii="Times New Roman" w:hAnsi="Times New Roman"/>
          <w:i/>
          <w:iCs/>
        </w:rPr>
        <w:t>Water A</w:t>
      </w:r>
      <w:r w:rsidR="0087118C" w:rsidRPr="007E042A">
        <w:rPr>
          <w:rFonts w:ascii="Times New Roman" w:hAnsi="Times New Roman"/>
          <w:i/>
          <w:iCs/>
        </w:rPr>
        <w:t>c</w:t>
      </w:r>
      <w:r w:rsidR="006D1FBE" w:rsidRPr="007E042A">
        <w:rPr>
          <w:rFonts w:ascii="Times New Roman" w:hAnsi="Times New Roman"/>
          <w:i/>
          <w:iCs/>
        </w:rPr>
        <w:t>t</w:t>
      </w:r>
      <w:r w:rsidR="0087118C" w:rsidRPr="007E042A">
        <w:rPr>
          <w:rFonts w:ascii="Times New Roman" w:hAnsi="Times New Roman"/>
        </w:rPr>
        <w:t xml:space="preserve">, </w:t>
      </w:r>
      <w:r w:rsidR="0012086B" w:rsidRPr="007E042A">
        <w:rPr>
          <w:rFonts w:ascii="Times New Roman" w:hAnsi="Times New Roman"/>
        </w:rPr>
        <w:t xml:space="preserve">it was and remains incumbent </w:t>
      </w:r>
      <w:r w:rsidR="0087118C" w:rsidRPr="007E042A">
        <w:rPr>
          <w:rFonts w:ascii="Times New Roman" w:hAnsi="Times New Roman"/>
        </w:rPr>
        <w:t xml:space="preserve">on </w:t>
      </w:r>
      <w:r w:rsidR="00ED48A6" w:rsidRPr="007E042A">
        <w:rPr>
          <w:rFonts w:ascii="Times New Roman" w:hAnsi="Times New Roman"/>
        </w:rPr>
        <w:t xml:space="preserve">MAC to </w:t>
      </w:r>
      <w:r w:rsidR="00123D6B" w:rsidRPr="007E042A">
        <w:rPr>
          <w:rFonts w:ascii="Times New Roman" w:hAnsi="Times New Roman"/>
        </w:rPr>
        <w:t xml:space="preserve">establish as a fact to be found </w:t>
      </w:r>
      <w:r w:rsidR="00FF38A0" w:rsidRPr="007E042A">
        <w:rPr>
          <w:rFonts w:ascii="Times New Roman" w:hAnsi="Times New Roman"/>
        </w:rPr>
        <w:t xml:space="preserve">on the balance of probabilities </w:t>
      </w:r>
      <w:r w:rsidR="005E3A44" w:rsidRPr="007E042A">
        <w:rPr>
          <w:rFonts w:ascii="Times New Roman" w:hAnsi="Times New Roman"/>
        </w:rPr>
        <w:t xml:space="preserve">that </w:t>
      </w:r>
      <w:r w:rsidR="00DB2C92" w:rsidRPr="007E042A">
        <w:rPr>
          <w:rFonts w:ascii="Times New Roman" w:hAnsi="Times New Roman"/>
        </w:rPr>
        <w:t xml:space="preserve">the delegate Minister </w:t>
      </w:r>
      <w:r w:rsidR="00CD7854" w:rsidRPr="007E042A">
        <w:rPr>
          <w:rFonts w:ascii="Times New Roman" w:hAnsi="Times New Roman"/>
        </w:rPr>
        <w:t xml:space="preserve">did not form </w:t>
      </w:r>
      <w:r w:rsidR="005E3A44" w:rsidRPr="007E042A">
        <w:rPr>
          <w:rFonts w:ascii="Times New Roman" w:hAnsi="Times New Roman"/>
        </w:rPr>
        <w:t xml:space="preserve">a state of satisfaction that </w:t>
      </w:r>
      <w:r w:rsidR="00CD7854" w:rsidRPr="007E042A">
        <w:rPr>
          <w:rFonts w:ascii="Times New Roman" w:hAnsi="Times New Roman"/>
        </w:rPr>
        <w:t xml:space="preserve">there existed </w:t>
      </w:r>
      <w:r w:rsidR="005E3A44" w:rsidRPr="007E042A">
        <w:rPr>
          <w:rFonts w:ascii="Times New Roman" w:hAnsi="Times New Roman"/>
        </w:rPr>
        <w:t xml:space="preserve">special circumstances </w:t>
      </w:r>
      <w:r w:rsidR="00CD7854" w:rsidRPr="007E042A">
        <w:rPr>
          <w:rFonts w:ascii="Times New Roman" w:hAnsi="Times New Roman"/>
        </w:rPr>
        <w:t xml:space="preserve">which </w:t>
      </w:r>
      <w:r w:rsidR="005E3A44" w:rsidRPr="007E042A">
        <w:rPr>
          <w:rFonts w:ascii="Times New Roman" w:hAnsi="Times New Roman"/>
        </w:rPr>
        <w:t>justified the grant of the water extraction licence for the longer period of 30 years</w:t>
      </w:r>
      <w:r w:rsidR="00CD7854" w:rsidRPr="007E042A">
        <w:rPr>
          <w:rFonts w:ascii="Times New Roman" w:hAnsi="Times New Roman"/>
        </w:rPr>
        <w:t>.</w:t>
      </w:r>
    </w:p>
    <w:p w14:paraId="0995F604" w14:textId="23ECB1DB" w:rsidR="00CD0A9C" w:rsidRPr="007E042A" w:rsidRDefault="00CD0A9C"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450768" w:rsidRPr="007E042A">
        <w:rPr>
          <w:rFonts w:ascii="Times New Roman" w:hAnsi="Times New Roman"/>
        </w:rPr>
        <w:t xml:space="preserve">Contrary to </w:t>
      </w:r>
      <w:r w:rsidR="00575AFE" w:rsidRPr="007E042A">
        <w:rPr>
          <w:rFonts w:ascii="Times New Roman" w:hAnsi="Times New Roman"/>
        </w:rPr>
        <w:t xml:space="preserve">one </w:t>
      </w:r>
      <w:r w:rsidR="00450768" w:rsidRPr="007E042A">
        <w:rPr>
          <w:rFonts w:ascii="Times New Roman" w:hAnsi="Times New Roman"/>
        </w:rPr>
        <w:t xml:space="preserve">strand of </w:t>
      </w:r>
      <w:r w:rsidR="00790FC5" w:rsidRPr="007E042A">
        <w:rPr>
          <w:rFonts w:ascii="Times New Roman" w:hAnsi="Times New Roman"/>
        </w:rPr>
        <w:t>MAC's</w:t>
      </w:r>
      <w:r w:rsidR="00450768" w:rsidRPr="007E042A">
        <w:rPr>
          <w:rFonts w:ascii="Times New Roman" w:hAnsi="Times New Roman"/>
        </w:rPr>
        <w:t xml:space="preserve"> </w:t>
      </w:r>
      <w:r w:rsidR="00575AFE" w:rsidRPr="007E042A">
        <w:rPr>
          <w:rFonts w:ascii="Times New Roman" w:hAnsi="Times New Roman"/>
        </w:rPr>
        <w:t>argument</w:t>
      </w:r>
      <w:r w:rsidR="00566013" w:rsidRPr="007E042A">
        <w:rPr>
          <w:rFonts w:ascii="Times New Roman" w:hAnsi="Times New Roman"/>
        </w:rPr>
        <w:t xml:space="preserve"> on the appeal</w:t>
      </w:r>
      <w:r w:rsidR="00575AFE" w:rsidRPr="007E042A">
        <w:rPr>
          <w:rFonts w:ascii="Times New Roman" w:hAnsi="Times New Roman"/>
        </w:rPr>
        <w:t xml:space="preserve">, </w:t>
      </w:r>
      <w:r w:rsidR="00120E35" w:rsidRPr="007E042A">
        <w:rPr>
          <w:rFonts w:ascii="Times New Roman" w:hAnsi="Times New Roman"/>
        </w:rPr>
        <w:t xml:space="preserve">s 71E of the </w:t>
      </w:r>
      <w:r w:rsidR="00120E35" w:rsidRPr="007E042A">
        <w:rPr>
          <w:rFonts w:ascii="Times New Roman" w:hAnsi="Times New Roman"/>
          <w:i/>
          <w:iCs/>
        </w:rPr>
        <w:t>Water Act</w:t>
      </w:r>
      <w:r w:rsidR="003C5B5C" w:rsidRPr="007E042A">
        <w:rPr>
          <w:rFonts w:ascii="Times New Roman" w:hAnsi="Times New Roman"/>
          <w:i/>
          <w:iCs/>
        </w:rPr>
        <w:t xml:space="preserve"> </w:t>
      </w:r>
      <w:r w:rsidR="003C5B5C" w:rsidRPr="007E042A">
        <w:rPr>
          <w:rFonts w:ascii="Times New Roman" w:hAnsi="Times New Roman"/>
        </w:rPr>
        <w:t xml:space="preserve">does not </w:t>
      </w:r>
      <w:r w:rsidR="00F70A65" w:rsidRPr="007E042A">
        <w:rPr>
          <w:rFonts w:ascii="Times New Roman" w:hAnsi="Times New Roman"/>
        </w:rPr>
        <w:t xml:space="preserve">purport to </w:t>
      </w:r>
      <w:r w:rsidR="008B51C2" w:rsidRPr="007E042A">
        <w:rPr>
          <w:rFonts w:ascii="Times New Roman" w:hAnsi="Times New Roman"/>
        </w:rPr>
        <w:t xml:space="preserve">confine the </w:t>
      </w:r>
      <w:r w:rsidR="00C43DA0" w:rsidRPr="007E042A">
        <w:rPr>
          <w:rFonts w:ascii="Times New Roman" w:hAnsi="Times New Roman"/>
        </w:rPr>
        <w:t>evidence available to</w:t>
      </w:r>
      <w:r w:rsidR="00926365" w:rsidRPr="007E042A">
        <w:rPr>
          <w:rFonts w:ascii="Times New Roman" w:hAnsi="Times New Roman"/>
        </w:rPr>
        <w:t xml:space="preserve"> </w:t>
      </w:r>
      <w:r w:rsidR="00456B89" w:rsidRPr="007E042A">
        <w:rPr>
          <w:rFonts w:ascii="Times New Roman" w:hAnsi="Times New Roman"/>
        </w:rPr>
        <w:t>be</w:t>
      </w:r>
      <w:r w:rsidR="00926365" w:rsidRPr="007E042A">
        <w:rPr>
          <w:rFonts w:ascii="Times New Roman" w:hAnsi="Times New Roman"/>
        </w:rPr>
        <w:t xml:space="preserve"> weighed in</w:t>
      </w:r>
      <w:r w:rsidR="006917DB" w:rsidRPr="007E042A">
        <w:rPr>
          <w:rFonts w:ascii="Times New Roman" w:hAnsi="Times New Roman"/>
        </w:rPr>
        <w:t xml:space="preserve"> making </w:t>
      </w:r>
      <w:r w:rsidR="006917DB" w:rsidRPr="007E042A">
        <w:rPr>
          <w:rFonts w:ascii="Times New Roman" w:hAnsi="Times New Roman"/>
        </w:rPr>
        <w:lastRenderedPageBreak/>
        <w:t xml:space="preserve">such a finding </w:t>
      </w:r>
      <w:r w:rsidR="008A05BC" w:rsidRPr="007E042A">
        <w:rPr>
          <w:rFonts w:ascii="Times New Roman" w:hAnsi="Times New Roman"/>
        </w:rPr>
        <w:t xml:space="preserve">of fact </w:t>
      </w:r>
      <w:r w:rsidR="006917DB" w:rsidRPr="007E042A">
        <w:rPr>
          <w:rFonts w:ascii="Times New Roman" w:hAnsi="Times New Roman"/>
        </w:rPr>
        <w:t xml:space="preserve">to </w:t>
      </w:r>
      <w:r w:rsidR="00815F71" w:rsidRPr="007E042A">
        <w:rPr>
          <w:rFonts w:ascii="Times New Roman" w:hAnsi="Times New Roman"/>
        </w:rPr>
        <w:t>such</w:t>
      </w:r>
      <w:r w:rsidR="00C67C8F" w:rsidRPr="007E042A">
        <w:rPr>
          <w:rFonts w:ascii="Times New Roman" w:hAnsi="Times New Roman"/>
        </w:rPr>
        <w:t xml:space="preserve"> record of </w:t>
      </w:r>
      <w:r w:rsidR="00100EC4" w:rsidRPr="007E042A">
        <w:rPr>
          <w:rFonts w:ascii="Times New Roman" w:hAnsi="Times New Roman"/>
        </w:rPr>
        <w:t xml:space="preserve">a decision </w:t>
      </w:r>
      <w:r w:rsidR="00452612" w:rsidRPr="007E042A">
        <w:rPr>
          <w:rFonts w:ascii="Times New Roman" w:hAnsi="Times New Roman"/>
        </w:rPr>
        <w:t xml:space="preserve">purporting to have been made </w:t>
      </w:r>
      <w:r w:rsidR="00100EC4" w:rsidRPr="007E042A">
        <w:rPr>
          <w:rFonts w:ascii="Times New Roman" w:hAnsi="Times New Roman"/>
        </w:rPr>
        <w:t xml:space="preserve">under s 30(3)(a)(ii) of the </w:t>
      </w:r>
      <w:r w:rsidR="00100EC4" w:rsidRPr="007E042A">
        <w:rPr>
          <w:rFonts w:ascii="Times New Roman" w:hAnsi="Times New Roman"/>
          <w:i/>
          <w:iCs/>
        </w:rPr>
        <w:t>Water Act</w:t>
      </w:r>
      <w:r w:rsidR="00C43DA0" w:rsidRPr="007E042A">
        <w:rPr>
          <w:rFonts w:ascii="Times New Roman" w:hAnsi="Times New Roman"/>
        </w:rPr>
        <w:t xml:space="preserve"> </w:t>
      </w:r>
      <w:r w:rsidR="00815F71" w:rsidRPr="007E042A">
        <w:rPr>
          <w:rFonts w:ascii="Times New Roman" w:hAnsi="Times New Roman"/>
        </w:rPr>
        <w:t xml:space="preserve">as </w:t>
      </w:r>
      <w:r w:rsidR="00452612" w:rsidRPr="007E042A">
        <w:rPr>
          <w:rFonts w:ascii="Times New Roman" w:hAnsi="Times New Roman"/>
        </w:rPr>
        <w:t xml:space="preserve">might have </w:t>
      </w:r>
      <w:r w:rsidR="00815F71" w:rsidRPr="007E042A">
        <w:rPr>
          <w:rFonts w:ascii="Times New Roman" w:hAnsi="Times New Roman"/>
        </w:rPr>
        <w:t xml:space="preserve">been </w:t>
      </w:r>
      <w:r w:rsidR="00C67C8F" w:rsidRPr="007E042A">
        <w:rPr>
          <w:rFonts w:ascii="Times New Roman" w:hAnsi="Times New Roman"/>
        </w:rPr>
        <w:t xml:space="preserve">made and </w:t>
      </w:r>
      <w:r w:rsidR="00B75D8B" w:rsidRPr="007E042A">
        <w:rPr>
          <w:rFonts w:ascii="Times New Roman" w:hAnsi="Times New Roman"/>
        </w:rPr>
        <w:t xml:space="preserve">publicly </w:t>
      </w:r>
      <w:r w:rsidR="00C67C8F" w:rsidRPr="007E042A">
        <w:rPr>
          <w:rFonts w:ascii="Times New Roman" w:hAnsi="Times New Roman"/>
        </w:rPr>
        <w:t xml:space="preserve">notified. </w:t>
      </w:r>
      <w:r w:rsidR="00D43A55" w:rsidRPr="007E042A">
        <w:rPr>
          <w:rFonts w:ascii="Times New Roman" w:hAnsi="Times New Roman"/>
        </w:rPr>
        <w:t xml:space="preserve">On the </w:t>
      </w:r>
      <w:r w:rsidR="006C3D13" w:rsidRPr="007E042A">
        <w:rPr>
          <w:rFonts w:ascii="Times New Roman" w:hAnsi="Times New Roman"/>
        </w:rPr>
        <w:t>assumption</w:t>
      </w:r>
      <w:r w:rsidR="00D43A55" w:rsidRPr="007E042A">
        <w:rPr>
          <w:rFonts w:ascii="Times New Roman" w:hAnsi="Times New Roman"/>
        </w:rPr>
        <w:t xml:space="preserve"> that </w:t>
      </w:r>
      <w:r w:rsidR="000E4DF5" w:rsidRPr="007E042A">
        <w:rPr>
          <w:rFonts w:ascii="Times New Roman" w:hAnsi="Times New Roman"/>
        </w:rPr>
        <w:t xml:space="preserve">a decision to which </w:t>
      </w:r>
      <w:r w:rsidR="007553C3" w:rsidRPr="007E042A">
        <w:rPr>
          <w:rFonts w:ascii="Times New Roman" w:hAnsi="Times New Roman"/>
        </w:rPr>
        <w:t>it</w:t>
      </w:r>
      <w:r w:rsidR="00790F10" w:rsidRPr="007E042A">
        <w:rPr>
          <w:rFonts w:ascii="Times New Roman" w:hAnsi="Times New Roman"/>
        </w:rPr>
        <w:t xml:space="preserve"> </w:t>
      </w:r>
      <w:r w:rsidR="000E4DF5" w:rsidRPr="007E042A">
        <w:rPr>
          <w:rFonts w:ascii="Times New Roman" w:hAnsi="Times New Roman"/>
        </w:rPr>
        <w:t>applies</w:t>
      </w:r>
      <w:r w:rsidR="00D43A55" w:rsidRPr="007E042A">
        <w:rPr>
          <w:rFonts w:ascii="Times New Roman" w:hAnsi="Times New Roman"/>
        </w:rPr>
        <w:t xml:space="preserve"> will </w:t>
      </w:r>
      <w:r w:rsidR="00325860" w:rsidRPr="007E042A">
        <w:rPr>
          <w:rFonts w:ascii="Times New Roman" w:hAnsi="Times New Roman"/>
        </w:rPr>
        <w:t xml:space="preserve">have </w:t>
      </w:r>
      <w:r w:rsidR="00D43A55" w:rsidRPr="007E042A">
        <w:rPr>
          <w:rFonts w:ascii="Times New Roman" w:hAnsi="Times New Roman"/>
        </w:rPr>
        <w:t>reasons</w:t>
      </w:r>
      <w:r w:rsidR="00A303BF" w:rsidRPr="007E042A">
        <w:rPr>
          <w:rFonts w:ascii="Times New Roman" w:hAnsi="Times New Roman"/>
        </w:rPr>
        <w:t xml:space="preserve"> for which </w:t>
      </w:r>
      <w:r w:rsidR="001C0B7E" w:rsidRPr="007E042A">
        <w:rPr>
          <w:rFonts w:ascii="Times New Roman" w:hAnsi="Times New Roman"/>
        </w:rPr>
        <w:t>the decision</w:t>
      </w:r>
      <w:r w:rsidR="00A303BF" w:rsidRPr="007E042A">
        <w:rPr>
          <w:rFonts w:ascii="Times New Roman" w:hAnsi="Times New Roman"/>
        </w:rPr>
        <w:t xml:space="preserve"> is made</w:t>
      </w:r>
      <w:r w:rsidR="00325860" w:rsidRPr="007E042A">
        <w:rPr>
          <w:rFonts w:ascii="Times New Roman" w:hAnsi="Times New Roman"/>
        </w:rPr>
        <w:t xml:space="preserve">, </w:t>
      </w:r>
      <w:r w:rsidR="007553C3" w:rsidRPr="007E042A">
        <w:rPr>
          <w:rFonts w:ascii="Times New Roman" w:hAnsi="Times New Roman"/>
        </w:rPr>
        <w:t>s 71E</w:t>
      </w:r>
      <w:r w:rsidR="001C14DA" w:rsidRPr="007E042A">
        <w:rPr>
          <w:rFonts w:ascii="Times New Roman" w:hAnsi="Times New Roman"/>
        </w:rPr>
        <w:t xml:space="preserve"> does no more than require </w:t>
      </w:r>
      <w:r w:rsidR="00C10A7D" w:rsidRPr="007E042A">
        <w:rPr>
          <w:rFonts w:ascii="Times New Roman" w:hAnsi="Times New Roman"/>
        </w:rPr>
        <w:t xml:space="preserve">that those reasons </w:t>
      </w:r>
      <w:r w:rsidR="007905AC" w:rsidRPr="007E042A">
        <w:rPr>
          <w:rFonts w:ascii="Times New Roman" w:hAnsi="Times New Roman"/>
        </w:rPr>
        <w:t xml:space="preserve">be recorded and publicly notified. </w:t>
      </w:r>
      <w:r w:rsidR="009F4160" w:rsidRPr="007E042A">
        <w:rPr>
          <w:rFonts w:ascii="Times New Roman" w:hAnsi="Times New Roman"/>
        </w:rPr>
        <w:t xml:space="preserve">The section </w:t>
      </w:r>
      <w:r w:rsidR="00557EC2" w:rsidRPr="007E042A">
        <w:rPr>
          <w:rFonts w:ascii="Times New Roman" w:hAnsi="Times New Roman"/>
        </w:rPr>
        <w:t xml:space="preserve">does not purport to give </w:t>
      </w:r>
      <w:r w:rsidR="00186DEA" w:rsidRPr="007E042A">
        <w:rPr>
          <w:rFonts w:ascii="Times New Roman" w:hAnsi="Times New Roman"/>
        </w:rPr>
        <w:t>the</w:t>
      </w:r>
      <w:r w:rsidR="00BA25A4" w:rsidRPr="007E042A">
        <w:rPr>
          <w:rFonts w:ascii="Times New Roman" w:hAnsi="Times New Roman"/>
        </w:rPr>
        <w:t xml:space="preserve"> reasons recorded and publicly notified</w:t>
      </w:r>
      <w:r w:rsidR="003703D5" w:rsidRPr="007E042A">
        <w:rPr>
          <w:rFonts w:ascii="Times New Roman" w:hAnsi="Times New Roman"/>
        </w:rPr>
        <w:t xml:space="preserve"> </w:t>
      </w:r>
      <w:r w:rsidR="002301B0" w:rsidRPr="007E042A">
        <w:rPr>
          <w:rFonts w:ascii="Times New Roman" w:hAnsi="Times New Roman"/>
        </w:rPr>
        <w:t>in purported compliance with it</w:t>
      </w:r>
      <w:r w:rsidR="004B257C" w:rsidRPr="007E042A">
        <w:rPr>
          <w:rFonts w:ascii="Times New Roman" w:hAnsi="Times New Roman"/>
        </w:rPr>
        <w:t>s requirements</w:t>
      </w:r>
      <w:r w:rsidR="002301B0" w:rsidRPr="007E042A">
        <w:rPr>
          <w:rFonts w:ascii="Times New Roman" w:hAnsi="Times New Roman"/>
        </w:rPr>
        <w:t xml:space="preserve"> </w:t>
      </w:r>
      <w:r w:rsidR="003703D5" w:rsidRPr="007E042A">
        <w:rPr>
          <w:rFonts w:ascii="Times New Roman" w:hAnsi="Times New Roman"/>
        </w:rPr>
        <w:t xml:space="preserve">a conclusive or definitive status. </w:t>
      </w:r>
      <w:r w:rsidR="001D6FDD" w:rsidRPr="007E042A">
        <w:rPr>
          <w:rFonts w:ascii="Times New Roman" w:hAnsi="Times New Roman"/>
        </w:rPr>
        <w:t>The potential for constitutional issues to have arisen</w:t>
      </w:r>
      <w:r w:rsidR="003A18B2" w:rsidRPr="007E042A">
        <w:rPr>
          <w:rFonts w:ascii="Times New Roman" w:hAnsi="Times New Roman"/>
        </w:rPr>
        <w:t xml:space="preserve"> were the section </w:t>
      </w:r>
      <w:r w:rsidR="0021651B" w:rsidRPr="007E042A">
        <w:rPr>
          <w:rFonts w:ascii="Times New Roman" w:hAnsi="Times New Roman"/>
        </w:rPr>
        <w:t>to have been</w:t>
      </w:r>
      <w:r w:rsidR="000E3862" w:rsidRPr="007E042A">
        <w:rPr>
          <w:rFonts w:ascii="Times New Roman" w:hAnsi="Times New Roman"/>
        </w:rPr>
        <w:t xml:space="preserve"> construed </w:t>
      </w:r>
      <w:r w:rsidR="003A18B2" w:rsidRPr="007E042A">
        <w:rPr>
          <w:rFonts w:ascii="Times New Roman" w:hAnsi="Times New Roman"/>
        </w:rPr>
        <w:t xml:space="preserve">to have had that </w:t>
      </w:r>
      <w:r w:rsidR="000E3862" w:rsidRPr="007E042A">
        <w:rPr>
          <w:rFonts w:ascii="Times New Roman" w:hAnsi="Times New Roman"/>
        </w:rPr>
        <w:t>effect</w:t>
      </w:r>
      <w:r w:rsidR="00BB35FB" w:rsidRPr="007E042A">
        <w:rPr>
          <w:rStyle w:val="FootnoteReference"/>
          <w:rFonts w:ascii="Times New Roman" w:hAnsi="Times New Roman"/>
          <w:sz w:val="24"/>
        </w:rPr>
        <w:footnoteReference w:id="9"/>
      </w:r>
      <w:r w:rsidR="000E3862" w:rsidRPr="007E042A">
        <w:rPr>
          <w:rFonts w:ascii="Times New Roman" w:hAnsi="Times New Roman"/>
        </w:rPr>
        <w:t xml:space="preserve"> </w:t>
      </w:r>
      <w:r w:rsidR="005218BD" w:rsidRPr="007E042A">
        <w:rPr>
          <w:rFonts w:ascii="Times New Roman" w:hAnsi="Times New Roman"/>
        </w:rPr>
        <w:t>was not explored in argument</w:t>
      </w:r>
      <w:r w:rsidR="00D8799E" w:rsidRPr="007E042A">
        <w:rPr>
          <w:rFonts w:ascii="Times New Roman" w:hAnsi="Times New Roman"/>
        </w:rPr>
        <w:t xml:space="preserve"> on the appeal</w:t>
      </w:r>
      <w:r w:rsidR="00EB41EC" w:rsidRPr="007E042A">
        <w:rPr>
          <w:rFonts w:ascii="Times New Roman" w:hAnsi="Times New Roman"/>
        </w:rPr>
        <w:t xml:space="preserve">, was not the subject of notice under s 78B of the </w:t>
      </w:r>
      <w:r w:rsidR="00EB41EC" w:rsidRPr="007E042A">
        <w:rPr>
          <w:rFonts w:ascii="Times New Roman" w:hAnsi="Times New Roman"/>
          <w:i/>
          <w:iCs/>
        </w:rPr>
        <w:t>Judiciary Act 1903</w:t>
      </w:r>
      <w:r w:rsidR="00EB41EC" w:rsidRPr="007E042A">
        <w:rPr>
          <w:rFonts w:ascii="Times New Roman" w:hAnsi="Times New Roman"/>
        </w:rPr>
        <w:t xml:space="preserve"> (</w:t>
      </w:r>
      <w:proofErr w:type="spellStart"/>
      <w:r w:rsidR="00EB41EC" w:rsidRPr="007E042A">
        <w:rPr>
          <w:rFonts w:ascii="Times New Roman" w:hAnsi="Times New Roman"/>
        </w:rPr>
        <w:t>Cth</w:t>
      </w:r>
      <w:proofErr w:type="spellEnd"/>
      <w:proofErr w:type="gramStart"/>
      <w:r w:rsidR="00EB41EC" w:rsidRPr="007E042A">
        <w:rPr>
          <w:rFonts w:ascii="Times New Roman" w:hAnsi="Times New Roman"/>
        </w:rPr>
        <w:t>)</w:t>
      </w:r>
      <w:r w:rsidR="001A39F1" w:rsidRPr="007E042A">
        <w:rPr>
          <w:rFonts w:ascii="Times New Roman" w:hAnsi="Times New Roman"/>
        </w:rPr>
        <w:t>,</w:t>
      </w:r>
      <w:r w:rsidR="00EB41EC" w:rsidRPr="007E042A">
        <w:rPr>
          <w:rFonts w:ascii="Times New Roman" w:hAnsi="Times New Roman"/>
        </w:rPr>
        <w:t xml:space="preserve"> </w:t>
      </w:r>
      <w:r w:rsidR="00D8799E" w:rsidRPr="007E042A">
        <w:rPr>
          <w:rFonts w:ascii="Times New Roman" w:hAnsi="Times New Roman"/>
        </w:rPr>
        <w:t>and</w:t>
      </w:r>
      <w:proofErr w:type="gramEnd"/>
      <w:r w:rsidR="00D8799E" w:rsidRPr="007E042A">
        <w:rPr>
          <w:rFonts w:ascii="Times New Roman" w:hAnsi="Times New Roman"/>
        </w:rPr>
        <w:t xml:space="preserve"> is therefore inappropriate to </w:t>
      </w:r>
      <w:r w:rsidR="00F87B08" w:rsidRPr="007E042A">
        <w:rPr>
          <w:rFonts w:ascii="Times New Roman" w:hAnsi="Times New Roman"/>
        </w:rPr>
        <w:t>examine</w:t>
      </w:r>
      <w:r w:rsidR="00D8799E" w:rsidRPr="007E042A">
        <w:rPr>
          <w:rFonts w:ascii="Times New Roman" w:hAnsi="Times New Roman"/>
        </w:rPr>
        <w:t>.</w:t>
      </w:r>
    </w:p>
    <w:p w14:paraId="54FE4E46" w14:textId="41C81BC2" w:rsidR="000E4DF5" w:rsidRPr="007E042A" w:rsidRDefault="000E4DF5"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5B65D6" w:rsidRPr="007E042A">
        <w:rPr>
          <w:rFonts w:ascii="Times New Roman" w:hAnsi="Times New Roman"/>
        </w:rPr>
        <w:t>T</w:t>
      </w:r>
      <w:r w:rsidRPr="007E042A">
        <w:rPr>
          <w:rFonts w:ascii="Times New Roman" w:hAnsi="Times New Roman"/>
        </w:rPr>
        <w:t xml:space="preserve">he present significance of s </w:t>
      </w:r>
      <w:r w:rsidR="00044701" w:rsidRPr="007E042A">
        <w:rPr>
          <w:rFonts w:ascii="Times New Roman" w:hAnsi="Times New Roman"/>
        </w:rPr>
        <w:t xml:space="preserve">71E of the </w:t>
      </w:r>
      <w:r w:rsidR="00044701" w:rsidRPr="007E042A">
        <w:rPr>
          <w:rFonts w:ascii="Times New Roman" w:hAnsi="Times New Roman"/>
          <w:i/>
          <w:iCs/>
        </w:rPr>
        <w:t>Water Act</w:t>
      </w:r>
      <w:r w:rsidR="00044701" w:rsidRPr="007E042A">
        <w:rPr>
          <w:rFonts w:ascii="Times New Roman" w:hAnsi="Times New Roman"/>
        </w:rPr>
        <w:t xml:space="preserve"> </w:t>
      </w:r>
      <w:r w:rsidR="00AA1044" w:rsidRPr="007E042A">
        <w:rPr>
          <w:rFonts w:ascii="Times New Roman" w:hAnsi="Times New Roman"/>
        </w:rPr>
        <w:t xml:space="preserve">instead </w:t>
      </w:r>
      <w:r w:rsidR="00044701" w:rsidRPr="007E042A">
        <w:rPr>
          <w:rFonts w:ascii="Times New Roman" w:hAnsi="Times New Roman"/>
        </w:rPr>
        <w:t>lies</w:t>
      </w:r>
      <w:r w:rsidR="005B65D6" w:rsidRPr="007E042A">
        <w:rPr>
          <w:rFonts w:ascii="Times New Roman" w:hAnsi="Times New Roman"/>
        </w:rPr>
        <w:t xml:space="preserve"> </w:t>
      </w:r>
      <w:r w:rsidR="00AA1044" w:rsidRPr="007E042A">
        <w:rPr>
          <w:rFonts w:ascii="Times New Roman" w:hAnsi="Times New Roman"/>
        </w:rPr>
        <w:t>in</w:t>
      </w:r>
      <w:r w:rsidR="00044701" w:rsidRPr="007E042A">
        <w:rPr>
          <w:rFonts w:ascii="Times New Roman" w:hAnsi="Times New Roman"/>
        </w:rPr>
        <w:t xml:space="preserve"> </w:t>
      </w:r>
      <w:r w:rsidR="000035E5" w:rsidRPr="007E042A">
        <w:rPr>
          <w:rFonts w:ascii="Times New Roman" w:hAnsi="Times New Roman"/>
        </w:rPr>
        <w:t xml:space="preserve">the requirement of </w:t>
      </w:r>
      <w:r w:rsidR="00C23F54" w:rsidRPr="007E042A">
        <w:rPr>
          <w:rFonts w:ascii="Times New Roman" w:hAnsi="Times New Roman"/>
        </w:rPr>
        <w:t>s 71</w:t>
      </w:r>
      <w:proofErr w:type="gramStart"/>
      <w:r w:rsidR="00C23F54" w:rsidRPr="007E042A">
        <w:rPr>
          <w:rFonts w:ascii="Times New Roman" w:hAnsi="Times New Roman"/>
        </w:rPr>
        <w:t>E(</w:t>
      </w:r>
      <w:proofErr w:type="gramEnd"/>
      <w:r w:rsidR="00C23F54" w:rsidRPr="007E042A">
        <w:rPr>
          <w:rFonts w:ascii="Times New Roman" w:hAnsi="Times New Roman"/>
        </w:rPr>
        <w:t>4) t</w:t>
      </w:r>
      <w:r w:rsidR="00D274B1" w:rsidRPr="007E042A">
        <w:rPr>
          <w:rFonts w:ascii="Times New Roman" w:hAnsi="Times New Roman"/>
        </w:rPr>
        <w:t>hat the publicly notified record</w:t>
      </w:r>
      <w:r w:rsidR="00C23F54" w:rsidRPr="007E042A">
        <w:rPr>
          <w:rFonts w:ascii="Times New Roman" w:hAnsi="Times New Roman"/>
        </w:rPr>
        <w:t xml:space="preserve"> </w:t>
      </w:r>
      <w:r w:rsidR="004E67E5" w:rsidRPr="007E042A">
        <w:rPr>
          <w:rFonts w:ascii="Times New Roman" w:hAnsi="Times New Roman"/>
        </w:rPr>
        <w:t xml:space="preserve">is to </w:t>
      </w:r>
      <w:r w:rsidR="00C23F54" w:rsidRPr="007E042A">
        <w:rPr>
          <w:rFonts w:ascii="Times New Roman" w:hAnsi="Times New Roman"/>
        </w:rPr>
        <w:t>"include the reasons for the decision"</w:t>
      </w:r>
      <w:r w:rsidR="00531080" w:rsidRPr="007E042A">
        <w:rPr>
          <w:rFonts w:ascii="Times New Roman" w:hAnsi="Times New Roman"/>
        </w:rPr>
        <w:t xml:space="preserve"> requir</w:t>
      </w:r>
      <w:r w:rsidR="007152EB" w:rsidRPr="007E042A">
        <w:rPr>
          <w:rFonts w:ascii="Times New Roman" w:hAnsi="Times New Roman"/>
        </w:rPr>
        <w:t>ing</w:t>
      </w:r>
      <w:r w:rsidR="005F71CD" w:rsidRPr="007E042A">
        <w:rPr>
          <w:rFonts w:ascii="Times New Roman" w:hAnsi="Times New Roman"/>
        </w:rPr>
        <w:t>, on its proper construction, that</w:t>
      </w:r>
      <w:r w:rsidR="00531080" w:rsidRPr="007E042A">
        <w:rPr>
          <w:rFonts w:ascii="Times New Roman" w:hAnsi="Times New Roman"/>
        </w:rPr>
        <w:t xml:space="preserve"> the delegate Minister </w:t>
      </w:r>
      <w:r w:rsidR="005858EA" w:rsidRPr="007E042A">
        <w:rPr>
          <w:rFonts w:ascii="Times New Roman" w:hAnsi="Times New Roman"/>
        </w:rPr>
        <w:t xml:space="preserve">include </w:t>
      </w:r>
      <w:r w:rsidR="00247C5F" w:rsidRPr="007E042A">
        <w:rPr>
          <w:rFonts w:ascii="Times New Roman" w:hAnsi="Times New Roman"/>
        </w:rPr>
        <w:t>in the publicly notified record of the decision to grant the water extraction licence</w:t>
      </w:r>
      <w:r w:rsidR="005858EA" w:rsidRPr="007E042A">
        <w:rPr>
          <w:rFonts w:ascii="Times New Roman" w:hAnsi="Times New Roman"/>
        </w:rPr>
        <w:t xml:space="preserve"> </w:t>
      </w:r>
      <w:r w:rsidR="00814743" w:rsidRPr="007E042A">
        <w:rPr>
          <w:rFonts w:ascii="Times New Roman" w:hAnsi="Times New Roman"/>
        </w:rPr>
        <w:t>"</w:t>
      </w:r>
      <w:r w:rsidR="009300AC" w:rsidRPr="007E042A">
        <w:rPr>
          <w:rFonts w:ascii="Times New Roman" w:hAnsi="Times New Roman"/>
        </w:rPr>
        <w:t xml:space="preserve">at least </w:t>
      </w:r>
      <w:r w:rsidR="00814743" w:rsidRPr="007E042A">
        <w:rPr>
          <w:rFonts w:ascii="Times New Roman" w:hAnsi="Times New Roman"/>
        </w:rPr>
        <w:t xml:space="preserve">... the </w:t>
      </w:r>
      <w:r w:rsidR="005858EA" w:rsidRPr="007E042A">
        <w:rPr>
          <w:rFonts w:ascii="Times New Roman" w:hAnsi="Times New Roman"/>
        </w:rPr>
        <w:t xml:space="preserve">essential </w:t>
      </w:r>
      <w:r w:rsidR="00996668" w:rsidRPr="007E042A">
        <w:rPr>
          <w:rFonts w:ascii="Times New Roman" w:hAnsi="Times New Roman"/>
        </w:rPr>
        <w:t>...</w:t>
      </w:r>
      <w:r w:rsidR="005858EA" w:rsidRPr="007E042A">
        <w:rPr>
          <w:rFonts w:ascii="Times New Roman" w:hAnsi="Times New Roman"/>
        </w:rPr>
        <w:t xml:space="preserve"> grounds"</w:t>
      </w:r>
      <w:r w:rsidR="00213CC7" w:rsidRPr="007E042A">
        <w:rPr>
          <w:rStyle w:val="FootnoteReference"/>
          <w:rFonts w:ascii="Times New Roman" w:hAnsi="Times New Roman"/>
          <w:sz w:val="24"/>
        </w:rPr>
        <w:footnoteReference w:id="10"/>
      </w:r>
      <w:r w:rsidR="005858EA" w:rsidRPr="007E042A">
        <w:rPr>
          <w:rFonts w:ascii="Times New Roman" w:hAnsi="Times New Roman"/>
        </w:rPr>
        <w:t xml:space="preserve"> </w:t>
      </w:r>
      <w:r w:rsidR="00213CC7" w:rsidRPr="007E042A">
        <w:rPr>
          <w:rFonts w:ascii="Times New Roman" w:hAnsi="Times New Roman"/>
        </w:rPr>
        <w:t>for th</w:t>
      </w:r>
      <w:r w:rsidR="00247C5F" w:rsidRPr="007E042A">
        <w:rPr>
          <w:rFonts w:ascii="Times New Roman" w:hAnsi="Times New Roman"/>
        </w:rPr>
        <w:t>at</w:t>
      </w:r>
      <w:r w:rsidR="00213CC7" w:rsidRPr="007E042A">
        <w:rPr>
          <w:rFonts w:ascii="Times New Roman" w:hAnsi="Times New Roman"/>
        </w:rPr>
        <w:t xml:space="preserve"> decision</w:t>
      </w:r>
      <w:r w:rsidR="005545EB" w:rsidRPr="007E042A">
        <w:rPr>
          <w:rFonts w:ascii="Times New Roman" w:hAnsi="Times New Roman"/>
        </w:rPr>
        <w:t>.</w:t>
      </w:r>
      <w:r w:rsidR="00684D4D" w:rsidRPr="007E042A">
        <w:rPr>
          <w:rFonts w:ascii="Times New Roman" w:hAnsi="Times New Roman"/>
        </w:rPr>
        <w:t xml:space="preserve"> The </w:t>
      </w:r>
      <w:r w:rsidR="002F7CB0" w:rsidRPr="007E042A">
        <w:rPr>
          <w:rFonts w:ascii="Times New Roman" w:hAnsi="Times New Roman"/>
        </w:rPr>
        <w:t>content</w:t>
      </w:r>
      <w:r w:rsidR="002A544E" w:rsidRPr="007E042A">
        <w:rPr>
          <w:rFonts w:ascii="Times New Roman" w:hAnsi="Times New Roman"/>
        </w:rPr>
        <w:t xml:space="preserve"> </w:t>
      </w:r>
      <w:r w:rsidR="000574C8" w:rsidRPr="007E042A">
        <w:rPr>
          <w:rFonts w:ascii="Times New Roman" w:hAnsi="Times New Roman"/>
        </w:rPr>
        <w:t xml:space="preserve">of that requirement </w:t>
      </w:r>
      <w:r w:rsidR="00156503" w:rsidRPr="007E042A">
        <w:rPr>
          <w:rFonts w:ascii="Times New Roman" w:hAnsi="Times New Roman"/>
        </w:rPr>
        <w:t>"entitles a court to infer</w:t>
      </w:r>
      <w:r w:rsidR="0011648B" w:rsidRPr="007E042A">
        <w:rPr>
          <w:rFonts w:ascii="Times New Roman" w:hAnsi="Times New Roman"/>
        </w:rPr>
        <w:t xml:space="preserve">" that </w:t>
      </w:r>
      <w:r w:rsidR="004E7438" w:rsidRPr="007E042A">
        <w:rPr>
          <w:rFonts w:ascii="Times New Roman" w:hAnsi="Times New Roman"/>
        </w:rPr>
        <w:t>something</w:t>
      </w:r>
      <w:r w:rsidR="00093D10" w:rsidRPr="007E042A">
        <w:rPr>
          <w:rFonts w:ascii="Times New Roman" w:hAnsi="Times New Roman"/>
        </w:rPr>
        <w:t xml:space="preserve"> </w:t>
      </w:r>
      <w:r w:rsidR="0011648B" w:rsidRPr="007E042A">
        <w:rPr>
          <w:rFonts w:ascii="Times New Roman" w:hAnsi="Times New Roman"/>
        </w:rPr>
        <w:t>not</w:t>
      </w:r>
      <w:r w:rsidR="00696010" w:rsidRPr="007E042A">
        <w:rPr>
          <w:rFonts w:ascii="Times New Roman" w:hAnsi="Times New Roman"/>
        </w:rPr>
        <w:t xml:space="preserve"> </w:t>
      </w:r>
      <w:r w:rsidR="0011648B" w:rsidRPr="007E042A">
        <w:rPr>
          <w:rFonts w:ascii="Times New Roman" w:hAnsi="Times New Roman"/>
        </w:rPr>
        <w:t xml:space="preserve">mentioned </w:t>
      </w:r>
      <w:r w:rsidR="00555BAE" w:rsidRPr="007E042A">
        <w:rPr>
          <w:rFonts w:ascii="Times New Roman" w:hAnsi="Times New Roman"/>
        </w:rPr>
        <w:t xml:space="preserve">by the delegate Minister </w:t>
      </w:r>
      <w:r w:rsidR="0011648B" w:rsidRPr="007E042A">
        <w:rPr>
          <w:rFonts w:ascii="Times New Roman" w:hAnsi="Times New Roman"/>
        </w:rPr>
        <w:t xml:space="preserve">in the </w:t>
      </w:r>
      <w:r w:rsidR="00555BAE" w:rsidRPr="007E042A">
        <w:rPr>
          <w:rFonts w:ascii="Times New Roman" w:hAnsi="Times New Roman"/>
        </w:rPr>
        <w:t>publicly notified record</w:t>
      </w:r>
      <w:r w:rsidR="00093D10" w:rsidRPr="007E042A">
        <w:rPr>
          <w:rFonts w:ascii="Times New Roman" w:hAnsi="Times New Roman"/>
        </w:rPr>
        <w:t xml:space="preserve"> </w:t>
      </w:r>
      <w:r w:rsidR="00696010" w:rsidRPr="007E042A">
        <w:rPr>
          <w:rFonts w:ascii="Times New Roman" w:hAnsi="Times New Roman"/>
        </w:rPr>
        <w:t xml:space="preserve">was </w:t>
      </w:r>
      <w:r w:rsidR="005D2598" w:rsidRPr="007E042A">
        <w:rPr>
          <w:rFonts w:ascii="Times New Roman" w:hAnsi="Times New Roman"/>
        </w:rPr>
        <w:t xml:space="preserve">something </w:t>
      </w:r>
      <w:r w:rsidR="00696010" w:rsidRPr="007E042A">
        <w:rPr>
          <w:rFonts w:ascii="Times New Roman" w:hAnsi="Times New Roman"/>
        </w:rPr>
        <w:t xml:space="preserve">not considered by the </w:t>
      </w:r>
      <w:r w:rsidR="00B70C5B" w:rsidRPr="007E042A">
        <w:rPr>
          <w:rFonts w:ascii="Times New Roman" w:hAnsi="Times New Roman"/>
        </w:rPr>
        <w:t xml:space="preserve">delegate Minister </w:t>
      </w:r>
      <w:r w:rsidR="00095A9C" w:rsidRPr="007E042A">
        <w:rPr>
          <w:rFonts w:ascii="Times New Roman" w:hAnsi="Times New Roman"/>
        </w:rPr>
        <w:t>to be</w:t>
      </w:r>
      <w:r w:rsidR="00B70C5B" w:rsidRPr="007E042A">
        <w:rPr>
          <w:rFonts w:ascii="Times New Roman" w:hAnsi="Times New Roman"/>
        </w:rPr>
        <w:t xml:space="preserve"> essential to the making of th</w:t>
      </w:r>
      <w:r w:rsidR="00E268AD" w:rsidRPr="007E042A">
        <w:rPr>
          <w:rFonts w:ascii="Times New Roman" w:hAnsi="Times New Roman"/>
        </w:rPr>
        <w:t>e</w:t>
      </w:r>
      <w:r w:rsidR="00B70C5B" w:rsidRPr="007E042A">
        <w:rPr>
          <w:rFonts w:ascii="Times New Roman" w:hAnsi="Times New Roman"/>
        </w:rPr>
        <w:t xml:space="preserve"> decision.</w:t>
      </w:r>
      <w:r w:rsidR="00E268AD" w:rsidRPr="007E042A">
        <w:rPr>
          <w:rStyle w:val="FootnoteReference"/>
          <w:rFonts w:ascii="Times New Roman" w:hAnsi="Times New Roman"/>
          <w:sz w:val="24"/>
        </w:rPr>
        <w:footnoteReference w:id="11"/>
      </w:r>
      <w:r w:rsidR="005D4F6E" w:rsidRPr="007E042A">
        <w:rPr>
          <w:rFonts w:ascii="Times New Roman" w:hAnsi="Times New Roman"/>
        </w:rPr>
        <w:t xml:space="preserve"> </w:t>
      </w:r>
      <w:r w:rsidR="003A2AA5" w:rsidRPr="007E042A">
        <w:rPr>
          <w:rFonts w:ascii="Times New Roman" w:hAnsi="Times New Roman"/>
        </w:rPr>
        <w:t xml:space="preserve">Like any other inference </w:t>
      </w:r>
      <w:r w:rsidR="00D91EAC" w:rsidRPr="007E042A">
        <w:rPr>
          <w:rFonts w:ascii="Times New Roman" w:hAnsi="Times New Roman"/>
        </w:rPr>
        <w:t xml:space="preserve">of fact, </w:t>
      </w:r>
      <w:r w:rsidR="00692E01" w:rsidRPr="007E042A">
        <w:rPr>
          <w:rFonts w:ascii="Times New Roman" w:hAnsi="Times New Roman"/>
        </w:rPr>
        <w:t xml:space="preserve">the drawing of </w:t>
      </w:r>
      <w:r w:rsidR="00526B31" w:rsidRPr="007E042A">
        <w:rPr>
          <w:rFonts w:ascii="Times New Roman" w:hAnsi="Times New Roman"/>
        </w:rPr>
        <w:t xml:space="preserve">such </w:t>
      </w:r>
      <w:r w:rsidR="005D4F6E" w:rsidRPr="007E042A">
        <w:rPr>
          <w:rFonts w:ascii="Times New Roman" w:hAnsi="Times New Roman"/>
        </w:rPr>
        <w:t>an inference</w:t>
      </w:r>
      <w:r w:rsidR="00E91D5B" w:rsidRPr="007E042A">
        <w:rPr>
          <w:rFonts w:ascii="Times New Roman" w:hAnsi="Times New Roman"/>
        </w:rPr>
        <w:t xml:space="preserve"> against </w:t>
      </w:r>
      <w:r w:rsidR="003C7B57" w:rsidRPr="007E042A">
        <w:rPr>
          <w:rFonts w:ascii="Times New Roman" w:hAnsi="Times New Roman"/>
        </w:rPr>
        <w:t xml:space="preserve">the background of </w:t>
      </w:r>
      <w:r w:rsidR="00D91EAC" w:rsidRPr="007E042A">
        <w:rPr>
          <w:rFonts w:ascii="Times New Roman" w:hAnsi="Times New Roman"/>
        </w:rPr>
        <w:t xml:space="preserve">the delegate Minister's </w:t>
      </w:r>
      <w:r w:rsidR="00AB6DD6" w:rsidRPr="007E042A">
        <w:rPr>
          <w:rFonts w:ascii="Times New Roman" w:hAnsi="Times New Roman"/>
        </w:rPr>
        <w:t xml:space="preserve">purported compliance with </w:t>
      </w:r>
      <w:r w:rsidR="00D91EAC" w:rsidRPr="007E042A">
        <w:rPr>
          <w:rFonts w:ascii="Times New Roman" w:hAnsi="Times New Roman"/>
        </w:rPr>
        <w:t>the</w:t>
      </w:r>
      <w:r w:rsidR="00AB6DD6" w:rsidRPr="007E042A">
        <w:rPr>
          <w:rFonts w:ascii="Times New Roman" w:hAnsi="Times New Roman"/>
        </w:rPr>
        <w:t xml:space="preserve"> statutory requirement</w:t>
      </w:r>
      <w:r w:rsidR="00B230B5" w:rsidRPr="007E042A">
        <w:rPr>
          <w:rFonts w:ascii="Times New Roman" w:hAnsi="Times New Roman"/>
        </w:rPr>
        <w:t xml:space="preserve"> of s</w:t>
      </w:r>
      <w:r w:rsidR="00233541">
        <w:rPr>
          <w:rFonts w:ascii="Times New Roman" w:hAnsi="Times New Roman"/>
        </w:rPr>
        <w:t> </w:t>
      </w:r>
      <w:r w:rsidR="00B230B5" w:rsidRPr="007E042A">
        <w:rPr>
          <w:rFonts w:ascii="Times New Roman" w:hAnsi="Times New Roman"/>
        </w:rPr>
        <w:t>71E(4)</w:t>
      </w:r>
      <w:r w:rsidR="008D44E1" w:rsidRPr="007E042A">
        <w:rPr>
          <w:rFonts w:ascii="Times New Roman" w:hAnsi="Times New Roman"/>
        </w:rPr>
        <w:t xml:space="preserve"> </w:t>
      </w:r>
      <w:r w:rsidR="001719C9" w:rsidRPr="007E042A">
        <w:rPr>
          <w:rFonts w:ascii="Times New Roman" w:hAnsi="Times New Roman"/>
        </w:rPr>
        <w:t>is not</w:t>
      </w:r>
      <w:r w:rsidR="00084B3A" w:rsidRPr="007E042A">
        <w:rPr>
          <w:rFonts w:ascii="Times New Roman" w:hAnsi="Times New Roman"/>
        </w:rPr>
        <w:t xml:space="preserve"> </w:t>
      </w:r>
      <w:r w:rsidR="005D121B" w:rsidRPr="007E042A">
        <w:rPr>
          <w:rFonts w:ascii="Times New Roman" w:hAnsi="Times New Roman"/>
        </w:rPr>
        <w:t>ma</w:t>
      </w:r>
      <w:r w:rsidR="007C3830" w:rsidRPr="007E042A">
        <w:rPr>
          <w:rFonts w:ascii="Times New Roman" w:hAnsi="Times New Roman"/>
        </w:rPr>
        <w:t>ndated by</w:t>
      </w:r>
      <w:r w:rsidR="001719C9" w:rsidRPr="007E042A">
        <w:rPr>
          <w:rFonts w:ascii="Times New Roman" w:hAnsi="Times New Roman"/>
        </w:rPr>
        <w:t xml:space="preserve"> legal </w:t>
      </w:r>
      <w:r w:rsidR="00084B3A" w:rsidRPr="007E042A">
        <w:rPr>
          <w:rFonts w:ascii="Times New Roman" w:hAnsi="Times New Roman"/>
        </w:rPr>
        <w:t xml:space="preserve">principle </w:t>
      </w:r>
      <w:r w:rsidR="001C36FC" w:rsidRPr="007E042A">
        <w:rPr>
          <w:rFonts w:ascii="Times New Roman" w:hAnsi="Times New Roman"/>
        </w:rPr>
        <w:t xml:space="preserve">but </w:t>
      </w:r>
      <w:r w:rsidR="007C3830" w:rsidRPr="007E042A">
        <w:rPr>
          <w:rFonts w:ascii="Times New Roman" w:hAnsi="Times New Roman"/>
        </w:rPr>
        <w:t xml:space="preserve">is </w:t>
      </w:r>
      <w:r w:rsidR="00D43EF5" w:rsidRPr="007E042A">
        <w:rPr>
          <w:rFonts w:ascii="Times New Roman" w:hAnsi="Times New Roman"/>
        </w:rPr>
        <w:t>"part of the process of fact</w:t>
      </w:r>
      <w:r w:rsidR="00403FC6" w:rsidRPr="007E042A">
        <w:rPr>
          <w:rFonts w:ascii="Times New Roman" w:hAnsi="Times New Roman"/>
        </w:rPr>
        <w:t xml:space="preserve"> finding"</w:t>
      </w:r>
      <w:r w:rsidR="0004185C" w:rsidRPr="007E042A">
        <w:rPr>
          <w:rFonts w:ascii="Times New Roman" w:hAnsi="Times New Roman"/>
        </w:rPr>
        <w:t xml:space="preserve">: </w:t>
      </w:r>
      <w:r w:rsidR="00D34828" w:rsidRPr="007E042A">
        <w:rPr>
          <w:rFonts w:ascii="Times New Roman" w:hAnsi="Times New Roman"/>
        </w:rPr>
        <w:t>"an exercise of the ordinary powers of human reason in the light of human experience".</w:t>
      </w:r>
      <w:r w:rsidR="00AE4FF5" w:rsidRPr="007E042A">
        <w:rPr>
          <w:rStyle w:val="FootnoteReference"/>
          <w:rFonts w:ascii="Times New Roman" w:hAnsi="Times New Roman"/>
          <w:sz w:val="24"/>
        </w:rPr>
        <w:footnoteReference w:id="12"/>
      </w:r>
      <w:r w:rsidR="00D0264D" w:rsidRPr="007E042A">
        <w:rPr>
          <w:rFonts w:ascii="Times New Roman" w:hAnsi="Times New Roman"/>
        </w:rPr>
        <w:t xml:space="preserve"> The drawing of </w:t>
      </w:r>
      <w:r w:rsidR="00F06D41" w:rsidRPr="007E042A">
        <w:rPr>
          <w:rFonts w:ascii="Times New Roman" w:hAnsi="Times New Roman"/>
        </w:rPr>
        <w:t xml:space="preserve">this </w:t>
      </w:r>
      <w:r w:rsidR="00D0264D" w:rsidRPr="007E042A">
        <w:rPr>
          <w:rFonts w:ascii="Times New Roman" w:hAnsi="Times New Roman"/>
        </w:rPr>
        <w:t xml:space="preserve">inference </w:t>
      </w:r>
      <w:r w:rsidR="00E2538E" w:rsidRPr="007E042A">
        <w:rPr>
          <w:rFonts w:ascii="Times New Roman" w:hAnsi="Times New Roman"/>
        </w:rPr>
        <w:t xml:space="preserve">proceeds on an assumption </w:t>
      </w:r>
      <w:r w:rsidR="00706F28" w:rsidRPr="007E042A">
        <w:rPr>
          <w:rFonts w:ascii="Times New Roman" w:hAnsi="Times New Roman"/>
        </w:rPr>
        <w:t xml:space="preserve">as to </w:t>
      </w:r>
      <w:r w:rsidR="00B0344B" w:rsidRPr="007E042A">
        <w:rPr>
          <w:rFonts w:ascii="Times New Roman" w:hAnsi="Times New Roman"/>
        </w:rPr>
        <w:t xml:space="preserve">how a </w:t>
      </w:r>
      <w:r w:rsidR="002827D0" w:rsidRPr="007E042A">
        <w:rPr>
          <w:rFonts w:ascii="Times New Roman" w:hAnsi="Times New Roman"/>
        </w:rPr>
        <w:t>responsible decision-maker</w:t>
      </w:r>
      <w:r w:rsidR="00B0344B" w:rsidRPr="007E042A">
        <w:rPr>
          <w:rFonts w:ascii="Times New Roman" w:hAnsi="Times New Roman"/>
        </w:rPr>
        <w:t xml:space="preserve"> </w:t>
      </w:r>
      <w:r w:rsidR="00835986" w:rsidRPr="007E042A">
        <w:rPr>
          <w:rFonts w:ascii="Times New Roman" w:hAnsi="Times New Roman"/>
        </w:rPr>
        <w:t xml:space="preserve">can ordinarily be expected to seek to discharge </w:t>
      </w:r>
      <w:r w:rsidR="00E67025" w:rsidRPr="007E042A">
        <w:rPr>
          <w:rFonts w:ascii="Times New Roman" w:hAnsi="Times New Roman"/>
        </w:rPr>
        <w:t>such a statutory requirement. And, like any other inference of fact,</w:t>
      </w:r>
      <w:r w:rsidR="0092403A" w:rsidRPr="007E042A">
        <w:rPr>
          <w:rFonts w:ascii="Times New Roman" w:hAnsi="Times New Roman"/>
        </w:rPr>
        <w:t xml:space="preserve"> </w:t>
      </w:r>
      <w:r w:rsidR="00FE2CB2" w:rsidRPr="007E042A">
        <w:rPr>
          <w:rFonts w:ascii="Times New Roman" w:hAnsi="Times New Roman"/>
        </w:rPr>
        <w:t xml:space="preserve">the inference to be drawn from </w:t>
      </w:r>
      <w:r w:rsidR="00A1433D" w:rsidRPr="007E042A">
        <w:rPr>
          <w:rFonts w:ascii="Times New Roman" w:hAnsi="Times New Roman"/>
        </w:rPr>
        <w:t>an omission</w:t>
      </w:r>
      <w:r w:rsidR="00833573" w:rsidRPr="007E042A">
        <w:rPr>
          <w:rFonts w:ascii="Times New Roman" w:hAnsi="Times New Roman"/>
        </w:rPr>
        <w:t xml:space="preserve"> </w:t>
      </w:r>
      <w:r w:rsidR="00E54A88" w:rsidRPr="007E042A">
        <w:rPr>
          <w:rFonts w:ascii="Times New Roman" w:hAnsi="Times New Roman"/>
        </w:rPr>
        <w:t xml:space="preserve">to mention </w:t>
      </w:r>
      <w:r w:rsidR="00D4059D" w:rsidRPr="007E042A">
        <w:rPr>
          <w:rFonts w:ascii="Times New Roman" w:hAnsi="Times New Roman"/>
        </w:rPr>
        <w:t xml:space="preserve">an essential ground for the decision </w:t>
      </w:r>
      <w:r w:rsidR="0079446C" w:rsidRPr="007E042A">
        <w:rPr>
          <w:rFonts w:ascii="Times New Roman" w:hAnsi="Times New Roman"/>
        </w:rPr>
        <w:t xml:space="preserve">– namely, </w:t>
      </w:r>
      <w:r w:rsidR="00D4059D" w:rsidRPr="007E042A">
        <w:rPr>
          <w:rFonts w:ascii="Times New Roman" w:hAnsi="Times New Roman"/>
        </w:rPr>
        <w:t xml:space="preserve">that the ground was </w:t>
      </w:r>
      <w:r w:rsidR="00190750" w:rsidRPr="007E042A">
        <w:rPr>
          <w:rFonts w:ascii="Times New Roman" w:hAnsi="Times New Roman"/>
        </w:rPr>
        <w:t>overlooked</w:t>
      </w:r>
      <w:r w:rsidR="0092403A" w:rsidRPr="007E042A">
        <w:rPr>
          <w:rFonts w:ascii="Times New Roman" w:hAnsi="Times New Roman"/>
        </w:rPr>
        <w:t xml:space="preserve"> </w:t>
      </w:r>
      <w:r w:rsidR="0079446C" w:rsidRPr="007E042A">
        <w:rPr>
          <w:rFonts w:ascii="Times New Roman" w:hAnsi="Times New Roman"/>
        </w:rPr>
        <w:t>–</w:t>
      </w:r>
      <w:r w:rsidR="0092403A" w:rsidRPr="007E042A">
        <w:rPr>
          <w:rFonts w:ascii="Times New Roman" w:hAnsi="Times New Roman"/>
        </w:rPr>
        <w:t xml:space="preserve"> might be supported or contradicted by other indications in the evidence.</w:t>
      </w:r>
      <w:r w:rsidR="00E67025" w:rsidRPr="007E042A">
        <w:rPr>
          <w:rFonts w:ascii="Times New Roman" w:hAnsi="Times New Roman"/>
        </w:rPr>
        <w:t xml:space="preserve"> </w:t>
      </w:r>
    </w:p>
    <w:p w14:paraId="2BC29E75" w14:textId="2ED8BBE3" w:rsidR="00B45632" w:rsidRPr="007E042A" w:rsidRDefault="005D2598"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886078" w:rsidRPr="007E042A">
        <w:rPr>
          <w:rFonts w:ascii="Times New Roman" w:hAnsi="Times New Roman"/>
        </w:rPr>
        <w:t>Important in the present case is th</w:t>
      </w:r>
      <w:r w:rsidR="00190750" w:rsidRPr="007E042A">
        <w:rPr>
          <w:rFonts w:ascii="Times New Roman" w:hAnsi="Times New Roman"/>
        </w:rPr>
        <w:t>e</w:t>
      </w:r>
      <w:r w:rsidR="00886078" w:rsidRPr="007E042A">
        <w:rPr>
          <w:rFonts w:ascii="Times New Roman" w:hAnsi="Times New Roman"/>
        </w:rPr>
        <w:t xml:space="preserve"> g</w:t>
      </w:r>
      <w:r w:rsidR="00A66F20" w:rsidRPr="007E042A">
        <w:rPr>
          <w:rFonts w:ascii="Times New Roman" w:hAnsi="Times New Roman"/>
        </w:rPr>
        <w:t>aping</w:t>
      </w:r>
      <w:r w:rsidR="00161F93" w:rsidRPr="007E042A">
        <w:rPr>
          <w:rFonts w:ascii="Times New Roman" w:hAnsi="Times New Roman"/>
        </w:rPr>
        <w:t xml:space="preserve"> </w:t>
      </w:r>
      <w:r w:rsidR="00A8530F" w:rsidRPr="007E042A">
        <w:rPr>
          <w:rFonts w:ascii="Times New Roman" w:hAnsi="Times New Roman"/>
        </w:rPr>
        <w:t>absen</w:t>
      </w:r>
      <w:r w:rsidR="00190750" w:rsidRPr="007E042A">
        <w:rPr>
          <w:rFonts w:ascii="Times New Roman" w:hAnsi="Times New Roman"/>
        </w:rPr>
        <w:t>ce</w:t>
      </w:r>
      <w:r w:rsidR="00A8530F" w:rsidRPr="007E042A">
        <w:rPr>
          <w:rFonts w:ascii="Times New Roman" w:hAnsi="Times New Roman"/>
        </w:rPr>
        <w:t xml:space="preserve"> from </w:t>
      </w:r>
      <w:r w:rsidR="00880C88" w:rsidRPr="007E042A">
        <w:rPr>
          <w:rFonts w:ascii="Times New Roman" w:hAnsi="Times New Roman"/>
        </w:rPr>
        <w:t>the publicly notified record of the</w:t>
      </w:r>
      <w:r w:rsidR="003C5994" w:rsidRPr="007E042A">
        <w:rPr>
          <w:rFonts w:ascii="Times New Roman" w:hAnsi="Times New Roman"/>
        </w:rPr>
        <w:t xml:space="preserve"> purported</w:t>
      </w:r>
      <w:r w:rsidR="00880C88" w:rsidRPr="007E042A">
        <w:rPr>
          <w:rFonts w:ascii="Times New Roman" w:hAnsi="Times New Roman"/>
        </w:rPr>
        <w:t xml:space="preserve"> decision </w:t>
      </w:r>
      <w:r w:rsidR="004721E0" w:rsidRPr="007E042A">
        <w:rPr>
          <w:rFonts w:ascii="Times New Roman" w:hAnsi="Times New Roman"/>
        </w:rPr>
        <w:t xml:space="preserve">of the delegate Minister </w:t>
      </w:r>
      <w:r w:rsidR="00880C88" w:rsidRPr="007E042A">
        <w:rPr>
          <w:rFonts w:ascii="Times New Roman" w:hAnsi="Times New Roman"/>
        </w:rPr>
        <w:t>to grant the water extraction licence</w:t>
      </w:r>
      <w:r w:rsidR="00E638EE" w:rsidRPr="007E042A">
        <w:rPr>
          <w:rFonts w:ascii="Times New Roman" w:hAnsi="Times New Roman"/>
        </w:rPr>
        <w:t xml:space="preserve"> </w:t>
      </w:r>
      <w:r w:rsidR="00190750" w:rsidRPr="007E042A">
        <w:rPr>
          <w:rFonts w:ascii="Times New Roman" w:hAnsi="Times New Roman"/>
        </w:rPr>
        <w:t>of</w:t>
      </w:r>
      <w:r w:rsidR="00E638EE" w:rsidRPr="007E042A">
        <w:rPr>
          <w:rFonts w:ascii="Times New Roman" w:hAnsi="Times New Roman"/>
        </w:rPr>
        <w:t xml:space="preserve"> any reference to </w:t>
      </w:r>
      <w:r w:rsidR="008D4252" w:rsidRPr="007E042A">
        <w:rPr>
          <w:rFonts w:ascii="Times New Roman" w:hAnsi="Times New Roman"/>
        </w:rPr>
        <w:t xml:space="preserve">the limitation </w:t>
      </w:r>
      <w:r w:rsidR="00235DBD" w:rsidRPr="007E042A">
        <w:rPr>
          <w:rFonts w:ascii="Times New Roman" w:hAnsi="Times New Roman"/>
        </w:rPr>
        <w:t xml:space="preserve">set by s 60(3) read with </w:t>
      </w:r>
      <w:r w:rsidR="00235DBD" w:rsidRPr="007E042A">
        <w:rPr>
          <w:rFonts w:ascii="Times New Roman" w:hAnsi="Times New Roman"/>
        </w:rPr>
        <w:lastRenderedPageBreak/>
        <w:t>s</w:t>
      </w:r>
      <w:r w:rsidR="00A44AF4">
        <w:rPr>
          <w:rFonts w:ascii="Times New Roman" w:hAnsi="Times New Roman"/>
        </w:rPr>
        <w:t> </w:t>
      </w:r>
      <w:r w:rsidR="00235DBD" w:rsidRPr="007E042A">
        <w:rPr>
          <w:rFonts w:ascii="Times New Roman" w:hAnsi="Times New Roman"/>
        </w:rPr>
        <w:t xml:space="preserve">60(4)(b) </w:t>
      </w:r>
      <w:r w:rsidR="008D4252" w:rsidRPr="007E042A">
        <w:rPr>
          <w:rFonts w:ascii="Times New Roman" w:hAnsi="Times New Roman"/>
        </w:rPr>
        <w:t xml:space="preserve">on </w:t>
      </w:r>
      <w:r w:rsidR="00FC356F" w:rsidRPr="007E042A">
        <w:rPr>
          <w:rFonts w:ascii="Times New Roman" w:hAnsi="Times New Roman"/>
        </w:rPr>
        <w:t xml:space="preserve">the </w:t>
      </w:r>
      <w:r w:rsidR="008D4252" w:rsidRPr="007E042A">
        <w:rPr>
          <w:rFonts w:ascii="Times New Roman" w:hAnsi="Times New Roman"/>
        </w:rPr>
        <w:t xml:space="preserve">decision-making authority </w:t>
      </w:r>
      <w:r w:rsidR="00C85411" w:rsidRPr="007E042A">
        <w:rPr>
          <w:rFonts w:ascii="Times New Roman" w:hAnsi="Times New Roman"/>
        </w:rPr>
        <w:t xml:space="preserve">conferred by s 30(3)(a)(ii) of the </w:t>
      </w:r>
      <w:r w:rsidR="00C85411" w:rsidRPr="007E042A">
        <w:rPr>
          <w:rFonts w:ascii="Times New Roman" w:hAnsi="Times New Roman"/>
          <w:i/>
          <w:iCs/>
        </w:rPr>
        <w:t xml:space="preserve">Water Act </w:t>
      </w:r>
      <w:r w:rsidR="00016677" w:rsidRPr="007E042A">
        <w:rPr>
          <w:rFonts w:ascii="Times New Roman" w:hAnsi="Times New Roman"/>
        </w:rPr>
        <w:t xml:space="preserve">and </w:t>
      </w:r>
      <w:r w:rsidR="007E655A" w:rsidRPr="007E042A">
        <w:rPr>
          <w:rFonts w:ascii="Times New Roman" w:hAnsi="Times New Roman"/>
        </w:rPr>
        <w:t xml:space="preserve">any reference to </w:t>
      </w:r>
      <w:r w:rsidR="00824D74" w:rsidRPr="007E042A">
        <w:rPr>
          <w:rFonts w:ascii="Times New Roman" w:hAnsi="Times New Roman"/>
        </w:rPr>
        <w:t xml:space="preserve">the delegate Minister having formed </w:t>
      </w:r>
      <w:r w:rsidR="00C33A7E" w:rsidRPr="007E042A">
        <w:rPr>
          <w:rFonts w:ascii="Times New Roman" w:hAnsi="Times New Roman"/>
        </w:rPr>
        <w:t>the requisite</w:t>
      </w:r>
      <w:r w:rsidR="00824D74" w:rsidRPr="007E042A">
        <w:rPr>
          <w:rFonts w:ascii="Times New Roman" w:hAnsi="Times New Roman"/>
        </w:rPr>
        <w:t xml:space="preserve"> state of satisfaction</w:t>
      </w:r>
      <w:r w:rsidR="00161F93" w:rsidRPr="007E042A">
        <w:rPr>
          <w:rFonts w:ascii="Times New Roman" w:hAnsi="Times New Roman"/>
        </w:rPr>
        <w:t xml:space="preserve"> </w:t>
      </w:r>
      <w:r w:rsidR="00EE26C0" w:rsidRPr="007E042A">
        <w:rPr>
          <w:rFonts w:ascii="Times New Roman" w:hAnsi="Times New Roman"/>
        </w:rPr>
        <w:t xml:space="preserve">that </w:t>
      </w:r>
      <w:r w:rsidR="007E655A" w:rsidRPr="007E042A">
        <w:rPr>
          <w:rFonts w:ascii="Times New Roman" w:hAnsi="Times New Roman"/>
        </w:rPr>
        <w:t xml:space="preserve">special circumstances </w:t>
      </w:r>
      <w:r w:rsidR="00EE26C0" w:rsidRPr="007E042A">
        <w:rPr>
          <w:rFonts w:ascii="Times New Roman" w:hAnsi="Times New Roman"/>
        </w:rPr>
        <w:t xml:space="preserve">existed </w:t>
      </w:r>
      <w:r w:rsidR="007E655A" w:rsidRPr="007E042A">
        <w:rPr>
          <w:rFonts w:ascii="Times New Roman" w:hAnsi="Times New Roman"/>
        </w:rPr>
        <w:t>which justified the grant of the water extraction licence for the longer period of 30 years.</w:t>
      </w:r>
      <w:r w:rsidR="00925D6E" w:rsidRPr="007E042A">
        <w:rPr>
          <w:rFonts w:ascii="Times New Roman" w:hAnsi="Times New Roman"/>
        </w:rPr>
        <w:t xml:space="preserve"> </w:t>
      </w:r>
      <w:r w:rsidR="00577D44" w:rsidRPr="007E042A">
        <w:rPr>
          <w:rFonts w:ascii="Times New Roman" w:hAnsi="Times New Roman"/>
        </w:rPr>
        <w:t>T</w:t>
      </w:r>
      <w:r w:rsidR="0089138B" w:rsidRPr="007E042A">
        <w:rPr>
          <w:rFonts w:ascii="Times New Roman" w:hAnsi="Times New Roman"/>
        </w:rPr>
        <w:t xml:space="preserve">he inference </w:t>
      </w:r>
      <w:r w:rsidR="00E702D0" w:rsidRPr="007E042A">
        <w:rPr>
          <w:rFonts w:ascii="Times New Roman" w:hAnsi="Times New Roman"/>
        </w:rPr>
        <w:t xml:space="preserve">to be drawn from those omissions from the decision-making record </w:t>
      </w:r>
      <w:r w:rsidR="00C17268" w:rsidRPr="007E042A">
        <w:rPr>
          <w:rFonts w:ascii="Times New Roman" w:hAnsi="Times New Roman"/>
        </w:rPr>
        <w:t xml:space="preserve">is </w:t>
      </w:r>
      <w:r w:rsidR="001B1AD3" w:rsidRPr="007E042A">
        <w:rPr>
          <w:rFonts w:ascii="Times New Roman" w:hAnsi="Times New Roman"/>
        </w:rPr>
        <w:t xml:space="preserve">that the delegate Minister </w:t>
      </w:r>
      <w:r w:rsidR="000A12FA" w:rsidRPr="007E042A">
        <w:rPr>
          <w:rFonts w:ascii="Times New Roman" w:hAnsi="Times New Roman"/>
        </w:rPr>
        <w:t>did</w:t>
      </w:r>
      <w:r w:rsidR="00E11FE9" w:rsidRPr="007E042A">
        <w:rPr>
          <w:rFonts w:ascii="Times New Roman" w:hAnsi="Times New Roman"/>
        </w:rPr>
        <w:t xml:space="preserve"> not consider</w:t>
      </w:r>
      <w:r w:rsidR="000A12FA" w:rsidRPr="007E042A">
        <w:rPr>
          <w:rFonts w:ascii="Times New Roman" w:hAnsi="Times New Roman"/>
        </w:rPr>
        <w:t xml:space="preserve"> </w:t>
      </w:r>
      <w:r w:rsidR="0059526F" w:rsidRPr="007E042A">
        <w:rPr>
          <w:rFonts w:ascii="Times New Roman" w:hAnsi="Times New Roman"/>
        </w:rPr>
        <w:t>f</w:t>
      </w:r>
      <w:r w:rsidR="00EB6AAE" w:rsidRPr="007E042A">
        <w:rPr>
          <w:rFonts w:ascii="Times New Roman" w:hAnsi="Times New Roman"/>
        </w:rPr>
        <w:t>orm</w:t>
      </w:r>
      <w:r w:rsidR="0059526F" w:rsidRPr="007E042A">
        <w:rPr>
          <w:rFonts w:ascii="Times New Roman" w:hAnsi="Times New Roman"/>
        </w:rPr>
        <w:t>ation</w:t>
      </w:r>
      <w:r w:rsidR="00EB6AAE" w:rsidRPr="007E042A">
        <w:rPr>
          <w:rFonts w:ascii="Times New Roman" w:hAnsi="Times New Roman"/>
        </w:rPr>
        <w:t xml:space="preserve"> </w:t>
      </w:r>
      <w:r w:rsidR="00C17268" w:rsidRPr="007E042A">
        <w:rPr>
          <w:rFonts w:ascii="Times New Roman" w:hAnsi="Times New Roman"/>
        </w:rPr>
        <w:t xml:space="preserve">of </w:t>
      </w:r>
      <w:r w:rsidR="00EB6AAE" w:rsidRPr="007E042A">
        <w:rPr>
          <w:rFonts w:ascii="Times New Roman" w:hAnsi="Times New Roman"/>
        </w:rPr>
        <w:t xml:space="preserve">a state of satisfaction </w:t>
      </w:r>
      <w:r w:rsidR="0071167E" w:rsidRPr="007E042A">
        <w:rPr>
          <w:rFonts w:ascii="Times New Roman" w:hAnsi="Times New Roman"/>
        </w:rPr>
        <w:t>as to the</w:t>
      </w:r>
      <w:r w:rsidR="00EB6AAE" w:rsidRPr="007E042A">
        <w:rPr>
          <w:rFonts w:ascii="Times New Roman" w:hAnsi="Times New Roman"/>
        </w:rPr>
        <w:t xml:space="preserve"> existe</w:t>
      </w:r>
      <w:r w:rsidR="0071167E" w:rsidRPr="007E042A">
        <w:rPr>
          <w:rFonts w:ascii="Times New Roman" w:hAnsi="Times New Roman"/>
        </w:rPr>
        <w:t>nce of</w:t>
      </w:r>
      <w:r w:rsidR="00EB6AAE" w:rsidRPr="007E042A">
        <w:rPr>
          <w:rFonts w:ascii="Times New Roman" w:hAnsi="Times New Roman"/>
        </w:rPr>
        <w:t xml:space="preserve"> special circumstances which justified the grant of the water extraction licence for the longer period of 30 years</w:t>
      </w:r>
      <w:r w:rsidR="00E11FE9" w:rsidRPr="007E042A">
        <w:rPr>
          <w:rFonts w:ascii="Times New Roman" w:hAnsi="Times New Roman"/>
        </w:rPr>
        <w:t xml:space="preserve"> to have been essential to the making of the decision</w:t>
      </w:r>
      <w:r w:rsidR="00C17268" w:rsidRPr="007E042A">
        <w:rPr>
          <w:rFonts w:ascii="Times New Roman" w:hAnsi="Times New Roman"/>
        </w:rPr>
        <w:t>.</w:t>
      </w:r>
      <w:r w:rsidR="00CB05D5" w:rsidRPr="007E042A">
        <w:rPr>
          <w:rFonts w:ascii="Times New Roman" w:hAnsi="Times New Roman"/>
        </w:rPr>
        <w:t xml:space="preserve"> </w:t>
      </w:r>
      <w:r w:rsidR="00C17268" w:rsidRPr="007E042A">
        <w:rPr>
          <w:rFonts w:ascii="Times New Roman" w:hAnsi="Times New Roman"/>
        </w:rPr>
        <w:t xml:space="preserve">Although </w:t>
      </w:r>
      <w:r w:rsidR="00CB05D5" w:rsidRPr="007E042A">
        <w:rPr>
          <w:rFonts w:ascii="Times New Roman" w:hAnsi="Times New Roman"/>
        </w:rPr>
        <w:t xml:space="preserve">potentially capable of being balanced or outweighed by countervailing inferences drawn from other evidence, </w:t>
      </w:r>
      <w:r w:rsidR="00C17268" w:rsidRPr="007E042A">
        <w:rPr>
          <w:rFonts w:ascii="Times New Roman" w:hAnsi="Times New Roman"/>
        </w:rPr>
        <w:t xml:space="preserve">that inference </w:t>
      </w:r>
      <w:r w:rsidR="004F1AB6" w:rsidRPr="007E042A">
        <w:rPr>
          <w:rFonts w:ascii="Times New Roman" w:hAnsi="Times New Roman"/>
        </w:rPr>
        <w:t xml:space="preserve">is only reinforced by </w:t>
      </w:r>
      <w:r w:rsidR="000B3B1F" w:rsidRPr="007E042A">
        <w:rPr>
          <w:rFonts w:ascii="Times New Roman" w:hAnsi="Times New Roman"/>
        </w:rPr>
        <w:t>th</w:t>
      </w:r>
      <w:r w:rsidR="00CB05D5" w:rsidRPr="007E042A">
        <w:rPr>
          <w:rFonts w:ascii="Times New Roman" w:hAnsi="Times New Roman"/>
        </w:rPr>
        <w:t xml:space="preserve">e </w:t>
      </w:r>
      <w:r w:rsidR="00E63C95" w:rsidRPr="007E042A">
        <w:rPr>
          <w:rFonts w:ascii="Times New Roman" w:hAnsi="Times New Roman"/>
        </w:rPr>
        <w:t>further</w:t>
      </w:r>
      <w:r w:rsidR="000B3B1F" w:rsidRPr="007E042A">
        <w:rPr>
          <w:rFonts w:ascii="Times New Roman" w:hAnsi="Times New Roman"/>
        </w:rPr>
        <w:t xml:space="preserve"> evidence</w:t>
      </w:r>
      <w:r w:rsidR="00E63C95" w:rsidRPr="007E042A">
        <w:rPr>
          <w:rFonts w:ascii="Times New Roman" w:hAnsi="Times New Roman"/>
        </w:rPr>
        <w:t xml:space="preserve"> as to </w:t>
      </w:r>
      <w:r w:rsidR="00CB05D5" w:rsidRPr="007E042A">
        <w:rPr>
          <w:rFonts w:ascii="Times New Roman" w:hAnsi="Times New Roman"/>
        </w:rPr>
        <w:t>the sequencing of events, the contents of the Ministerial briefings to the delegate Minister and the contents of the report containing the opinion of the Review Panel</w:t>
      </w:r>
      <w:r w:rsidR="000B3B1F" w:rsidRPr="007E042A">
        <w:rPr>
          <w:rFonts w:ascii="Times New Roman" w:hAnsi="Times New Roman"/>
        </w:rPr>
        <w:t xml:space="preserve">. </w:t>
      </w:r>
      <w:r w:rsidR="00A06F50" w:rsidRPr="007E042A">
        <w:rPr>
          <w:rFonts w:ascii="Times New Roman" w:hAnsi="Times New Roman"/>
        </w:rPr>
        <w:t xml:space="preserve">As revealed by that </w:t>
      </w:r>
      <w:r w:rsidR="00E63C95" w:rsidRPr="007E042A">
        <w:rPr>
          <w:rFonts w:ascii="Times New Roman" w:hAnsi="Times New Roman"/>
        </w:rPr>
        <w:t>further</w:t>
      </w:r>
      <w:r w:rsidR="00A06F50" w:rsidRPr="007E042A">
        <w:rPr>
          <w:rFonts w:ascii="Times New Roman" w:hAnsi="Times New Roman"/>
        </w:rPr>
        <w:t xml:space="preserve"> evidence, t</w:t>
      </w:r>
      <w:r w:rsidR="002D26BC" w:rsidRPr="007E042A">
        <w:rPr>
          <w:rFonts w:ascii="Times New Roman" w:hAnsi="Times New Roman"/>
        </w:rPr>
        <w:t xml:space="preserve">he limitation </w:t>
      </w:r>
      <w:r w:rsidR="005E2EA4" w:rsidRPr="007E042A">
        <w:rPr>
          <w:rFonts w:ascii="Times New Roman" w:hAnsi="Times New Roman"/>
        </w:rPr>
        <w:t>on decision-making authority set by s 60(3) read with s 60(4)(b)</w:t>
      </w:r>
      <w:r w:rsidR="00783C60" w:rsidRPr="007E042A">
        <w:rPr>
          <w:rFonts w:ascii="Times New Roman" w:hAnsi="Times New Roman"/>
        </w:rPr>
        <w:t xml:space="preserve">: </w:t>
      </w:r>
      <w:r w:rsidR="002D26BC" w:rsidRPr="007E042A">
        <w:rPr>
          <w:rFonts w:ascii="Times New Roman" w:hAnsi="Times New Roman"/>
        </w:rPr>
        <w:t>was introduced by legislative amendment</w:t>
      </w:r>
      <w:r w:rsidR="00C41E12" w:rsidRPr="007E042A">
        <w:rPr>
          <w:rStyle w:val="FootnoteReference"/>
          <w:rFonts w:ascii="Times New Roman" w:hAnsi="Times New Roman"/>
          <w:sz w:val="24"/>
        </w:rPr>
        <w:footnoteReference w:id="13"/>
      </w:r>
      <w:r w:rsidR="002D26BC" w:rsidRPr="007E042A">
        <w:rPr>
          <w:rFonts w:ascii="Times New Roman" w:hAnsi="Times New Roman"/>
        </w:rPr>
        <w:t xml:space="preserve"> after the </w:t>
      </w:r>
      <w:r w:rsidR="00EA413A" w:rsidRPr="007E042A">
        <w:rPr>
          <w:rFonts w:ascii="Times New Roman" w:hAnsi="Times New Roman"/>
        </w:rPr>
        <w:t xml:space="preserve">making of the </w:t>
      </w:r>
      <w:r w:rsidR="00C476F2" w:rsidRPr="007E042A">
        <w:rPr>
          <w:rFonts w:ascii="Times New Roman" w:hAnsi="Times New Roman"/>
        </w:rPr>
        <w:t xml:space="preserve">decision </w:t>
      </w:r>
      <w:r w:rsidR="00EA413A" w:rsidRPr="007E042A">
        <w:rPr>
          <w:rFonts w:ascii="Times New Roman" w:hAnsi="Times New Roman"/>
        </w:rPr>
        <w:t>by</w:t>
      </w:r>
      <w:r w:rsidR="00C476F2" w:rsidRPr="007E042A">
        <w:rPr>
          <w:rFonts w:ascii="Times New Roman" w:hAnsi="Times New Roman"/>
        </w:rPr>
        <w:t xml:space="preserve"> the Controller which was under review and </w:t>
      </w:r>
      <w:r w:rsidR="00783C60" w:rsidRPr="007E042A">
        <w:rPr>
          <w:rFonts w:ascii="Times New Roman" w:hAnsi="Times New Roman"/>
        </w:rPr>
        <w:t xml:space="preserve">shortly before </w:t>
      </w:r>
      <w:r w:rsidR="008A7DE6" w:rsidRPr="007E042A">
        <w:rPr>
          <w:rFonts w:ascii="Times New Roman" w:hAnsi="Times New Roman"/>
        </w:rPr>
        <w:t xml:space="preserve">the </w:t>
      </w:r>
      <w:r w:rsidR="002D35E5" w:rsidRPr="007E042A">
        <w:rPr>
          <w:rFonts w:ascii="Times New Roman" w:hAnsi="Times New Roman"/>
        </w:rPr>
        <w:t xml:space="preserve">report of the </w:t>
      </w:r>
      <w:r w:rsidR="00725C75" w:rsidRPr="007E042A">
        <w:rPr>
          <w:rFonts w:ascii="Times New Roman" w:hAnsi="Times New Roman"/>
        </w:rPr>
        <w:t xml:space="preserve">Review Panel; was not addressed in the report of the Review Panel; and was not </w:t>
      </w:r>
      <w:r w:rsidR="00B872E9" w:rsidRPr="007E042A">
        <w:rPr>
          <w:rFonts w:ascii="Times New Roman" w:hAnsi="Times New Roman"/>
        </w:rPr>
        <w:t xml:space="preserve">explained or </w:t>
      </w:r>
      <w:r w:rsidR="00E44E09" w:rsidRPr="007E042A">
        <w:rPr>
          <w:rFonts w:ascii="Times New Roman" w:hAnsi="Times New Roman"/>
        </w:rPr>
        <w:t xml:space="preserve">even </w:t>
      </w:r>
      <w:r w:rsidR="00725C75" w:rsidRPr="007E042A">
        <w:rPr>
          <w:rFonts w:ascii="Times New Roman" w:hAnsi="Times New Roman"/>
        </w:rPr>
        <w:t xml:space="preserve">referred </w:t>
      </w:r>
      <w:r w:rsidR="004A03D8" w:rsidRPr="007E042A">
        <w:rPr>
          <w:rFonts w:ascii="Times New Roman" w:hAnsi="Times New Roman"/>
        </w:rPr>
        <w:t xml:space="preserve">to </w:t>
      </w:r>
      <w:r w:rsidR="00881BC2" w:rsidRPr="007E042A">
        <w:rPr>
          <w:rFonts w:ascii="Times New Roman" w:hAnsi="Times New Roman"/>
        </w:rPr>
        <w:t xml:space="preserve">in </w:t>
      </w:r>
      <w:r w:rsidR="004A03D8" w:rsidRPr="007E042A">
        <w:rPr>
          <w:rFonts w:ascii="Times New Roman" w:hAnsi="Times New Roman"/>
        </w:rPr>
        <w:t xml:space="preserve">the Ministerial briefings. </w:t>
      </w:r>
    </w:p>
    <w:p w14:paraId="15C405BC" w14:textId="2EE8FE8B" w:rsidR="007E655A" w:rsidRPr="007E042A" w:rsidRDefault="00B45632"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127E30" w:rsidRPr="007E042A">
        <w:rPr>
          <w:rFonts w:ascii="Times New Roman" w:hAnsi="Times New Roman"/>
        </w:rPr>
        <w:t xml:space="preserve">The </w:t>
      </w:r>
      <w:r w:rsidR="00C61DAF" w:rsidRPr="007E042A">
        <w:rPr>
          <w:rFonts w:ascii="Times New Roman" w:hAnsi="Times New Roman"/>
        </w:rPr>
        <w:t xml:space="preserve">appropriate </w:t>
      </w:r>
      <w:r w:rsidR="00881BC2" w:rsidRPr="007E042A">
        <w:rPr>
          <w:rFonts w:ascii="Times New Roman" w:hAnsi="Times New Roman"/>
        </w:rPr>
        <w:t xml:space="preserve">conclusion </w:t>
      </w:r>
      <w:r w:rsidR="00127E30" w:rsidRPr="007E042A">
        <w:rPr>
          <w:rFonts w:ascii="Times New Roman" w:hAnsi="Times New Roman"/>
        </w:rPr>
        <w:t xml:space="preserve">to be drawn on the balance of probabilities </w:t>
      </w:r>
      <w:r w:rsidR="003F3E30" w:rsidRPr="007E042A">
        <w:rPr>
          <w:rFonts w:ascii="Times New Roman" w:hAnsi="Times New Roman"/>
        </w:rPr>
        <w:t>in the totality of th</w:t>
      </w:r>
      <w:r w:rsidR="00D54E91" w:rsidRPr="007E042A">
        <w:rPr>
          <w:rFonts w:ascii="Times New Roman" w:hAnsi="Times New Roman"/>
        </w:rPr>
        <w:t xml:space="preserve">ose </w:t>
      </w:r>
      <w:r w:rsidR="003F3E30" w:rsidRPr="007E042A">
        <w:rPr>
          <w:rFonts w:ascii="Times New Roman" w:hAnsi="Times New Roman"/>
        </w:rPr>
        <w:t xml:space="preserve">circumstances </w:t>
      </w:r>
      <w:r w:rsidR="00127E30" w:rsidRPr="007E042A">
        <w:rPr>
          <w:rFonts w:ascii="Times New Roman" w:hAnsi="Times New Roman"/>
        </w:rPr>
        <w:t xml:space="preserve">is that the </w:t>
      </w:r>
      <w:r w:rsidR="000011A7" w:rsidRPr="007E042A">
        <w:rPr>
          <w:rFonts w:ascii="Times New Roman" w:hAnsi="Times New Roman"/>
        </w:rPr>
        <w:t xml:space="preserve">applicable </w:t>
      </w:r>
      <w:r w:rsidR="00250530" w:rsidRPr="007E042A">
        <w:rPr>
          <w:rFonts w:ascii="Times New Roman" w:hAnsi="Times New Roman"/>
        </w:rPr>
        <w:t xml:space="preserve">limitation </w:t>
      </w:r>
      <w:r w:rsidR="000011A7" w:rsidRPr="007E042A">
        <w:rPr>
          <w:rFonts w:ascii="Times New Roman" w:hAnsi="Times New Roman"/>
        </w:rPr>
        <w:t xml:space="preserve">on decision-making authority </w:t>
      </w:r>
      <w:r w:rsidR="00250530" w:rsidRPr="007E042A">
        <w:rPr>
          <w:rFonts w:ascii="Times New Roman" w:hAnsi="Times New Roman"/>
        </w:rPr>
        <w:t>was simply overlooked</w:t>
      </w:r>
      <w:r w:rsidR="0085681F" w:rsidRPr="007E042A">
        <w:rPr>
          <w:rFonts w:ascii="Times New Roman" w:hAnsi="Times New Roman"/>
        </w:rPr>
        <w:t xml:space="preserve"> in the decision-making process.</w:t>
      </w:r>
      <w:r w:rsidR="00D836D9" w:rsidRPr="007E042A">
        <w:rPr>
          <w:rFonts w:ascii="Times New Roman" w:hAnsi="Times New Roman"/>
        </w:rPr>
        <w:t xml:space="preserve"> The delegate Minister </w:t>
      </w:r>
      <w:r w:rsidR="00E96BD6" w:rsidRPr="007E042A">
        <w:rPr>
          <w:rFonts w:ascii="Times New Roman" w:hAnsi="Times New Roman"/>
        </w:rPr>
        <w:t xml:space="preserve">was not apprised of </w:t>
      </w:r>
      <w:r w:rsidR="001E6772" w:rsidRPr="007E042A">
        <w:rPr>
          <w:rFonts w:ascii="Times New Roman" w:hAnsi="Times New Roman"/>
        </w:rPr>
        <w:t>the limitation</w:t>
      </w:r>
      <w:r w:rsidR="00E66F10" w:rsidRPr="007E042A">
        <w:rPr>
          <w:rFonts w:ascii="Times New Roman" w:hAnsi="Times New Roman"/>
        </w:rPr>
        <w:t>,</w:t>
      </w:r>
      <w:r w:rsidR="00747F0D" w:rsidRPr="007E042A">
        <w:rPr>
          <w:rFonts w:ascii="Times New Roman" w:hAnsi="Times New Roman"/>
        </w:rPr>
        <w:t xml:space="preserve"> </w:t>
      </w:r>
      <w:r w:rsidR="004F528D" w:rsidRPr="007E042A">
        <w:rPr>
          <w:rFonts w:ascii="Times New Roman" w:hAnsi="Times New Roman"/>
        </w:rPr>
        <w:t>did not</w:t>
      </w:r>
      <w:r w:rsidR="00B720D5" w:rsidRPr="007E042A">
        <w:rPr>
          <w:rFonts w:ascii="Times New Roman" w:hAnsi="Times New Roman"/>
        </w:rPr>
        <w:t xml:space="preserve"> address </w:t>
      </w:r>
      <w:r w:rsidR="008A494C" w:rsidRPr="007E042A">
        <w:rPr>
          <w:rFonts w:ascii="Times New Roman" w:hAnsi="Times New Roman"/>
        </w:rPr>
        <w:t xml:space="preserve">herself to </w:t>
      </w:r>
      <w:r w:rsidR="00324BD9" w:rsidRPr="007E042A">
        <w:rPr>
          <w:rFonts w:ascii="Times New Roman" w:hAnsi="Times New Roman"/>
        </w:rPr>
        <w:t xml:space="preserve">determining </w:t>
      </w:r>
      <w:r w:rsidR="00EF0BF0" w:rsidRPr="007E042A">
        <w:rPr>
          <w:rFonts w:ascii="Times New Roman" w:hAnsi="Times New Roman"/>
        </w:rPr>
        <w:t xml:space="preserve">the </w:t>
      </w:r>
      <w:r w:rsidR="00233493" w:rsidRPr="007E042A">
        <w:rPr>
          <w:rFonts w:ascii="Times New Roman" w:hAnsi="Times New Roman"/>
        </w:rPr>
        <w:t>existence of</w:t>
      </w:r>
      <w:r w:rsidR="00EC47C9" w:rsidRPr="007E042A">
        <w:rPr>
          <w:rFonts w:ascii="Times New Roman" w:hAnsi="Times New Roman"/>
        </w:rPr>
        <w:t xml:space="preserve"> </w:t>
      </w:r>
      <w:r w:rsidR="00D836D9" w:rsidRPr="007E042A">
        <w:rPr>
          <w:rFonts w:ascii="Times New Roman" w:hAnsi="Times New Roman"/>
        </w:rPr>
        <w:t xml:space="preserve">special circumstances </w:t>
      </w:r>
      <w:r w:rsidR="00E9116C" w:rsidRPr="007E042A">
        <w:rPr>
          <w:rFonts w:ascii="Times New Roman" w:hAnsi="Times New Roman"/>
        </w:rPr>
        <w:t xml:space="preserve">which </w:t>
      </w:r>
      <w:r w:rsidR="00D836D9" w:rsidRPr="007E042A">
        <w:rPr>
          <w:rFonts w:ascii="Times New Roman" w:hAnsi="Times New Roman"/>
        </w:rPr>
        <w:t xml:space="preserve">justified the grant of the water extraction licence for the </w:t>
      </w:r>
      <w:r w:rsidR="00144B10" w:rsidRPr="007E042A">
        <w:rPr>
          <w:rFonts w:ascii="Times New Roman" w:hAnsi="Times New Roman"/>
        </w:rPr>
        <w:t xml:space="preserve">longer </w:t>
      </w:r>
      <w:r w:rsidR="00D836D9" w:rsidRPr="007E042A">
        <w:rPr>
          <w:rFonts w:ascii="Times New Roman" w:hAnsi="Times New Roman"/>
        </w:rPr>
        <w:t>period of 30 years</w:t>
      </w:r>
      <w:r w:rsidR="007333FE" w:rsidRPr="007E042A">
        <w:rPr>
          <w:rFonts w:ascii="Times New Roman" w:hAnsi="Times New Roman"/>
        </w:rPr>
        <w:t xml:space="preserve"> </w:t>
      </w:r>
      <w:r w:rsidR="004D12CB" w:rsidRPr="007E042A">
        <w:rPr>
          <w:rFonts w:ascii="Times New Roman" w:hAnsi="Times New Roman"/>
        </w:rPr>
        <w:t>and did not</w:t>
      </w:r>
      <w:r w:rsidR="007333FE" w:rsidRPr="007E042A">
        <w:rPr>
          <w:rFonts w:ascii="Times New Roman" w:hAnsi="Times New Roman"/>
        </w:rPr>
        <w:t xml:space="preserve"> form a state of satisfaction that</w:t>
      </w:r>
      <w:r w:rsidR="00394AC2" w:rsidRPr="007E042A">
        <w:rPr>
          <w:rFonts w:ascii="Times New Roman" w:hAnsi="Times New Roman"/>
        </w:rPr>
        <w:t xml:space="preserve"> such special circumstances existed.</w:t>
      </w:r>
    </w:p>
    <w:p w14:paraId="6FB42E3A" w14:textId="0AACE9E3" w:rsidR="008A3A30" w:rsidRPr="007E042A" w:rsidRDefault="008A3A30"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4F690F" w:rsidRPr="007E042A">
        <w:rPr>
          <w:rFonts w:ascii="Times New Roman" w:hAnsi="Times New Roman"/>
        </w:rPr>
        <w:t>T</w:t>
      </w:r>
      <w:r w:rsidR="008E5C13" w:rsidRPr="007E042A">
        <w:rPr>
          <w:rFonts w:ascii="Times New Roman" w:hAnsi="Times New Roman"/>
        </w:rPr>
        <w:t xml:space="preserve">he </w:t>
      </w:r>
      <w:r w:rsidR="004F690F" w:rsidRPr="007E042A">
        <w:rPr>
          <w:rFonts w:ascii="Times New Roman" w:hAnsi="Times New Roman"/>
        </w:rPr>
        <w:t xml:space="preserve">failure of the </w:t>
      </w:r>
      <w:r w:rsidR="008E5C13" w:rsidRPr="007E042A">
        <w:rPr>
          <w:rFonts w:ascii="Times New Roman" w:hAnsi="Times New Roman"/>
        </w:rPr>
        <w:t>delegate Minister</w:t>
      </w:r>
      <w:r w:rsidR="005A11CB" w:rsidRPr="007E042A">
        <w:rPr>
          <w:rFonts w:ascii="Times New Roman" w:hAnsi="Times New Roman"/>
        </w:rPr>
        <w:t xml:space="preserve"> </w:t>
      </w:r>
      <w:r w:rsidR="004F690F" w:rsidRPr="007E042A">
        <w:rPr>
          <w:rFonts w:ascii="Times New Roman" w:hAnsi="Times New Roman"/>
        </w:rPr>
        <w:t xml:space="preserve">to </w:t>
      </w:r>
      <w:r w:rsidR="008E5C13" w:rsidRPr="007E042A">
        <w:rPr>
          <w:rFonts w:ascii="Times New Roman" w:hAnsi="Times New Roman"/>
        </w:rPr>
        <w:t xml:space="preserve">form </w:t>
      </w:r>
      <w:r w:rsidR="00681B2F" w:rsidRPr="007E042A">
        <w:rPr>
          <w:rFonts w:ascii="Times New Roman" w:hAnsi="Times New Roman"/>
        </w:rPr>
        <w:t>the requisite</w:t>
      </w:r>
      <w:r w:rsidR="008E5C13" w:rsidRPr="007E042A">
        <w:rPr>
          <w:rFonts w:ascii="Times New Roman" w:hAnsi="Times New Roman"/>
        </w:rPr>
        <w:t xml:space="preserve"> state of satisfaction that special circumstances </w:t>
      </w:r>
      <w:r w:rsidR="00050CC0" w:rsidRPr="007E042A">
        <w:rPr>
          <w:rFonts w:ascii="Times New Roman" w:hAnsi="Times New Roman"/>
        </w:rPr>
        <w:t>existe</w:t>
      </w:r>
      <w:r w:rsidR="00632AA9" w:rsidRPr="007E042A">
        <w:rPr>
          <w:rFonts w:ascii="Times New Roman" w:hAnsi="Times New Roman"/>
        </w:rPr>
        <w:t>d</w:t>
      </w:r>
      <w:r w:rsidR="00050CC0" w:rsidRPr="007E042A">
        <w:rPr>
          <w:rFonts w:ascii="Times New Roman" w:hAnsi="Times New Roman"/>
        </w:rPr>
        <w:t xml:space="preserve"> </w:t>
      </w:r>
      <w:r w:rsidR="000F6D28" w:rsidRPr="007E042A">
        <w:rPr>
          <w:rFonts w:ascii="Times New Roman" w:hAnsi="Times New Roman"/>
        </w:rPr>
        <w:t xml:space="preserve">was of itself </w:t>
      </w:r>
      <w:r w:rsidR="003C769E" w:rsidRPr="007E042A">
        <w:rPr>
          <w:rFonts w:ascii="Times New Roman" w:hAnsi="Times New Roman"/>
        </w:rPr>
        <w:t xml:space="preserve">a failure to comply with </w:t>
      </w:r>
      <w:r w:rsidR="000F6D28" w:rsidRPr="007E042A">
        <w:rPr>
          <w:rFonts w:ascii="Times New Roman" w:hAnsi="Times New Roman"/>
        </w:rPr>
        <w:t>the limit</w:t>
      </w:r>
      <w:r w:rsidR="00E958E6" w:rsidRPr="007E042A">
        <w:rPr>
          <w:rFonts w:ascii="Times New Roman" w:hAnsi="Times New Roman"/>
        </w:rPr>
        <w:t xml:space="preserve">ation </w:t>
      </w:r>
      <w:r w:rsidR="002D6EFB" w:rsidRPr="007E042A">
        <w:rPr>
          <w:rFonts w:ascii="Times New Roman" w:hAnsi="Times New Roman"/>
        </w:rPr>
        <w:t xml:space="preserve">set by s 60(3) read with s 60(4)(b) </w:t>
      </w:r>
      <w:r w:rsidR="00E958E6" w:rsidRPr="007E042A">
        <w:rPr>
          <w:rFonts w:ascii="Times New Roman" w:hAnsi="Times New Roman"/>
        </w:rPr>
        <w:t xml:space="preserve">on </w:t>
      </w:r>
      <w:r w:rsidR="000F6D28" w:rsidRPr="007E042A">
        <w:rPr>
          <w:rFonts w:ascii="Times New Roman" w:hAnsi="Times New Roman"/>
        </w:rPr>
        <w:t xml:space="preserve">the decision-making authority </w:t>
      </w:r>
      <w:r w:rsidR="00F84674" w:rsidRPr="007E042A">
        <w:rPr>
          <w:rFonts w:ascii="Times New Roman" w:hAnsi="Times New Roman"/>
        </w:rPr>
        <w:t xml:space="preserve">conferred by s 30(3)(a)(ii) of the </w:t>
      </w:r>
      <w:r w:rsidR="00F84674" w:rsidRPr="007E042A">
        <w:rPr>
          <w:rFonts w:ascii="Times New Roman" w:hAnsi="Times New Roman"/>
          <w:i/>
          <w:iCs/>
        </w:rPr>
        <w:t>Water Act</w:t>
      </w:r>
      <w:r w:rsidR="008E4989" w:rsidRPr="007E042A">
        <w:rPr>
          <w:rFonts w:ascii="Times New Roman" w:hAnsi="Times New Roman"/>
        </w:rPr>
        <w:t>,</w:t>
      </w:r>
      <w:r w:rsidR="00F5516F" w:rsidRPr="007E042A">
        <w:rPr>
          <w:rFonts w:ascii="Times New Roman" w:hAnsi="Times New Roman"/>
        </w:rPr>
        <w:t xml:space="preserve"> such as to render the </w:t>
      </w:r>
      <w:r w:rsidR="00766B42" w:rsidRPr="007E042A">
        <w:rPr>
          <w:rFonts w:ascii="Times New Roman" w:hAnsi="Times New Roman"/>
        </w:rPr>
        <w:t xml:space="preserve">delegate Minister's </w:t>
      </w:r>
      <w:r w:rsidR="00D72460" w:rsidRPr="007E042A">
        <w:rPr>
          <w:rFonts w:ascii="Times New Roman" w:hAnsi="Times New Roman"/>
        </w:rPr>
        <w:t xml:space="preserve">decision </w:t>
      </w:r>
      <w:r w:rsidR="00DA272F" w:rsidRPr="007E042A">
        <w:rPr>
          <w:rFonts w:ascii="Times New Roman" w:hAnsi="Times New Roman"/>
        </w:rPr>
        <w:t xml:space="preserve">to grant the water extraction licence </w:t>
      </w:r>
      <w:r w:rsidR="00E347F7" w:rsidRPr="007E042A">
        <w:rPr>
          <w:rFonts w:ascii="Times New Roman" w:hAnsi="Times New Roman"/>
        </w:rPr>
        <w:t>"in law ... no decision at all".</w:t>
      </w:r>
      <w:r w:rsidR="007E6B14" w:rsidRPr="007E042A">
        <w:rPr>
          <w:rStyle w:val="FootnoteReference"/>
          <w:rFonts w:ascii="Times New Roman" w:hAnsi="Times New Roman"/>
          <w:sz w:val="24"/>
        </w:rPr>
        <w:footnoteReference w:id="14"/>
      </w:r>
      <w:r w:rsidR="002200C7" w:rsidRPr="007E042A">
        <w:rPr>
          <w:rFonts w:ascii="Times New Roman" w:hAnsi="Times New Roman"/>
        </w:rPr>
        <w:t xml:space="preserve"> </w:t>
      </w:r>
      <w:r w:rsidR="00C309AB" w:rsidRPr="007E042A">
        <w:rPr>
          <w:rFonts w:ascii="Times New Roman" w:hAnsi="Times New Roman"/>
        </w:rPr>
        <w:t>T</w:t>
      </w:r>
      <w:r w:rsidR="002200C7" w:rsidRPr="007E042A">
        <w:rPr>
          <w:rFonts w:ascii="Times New Roman" w:hAnsi="Times New Roman"/>
        </w:rPr>
        <w:t xml:space="preserve">hat </w:t>
      </w:r>
      <w:r w:rsidR="006C5526" w:rsidRPr="007E042A">
        <w:rPr>
          <w:rFonts w:ascii="Times New Roman" w:hAnsi="Times New Roman"/>
        </w:rPr>
        <w:t>must be</w:t>
      </w:r>
      <w:r w:rsidR="002200C7" w:rsidRPr="007E042A">
        <w:rPr>
          <w:rFonts w:ascii="Times New Roman" w:hAnsi="Times New Roman"/>
        </w:rPr>
        <w:t xml:space="preserve"> so</w:t>
      </w:r>
      <w:r w:rsidR="000B3F54" w:rsidRPr="007E042A">
        <w:rPr>
          <w:rFonts w:ascii="Times New Roman" w:hAnsi="Times New Roman"/>
        </w:rPr>
        <w:t xml:space="preserve"> "</w:t>
      </w:r>
      <w:r w:rsidR="00184A26" w:rsidRPr="007E042A">
        <w:rPr>
          <w:rFonts w:ascii="Times New Roman" w:hAnsi="Times New Roman"/>
        </w:rPr>
        <w:t>i</w:t>
      </w:r>
      <w:r w:rsidR="000B3F54" w:rsidRPr="007E042A">
        <w:rPr>
          <w:rFonts w:ascii="Times New Roman" w:hAnsi="Times New Roman"/>
        </w:rPr>
        <w:t>rrespective</w:t>
      </w:r>
      <w:r w:rsidR="00184A26" w:rsidRPr="007E042A">
        <w:rPr>
          <w:rFonts w:ascii="Times New Roman" w:hAnsi="Times New Roman"/>
        </w:rPr>
        <w:t xml:space="preserve"> o</w:t>
      </w:r>
      <w:r w:rsidR="00ED4A78" w:rsidRPr="007E042A">
        <w:rPr>
          <w:rFonts w:ascii="Times New Roman" w:hAnsi="Times New Roman"/>
        </w:rPr>
        <w:t>f any effect that the</w:t>
      </w:r>
      <w:r w:rsidR="00184A26" w:rsidRPr="007E042A">
        <w:rPr>
          <w:rFonts w:ascii="Times New Roman" w:hAnsi="Times New Roman"/>
        </w:rPr>
        <w:t xml:space="preserve"> [failure] </w:t>
      </w:r>
      <w:r w:rsidR="00ED4A78" w:rsidRPr="007E042A">
        <w:rPr>
          <w:rFonts w:ascii="Times New Roman" w:hAnsi="Times New Roman"/>
        </w:rPr>
        <w:t>might or might not have had on the decision that was made in fact".</w:t>
      </w:r>
      <w:r w:rsidR="00184A26" w:rsidRPr="007E042A">
        <w:rPr>
          <w:rStyle w:val="FootnoteReference"/>
          <w:rFonts w:ascii="Times New Roman" w:hAnsi="Times New Roman"/>
          <w:sz w:val="24"/>
        </w:rPr>
        <w:footnoteReference w:id="15"/>
      </w:r>
      <w:r w:rsidR="00ED4A78" w:rsidRPr="007E042A">
        <w:rPr>
          <w:rFonts w:ascii="Times New Roman" w:hAnsi="Times New Roman"/>
        </w:rPr>
        <w:t xml:space="preserve"> </w:t>
      </w:r>
      <w:r w:rsidR="000A18FA" w:rsidRPr="007E042A">
        <w:rPr>
          <w:rFonts w:ascii="Times New Roman" w:hAnsi="Times New Roman"/>
        </w:rPr>
        <w:t>T</w:t>
      </w:r>
      <w:r w:rsidR="00EE0CF9" w:rsidRPr="007E042A">
        <w:rPr>
          <w:rFonts w:ascii="Times New Roman" w:hAnsi="Times New Roman"/>
        </w:rPr>
        <w:t xml:space="preserve">he </w:t>
      </w:r>
      <w:r w:rsidR="00086258" w:rsidRPr="007E042A">
        <w:rPr>
          <w:rFonts w:ascii="Times New Roman" w:hAnsi="Times New Roman"/>
        </w:rPr>
        <w:t xml:space="preserve">delegate </w:t>
      </w:r>
      <w:r w:rsidR="00EE0CF9" w:rsidRPr="007E042A">
        <w:rPr>
          <w:rFonts w:ascii="Times New Roman" w:hAnsi="Times New Roman"/>
        </w:rPr>
        <w:t xml:space="preserve">Minister's </w:t>
      </w:r>
      <w:r w:rsidR="00476C28" w:rsidRPr="007E042A">
        <w:rPr>
          <w:rFonts w:ascii="Times New Roman" w:hAnsi="Times New Roman"/>
        </w:rPr>
        <w:t>error</w:t>
      </w:r>
      <w:r w:rsidR="003F3E9B" w:rsidRPr="007E042A">
        <w:rPr>
          <w:rFonts w:ascii="Times New Roman" w:hAnsi="Times New Roman"/>
        </w:rPr>
        <w:t xml:space="preserve"> </w:t>
      </w:r>
      <w:r w:rsidR="003F3E9B" w:rsidRPr="007E042A">
        <w:rPr>
          <w:rFonts w:ascii="Times New Roman" w:hAnsi="Times New Roman"/>
        </w:rPr>
        <w:lastRenderedPageBreak/>
        <w:t xml:space="preserve">was </w:t>
      </w:r>
      <w:r w:rsidR="000F73CB" w:rsidRPr="007E042A">
        <w:rPr>
          <w:rFonts w:ascii="Times New Roman" w:hAnsi="Times New Roman"/>
        </w:rPr>
        <w:t xml:space="preserve">by </w:t>
      </w:r>
      <w:r w:rsidR="004636C5" w:rsidRPr="007E042A">
        <w:rPr>
          <w:rFonts w:ascii="Times New Roman" w:hAnsi="Times New Roman"/>
        </w:rPr>
        <w:t>its nature</w:t>
      </w:r>
      <w:r w:rsidR="003F3E9B" w:rsidRPr="007E042A">
        <w:rPr>
          <w:rFonts w:ascii="Times New Roman" w:hAnsi="Times New Roman"/>
        </w:rPr>
        <w:t xml:space="preserve"> "jurisdictional" </w:t>
      </w:r>
      <w:r w:rsidR="004D1600" w:rsidRPr="007E042A">
        <w:rPr>
          <w:rFonts w:ascii="Times New Roman" w:hAnsi="Times New Roman"/>
        </w:rPr>
        <w:t xml:space="preserve">without </w:t>
      </w:r>
      <w:r w:rsidR="000F73CB" w:rsidRPr="007E042A">
        <w:rPr>
          <w:rFonts w:ascii="Times New Roman" w:hAnsi="Times New Roman"/>
        </w:rPr>
        <w:t xml:space="preserve">the </w:t>
      </w:r>
      <w:r w:rsidR="005E2D44" w:rsidRPr="007E042A">
        <w:rPr>
          <w:rFonts w:ascii="Times New Roman" w:hAnsi="Times New Roman"/>
        </w:rPr>
        <w:t xml:space="preserve">need to engage in any distinct inquiry into </w:t>
      </w:r>
      <w:r w:rsidR="00EA2259" w:rsidRPr="007E042A">
        <w:rPr>
          <w:rFonts w:ascii="Times New Roman" w:hAnsi="Times New Roman"/>
        </w:rPr>
        <w:t>the</w:t>
      </w:r>
      <w:r w:rsidR="005E2D44" w:rsidRPr="007E042A">
        <w:rPr>
          <w:rFonts w:ascii="Times New Roman" w:hAnsi="Times New Roman"/>
        </w:rPr>
        <w:t xml:space="preserve"> </w:t>
      </w:r>
      <w:r w:rsidR="003C3AD9" w:rsidRPr="007E042A">
        <w:rPr>
          <w:rFonts w:ascii="Times New Roman" w:hAnsi="Times New Roman"/>
        </w:rPr>
        <w:t>"materiality"</w:t>
      </w:r>
      <w:r w:rsidR="00EA2259" w:rsidRPr="007E042A">
        <w:rPr>
          <w:rFonts w:ascii="Times New Roman" w:hAnsi="Times New Roman"/>
        </w:rPr>
        <w:t xml:space="preserve"> of the error</w:t>
      </w:r>
      <w:r w:rsidR="003C3AD9" w:rsidRPr="007E042A">
        <w:rPr>
          <w:rFonts w:ascii="Times New Roman" w:hAnsi="Times New Roman"/>
        </w:rPr>
        <w:t>.</w:t>
      </w:r>
      <w:r w:rsidR="003C3AD9" w:rsidRPr="007E042A">
        <w:rPr>
          <w:rStyle w:val="FootnoteReference"/>
          <w:rFonts w:ascii="Times New Roman" w:hAnsi="Times New Roman"/>
          <w:sz w:val="24"/>
        </w:rPr>
        <w:footnoteReference w:id="16"/>
      </w:r>
    </w:p>
    <w:p w14:paraId="5E3D1722" w14:textId="5B2DEF22" w:rsidR="005D2598" w:rsidRPr="007E042A" w:rsidRDefault="005F6C72"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1E0DC3" w:rsidRPr="007E042A">
        <w:rPr>
          <w:rFonts w:ascii="Times New Roman" w:hAnsi="Times New Roman"/>
        </w:rPr>
        <w:t xml:space="preserve">In relation </w:t>
      </w:r>
      <w:r w:rsidR="00F601AE" w:rsidRPr="007E042A">
        <w:rPr>
          <w:rFonts w:ascii="Times New Roman" w:hAnsi="Times New Roman"/>
        </w:rPr>
        <w:t>to the remai</w:t>
      </w:r>
      <w:r w:rsidR="00B16D5E" w:rsidRPr="007E042A">
        <w:rPr>
          <w:rFonts w:ascii="Times New Roman" w:hAnsi="Times New Roman"/>
        </w:rPr>
        <w:t>ning</w:t>
      </w:r>
      <w:r w:rsidR="00F601AE" w:rsidRPr="007E042A">
        <w:rPr>
          <w:rFonts w:ascii="Times New Roman" w:hAnsi="Times New Roman"/>
        </w:rPr>
        <w:t xml:space="preserve"> grounds of appeal </w:t>
      </w:r>
      <w:r w:rsidR="00B16D5E" w:rsidRPr="007E042A">
        <w:rPr>
          <w:rFonts w:ascii="Times New Roman" w:hAnsi="Times New Roman"/>
        </w:rPr>
        <w:t>to this Court, I agree with the reasoning of Gordon, Steward</w:t>
      </w:r>
      <w:r w:rsidR="00086258" w:rsidRPr="007E042A">
        <w:rPr>
          <w:rFonts w:ascii="Times New Roman" w:hAnsi="Times New Roman"/>
        </w:rPr>
        <w:t>, Gleeson</w:t>
      </w:r>
      <w:r w:rsidR="00B16D5E" w:rsidRPr="007E042A">
        <w:rPr>
          <w:rFonts w:ascii="Times New Roman" w:hAnsi="Times New Roman"/>
        </w:rPr>
        <w:t xml:space="preserve"> and Beech-Jones JJ </w:t>
      </w:r>
      <w:r w:rsidR="000137CE" w:rsidRPr="007E042A">
        <w:rPr>
          <w:rFonts w:ascii="Times New Roman" w:hAnsi="Times New Roman"/>
        </w:rPr>
        <w:t xml:space="preserve">to the conclusions that the delegate Minister did not fail to take account of a mandatory relevant consideration </w:t>
      </w:r>
      <w:r w:rsidR="007060D3" w:rsidRPr="007E042A">
        <w:rPr>
          <w:rFonts w:ascii="Times New Roman" w:hAnsi="Times New Roman"/>
        </w:rPr>
        <w:t>but did fail to afford MAC procedural fairness</w:t>
      </w:r>
      <w:r w:rsidR="00B16D5E" w:rsidRPr="007E042A">
        <w:rPr>
          <w:rFonts w:ascii="Times New Roman" w:hAnsi="Times New Roman"/>
        </w:rPr>
        <w:t>.</w:t>
      </w:r>
    </w:p>
    <w:p w14:paraId="6A2CC4BB" w14:textId="77777777" w:rsidR="00B5218C" w:rsidRDefault="00B16D5E" w:rsidP="007E042A">
      <w:pPr>
        <w:pStyle w:val="FixListStyle"/>
        <w:spacing w:after="260" w:line="280" w:lineRule="exact"/>
        <w:ind w:right="0"/>
        <w:jc w:val="both"/>
        <w:rPr>
          <w:rFonts w:ascii="Times New Roman" w:hAnsi="Times New Roman"/>
        </w:rPr>
      </w:pPr>
      <w:r w:rsidRPr="007E042A">
        <w:rPr>
          <w:rFonts w:ascii="Times New Roman" w:hAnsi="Times New Roman"/>
        </w:rPr>
        <w:tab/>
      </w:r>
      <w:r w:rsidR="00DB4448" w:rsidRPr="007E042A">
        <w:rPr>
          <w:rFonts w:ascii="Times New Roman" w:hAnsi="Times New Roman"/>
        </w:rPr>
        <w:t>Having concluded that t</w:t>
      </w:r>
      <w:r w:rsidR="0036025E" w:rsidRPr="007E042A">
        <w:rPr>
          <w:rFonts w:ascii="Times New Roman" w:hAnsi="Times New Roman"/>
        </w:rPr>
        <w:t>he purported decision</w:t>
      </w:r>
      <w:r w:rsidR="00324ECE" w:rsidRPr="007E042A">
        <w:rPr>
          <w:rFonts w:ascii="Times New Roman" w:hAnsi="Times New Roman"/>
        </w:rPr>
        <w:t xml:space="preserve"> to grant the water extraction licence</w:t>
      </w:r>
      <w:r w:rsidR="0036025E" w:rsidRPr="007E042A">
        <w:rPr>
          <w:rFonts w:ascii="Times New Roman" w:hAnsi="Times New Roman"/>
        </w:rPr>
        <w:t xml:space="preserve"> under s 30(3)(a)(ii) of the </w:t>
      </w:r>
      <w:r w:rsidR="0036025E" w:rsidRPr="007E042A">
        <w:rPr>
          <w:rFonts w:ascii="Times New Roman" w:hAnsi="Times New Roman"/>
          <w:i/>
          <w:iCs/>
        </w:rPr>
        <w:t xml:space="preserve">Water Act </w:t>
      </w:r>
      <w:r w:rsidR="000B0340" w:rsidRPr="007E042A">
        <w:rPr>
          <w:rFonts w:ascii="Times New Roman" w:hAnsi="Times New Roman"/>
        </w:rPr>
        <w:t xml:space="preserve">contravened express and implied limitations </w:t>
      </w:r>
      <w:r w:rsidR="00347695" w:rsidRPr="007E042A">
        <w:rPr>
          <w:rFonts w:ascii="Times New Roman" w:hAnsi="Times New Roman"/>
        </w:rPr>
        <w:t xml:space="preserve">on the decision-making authority conferred </w:t>
      </w:r>
      <w:r w:rsidR="00434239" w:rsidRPr="007E042A">
        <w:rPr>
          <w:rFonts w:ascii="Times New Roman" w:hAnsi="Times New Roman"/>
        </w:rPr>
        <w:t xml:space="preserve">on the delegate Minister </w:t>
      </w:r>
      <w:r w:rsidR="00437D88" w:rsidRPr="007E042A">
        <w:rPr>
          <w:rFonts w:ascii="Times New Roman" w:hAnsi="Times New Roman"/>
        </w:rPr>
        <w:t xml:space="preserve">in the conduct of the review of the </w:t>
      </w:r>
      <w:r w:rsidR="00906DD9" w:rsidRPr="007E042A">
        <w:rPr>
          <w:rFonts w:ascii="Times New Roman" w:hAnsi="Times New Roman"/>
        </w:rPr>
        <w:t xml:space="preserve">earlier decision of the Controller, </w:t>
      </w:r>
      <w:r w:rsidR="002E5A0A" w:rsidRPr="007E042A">
        <w:rPr>
          <w:rFonts w:ascii="Times New Roman" w:hAnsi="Times New Roman"/>
        </w:rPr>
        <w:t>the purported legal effect of the decision was</w:t>
      </w:r>
      <w:r w:rsidR="00C81013" w:rsidRPr="007E042A">
        <w:rPr>
          <w:rFonts w:ascii="Times New Roman" w:hAnsi="Times New Roman"/>
        </w:rPr>
        <w:t xml:space="preserve"> appropriate to be quashed by an order in the nature of certiorari</w:t>
      </w:r>
      <w:r w:rsidR="00C81013" w:rsidRPr="007E042A">
        <w:rPr>
          <w:rStyle w:val="FootnoteReference"/>
          <w:rFonts w:ascii="Times New Roman" w:hAnsi="Times New Roman"/>
          <w:sz w:val="24"/>
        </w:rPr>
        <w:footnoteReference w:id="17"/>
      </w:r>
      <w:r w:rsidR="002E5A0A" w:rsidRPr="007E042A">
        <w:rPr>
          <w:rFonts w:ascii="Times New Roman" w:hAnsi="Times New Roman"/>
        </w:rPr>
        <w:t xml:space="preserve"> and </w:t>
      </w:r>
      <w:r w:rsidR="00A656B0" w:rsidRPr="007E042A">
        <w:rPr>
          <w:rFonts w:ascii="Times New Roman" w:hAnsi="Times New Roman"/>
        </w:rPr>
        <w:t xml:space="preserve">performance of </w:t>
      </w:r>
      <w:r w:rsidR="002E5A0A" w:rsidRPr="007E042A">
        <w:rPr>
          <w:rFonts w:ascii="Times New Roman" w:hAnsi="Times New Roman"/>
        </w:rPr>
        <w:t xml:space="preserve">the </w:t>
      </w:r>
      <w:r w:rsidR="00011C88" w:rsidRPr="007E042A">
        <w:rPr>
          <w:rFonts w:ascii="Times New Roman" w:hAnsi="Times New Roman"/>
        </w:rPr>
        <w:t xml:space="preserve">uncompleted statutory task of </w:t>
      </w:r>
      <w:r w:rsidR="00A656B0" w:rsidRPr="007E042A">
        <w:rPr>
          <w:rFonts w:ascii="Times New Roman" w:hAnsi="Times New Roman"/>
        </w:rPr>
        <w:t>reviewing the earlier decision of the Controller was appropriate to be compelled by an order in the nature of mandamus.</w:t>
      </w:r>
      <w:r w:rsidR="00A656B0" w:rsidRPr="007E042A">
        <w:rPr>
          <w:rStyle w:val="FootnoteReference"/>
          <w:rFonts w:ascii="Times New Roman" w:hAnsi="Times New Roman"/>
          <w:sz w:val="24"/>
        </w:rPr>
        <w:footnoteReference w:id="18"/>
      </w:r>
      <w:r w:rsidR="00906DD9" w:rsidRPr="007E042A">
        <w:rPr>
          <w:rFonts w:ascii="Times New Roman" w:hAnsi="Times New Roman"/>
        </w:rPr>
        <w:t xml:space="preserve"> </w:t>
      </w:r>
      <w:r w:rsidR="002F639C" w:rsidRPr="007E042A">
        <w:rPr>
          <w:rFonts w:ascii="Times New Roman" w:hAnsi="Times New Roman"/>
        </w:rPr>
        <w:t>It</w:t>
      </w:r>
      <w:r w:rsidR="00906DD9" w:rsidRPr="007E042A">
        <w:rPr>
          <w:rFonts w:ascii="Times New Roman" w:hAnsi="Times New Roman"/>
        </w:rPr>
        <w:t xml:space="preserve"> </w:t>
      </w:r>
      <w:r w:rsidR="00B63125" w:rsidRPr="007E042A">
        <w:rPr>
          <w:rFonts w:ascii="Times New Roman" w:hAnsi="Times New Roman"/>
        </w:rPr>
        <w:t>follows that I agree with the orders proposed by Gordon, Steward</w:t>
      </w:r>
      <w:r w:rsidR="00F721BC" w:rsidRPr="007E042A">
        <w:rPr>
          <w:rFonts w:ascii="Times New Roman" w:hAnsi="Times New Roman"/>
        </w:rPr>
        <w:t>, Gleeson</w:t>
      </w:r>
      <w:r w:rsidR="00B63125" w:rsidRPr="007E042A">
        <w:rPr>
          <w:rFonts w:ascii="Times New Roman" w:hAnsi="Times New Roman"/>
        </w:rPr>
        <w:t xml:space="preserve"> and Beech-Jones JJ.</w:t>
      </w:r>
    </w:p>
    <w:p w14:paraId="528430D8" w14:textId="77777777" w:rsidR="00B5218C" w:rsidRDefault="00B5218C" w:rsidP="007E042A">
      <w:pPr>
        <w:pStyle w:val="FixListStyle"/>
        <w:spacing w:after="260" w:line="280" w:lineRule="exact"/>
        <w:ind w:right="0"/>
        <w:jc w:val="both"/>
        <w:rPr>
          <w:rFonts w:ascii="Times New Roman" w:hAnsi="Times New Roman"/>
        </w:rPr>
        <w:sectPr w:rsidR="00B5218C" w:rsidSect="00985AA9">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0AAFD676" w14:textId="77777777" w:rsidR="00B5218C" w:rsidRPr="00CA793D" w:rsidRDefault="00B5218C" w:rsidP="00CA793D">
      <w:pPr>
        <w:pStyle w:val="FixListStyle"/>
        <w:tabs>
          <w:tab w:val="clear" w:pos="720"/>
          <w:tab w:val="left" w:pos="0"/>
        </w:tabs>
        <w:spacing w:after="260" w:line="280" w:lineRule="exact"/>
        <w:ind w:right="0"/>
        <w:jc w:val="both"/>
        <w:rPr>
          <w:rFonts w:ascii="Times New Roman" w:hAnsi="Times New Roman"/>
        </w:rPr>
      </w:pPr>
      <w:r w:rsidRPr="00CA793D">
        <w:rPr>
          <w:rFonts w:ascii="Times New Roman" w:hAnsi="Times New Roman"/>
        </w:rPr>
        <w:lastRenderedPageBreak/>
        <w:t xml:space="preserve">GORDON, STEWARD, GLEESON AND BEECH-JONES JJ.   On 15 November 2021, the first respondent, the Minister for Territory Families and Urban Housing as delegate of the Minister for the Environment ("the delegate Minister"), granted the second respondent, Fortune Agribusiness Funds Management Pty Ltd ("Fortune"), a 30-year licence to extract groundwater for the purposes of irrigating a property known as "Singleton Station" ("the water extraction licence") under the </w:t>
      </w:r>
      <w:r w:rsidRPr="00CA793D">
        <w:rPr>
          <w:rFonts w:ascii="Times New Roman" w:hAnsi="Times New Roman"/>
          <w:i/>
          <w:iCs/>
        </w:rPr>
        <w:t>Water Act 1992</w:t>
      </w:r>
      <w:r w:rsidRPr="00CA793D">
        <w:rPr>
          <w:rFonts w:ascii="Times New Roman" w:hAnsi="Times New Roman"/>
        </w:rPr>
        <w:t xml:space="preserve"> (NT). The appellant, the </w:t>
      </w:r>
      <w:proofErr w:type="spellStart"/>
      <w:r w:rsidRPr="00CA793D">
        <w:rPr>
          <w:rFonts w:ascii="Times New Roman" w:hAnsi="Times New Roman"/>
        </w:rPr>
        <w:t>Mpwerempwer</w:t>
      </w:r>
      <w:proofErr w:type="spellEnd"/>
      <w:r w:rsidRPr="00CA793D">
        <w:rPr>
          <w:rFonts w:ascii="Times New Roman" w:hAnsi="Times New Roman"/>
        </w:rPr>
        <w:t xml:space="preserve"> Aboriginal Corporation RNTBC ("MAC"), is the prescribed body corporate for the native title holders of the Singleton Station pastoral lease.</w:t>
      </w:r>
      <w:r w:rsidRPr="00CA793D">
        <w:rPr>
          <w:rStyle w:val="FootnoteReference"/>
          <w:rFonts w:ascii="Times New Roman" w:hAnsi="Times New Roman"/>
          <w:sz w:val="24"/>
        </w:rPr>
        <w:footnoteReference w:id="19"/>
      </w:r>
      <w:r w:rsidRPr="00CA793D">
        <w:rPr>
          <w:rFonts w:ascii="Times New Roman" w:hAnsi="Times New Roman"/>
        </w:rPr>
        <w:t xml:space="preserve"> </w:t>
      </w:r>
    </w:p>
    <w:p w14:paraId="16C328BD"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MAC sought judicial review of the delegate Minister's decision to grant the water extraction licence. Following the dismissal of both that proceeding and an appeal to the Court of Appeal of the Supreme Court of the Northern Territory of Australia, in this Court MAC relied on three grounds. The first ground was, in substance, that the grant of the water extraction licence was precluded by s 60(3) of the </w:t>
      </w:r>
      <w:r w:rsidRPr="00CA793D">
        <w:rPr>
          <w:rFonts w:ascii="Times New Roman" w:hAnsi="Times New Roman"/>
          <w:i/>
          <w:iCs/>
        </w:rPr>
        <w:t>Water Act</w:t>
      </w:r>
      <w:r w:rsidRPr="00CA793D">
        <w:rPr>
          <w:rFonts w:ascii="Times New Roman" w:hAnsi="Times New Roman"/>
        </w:rPr>
        <w:t xml:space="preserve"> which only permits a licence to be granted for a period exceeding ten years if, amongst other matters, the delegate Minister was satisfied under s 60(4)(b) that special circumstances justified the grant of a licence for a longer period. MAC contended that the delegate Minister did not form an opinion to that effect and in that respect failed to discharge her statutory function. The second ground was that the delegate Minister failed to consider a mandatory relevant consideration, namely the protection of Aboriginal cultural values in a manner that was sufficient to comply with s 90(1) of the </w:t>
      </w:r>
      <w:r w:rsidRPr="00CA793D">
        <w:rPr>
          <w:rFonts w:ascii="Times New Roman" w:hAnsi="Times New Roman"/>
          <w:i/>
          <w:iCs/>
        </w:rPr>
        <w:t xml:space="preserve">Water </w:t>
      </w:r>
      <w:r w:rsidRPr="00CA793D">
        <w:rPr>
          <w:rFonts w:ascii="Times New Roman" w:hAnsi="Times New Roman"/>
          <w:i/>
        </w:rPr>
        <w:t>Act</w:t>
      </w:r>
      <w:r w:rsidRPr="00CA793D">
        <w:rPr>
          <w:rFonts w:ascii="Times New Roman" w:hAnsi="Times New Roman"/>
        </w:rPr>
        <w:t xml:space="preserve">. The third ground was that, in making the decision, the delegate Minister failed to accord MAC procedural fairness by not providing MAC with notice that a particular term ("CP 10") would be attached to the water extraction licence, as was done for Fortune. </w:t>
      </w:r>
    </w:p>
    <w:p w14:paraId="57FE9328"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For the reasons given below, the first and third grounds should be upheld, the water extraction licence should be quashed, and the matter remitted to the Minister administering the </w:t>
      </w:r>
      <w:r w:rsidRPr="00CA793D">
        <w:rPr>
          <w:rFonts w:ascii="Times New Roman" w:hAnsi="Times New Roman"/>
          <w:i/>
          <w:iCs/>
        </w:rPr>
        <w:t>Water Act</w:t>
      </w:r>
      <w:r w:rsidRPr="00CA793D">
        <w:rPr>
          <w:rStyle w:val="FootnoteReference"/>
          <w:rFonts w:ascii="Times New Roman" w:hAnsi="Times New Roman"/>
          <w:sz w:val="24"/>
        </w:rPr>
        <w:footnoteReference w:id="20"/>
      </w:r>
      <w:r w:rsidRPr="00CA793D">
        <w:rPr>
          <w:rFonts w:ascii="Times New Roman" w:hAnsi="Times New Roman"/>
        </w:rPr>
        <w:t xml:space="preserve"> to be decided according to law.</w:t>
      </w:r>
      <w:r w:rsidRPr="00CA793D" w:rsidDel="006A6B7C">
        <w:rPr>
          <w:rStyle w:val="FootnoteReference"/>
          <w:rFonts w:ascii="Times New Roman" w:hAnsi="Times New Roman"/>
          <w:sz w:val="24"/>
        </w:rPr>
        <w:t xml:space="preserve"> </w:t>
      </w:r>
    </w:p>
    <w:p w14:paraId="5C603DB8" w14:textId="77777777" w:rsidR="00B5218C" w:rsidRPr="00CA793D" w:rsidRDefault="00B5218C" w:rsidP="00CA793D">
      <w:pPr>
        <w:pStyle w:val="HeadingL1"/>
        <w:spacing w:after="260" w:line="280" w:lineRule="exact"/>
        <w:ind w:right="0"/>
        <w:jc w:val="both"/>
        <w:rPr>
          <w:rFonts w:ascii="Times New Roman" w:hAnsi="Times New Roman"/>
        </w:rPr>
      </w:pPr>
      <w:r w:rsidRPr="00CA793D">
        <w:rPr>
          <w:rFonts w:ascii="Times New Roman" w:hAnsi="Times New Roman"/>
        </w:rPr>
        <w:lastRenderedPageBreak/>
        <w:t>The statutory scheme</w:t>
      </w:r>
    </w:p>
    <w:p w14:paraId="732CB407"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The </w:t>
      </w:r>
      <w:r w:rsidRPr="00CA793D">
        <w:rPr>
          <w:rFonts w:ascii="Times New Roman" w:hAnsi="Times New Roman"/>
          <w:i/>
          <w:iCs/>
        </w:rPr>
        <w:t>Water Act</w:t>
      </w:r>
      <w:r w:rsidRPr="00CA793D">
        <w:rPr>
          <w:rFonts w:ascii="Times New Roman" w:hAnsi="Times New Roman"/>
        </w:rPr>
        <w:t xml:space="preserve"> is an "[a]n Act to provide for the investigation, allocation, use, control, protection, management and administration of water resources, and for related purposes".</w:t>
      </w:r>
      <w:r w:rsidRPr="00CA793D">
        <w:rPr>
          <w:rStyle w:val="FootnoteReference"/>
          <w:rFonts w:ascii="Times New Roman" w:hAnsi="Times New Roman"/>
          <w:sz w:val="24"/>
        </w:rPr>
        <w:footnoteReference w:id="21"/>
      </w:r>
      <w:r w:rsidRPr="00CA793D">
        <w:rPr>
          <w:rFonts w:ascii="Times New Roman" w:hAnsi="Times New Roman"/>
        </w:rPr>
        <w:t xml:space="preserve"> In the Northern Territory, property in and the rights to the "use, flow and control" of all water, including groundwater, is vested in the Territory,</w:t>
      </w:r>
      <w:r w:rsidRPr="00CA793D">
        <w:rPr>
          <w:rStyle w:val="FootnoteReference"/>
          <w:rFonts w:ascii="Times New Roman" w:hAnsi="Times New Roman"/>
          <w:sz w:val="24"/>
        </w:rPr>
        <w:footnoteReference w:id="22"/>
      </w:r>
      <w:r w:rsidRPr="00CA793D">
        <w:rPr>
          <w:rFonts w:ascii="Times New Roman" w:hAnsi="Times New Roman"/>
        </w:rPr>
        <w:t xml:space="preserve"> although there are exceptions, such as the taking of water for domestic purposes.</w:t>
      </w:r>
      <w:r w:rsidRPr="00CA793D">
        <w:rPr>
          <w:rStyle w:val="FootnoteReference"/>
          <w:rFonts w:ascii="Times New Roman" w:hAnsi="Times New Roman"/>
          <w:sz w:val="24"/>
        </w:rPr>
        <w:footnoteReference w:id="23"/>
      </w:r>
      <w:r w:rsidRPr="00CA793D">
        <w:rPr>
          <w:rFonts w:ascii="Times New Roman" w:hAnsi="Times New Roman"/>
        </w:rPr>
        <w:t xml:space="preserve"> It is a criminal offence to take water from a bore unless authorised by the </w:t>
      </w:r>
      <w:r w:rsidRPr="00CA793D">
        <w:rPr>
          <w:rFonts w:ascii="Times New Roman" w:hAnsi="Times New Roman"/>
          <w:i/>
          <w:iCs/>
        </w:rPr>
        <w:t>Water Act</w:t>
      </w:r>
      <w:r w:rsidRPr="00CA793D">
        <w:rPr>
          <w:rFonts w:ascii="Times New Roman" w:hAnsi="Times New Roman"/>
        </w:rPr>
        <w:t xml:space="preserve"> to do so.</w:t>
      </w:r>
      <w:r w:rsidRPr="00CA793D">
        <w:rPr>
          <w:rStyle w:val="FootnoteReference"/>
          <w:rFonts w:ascii="Times New Roman" w:hAnsi="Times New Roman"/>
          <w:sz w:val="24"/>
        </w:rPr>
        <w:footnoteReference w:id="24"/>
      </w:r>
      <w:r w:rsidRPr="00CA793D">
        <w:rPr>
          <w:rFonts w:ascii="Times New Roman" w:hAnsi="Times New Roman"/>
        </w:rPr>
        <w:t xml:space="preserve"> The Minister or the Controller of Water Resources ("the Controller")</w:t>
      </w:r>
      <w:r w:rsidRPr="00CA793D">
        <w:rPr>
          <w:rStyle w:val="FootnoteReference"/>
          <w:rFonts w:ascii="Times New Roman" w:hAnsi="Times New Roman"/>
          <w:sz w:val="24"/>
        </w:rPr>
        <w:footnoteReference w:id="25"/>
      </w:r>
      <w:r w:rsidRPr="00CA793D">
        <w:rPr>
          <w:rFonts w:ascii="Times New Roman" w:hAnsi="Times New Roman"/>
        </w:rPr>
        <w:t xml:space="preserve"> may exercise certain powers conferred upon each of them by the </w:t>
      </w:r>
      <w:r w:rsidRPr="00CA793D">
        <w:rPr>
          <w:rFonts w:ascii="Times New Roman" w:hAnsi="Times New Roman"/>
          <w:i/>
          <w:iCs/>
        </w:rPr>
        <w:t>Water Act</w:t>
      </w:r>
      <w:r w:rsidRPr="00CA793D">
        <w:rPr>
          <w:rFonts w:ascii="Times New Roman" w:hAnsi="Times New Roman"/>
        </w:rPr>
        <w:t>.</w:t>
      </w:r>
    </w:p>
    <w:p w14:paraId="150357DF"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One of those powers, reposed in the Controller, and conferred by s 60 of the </w:t>
      </w:r>
      <w:r w:rsidRPr="00CA793D">
        <w:rPr>
          <w:rFonts w:ascii="Times New Roman" w:hAnsi="Times New Roman"/>
          <w:i/>
          <w:iCs/>
        </w:rPr>
        <w:t>Water Act</w:t>
      </w:r>
      <w:r w:rsidRPr="00CA793D">
        <w:rPr>
          <w:rFonts w:ascii="Times New Roman" w:hAnsi="Times New Roman"/>
        </w:rPr>
        <w:t xml:space="preserve">, is the ability to grant a licence to take groundwater from a bore. When the delegate Minister granted Fortune the water extraction licence on 15 November 2021, s 60 of the </w:t>
      </w:r>
      <w:r w:rsidRPr="00CA793D">
        <w:rPr>
          <w:rFonts w:ascii="Times New Roman" w:hAnsi="Times New Roman"/>
          <w:i/>
          <w:iCs/>
        </w:rPr>
        <w:t>Water Act</w:t>
      </w:r>
      <w:r w:rsidRPr="00CA793D">
        <w:rPr>
          <w:rFonts w:ascii="Times New Roman" w:hAnsi="Times New Roman"/>
        </w:rPr>
        <w:t xml:space="preserve"> was in the following terms:</w:t>
      </w:r>
    </w:p>
    <w:p w14:paraId="3C4ECC12" w14:textId="77777777" w:rsidR="00B5218C" w:rsidRPr="00CA793D" w:rsidRDefault="00B5218C" w:rsidP="00CA793D">
      <w:pPr>
        <w:pStyle w:val="LeftrightafterHC"/>
        <w:spacing w:before="0" w:after="260" w:line="280" w:lineRule="exact"/>
        <w:ind w:left="1440" w:right="0" w:hanging="720"/>
        <w:jc w:val="both"/>
        <w:rPr>
          <w:rFonts w:ascii="Times New Roman" w:hAnsi="Times New Roman"/>
        </w:rPr>
      </w:pPr>
      <w:r w:rsidRPr="00CA793D">
        <w:rPr>
          <w:rFonts w:ascii="Times New Roman" w:hAnsi="Times New Roman"/>
        </w:rPr>
        <w:t>"(1)</w:t>
      </w:r>
      <w:r w:rsidRPr="00CA793D">
        <w:rPr>
          <w:rFonts w:ascii="Times New Roman" w:hAnsi="Times New Roman"/>
        </w:rPr>
        <w:tab/>
        <w:t>Subject to this Act, the Controller may, on the Controller's own initiative or on application in the prescribed manner and form, grant to a person a licence in the prescribed form to take water from a bore.</w:t>
      </w:r>
    </w:p>
    <w:p w14:paraId="35F7A203" w14:textId="77777777" w:rsidR="00B5218C" w:rsidRPr="00CA793D" w:rsidRDefault="00B5218C" w:rsidP="00CA793D">
      <w:pPr>
        <w:pStyle w:val="leftright"/>
        <w:spacing w:before="0" w:after="260" w:line="280" w:lineRule="exact"/>
        <w:ind w:left="1440" w:right="0" w:hanging="720"/>
        <w:jc w:val="both"/>
        <w:rPr>
          <w:rFonts w:ascii="Times New Roman" w:hAnsi="Times New Roman"/>
        </w:rPr>
      </w:pPr>
      <w:r w:rsidRPr="00CA793D">
        <w:rPr>
          <w:rFonts w:ascii="Times New Roman" w:hAnsi="Times New Roman"/>
        </w:rPr>
        <w:t>(2)</w:t>
      </w:r>
      <w:r w:rsidRPr="00CA793D">
        <w:rPr>
          <w:rFonts w:ascii="Times New Roman" w:hAnsi="Times New Roman"/>
        </w:rPr>
        <w:tab/>
        <w:t>A licence may be granted under subsection (1) subject to such terms and conditions, if any, as are specified in the licence document.</w:t>
      </w:r>
    </w:p>
    <w:p w14:paraId="780F0DE6" w14:textId="77777777" w:rsidR="00B5218C" w:rsidRPr="00CA793D" w:rsidRDefault="00B5218C" w:rsidP="00CA793D">
      <w:pPr>
        <w:pStyle w:val="leftright"/>
        <w:spacing w:before="0" w:after="260" w:line="280" w:lineRule="exact"/>
        <w:ind w:left="1440" w:right="0" w:hanging="720"/>
        <w:jc w:val="both"/>
        <w:rPr>
          <w:rFonts w:ascii="Times New Roman" w:hAnsi="Times New Roman"/>
        </w:rPr>
      </w:pPr>
      <w:r w:rsidRPr="00CA793D">
        <w:rPr>
          <w:rFonts w:ascii="Times New Roman" w:hAnsi="Times New Roman"/>
        </w:rPr>
        <w:t>(3)</w:t>
      </w:r>
      <w:r w:rsidRPr="00CA793D">
        <w:rPr>
          <w:rFonts w:ascii="Times New Roman" w:hAnsi="Times New Roman"/>
        </w:rPr>
        <w:tab/>
        <w:t>Subject to subsection (4), a licence shall be granted for such period, not exceeding 10 years, as is specified in the licence document.</w:t>
      </w:r>
    </w:p>
    <w:p w14:paraId="74953553" w14:textId="77777777" w:rsidR="00B5218C" w:rsidRPr="00CA793D" w:rsidRDefault="00B5218C" w:rsidP="00CA793D">
      <w:pPr>
        <w:pStyle w:val="leftright"/>
        <w:spacing w:before="0" w:after="260" w:line="280" w:lineRule="exact"/>
        <w:ind w:left="1440" w:right="0" w:hanging="720"/>
        <w:jc w:val="both"/>
        <w:rPr>
          <w:rFonts w:ascii="Times New Roman" w:hAnsi="Times New Roman"/>
        </w:rPr>
      </w:pPr>
      <w:r w:rsidRPr="00CA793D">
        <w:rPr>
          <w:rFonts w:ascii="Times New Roman" w:hAnsi="Times New Roman"/>
        </w:rPr>
        <w:t>(4)</w:t>
      </w:r>
      <w:r w:rsidRPr="00CA793D">
        <w:rPr>
          <w:rFonts w:ascii="Times New Roman" w:hAnsi="Times New Roman"/>
        </w:rPr>
        <w:tab/>
        <w:t>A licence may be granted under subsection (1) for a period exceeding 10 years if:</w:t>
      </w:r>
    </w:p>
    <w:p w14:paraId="1B2BAC43" w14:textId="77777777" w:rsidR="00B5218C" w:rsidRPr="00CA793D" w:rsidRDefault="00B5218C" w:rsidP="00CA793D">
      <w:pPr>
        <w:pStyle w:val="leftright"/>
        <w:spacing w:before="0" w:after="260" w:line="280" w:lineRule="exact"/>
        <w:ind w:left="2160" w:right="0" w:hanging="720"/>
        <w:jc w:val="both"/>
        <w:rPr>
          <w:rFonts w:ascii="Times New Roman" w:hAnsi="Times New Roman"/>
        </w:rPr>
      </w:pPr>
      <w:r w:rsidRPr="00CA793D">
        <w:rPr>
          <w:rFonts w:ascii="Times New Roman" w:hAnsi="Times New Roman"/>
        </w:rPr>
        <w:lastRenderedPageBreak/>
        <w:t>(a)</w:t>
      </w:r>
      <w:r w:rsidRPr="00CA793D">
        <w:rPr>
          <w:rFonts w:ascii="Times New Roman" w:hAnsi="Times New Roman"/>
        </w:rPr>
        <w:tab/>
        <w:t xml:space="preserve">the licence is for a purpose, or meets criteria, that the Minister, by </w:t>
      </w:r>
      <w:r w:rsidRPr="00CA793D">
        <w:rPr>
          <w:rFonts w:ascii="Times New Roman" w:hAnsi="Times New Roman"/>
          <w:i/>
          <w:iCs/>
        </w:rPr>
        <w:t>Gazette</w:t>
      </w:r>
      <w:r w:rsidRPr="00CA793D">
        <w:rPr>
          <w:rFonts w:ascii="Times New Roman" w:hAnsi="Times New Roman"/>
        </w:rPr>
        <w:t xml:space="preserve"> notice, specifies as justifying a longer period; or</w:t>
      </w:r>
    </w:p>
    <w:p w14:paraId="757C4A99" w14:textId="77777777" w:rsidR="00B5218C" w:rsidRDefault="00B5218C" w:rsidP="00CA793D">
      <w:pPr>
        <w:pStyle w:val="leftright"/>
        <w:spacing w:before="0" w:after="260" w:line="280" w:lineRule="exact"/>
        <w:ind w:left="2160" w:right="0" w:hanging="720"/>
        <w:jc w:val="both"/>
        <w:rPr>
          <w:rFonts w:ascii="Times New Roman" w:hAnsi="Times New Roman"/>
        </w:rPr>
      </w:pPr>
      <w:r w:rsidRPr="00CA793D">
        <w:rPr>
          <w:rFonts w:ascii="Times New Roman" w:hAnsi="Times New Roman"/>
        </w:rPr>
        <w:t>(b)</w:t>
      </w:r>
      <w:r w:rsidRPr="00CA793D">
        <w:rPr>
          <w:rFonts w:ascii="Times New Roman" w:hAnsi="Times New Roman"/>
        </w:rPr>
        <w:tab/>
        <w:t>the Controller is satisfied that special circumstances justify the longer period."</w:t>
      </w:r>
    </w:p>
    <w:p w14:paraId="3C46BBA1"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Section 60(3) and (4) are important. Section 60(3) precludes the grant of a licence for a period exceeding ten years. Section 60(4) creates an exception to the prohibition in s 60(3), conferring a power to grant a licence which exceeds a term of ten years where the criteria in para (a) or para (b) are satisfied. Here, Fortune wished to secure, and was in fact granted, a licence that greatly exceeded ten years.</w:t>
      </w:r>
      <w:r w:rsidRPr="00CA793D">
        <w:rPr>
          <w:rStyle w:val="FootnoteReference"/>
          <w:rFonts w:ascii="Times New Roman" w:hAnsi="Times New Roman"/>
          <w:sz w:val="24"/>
        </w:rPr>
        <w:footnoteReference w:id="26"/>
      </w:r>
    </w:p>
    <w:p w14:paraId="0098E6A2"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Significantly, for the reasons explained below, on 29 September 2021, just before the delegate Minister granted the water extraction licence to Fortune, s 60(4) was amended to be in the above terms. Section 60(4) had previously provided as follows:</w:t>
      </w:r>
    </w:p>
    <w:p w14:paraId="04D491D9" w14:textId="77777777" w:rsidR="00B5218C" w:rsidRDefault="00B5218C" w:rsidP="00CA793D">
      <w:pPr>
        <w:pStyle w:val="LeftrightafterHC"/>
        <w:spacing w:before="0" w:after="260" w:line="280" w:lineRule="exact"/>
        <w:ind w:right="0"/>
        <w:jc w:val="both"/>
        <w:rPr>
          <w:rFonts w:ascii="Times New Roman" w:hAnsi="Times New Roman"/>
        </w:rPr>
      </w:pPr>
      <w:r w:rsidRPr="00CA793D">
        <w:rPr>
          <w:rFonts w:ascii="Times New Roman" w:hAnsi="Times New Roman"/>
        </w:rPr>
        <w:t>"The Controller may, where in the opinion of the Minister there are special circumstances that justify so granting the licence, grant a licence for such period exceeding 10 years as is specified in the licence document."</w:t>
      </w:r>
    </w:p>
    <w:p w14:paraId="69EBDFC3"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For the purposes of this appeal, the relevant difference between the old s 60(4) and the </w:t>
      </w:r>
      <w:proofErr w:type="spellStart"/>
      <w:r w:rsidRPr="00CA793D">
        <w:rPr>
          <w:rFonts w:ascii="Times New Roman" w:hAnsi="Times New Roman"/>
        </w:rPr>
        <w:t>new s</w:t>
      </w:r>
      <w:proofErr w:type="spellEnd"/>
      <w:r w:rsidRPr="00CA793D">
        <w:rPr>
          <w:rFonts w:ascii="Times New Roman" w:hAnsi="Times New Roman"/>
        </w:rPr>
        <w:t> 60(4)(b) is that previously the need for any opinion concerning the existence of special circumstances, which justify a licence with a term longer than ten years, was solely a matter for the Minister's satisfaction; following the amendment, it was a matter for the decision maker, namely the Controller (or the Minister in the course of any review of the Controller's grant of a water extraction licence).</w:t>
      </w:r>
    </w:p>
    <w:p w14:paraId="18F42E71"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Part 6A of the </w:t>
      </w:r>
      <w:r w:rsidRPr="00CA793D">
        <w:rPr>
          <w:rFonts w:ascii="Times New Roman" w:hAnsi="Times New Roman"/>
          <w:i/>
          <w:iCs/>
        </w:rPr>
        <w:t>Water Act</w:t>
      </w:r>
      <w:r w:rsidRPr="00CA793D">
        <w:rPr>
          <w:rFonts w:ascii="Times New Roman" w:hAnsi="Times New Roman"/>
        </w:rPr>
        <w:t xml:space="preserve"> prescribes the process which is to be followed when a "water extraction licence decision" is made.</w:t>
      </w:r>
      <w:r w:rsidRPr="00CA793D">
        <w:rPr>
          <w:rStyle w:val="FootnoteReference"/>
          <w:rFonts w:ascii="Times New Roman" w:hAnsi="Times New Roman"/>
          <w:sz w:val="24"/>
        </w:rPr>
        <w:footnoteReference w:id="27"/>
      </w:r>
      <w:r w:rsidRPr="00CA793D">
        <w:rPr>
          <w:rFonts w:ascii="Times New Roman" w:hAnsi="Times New Roman"/>
        </w:rPr>
        <w:t xml:space="preserve"> Subject to certain exceptions, </w:t>
      </w:r>
      <w:r w:rsidRPr="00CA793D">
        <w:rPr>
          <w:rFonts w:ascii="Times New Roman" w:hAnsi="Times New Roman"/>
        </w:rPr>
        <w:lastRenderedPageBreak/>
        <w:t>which are irrelevant for the purposes of this appeal, a decision about an application under s 60 is a "water extraction licence decision", to which Part 6A applies.</w:t>
      </w:r>
      <w:r w:rsidRPr="00CA793D">
        <w:rPr>
          <w:rStyle w:val="FootnoteReference"/>
          <w:rFonts w:ascii="Times New Roman" w:hAnsi="Times New Roman"/>
          <w:sz w:val="24"/>
        </w:rPr>
        <w:footnoteReference w:id="28"/>
      </w:r>
    </w:p>
    <w:p w14:paraId="6AA65D2B"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Following receipt of an application, the first step is that the Controller must publish in a newspaper in the relevant locality a notice of the intention to make a water extraction licence decision which includes prescribed details in relation to the proposed licence.</w:t>
      </w:r>
      <w:r w:rsidRPr="00CA793D">
        <w:rPr>
          <w:rStyle w:val="FootnoteReference"/>
          <w:rFonts w:ascii="Times New Roman" w:hAnsi="Times New Roman"/>
          <w:sz w:val="24"/>
        </w:rPr>
        <w:footnoteReference w:id="29"/>
      </w:r>
      <w:r w:rsidRPr="00CA793D">
        <w:rPr>
          <w:rFonts w:ascii="Times New Roman" w:hAnsi="Times New Roman"/>
        </w:rPr>
        <w:t xml:space="preserve"> The Controller must give a copy of this notice to the owners of the land immediately adjacent to the land from which the water will be taken and the land on which it will be used, and must also use reasonable efforts to identify, and provide a copy of the notice to, any occupiers of that immediately adjacent land.</w:t>
      </w:r>
      <w:r w:rsidRPr="00CA793D">
        <w:rPr>
          <w:rStyle w:val="FootnoteReference"/>
          <w:rFonts w:ascii="Times New Roman" w:hAnsi="Times New Roman"/>
          <w:sz w:val="24"/>
        </w:rPr>
        <w:footnoteReference w:id="30"/>
      </w:r>
      <w:r w:rsidRPr="00CA793D">
        <w:rPr>
          <w:rFonts w:ascii="Times New Roman" w:hAnsi="Times New Roman"/>
        </w:rPr>
        <w:t xml:space="preserve"> The notice must include an invitation to make written comments within 20 business days.</w:t>
      </w:r>
      <w:r w:rsidRPr="00CA793D">
        <w:rPr>
          <w:rStyle w:val="FootnoteReference"/>
          <w:rFonts w:ascii="Times New Roman" w:hAnsi="Times New Roman"/>
          <w:sz w:val="24"/>
        </w:rPr>
        <w:footnoteReference w:id="31"/>
      </w:r>
      <w:r w:rsidRPr="00CA793D">
        <w:rPr>
          <w:rFonts w:ascii="Times New Roman" w:hAnsi="Times New Roman"/>
        </w:rPr>
        <w:t xml:space="preserve"> </w:t>
      </w:r>
    </w:p>
    <w:p w14:paraId="0B513CB3"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Section 90(1) provides that "in making a water extraction licence decision, the Controller must take into account any of the following factors that are relevant to the decision", including: any "water allocation plan" applying to the area in question;</w:t>
      </w:r>
      <w:r w:rsidRPr="00CA793D">
        <w:rPr>
          <w:rStyle w:val="FootnoteReference"/>
          <w:rFonts w:ascii="Times New Roman" w:hAnsi="Times New Roman"/>
          <w:sz w:val="24"/>
        </w:rPr>
        <w:footnoteReference w:id="32"/>
      </w:r>
      <w:r w:rsidRPr="00CA793D">
        <w:rPr>
          <w:rFonts w:ascii="Times New Roman" w:hAnsi="Times New Roman"/>
        </w:rPr>
        <w:t xml:space="preserve"> and other factors the Controller considers should be taken into account or is otherwise required by law to consider.</w:t>
      </w:r>
      <w:r w:rsidRPr="00CA793D">
        <w:rPr>
          <w:rStyle w:val="FootnoteReference"/>
          <w:rFonts w:ascii="Times New Roman" w:hAnsi="Times New Roman"/>
          <w:sz w:val="24"/>
        </w:rPr>
        <w:footnoteReference w:id="33"/>
      </w:r>
      <w:r w:rsidRPr="00CA793D">
        <w:rPr>
          <w:rFonts w:ascii="Times New Roman" w:hAnsi="Times New Roman"/>
        </w:rPr>
        <w:t xml:space="preserve"> Pursuant to s 22B of the </w:t>
      </w:r>
      <w:r w:rsidRPr="00CA793D">
        <w:rPr>
          <w:rFonts w:ascii="Times New Roman" w:hAnsi="Times New Roman"/>
          <w:i/>
          <w:iCs/>
        </w:rPr>
        <w:t>Water Act</w:t>
      </w:r>
      <w:r w:rsidRPr="00CA793D">
        <w:rPr>
          <w:rFonts w:ascii="Times New Roman" w:hAnsi="Times New Roman"/>
        </w:rPr>
        <w:t xml:space="preserve">, the Minister may declare a water allocation plan for a water control district and thereafter, for the duration of the plan, water resource management must accord with that plan. </w:t>
      </w:r>
    </w:p>
    <w:p w14:paraId="46925F17"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After the end of the period allowed for written comments, the Controller must as soon as practicable make a decision either to grant or not to grant a licence.</w:t>
      </w:r>
      <w:r w:rsidRPr="00CA793D">
        <w:rPr>
          <w:rStyle w:val="FootnoteReference"/>
          <w:rFonts w:ascii="Times New Roman" w:hAnsi="Times New Roman"/>
          <w:sz w:val="24"/>
        </w:rPr>
        <w:footnoteReference w:id="34"/>
      </w:r>
      <w:r w:rsidRPr="00CA793D">
        <w:rPr>
          <w:rFonts w:ascii="Times New Roman" w:hAnsi="Times New Roman"/>
        </w:rPr>
        <w:t xml:space="preserve"> In making that decision, the Controller must take into account all of the comments received in accordance with the </w:t>
      </w:r>
      <w:r w:rsidRPr="00CA793D">
        <w:rPr>
          <w:rFonts w:ascii="Times New Roman" w:hAnsi="Times New Roman"/>
          <w:i/>
          <w:iCs/>
        </w:rPr>
        <w:t>Water Act</w:t>
      </w:r>
      <w:r w:rsidRPr="00CA793D">
        <w:rPr>
          <w:rFonts w:ascii="Times New Roman" w:hAnsi="Times New Roman"/>
        </w:rPr>
        <w:t>.</w:t>
      </w:r>
      <w:r w:rsidRPr="00CA793D">
        <w:rPr>
          <w:rStyle w:val="FootnoteReference"/>
          <w:rFonts w:ascii="Times New Roman" w:hAnsi="Times New Roman"/>
          <w:sz w:val="24"/>
        </w:rPr>
        <w:footnoteReference w:id="35"/>
      </w:r>
      <w:r w:rsidRPr="00CA793D">
        <w:rPr>
          <w:rFonts w:ascii="Times New Roman" w:hAnsi="Times New Roman"/>
        </w:rPr>
        <w:t xml:space="preserve"> A copy of the "full </w:t>
      </w:r>
      <w:r w:rsidRPr="00CA793D">
        <w:rPr>
          <w:rFonts w:ascii="Times New Roman" w:hAnsi="Times New Roman"/>
        </w:rPr>
        <w:lastRenderedPageBreak/>
        <w:t xml:space="preserve">decision" must be made available to the public, and must include the reasons for the decision and the way in which the Controller has taken into account the comments received and any relevant factors mentioned in s 90(1) of the </w:t>
      </w:r>
      <w:r w:rsidRPr="00CA793D">
        <w:rPr>
          <w:rFonts w:ascii="Times New Roman" w:hAnsi="Times New Roman"/>
          <w:i/>
          <w:iCs/>
        </w:rPr>
        <w:t>Water Act</w:t>
      </w:r>
      <w:r w:rsidRPr="00CA793D">
        <w:rPr>
          <w:rFonts w:ascii="Times New Roman" w:hAnsi="Times New Roman"/>
        </w:rPr>
        <w:t>.</w:t>
      </w:r>
      <w:r w:rsidRPr="00CA793D">
        <w:rPr>
          <w:rStyle w:val="FootnoteReference"/>
          <w:rFonts w:ascii="Times New Roman" w:hAnsi="Times New Roman"/>
          <w:sz w:val="24"/>
        </w:rPr>
        <w:footnoteReference w:id="36"/>
      </w:r>
    </w:p>
    <w:p w14:paraId="7856DACE"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At the relevant time, s 30 of the </w:t>
      </w:r>
      <w:r w:rsidRPr="00CA793D">
        <w:rPr>
          <w:rFonts w:ascii="Times New Roman" w:hAnsi="Times New Roman"/>
          <w:i/>
          <w:iCs/>
        </w:rPr>
        <w:t>Water Act</w:t>
      </w:r>
      <w:r w:rsidRPr="00CA793D">
        <w:rPr>
          <w:rFonts w:ascii="Times New Roman" w:hAnsi="Times New Roman"/>
        </w:rPr>
        <w:t xml:space="preserve"> also provided that a person aggrieved, relevantly, by certain decisions made under the </w:t>
      </w:r>
      <w:r w:rsidRPr="00CA793D">
        <w:rPr>
          <w:rFonts w:ascii="Times New Roman" w:hAnsi="Times New Roman"/>
          <w:i/>
          <w:iCs/>
        </w:rPr>
        <w:t>Water Act</w:t>
      </w:r>
      <w:r w:rsidRPr="00CA793D">
        <w:rPr>
          <w:rFonts w:ascii="Times New Roman" w:hAnsi="Times New Roman"/>
        </w:rPr>
        <w:t>, including a decision pursuant to s 60, may apply to the Minister to review the matter.</w:t>
      </w:r>
      <w:r w:rsidRPr="00CA793D">
        <w:rPr>
          <w:rStyle w:val="FootnoteReference"/>
          <w:rFonts w:ascii="Times New Roman" w:hAnsi="Times New Roman"/>
          <w:sz w:val="24"/>
        </w:rPr>
        <w:footnoteReference w:id="37"/>
      </w:r>
      <w:r w:rsidRPr="00CA793D">
        <w:rPr>
          <w:rFonts w:ascii="Times New Roman" w:hAnsi="Times New Roman"/>
        </w:rPr>
        <w:t xml:space="preserve"> In the case of a decision made by the Controller, amongst other things, the Minister may uphold the decision, or substitute for that decision another decision, which in the opinion of the Minister the Controller should have made.</w:t>
      </w:r>
      <w:r w:rsidRPr="00CA793D">
        <w:rPr>
          <w:rStyle w:val="FootnoteReference"/>
          <w:rFonts w:ascii="Times New Roman" w:hAnsi="Times New Roman"/>
          <w:sz w:val="24"/>
        </w:rPr>
        <w:footnoteReference w:id="38"/>
      </w:r>
      <w:r w:rsidRPr="00CA793D">
        <w:rPr>
          <w:rFonts w:ascii="Times New Roman" w:hAnsi="Times New Roman"/>
        </w:rPr>
        <w:t xml:space="preserve"> The Minister may refer the matter to the Review Panel to seek its advice as to what action the Minister should take.</w:t>
      </w:r>
      <w:r w:rsidRPr="00CA793D">
        <w:rPr>
          <w:rStyle w:val="FootnoteReference"/>
          <w:rFonts w:ascii="Times New Roman" w:hAnsi="Times New Roman"/>
          <w:sz w:val="24"/>
        </w:rPr>
        <w:footnoteReference w:id="39"/>
      </w:r>
      <w:r w:rsidRPr="00CA793D">
        <w:rPr>
          <w:rFonts w:ascii="Times New Roman" w:hAnsi="Times New Roman"/>
        </w:rPr>
        <w:t xml:space="preserve"> After the Review Panel has advised the Minister, the Minister must then take such action to uphold, or substitute a decision for, the Controller's decision as the Minister thinks fit.</w:t>
      </w:r>
      <w:r w:rsidRPr="00CA793D">
        <w:rPr>
          <w:rStyle w:val="FootnoteReference"/>
          <w:rFonts w:ascii="Times New Roman" w:hAnsi="Times New Roman"/>
          <w:sz w:val="24"/>
        </w:rPr>
        <w:footnoteReference w:id="40"/>
      </w:r>
      <w:r w:rsidRPr="00CA793D">
        <w:rPr>
          <w:rFonts w:ascii="Times New Roman" w:hAnsi="Times New Roman"/>
        </w:rPr>
        <w:t xml:space="preserve"> There is no dispute that a review conducted under s 30 is a merits review and the Minister "stands in the shoes" of the Controller in making a decision under s 30(3). </w:t>
      </w:r>
    </w:p>
    <w:p w14:paraId="37150ECB"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Where the Minister decides to substitute the Controller's decision with the Minister's own decision, the Controller must publish a notice of this in the same newspaper or newspapers in which the original decision was published.</w:t>
      </w:r>
      <w:r w:rsidRPr="00CA793D">
        <w:rPr>
          <w:rStyle w:val="FootnoteReference"/>
          <w:rFonts w:ascii="Times New Roman" w:hAnsi="Times New Roman"/>
          <w:sz w:val="24"/>
        </w:rPr>
        <w:footnoteReference w:id="41"/>
      </w:r>
      <w:r w:rsidRPr="00CA793D">
        <w:rPr>
          <w:rFonts w:ascii="Times New Roman" w:hAnsi="Times New Roman"/>
        </w:rPr>
        <w:t xml:space="preserve"> The notice must include a brief statement of the reasons for the review decision and must advise where a person may read or obtain a copy of the "full review decision".</w:t>
      </w:r>
      <w:r w:rsidRPr="00CA793D">
        <w:rPr>
          <w:rStyle w:val="FootnoteReference"/>
          <w:rFonts w:ascii="Times New Roman" w:hAnsi="Times New Roman"/>
          <w:sz w:val="24"/>
        </w:rPr>
        <w:footnoteReference w:id="42"/>
      </w:r>
      <w:r w:rsidRPr="00CA793D">
        <w:rPr>
          <w:rFonts w:ascii="Times New Roman" w:hAnsi="Times New Roman"/>
        </w:rPr>
        <w:t xml:space="preserve"> The review decision must include both the reasons for the decision and the way in which the Minister or Controller has taken into account the comments </w:t>
      </w:r>
      <w:r w:rsidRPr="00CA793D">
        <w:rPr>
          <w:rFonts w:ascii="Times New Roman" w:hAnsi="Times New Roman"/>
        </w:rPr>
        <w:lastRenderedPageBreak/>
        <w:t xml:space="preserve">previously received by the Controller in accordance with the </w:t>
      </w:r>
      <w:r w:rsidRPr="00CA793D">
        <w:rPr>
          <w:rFonts w:ascii="Times New Roman" w:hAnsi="Times New Roman"/>
          <w:i/>
          <w:iCs/>
        </w:rPr>
        <w:t>Water Act</w:t>
      </w:r>
      <w:r w:rsidRPr="00CA793D">
        <w:rPr>
          <w:rFonts w:ascii="Times New Roman" w:hAnsi="Times New Roman"/>
        </w:rPr>
        <w:t xml:space="preserve"> and any relevant factors mentioned in s 90(1) of the </w:t>
      </w:r>
      <w:r w:rsidRPr="00CA793D">
        <w:rPr>
          <w:rFonts w:ascii="Times New Roman" w:hAnsi="Times New Roman"/>
          <w:i/>
          <w:iCs/>
        </w:rPr>
        <w:t>Water Act</w:t>
      </w:r>
      <w:r w:rsidRPr="00CA793D">
        <w:rPr>
          <w:rFonts w:ascii="Times New Roman" w:hAnsi="Times New Roman"/>
        </w:rPr>
        <w:t>.</w:t>
      </w:r>
      <w:r w:rsidRPr="00CA793D">
        <w:rPr>
          <w:rStyle w:val="FootnoteReference"/>
          <w:rFonts w:ascii="Times New Roman" w:hAnsi="Times New Roman"/>
          <w:sz w:val="24"/>
        </w:rPr>
        <w:footnoteReference w:id="43"/>
      </w:r>
    </w:p>
    <w:p w14:paraId="3DE54243"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Three observations may be made about the foregoing legislative regime. First, in the Northern Territory water resources are an important publicly owned asset. Secondly, in making decisions about that resource, the </w:t>
      </w:r>
      <w:r w:rsidRPr="00CA793D">
        <w:rPr>
          <w:rFonts w:ascii="Times New Roman" w:hAnsi="Times New Roman"/>
          <w:i/>
          <w:iCs/>
        </w:rPr>
        <w:t>Water Act</w:t>
      </w:r>
      <w:r w:rsidRPr="00CA793D">
        <w:rPr>
          <w:rFonts w:ascii="Times New Roman" w:hAnsi="Times New Roman"/>
        </w:rPr>
        <w:t xml:space="preserve"> requires consideration of comments received from the public both before a licence is granted and at the review stage. Thirdly, the </w:t>
      </w:r>
      <w:r w:rsidRPr="00CA793D">
        <w:rPr>
          <w:rFonts w:ascii="Times New Roman" w:hAnsi="Times New Roman"/>
          <w:i/>
          <w:iCs/>
        </w:rPr>
        <w:t xml:space="preserve">Water Act </w:t>
      </w:r>
      <w:r w:rsidRPr="00CA793D">
        <w:rPr>
          <w:rFonts w:ascii="Times New Roman" w:hAnsi="Times New Roman"/>
        </w:rPr>
        <w:t xml:space="preserve">requires the giving of published reasons which explain how a decision to grant, or not to grant, a licence was made, and which expressly address any public comments received and any relevant factors mentioned in s 90(1) of the </w:t>
      </w:r>
      <w:r w:rsidRPr="00CA793D">
        <w:rPr>
          <w:rFonts w:ascii="Times New Roman" w:hAnsi="Times New Roman"/>
          <w:i/>
          <w:iCs/>
        </w:rPr>
        <w:t>Water Act</w:t>
      </w:r>
      <w:r w:rsidRPr="00CA793D">
        <w:rPr>
          <w:rFonts w:ascii="Times New Roman" w:hAnsi="Times New Roman"/>
        </w:rPr>
        <w:t>.</w:t>
      </w:r>
    </w:p>
    <w:p w14:paraId="1F2BC6E1" w14:textId="77777777" w:rsidR="00B5218C" w:rsidRPr="00CA793D" w:rsidRDefault="00B5218C" w:rsidP="00CA793D">
      <w:pPr>
        <w:pStyle w:val="HeadingL1"/>
        <w:spacing w:after="260" w:line="280" w:lineRule="exact"/>
        <w:ind w:right="0"/>
        <w:jc w:val="both"/>
        <w:rPr>
          <w:rFonts w:ascii="Times New Roman" w:hAnsi="Times New Roman"/>
        </w:rPr>
      </w:pPr>
      <w:r w:rsidRPr="00CA793D">
        <w:rPr>
          <w:rFonts w:ascii="Times New Roman" w:hAnsi="Times New Roman"/>
        </w:rPr>
        <w:t>Facts</w:t>
      </w:r>
    </w:p>
    <w:p w14:paraId="6D79649A"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t>The parties</w:t>
      </w:r>
    </w:p>
    <w:p w14:paraId="651550FE"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Fortune is the lessee of a pastoral lease at Singleton Station. Singleton Station is situated in the Western Davenport region of the Northern Territory, approximately 380 km north of Alice Springs and 120 km south of Tennant Creek. Fortune sought a 30-year water extraction licence to extract up to 40,000 ML (40 gigalitres) of water each year for its proposed irrigated horticulture business.</w:t>
      </w:r>
      <w:r w:rsidRPr="00CA793D">
        <w:rPr>
          <w:rStyle w:val="FootnoteReference"/>
          <w:rFonts w:ascii="Times New Roman" w:hAnsi="Times New Roman"/>
          <w:sz w:val="24"/>
        </w:rPr>
        <w:footnoteReference w:id="44"/>
      </w:r>
      <w:r w:rsidRPr="00CA793D">
        <w:rPr>
          <w:rFonts w:ascii="Times New Roman" w:hAnsi="Times New Roman"/>
        </w:rPr>
        <w:t xml:space="preserve"> It wishes to grow, amongst other foods, mandarins, table grapes and avocados. </w:t>
      </w:r>
    </w:p>
    <w:p w14:paraId="7DD11396"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The traditional owners, and native title holders, of Singleton Station are the Kaytetye people, and members of four landholding groups: </w:t>
      </w:r>
      <w:proofErr w:type="spellStart"/>
      <w:r w:rsidRPr="00CA793D">
        <w:rPr>
          <w:rFonts w:ascii="Times New Roman" w:hAnsi="Times New Roman"/>
        </w:rPr>
        <w:t>Akwerlpe-Waake</w:t>
      </w:r>
      <w:proofErr w:type="spellEnd"/>
      <w:r w:rsidRPr="00CA793D">
        <w:rPr>
          <w:rFonts w:ascii="Times New Roman" w:hAnsi="Times New Roman"/>
        </w:rPr>
        <w:t xml:space="preserve">, </w:t>
      </w:r>
      <w:proofErr w:type="spellStart"/>
      <w:r w:rsidRPr="00CA793D">
        <w:rPr>
          <w:rFonts w:ascii="Times New Roman" w:hAnsi="Times New Roman"/>
        </w:rPr>
        <w:t>Iliyarne</w:t>
      </w:r>
      <w:proofErr w:type="spellEnd"/>
      <w:r w:rsidRPr="00CA793D">
        <w:rPr>
          <w:rFonts w:ascii="Times New Roman" w:hAnsi="Times New Roman"/>
        </w:rPr>
        <w:t xml:space="preserve">, </w:t>
      </w:r>
      <w:proofErr w:type="spellStart"/>
      <w:r w:rsidRPr="00CA793D">
        <w:rPr>
          <w:rFonts w:ascii="Times New Roman" w:hAnsi="Times New Roman"/>
        </w:rPr>
        <w:t>Lyentyawel</w:t>
      </w:r>
      <w:proofErr w:type="spellEnd"/>
      <w:r w:rsidRPr="00CA793D">
        <w:rPr>
          <w:rFonts w:ascii="Times New Roman" w:hAnsi="Times New Roman"/>
        </w:rPr>
        <w:t xml:space="preserve"> </w:t>
      </w:r>
      <w:proofErr w:type="spellStart"/>
      <w:r w:rsidRPr="00CA793D">
        <w:rPr>
          <w:rFonts w:ascii="Times New Roman" w:hAnsi="Times New Roman"/>
        </w:rPr>
        <w:t>Ileparranem</w:t>
      </w:r>
      <w:proofErr w:type="spellEnd"/>
      <w:r w:rsidRPr="00CA793D">
        <w:rPr>
          <w:rFonts w:ascii="Times New Roman" w:hAnsi="Times New Roman"/>
        </w:rPr>
        <w:t xml:space="preserve"> and </w:t>
      </w:r>
      <w:proofErr w:type="spellStart"/>
      <w:r w:rsidRPr="00CA793D">
        <w:rPr>
          <w:rFonts w:ascii="Times New Roman" w:hAnsi="Times New Roman"/>
        </w:rPr>
        <w:t>Arrawatyen</w:t>
      </w:r>
      <w:proofErr w:type="spellEnd"/>
      <w:r w:rsidRPr="00CA793D">
        <w:rPr>
          <w:rFonts w:ascii="Times New Roman" w:hAnsi="Times New Roman"/>
        </w:rPr>
        <w:t>. MAC is the prescribed body corporate for these native title holders. They hold non</w:t>
      </w:r>
      <w:r w:rsidRPr="00CA793D">
        <w:rPr>
          <w:rFonts w:ascii="Times New Roman" w:hAnsi="Times New Roman"/>
        </w:rPr>
        <w:noBreakHyphen/>
        <w:t>exclusive rights over Singleton Station which include, amongst other rights, the right to take and use the natural water resources, to access, maintain and protect places and areas of importance on or in waters, and to engage in cultural activities.</w:t>
      </w:r>
      <w:r w:rsidRPr="00CA793D">
        <w:rPr>
          <w:rStyle w:val="FootnoteReference"/>
          <w:rFonts w:ascii="Times New Roman" w:hAnsi="Times New Roman"/>
          <w:sz w:val="24"/>
        </w:rPr>
        <w:footnoteReference w:id="45"/>
      </w:r>
      <w:r w:rsidRPr="00CA793D">
        <w:rPr>
          <w:rFonts w:ascii="Times New Roman" w:hAnsi="Times New Roman"/>
        </w:rPr>
        <w:t xml:space="preserve"> </w:t>
      </w:r>
    </w:p>
    <w:p w14:paraId="58E9503C"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lastRenderedPageBreak/>
        <w:t>The Davenport Water Plan</w:t>
      </w:r>
    </w:p>
    <w:p w14:paraId="09B7F99F"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In December 2018, the Minister for Tourism and Culture, acting for the Minister for Environment and Natural Resources, declared the "Western Davenport Water Allocation Plan" ("Davenport Water Plan") to be a water allocation plan for the purposes of s 22B of the </w:t>
      </w:r>
      <w:r w:rsidRPr="00CA793D">
        <w:rPr>
          <w:rFonts w:ascii="Times New Roman" w:hAnsi="Times New Roman"/>
          <w:i/>
          <w:iCs/>
        </w:rPr>
        <w:t>Water Act</w:t>
      </w:r>
      <w:r w:rsidRPr="00CA793D">
        <w:rPr>
          <w:rFonts w:ascii="Times New Roman" w:hAnsi="Times New Roman"/>
        </w:rPr>
        <w:t>. This plan covers an area that includes Singleton Station. One of the objectives of the Davenport Water Plan is to "protect Aboriginal cultural values associated with water and provide access to water resources to support local Aboriginal economic development". The Davenport Water Plan, under the heading "8.2.2 Aboriginal cultural values", sets out certain requirements for modelling to be undertaken to determine whether groundwater extraction might unacceptably impact on groundwater dependent Aboriginal cultural values. Amongst other things, the Davenport Water Plan provides that the Central Land Council ("the CLC") should maintain a record of relevant places and cultural values reliant on groundwater access, and may update the record of cultural values from time to time. One of the Davenport Water Plan's</w:t>
      </w:r>
      <w:r w:rsidRPr="00CA793D" w:rsidDel="005867FB">
        <w:rPr>
          <w:rFonts w:ascii="Times New Roman" w:hAnsi="Times New Roman"/>
        </w:rPr>
        <w:t xml:space="preserve"> </w:t>
      </w:r>
      <w:r w:rsidRPr="00CA793D">
        <w:rPr>
          <w:rFonts w:ascii="Times New Roman" w:hAnsi="Times New Roman"/>
        </w:rPr>
        <w:t>implementation activities includes a "[c]</w:t>
      </w:r>
      <w:proofErr w:type="spellStart"/>
      <w:r w:rsidRPr="00CA793D">
        <w:rPr>
          <w:rFonts w:ascii="Times New Roman" w:hAnsi="Times New Roman"/>
        </w:rPr>
        <w:t>ultural</w:t>
      </w:r>
      <w:proofErr w:type="spellEnd"/>
      <w:r w:rsidRPr="00CA793D">
        <w:rPr>
          <w:rFonts w:ascii="Times New Roman" w:hAnsi="Times New Roman"/>
        </w:rPr>
        <w:t xml:space="preserve"> values protection program" to be completed by the Department in partnership with traditional owners and with the assistance of the CLC.</w:t>
      </w:r>
    </w:p>
    <w:p w14:paraId="71F00AD9"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t>The grant of a water extraction licence by the Controller</w:t>
      </w:r>
    </w:p>
    <w:p w14:paraId="20DD089E"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On 18 August 2020, Fortune applied to the Controller for a licence to take groundwater at Singleton Station for a term of 30 years. In a Ministerial briefing concerning the existence of "special circumstances" which might justify such a term for the purposes of former s 60(4) of the </w:t>
      </w:r>
      <w:r w:rsidRPr="00CA793D">
        <w:rPr>
          <w:rFonts w:ascii="Times New Roman" w:hAnsi="Times New Roman"/>
          <w:i/>
          <w:iCs/>
        </w:rPr>
        <w:t>Water Act</w:t>
      </w:r>
      <w:r w:rsidRPr="00CA793D">
        <w:rPr>
          <w:rFonts w:ascii="Times New Roman" w:hAnsi="Times New Roman"/>
        </w:rPr>
        <w:t>, the Department of Environment described the project as "possibly the largest volume application in a single water resource by a single entity in Australia".</w:t>
      </w:r>
    </w:p>
    <w:p w14:paraId="5AA04A85"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In accordance with former s 60(4) of the </w:t>
      </w:r>
      <w:r w:rsidRPr="00CA793D">
        <w:rPr>
          <w:rFonts w:ascii="Times New Roman" w:hAnsi="Times New Roman"/>
          <w:i/>
          <w:iCs/>
        </w:rPr>
        <w:t>Water Act</w:t>
      </w:r>
      <w:r w:rsidRPr="00CA793D">
        <w:rPr>
          <w:rFonts w:ascii="Times New Roman" w:hAnsi="Times New Roman"/>
        </w:rPr>
        <w:t xml:space="preserve">, in February 2021 the Minister for Environment provided her opinion to the Controller that she was satisfied that there were "special circumstances" which justified a 30-year term licence. Then, in April 2021, the Controller granted Fortune a water extraction licence with a term of 30 years. </w:t>
      </w:r>
    </w:p>
    <w:p w14:paraId="5257C833"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t>Review of the Controller's decision</w:t>
      </w:r>
    </w:p>
    <w:p w14:paraId="0CA83E59"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A number of parties, including MAC, sought review of the Controller's decision pursuant to s 30 of the </w:t>
      </w:r>
      <w:r w:rsidRPr="00CA793D">
        <w:rPr>
          <w:rFonts w:ascii="Times New Roman" w:hAnsi="Times New Roman"/>
          <w:i/>
          <w:iCs/>
        </w:rPr>
        <w:t>Water Act</w:t>
      </w:r>
      <w:r w:rsidRPr="00CA793D">
        <w:rPr>
          <w:rFonts w:ascii="Times New Roman" w:hAnsi="Times New Roman"/>
        </w:rPr>
        <w:t xml:space="preserve">. Both MAC and the CLC wanted the licence quashed. It was not disputed that MAC was a "person aggrieved by ... [the] </w:t>
      </w:r>
      <w:r w:rsidRPr="00CA793D">
        <w:rPr>
          <w:rFonts w:ascii="Times New Roman" w:hAnsi="Times New Roman"/>
        </w:rPr>
        <w:lastRenderedPageBreak/>
        <w:t>decision".</w:t>
      </w:r>
      <w:r w:rsidRPr="00CA793D">
        <w:rPr>
          <w:rStyle w:val="FootnoteReference"/>
          <w:rFonts w:ascii="Times New Roman" w:hAnsi="Times New Roman"/>
          <w:sz w:val="24"/>
        </w:rPr>
        <w:footnoteReference w:id="46"/>
      </w:r>
      <w:r w:rsidRPr="00CA793D">
        <w:rPr>
          <w:rFonts w:ascii="Times New Roman" w:hAnsi="Times New Roman"/>
        </w:rPr>
        <w:t xml:space="preserve"> The Minister for Environment referred the matter to the Review Panel pursuant to s 30(3)(b). The CLC, acting on behalf of MAC and various other parties, provided written submissions to the Review Panel, made representations to the Review Panel at the hearing, and provided an "Aboriginal Cultural Values Assessment" prepared by an anthropologist. The CLC, on behalf of MAC, also wrote to the Minister for Environment in June 2021 requesting that the CLC "be provided with an adequate opportunity to comment on all materials that you or the Review Panel will be considering when making a decision". </w:t>
      </w:r>
    </w:p>
    <w:p w14:paraId="2D6C8C70"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In the Review Panel's report, it summarised the submissions of the CLC and noted that the CLC was concerned about the lack of data concerning the groundwater dependent ecosystems ("GDEs") at Singleton Station. The CLC submitted that before any future application for a water extraction licence could be considered, there needed to be an assessment of the water resource in the area including hydrogeological investigations of the GDEs together with a program of drilling and aquifer testing to obtain spatially distributed data on aquifer properties. The CLC also wanted a comprehensive map and</w:t>
      </w:r>
      <w:r w:rsidRPr="00CA793D" w:rsidDel="00E36892">
        <w:rPr>
          <w:rFonts w:ascii="Times New Roman" w:hAnsi="Times New Roman"/>
        </w:rPr>
        <w:t xml:space="preserve"> </w:t>
      </w:r>
      <w:r w:rsidRPr="00CA793D">
        <w:rPr>
          <w:rFonts w:ascii="Times New Roman" w:hAnsi="Times New Roman"/>
        </w:rPr>
        <w:t xml:space="preserve">assessment of cultural and biodiversity values of the GDEs produced before any future grant of a water extraction licence. The lack of data was reflected in an assumption made by the anthropologist in making her assessment; the scientific premise of that assessment was that a reduction in groundwater could have significant negative impacts on GDEs. The accuracy of that premise, however, could not be established. The possibility of addressing the need for this additional work to be addressed as a condition of a licence was raised with the CLC but rejected by it in submissions. </w:t>
      </w:r>
    </w:p>
    <w:p w14:paraId="38546FB1"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Meanwhile, on 29 September 2021, the </w:t>
      </w:r>
      <w:proofErr w:type="spellStart"/>
      <w:r w:rsidRPr="00CA793D">
        <w:rPr>
          <w:rFonts w:ascii="Times New Roman" w:hAnsi="Times New Roman"/>
        </w:rPr>
        <w:t>new s</w:t>
      </w:r>
      <w:proofErr w:type="spellEnd"/>
      <w:r w:rsidRPr="00CA793D">
        <w:rPr>
          <w:rFonts w:ascii="Times New Roman" w:hAnsi="Times New Roman"/>
        </w:rPr>
        <w:t> 60(4) commenced, which relevantly required that the Controller be satisfied that special circumstances justify a licence term exceeding ten years. As noted, on review, the delegate Minister (and not the Review Panel) was to perform that function.</w:t>
      </w:r>
    </w:p>
    <w:p w14:paraId="1A4DAC53"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t>The Review Panel's report</w:t>
      </w:r>
    </w:p>
    <w:p w14:paraId="30D8A985"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The Review Panel produced its advisory report in mid-October 2021, shortly after the amendment to s 60(4) had commenced. This report was not available to MAC or the CLC until it was publicly released on 15 November 2021. </w:t>
      </w:r>
    </w:p>
    <w:p w14:paraId="02EC2418"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lastRenderedPageBreak/>
        <w:tab/>
        <w:t>On the issue of the appropriate licence term the Review Panel provided the following advice:</w:t>
      </w:r>
      <w:r w:rsidRPr="00CA793D">
        <w:rPr>
          <w:rStyle w:val="FootnoteReference"/>
          <w:rFonts w:ascii="Times New Roman" w:hAnsi="Times New Roman"/>
          <w:sz w:val="24"/>
        </w:rPr>
        <w:t xml:space="preserve"> </w:t>
      </w:r>
      <w:r w:rsidRPr="00CA793D">
        <w:rPr>
          <w:rStyle w:val="FootnoteReference"/>
          <w:rFonts w:ascii="Times New Roman" w:hAnsi="Times New Roman"/>
          <w:sz w:val="24"/>
        </w:rPr>
        <w:footnoteReference w:id="47"/>
      </w:r>
      <w:r w:rsidRPr="00CA793D">
        <w:rPr>
          <w:rFonts w:ascii="Times New Roman" w:hAnsi="Times New Roman"/>
        </w:rPr>
        <w:t xml:space="preserve"> </w:t>
      </w:r>
    </w:p>
    <w:p w14:paraId="383158DA" w14:textId="77777777" w:rsidR="00B5218C" w:rsidRPr="00CA793D" w:rsidRDefault="00B5218C" w:rsidP="00CA793D">
      <w:pPr>
        <w:pStyle w:val="LeftrightafterHC"/>
        <w:spacing w:before="0" w:after="260" w:line="280" w:lineRule="exact"/>
        <w:ind w:right="0"/>
        <w:jc w:val="both"/>
        <w:rPr>
          <w:rFonts w:ascii="Times New Roman" w:hAnsi="Times New Roman"/>
          <w:b/>
          <w:bCs/>
        </w:rPr>
      </w:pPr>
      <w:r w:rsidRPr="00CA793D">
        <w:rPr>
          <w:rFonts w:ascii="Times New Roman" w:hAnsi="Times New Roman"/>
        </w:rPr>
        <w:t>"</w:t>
      </w:r>
      <w:r w:rsidRPr="00CA793D">
        <w:rPr>
          <w:rFonts w:ascii="Times New Roman" w:hAnsi="Times New Roman"/>
          <w:b/>
          <w:bCs/>
        </w:rPr>
        <w:t>Licence period</w:t>
      </w:r>
    </w:p>
    <w:p w14:paraId="582A7C83" w14:textId="77777777" w:rsidR="00B5218C" w:rsidRPr="00CA793D" w:rsidRDefault="00B5218C" w:rsidP="00CA793D">
      <w:pPr>
        <w:pStyle w:val="leftright"/>
        <w:spacing w:before="0" w:after="260" w:line="280" w:lineRule="exact"/>
        <w:ind w:left="1440" w:right="0" w:hanging="720"/>
        <w:jc w:val="both"/>
        <w:rPr>
          <w:rFonts w:ascii="Times New Roman" w:hAnsi="Times New Roman"/>
        </w:rPr>
      </w:pPr>
      <w:r w:rsidRPr="00CA793D">
        <w:rPr>
          <w:rFonts w:ascii="Times New Roman" w:hAnsi="Times New Roman"/>
        </w:rPr>
        <w:t>81.</w:t>
      </w:r>
      <w:r w:rsidRPr="00CA793D">
        <w:rPr>
          <w:rFonts w:ascii="Times New Roman" w:hAnsi="Times New Roman"/>
        </w:rPr>
        <w:tab/>
        <w:t xml:space="preserve">In making her decision to grant the Licence for 30-years, the Controller sought the opinion of the Minister, </w:t>
      </w:r>
      <w:r w:rsidRPr="00CA793D">
        <w:rPr>
          <w:rFonts w:ascii="Times New Roman" w:hAnsi="Times New Roman"/>
          <w:i/>
          <w:iCs/>
        </w:rPr>
        <w:t>in accordance with section 60(4) of the Water Act</w:t>
      </w:r>
      <w:r w:rsidRPr="00CA793D">
        <w:rPr>
          <w:rFonts w:ascii="Times New Roman" w:hAnsi="Times New Roman"/>
        </w:rPr>
        <w:t>. The Minister affirmed that in her opinion there are special circumstances that justify a 30-year term licence.</w:t>
      </w:r>
    </w:p>
    <w:p w14:paraId="70F78BD9" w14:textId="77777777" w:rsidR="00B5218C" w:rsidRPr="00CA793D" w:rsidRDefault="00B5218C" w:rsidP="00CA793D">
      <w:pPr>
        <w:pStyle w:val="leftright"/>
        <w:spacing w:before="0" w:after="260" w:line="280" w:lineRule="exact"/>
        <w:ind w:left="1440" w:right="0" w:hanging="720"/>
        <w:jc w:val="both"/>
        <w:rPr>
          <w:rFonts w:ascii="Times New Roman" w:hAnsi="Times New Roman"/>
        </w:rPr>
      </w:pPr>
      <w:r w:rsidRPr="00CA793D">
        <w:rPr>
          <w:rFonts w:ascii="Times New Roman" w:hAnsi="Times New Roman"/>
        </w:rPr>
        <w:t>82.</w:t>
      </w:r>
      <w:r w:rsidRPr="00CA793D">
        <w:rPr>
          <w:rFonts w:ascii="Times New Roman" w:hAnsi="Times New Roman"/>
        </w:rPr>
        <w:tab/>
        <w:t>[Environment Centre NT Incorporated ("ECNT")] submit that the Controller should not have applied her discretion to grant the Licence for a period of 30-years given the scientific uncertainty underpinning the WAP and the risk of serious and irreversible harm.</w:t>
      </w:r>
    </w:p>
    <w:p w14:paraId="63BCF100" w14:textId="77777777" w:rsidR="00B5218C" w:rsidRPr="00CA793D" w:rsidRDefault="00B5218C" w:rsidP="00CA793D">
      <w:pPr>
        <w:pStyle w:val="leftright"/>
        <w:spacing w:before="0" w:after="260" w:line="280" w:lineRule="exact"/>
        <w:ind w:left="1440" w:right="0" w:hanging="720"/>
        <w:jc w:val="both"/>
        <w:rPr>
          <w:rFonts w:ascii="Times New Roman" w:hAnsi="Times New Roman"/>
        </w:rPr>
      </w:pPr>
      <w:r w:rsidRPr="00CA793D">
        <w:rPr>
          <w:rFonts w:ascii="Times New Roman" w:hAnsi="Times New Roman"/>
        </w:rPr>
        <w:t>83.</w:t>
      </w:r>
      <w:r w:rsidRPr="00CA793D">
        <w:rPr>
          <w:rFonts w:ascii="Times New Roman" w:hAnsi="Times New Roman"/>
        </w:rPr>
        <w:tab/>
        <w:t xml:space="preserve">[The CLC, on behalf of MAC,] submits that the Controller should not have granted the Licence for a period greater than 10 years and maintains that the special circumstances referred to by the Minister do not exist in this case and refer to the circumstances included in section 5.2.1 of the </w:t>
      </w:r>
      <w:r w:rsidRPr="00CA793D">
        <w:rPr>
          <w:rFonts w:ascii="Times New Roman" w:hAnsi="Times New Roman"/>
          <w:i/>
          <w:iCs/>
        </w:rPr>
        <w:t>Guideline: Special Circumstances for water extraction terms of up to 30 years</w:t>
      </w:r>
      <w:r w:rsidRPr="00CA793D">
        <w:rPr>
          <w:rFonts w:ascii="Times New Roman" w:hAnsi="Times New Roman"/>
        </w:rPr>
        <w:t>.</w:t>
      </w:r>
    </w:p>
    <w:p w14:paraId="62767FDD" w14:textId="77777777" w:rsidR="00B5218C" w:rsidRPr="00CA793D" w:rsidRDefault="00B5218C" w:rsidP="00CA793D">
      <w:pPr>
        <w:pStyle w:val="leftright"/>
        <w:spacing w:before="0" w:after="260" w:line="280" w:lineRule="exact"/>
        <w:ind w:left="1440" w:right="0" w:hanging="720"/>
        <w:jc w:val="both"/>
        <w:rPr>
          <w:rFonts w:ascii="Times New Roman" w:hAnsi="Times New Roman"/>
        </w:rPr>
      </w:pPr>
      <w:r w:rsidRPr="00CA793D">
        <w:rPr>
          <w:rFonts w:ascii="Times New Roman" w:hAnsi="Times New Roman"/>
        </w:rPr>
        <w:t>84.</w:t>
      </w:r>
      <w:r w:rsidRPr="00CA793D">
        <w:rPr>
          <w:rFonts w:ascii="Times New Roman" w:hAnsi="Times New Roman"/>
        </w:rPr>
        <w:tab/>
        <w:t xml:space="preserve">The Panel is of the view that </w:t>
      </w:r>
      <w:r w:rsidRPr="00CA793D">
        <w:rPr>
          <w:rFonts w:ascii="Times New Roman" w:hAnsi="Times New Roman"/>
          <w:i/>
          <w:iCs/>
        </w:rPr>
        <w:t>a licence term of greater than 10 years, with suitable conditions precedent and staged entitlements, is appropriate for a large-scale development such as that proposed</w:t>
      </w:r>
      <w:r w:rsidRPr="00CA793D">
        <w:rPr>
          <w:rFonts w:ascii="Times New Roman" w:hAnsi="Times New Roman"/>
        </w:rPr>
        <w:t xml:space="preserve">. </w:t>
      </w:r>
    </w:p>
    <w:p w14:paraId="77142C94" w14:textId="77777777" w:rsidR="00B5218C" w:rsidRDefault="00B5218C" w:rsidP="00CA793D">
      <w:pPr>
        <w:pStyle w:val="leftright"/>
        <w:spacing w:before="0" w:after="260" w:line="280" w:lineRule="exact"/>
        <w:ind w:left="1440" w:right="0" w:hanging="720"/>
        <w:jc w:val="both"/>
        <w:rPr>
          <w:rFonts w:ascii="Times New Roman" w:hAnsi="Times New Roman"/>
        </w:rPr>
      </w:pPr>
      <w:r w:rsidRPr="00CA793D">
        <w:rPr>
          <w:rFonts w:ascii="Times New Roman" w:hAnsi="Times New Roman"/>
        </w:rPr>
        <w:t>85.</w:t>
      </w:r>
      <w:r w:rsidRPr="00CA793D">
        <w:rPr>
          <w:rFonts w:ascii="Times New Roman" w:hAnsi="Times New Roman"/>
        </w:rPr>
        <w:tab/>
        <w:t>The [Environmental Defenders Office] (on behalf of ECNT) also submit that the Minister's express involvement in informing the Controller's decision around licence term raises concerns about the current matter of the Licence review and submit that the Minister should therefore disqualify herself from the ultimate decision on the ground of apprehended bias. The Panel is not in a position to comment on this matter." (emphasis added)</w:t>
      </w:r>
    </w:p>
    <w:p w14:paraId="5BFF2E2A"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Four points should be noted. First, in a covering letter to the report, the Review Panel emphasised that it was "not equipped nor able to make a determination on whether the decision was in accordance with the law as that ... is </w:t>
      </w:r>
      <w:r w:rsidRPr="00CA793D">
        <w:rPr>
          <w:rFonts w:ascii="Times New Roman" w:hAnsi="Times New Roman"/>
        </w:rPr>
        <w:lastRenderedPageBreak/>
        <w:t>a matter of legal opinion". Secondly, while the Review Panel report does refer to s 60(4), these references were references to the old version of s 60(4) (in force prior to 29 September 2021), under which it was for the Minister (not the Controller) to express an opinion about the existence of special circumstances. There is nothing to suggest the Review Panel was aware of the change in the law prior to handing down its report. Thirdly, nowhere in the Review Panel's report would it appear that the Review Panel considered that it had responsibility to advise upon the correctness of the Minister for Environment's previous determination that special circumstances existed which justified a longer licence; given that the Review Panel's task was to review the decision of the Controller, and not of the Minister, that approach would have been consistent with the state of the law before s 60(4) was amended. Fourthly, and again consistently with the former s 60(4), the Review Panel did not recommend that the licence be for 30 years; it merely considered that a licence in excess of ten years was appropriate.</w:t>
      </w:r>
    </w:p>
    <w:p w14:paraId="679AD999"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Consistently with the lack of data before it, the Review Panel was not able to form a view on the significance of the information presented in the anthropologist's assessment, but was of the opinion that a comprehensive cultural impact assessment was required prior to the extraction of any significant volumes of water at Singleton Station. The Review Panel advised that this could be addressed as a condition of the licence. It proposed the grant of a new licence with what it described as new "conditions precedent" (whether the proposed conditions were in fact conditions precedent or conditions subsequent need not be resolved). These proposed conditions precedent included a requirement that more data about the water resources at Singleton Station be obtained and a "cultural values impact assessment"</w:t>
      </w:r>
      <w:r w:rsidRPr="00CA793D" w:rsidDel="00123489">
        <w:rPr>
          <w:rFonts w:ascii="Times New Roman" w:hAnsi="Times New Roman"/>
        </w:rPr>
        <w:t xml:space="preserve"> </w:t>
      </w:r>
      <w:r w:rsidRPr="00CA793D">
        <w:rPr>
          <w:rFonts w:ascii="Times New Roman" w:hAnsi="Times New Roman"/>
        </w:rPr>
        <w:t xml:space="preserve">be produced. Who was to undertake this work was not specified. </w:t>
      </w:r>
    </w:p>
    <w:p w14:paraId="3A9AA257"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In a subsequent email sent by a Ministerial advisor to the Chair of the Review Panel, clarification was sought as to who was to be responsible for undertaking the cultural values impact assessment. The Chair replied to say that it was either up to the relevant Department to undertake the necessary assessment (in partnership with the CLC), or that it was up to Fortune to "facilitate that work". The Chair explained that it was the Review Panel's recommendation that Fortune "progress" activities as they relate to Singleton Station. If Fortune were to take responsibility for the cultural values impact assessment, the Chair noted that the work would need to be undertaken by "suitable", "acceptable" persons to both the Department and the CLC. </w:t>
      </w:r>
    </w:p>
    <w:p w14:paraId="5952C2B0"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t>A new proposed condition precedent</w:t>
      </w:r>
    </w:p>
    <w:p w14:paraId="5703C708"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On 10 November 2021 the Department sent a number of proposed new conditions "precedent" to the grant of a licence to Fortune, which it noted "may </w:t>
      </w:r>
      <w:r w:rsidRPr="00CA793D">
        <w:rPr>
          <w:rFonts w:ascii="Times New Roman" w:hAnsi="Times New Roman"/>
        </w:rPr>
        <w:lastRenderedPageBreak/>
        <w:t>adversely impact Fortune". Fortune was given two days to respond. One of the proposed new conditions, labelled "CP 10", was in the following terms:</w:t>
      </w:r>
    </w:p>
    <w:p w14:paraId="46F769BA" w14:textId="77777777" w:rsidR="00B5218C" w:rsidRPr="00CA793D" w:rsidRDefault="00B5218C" w:rsidP="00CA793D">
      <w:pPr>
        <w:pStyle w:val="LeftrightafterHC"/>
        <w:spacing w:before="0" w:after="260" w:line="280" w:lineRule="exact"/>
        <w:ind w:right="0"/>
        <w:jc w:val="both"/>
        <w:rPr>
          <w:rFonts w:ascii="Times New Roman" w:hAnsi="Times New Roman"/>
        </w:rPr>
      </w:pPr>
      <w:r w:rsidRPr="00CA793D">
        <w:rPr>
          <w:rFonts w:ascii="Times New Roman" w:hAnsi="Times New Roman"/>
        </w:rPr>
        <w:t>"The licence holder must develop and submit to the Controller a groundwater dependant Aboriginal cultural values impact assessment. The assessment must:</w:t>
      </w:r>
    </w:p>
    <w:p w14:paraId="1C9FED06" w14:textId="77777777" w:rsidR="00B5218C" w:rsidRPr="00CA793D" w:rsidRDefault="00B5218C" w:rsidP="00CA793D">
      <w:pPr>
        <w:pStyle w:val="leftright"/>
        <w:spacing w:before="0" w:after="260" w:line="280" w:lineRule="exact"/>
        <w:ind w:right="0"/>
        <w:jc w:val="both"/>
        <w:rPr>
          <w:rFonts w:ascii="Times New Roman" w:hAnsi="Times New Roman"/>
        </w:rPr>
      </w:pPr>
      <w:r w:rsidRPr="00CA793D">
        <w:rPr>
          <w:rFonts w:ascii="Times New Roman" w:hAnsi="Times New Roman"/>
        </w:rPr>
        <w:t>(a)</w:t>
      </w:r>
      <w:r w:rsidRPr="00CA793D">
        <w:rPr>
          <w:rFonts w:ascii="Times New Roman" w:hAnsi="Times New Roman"/>
        </w:rPr>
        <w:tab/>
        <w:t>be prepared by a suitably qualified professional;</w:t>
      </w:r>
    </w:p>
    <w:p w14:paraId="3E54BA99" w14:textId="77777777" w:rsidR="00B5218C" w:rsidRPr="00CA793D" w:rsidRDefault="00B5218C" w:rsidP="00CA793D">
      <w:pPr>
        <w:pStyle w:val="leftright"/>
        <w:spacing w:before="0" w:after="260" w:line="280" w:lineRule="exact"/>
        <w:ind w:left="1440" w:right="0" w:hanging="720"/>
        <w:jc w:val="both"/>
        <w:rPr>
          <w:rFonts w:ascii="Times New Roman" w:hAnsi="Times New Roman"/>
        </w:rPr>
      </w:pPr>
      <w:r w:rsidRPr="00CA793D">
        <w:rPr>
          <w:rFonts w:ascii="Times New Roman" w:hAnsi="Times New Roman"/>
        </w:rPr>
        <w:t>(b)</w:t>
      </w:r>
      <w:r w:rsidRPr="00CA793D">
        <w:rPr>
          <w:rFonts w:ascii="Times New Roman" w:hAnsi="Times New Roman"/>
        </w:rPr>
        <w:tab/>
        <w:t>identify, map and document (as appropriate) the cultural values of Aboriginal people that will be impacted by groundwater extraction under this licence;</w:t>
      </w:r>
    </w:p>
    <w:p w14:paraId="53875AFE" w14:textId="77777777" w:rsidR="00B5218C" w:rsidRPr="00CA793D" w:rsidRDefault="00B5218C" w:rsidP="00CA793D">
      <w:pPr>
        <w:pStyle w:val="leftright"/>
        <w:spacing w:before="0" w:after="260" w:line="280" w:lineRule="exact"/>
        <w:ind w:left="1440" w:right="0" w:hanging="720"/>
        <w:jc w:val="both"/>
        <w:rPr>
          <w:rFonts w:ascii="Times New Roman" w:hAnsi="Times New Roman"/>
        </w:rPr>
      </w:pPr>
      <w:r w:rsidRPr="00CA793D">
        <w:rPr>
          <w:rFonts w:ascii="Times New Roman" w:hAnsi="Times New Roman"/>
        </w:rPr>
        <w:t>(c)</w:t>
      </w:r>
      <w:r w:rsidRPr="00CA793D">
        <w:rPr>
          <w:rFonts w:ascii="Times New Roman" w:hAnsi="Times New Roman"/>
        </w:rPr>
        <w:tab/>
        <w:t>identify reference points to be used in modelling the impacts of groundwater extraction under this licence on the identified Aboriginal cultural values; and</w:t>
      </w:r>
    </w:p>
    <w:p w14:paraId="0ABAB332" w14:textId="77777777" w:rsidR="00B5218C" w:rsidRDefault="00B5218C" w:rsidP="00CA793D">
      <w:pPr>
        <w:pStyle w:val="leftright"/>
        <w:spacing w:before="0" w:after="260" w:line="280" w:lineRule="exact"/>
        <w:ind w:left="1440" w:right="0" w:hanging="720"/>
        <w:jc w:val="both"/>
        <w:rPr>
          <w:rFonts w:ascii="Times New Roman" w:hAnsi="Times New Roman"/>
          <w:b/>
          <w:bCs/>
        </w:rPr>
      </w:pPr>
      <w:r w:rsidRPr="00CA793D">
        <w:rPr>
          <w:rFonts w:ascii="Times New Roman" w:hAnsi="Times New Roman"/>
        </w:rPr>
        <w:t>(d)</w:t>
      </w:r>
      <w:r w:rsidRPr="00CA793D">
        <w:rPr>
          <w:rFonts w:ascii="Times New Roman" w:hAnsi="Times New Roman"/>
        </w:rPr>
        <w:tab/>
        <w:t xml:space="preserve">specify monitoring parameters, trigger values and limits for the reference points which can be used to initiate actions under an adaptive management framework." </w:t>
      </w:r>
    </w:p>
    <w:p w14:paraId="37792E60"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Four observations may be made about CP 10. First, it identified that Fortune, and not the Department and the CLC, was to develop and submit to the Controller the Aboriginal cultural values impact assessment. Secondly, Fortune agreed to CP 10 (and provided comments in relation to certain other proposed conditions) within two days. Thirdly, and importantly, the terms of CP 10 were not sent to MAC or the CLC until after the water extraction licence was issued. As it happens the water extraction licence was subsequently issued with CP 10 as one of its terms. Fourthly, the general subject matter of CP 10 was clearly related to that part of the submissions made by the CLC to the Review Panel concerning the impact of the water extraction licence on cultural and biodiversity values.</w:t>
      </w:r>
      <w:r w:rsidRPr="00CA793D">
        <w:rPr>
          <w:rStyle w:val="FootnoteReference"/>
          <w:rFonts w:ascii="Times New Roman" w:hAnsi="Times New Roman"/>
          <w:sz w:val="24"/>
        </w:rPr>
        <w:footnoteReference w:id="48"/>
      </w:r>
    </w:p>
    <w:p w14:paraId="3EF4EEF8"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During the course of argument in this Court, Senior Counsel for MAC contended that whilst MAC had been aware of the possibility that the completion of a cultural values impact assessment might be made a term of the water extraction licence, it had no prior notice that Fortune alone would be given responsibility for completing this task (as distinct from the Department or the CLC). That contention was not disputed by either the delegate Minister or Fortune.</w:t>
      </w:r>
    </w:p>
    <w:p w14:paraId="55806E9E"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lastRenderedPageBreak/>
        <w:t>The material before the delegate Minister</w:t>
      </w:r>
    </w:p>
    <w:p w14:paraId="3B208B06"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The day before Fortune communicated its acceptance of CP 10, the Minister for Environment delegated her powers to uphold or to substitute a decision for the Controller's decision to the delegate Minister under s 19 of the </w:t>
      </w:r>
      <w:r w:rsidRPr="00CA793D">
        <w:rPr>
          <w:rFonts w:ascii="Times New Roman" w:hAnsi="Times New Roman"/>
          <w:i/>
          <w:iCs/>
        </w:rPr>
        <w:t>Water Act</w:t>
      </w:r>
      <w:r w:rsidRPr="00CA793D">
        <w:rPr>
          <w:rFonts w:ascii="Times New Roman" w:hAnsi="Times New Roman"/>
        </w:rPr>
        <w:t xml:space="preserve">. Significantly, and as explained below, if the delegate Minister were to decide to uphold the Controller's decision, or substitute for that decision another decision that involved the grant of a licence for a period exceeding ten years, because the </w:t>
      </w:r>
      <w:proofErr w:type="spellStart"/>
      <w:r w:rsidRPr="00CA793D">
        <w:rPr>
          <w:rFonts w:ascii="Times New Roman" w:hAnsi="Times New Roman"/>
        </w:rPr>
        <w:t>new s</w:t>
      </w:r>
      <w:proofErr w:type="spellEnd"/>
      <w:r w:rsidRPr="00CA793D">
        <w:rPr>
          <w:rFonts w:ascii="Times New Roman" w:hAnsi="Times New Roman"/>
        </w:rPr>
        <w:t xml:space="preserve"> 60(4)(b) now applied, this would require the delegate Minister to determine for herself whether special circumstances existed that justified a water extraction licence for a term longer than ten years. </w:t>
      </w:r>
    </w:p>
    <w:p w14:paraId="6A824709"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The next day, on the afternoon of Friday 12 November 2021, an Executive Officer in the Department of Environment, Parks and Water Security sent two Ministerial briefings to the delegate Minister. In aggregate, they exceeded 1,660 pages and included, amongst other things, the submissions made to the Review Panel, including the Aboriginal Cultural Values Assessment, as well as the report of the Review Panel. Two observations may be made about the Ministerial briefings. First, whilst the Ministerial briefings annexed or otherwise referred to some of the provisions of the </w:t>
      </w:r>
      <w:r w:rsidRPr="00CA793D">
        <w:rPr>
          <w:rFonts w:ascii="Times New Roman" w:hAnsi="Times New Roman"/>
          <w:i/>
          <w:iCs/>
        </w:rPr>
        <w:t>Water Act</w:t>
      </w:r>
      <w:r w:rsidRPr="00CA793D">
        <w:rPr>
          <w:rFonts w:ascii="Times New Roman" w:hAnsi="Times New Roman"/>
        </w:rPr>
        <w:t xml:space="preserve">, they did not annex or refer to the terms of either the old or the </w:t>
      </w:r>
      <w:proofErr w:type="spellStart"/>
      <w:r w:rsidRPr="00CA793D">
        <w:rPr>
          <w:rFonts w:ascii="Times New Roman" w:hAnsi="Times New Roman"/>
        </w:rPr>
        <w:t>new s</w:t>
      </w:r>
      <w:proofErr w:type="spellEnd"/>
      <w:r w:rsidRPr="00CA793D">
        <w:rPr>
          <w:rFonts w:ascii="Times New Roman" w:hAnsi="Times New Roman"/>
        </w:rPr>
        <w:t xml:space="preserve"> 60(4). Secondly, the Ministerial briefings provided the delegate Minister with four options, namely: to uphold the Controller's decision; to substitute a decision based on the recommendation of the Review Panel; to substitute a decision to refuse to grant the water extraction licence; or to proceed on some other basis. There was no reference in the Ministerial briefings to any need for the delegate Minister to determine whether special circumstances existed which justified a water extraction licence with a term of 30 years, or to the fact that in exercising a power to substitute the decision of the Controller, this was a matter that the delegate Minister had to be satisfied about if the licence was to be for a term that exceeded ten years. The phrase "special circumstances" was not mentioned in the body of the Ministerial briefings. </w:t>
      </w:r>
    </w:p>
    <w:p w14:paraId="22EC06A7"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t>The delegate Minister's decision</w:t>
      </w:r>
    </w:p>
    <w:p w14:paraId="53C7FB1A"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On 15 November 2021, less than one business day after receipt of the Ministerial briefings, the delegate Minister decided to grant the water extraction licence to Fortune for a term of 30 years. The licence contained CP 10, as well as some other additional terms. Reasons were given. Under the heading "Decision", the delegate Minister stated that she had "taken into account" the views of the Review Panel, the submissions made to it, "and the other material before [her]". The delegate Minister then stated that she had determined "to accept the conclusions of the Review Panel for the reasons it has given on each of the issues raised", save for one exception which is not material to this appeal. </w:t>
      </w:r>
    </w:p>
    <w:p w14:paraId="39F8E465"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lastRenderedPageBreak/>
        <w:tab/>
        <w:t>On the issue of the term of the proposed water extraction licence, the delegate Minister noted the views of the Review Panel, as follows:</w:t>
      </w:r>
      <w:r w:rsidRPr="00CA793D">
        <w:rPr>
          <w:rStyle w:val="FootnoteReference"/>
          <w:rFonts w:ascii="Times New Roman" w:hAnsi="Times New Roman"/>
          <w:sz w:val="24"/>
        </w:rPr>
        <w:footnoteReference w:id="49"/>
      </w:r>
    </w:p>
    <w:p w14:paraId="1C5EC944" w14:textId="77777777" w:rsidR="00B5218C" w:rsidRPr="00CA793D" w:rsidRDefault="00B5218C" w:rsidP="00CA793D">
      <w:pPr>
        <w:pStyle w:val="LeftrightafterHC"/>
        <w:spacing w:before="0" w:after="260" w:line="280" w:lineRule="exact"/>
        <w:ind w:right="0"/>
        <w:jc w:val="both"/>
        <w:rPr>
          <w:rFonts w:ascii="Times New Roman" w:hAnsi="Times New Roman"/>
        </w:rPr>
      </w:pPr>
      <w:r w:rsidRPr="00CA793D">
        <w:rPr>
          <w:rFonts w:ascii="Times New Roman" w:hAnsi="Times New Roman"/>
        </w:rPr>
        <w:t>"Concerns were raised by Reviewing Persons regarding the 30 year tenure of the licence.</w:t>
      </w:r>
    </w:p>
    <w:p w14:paraId="7B5BEF9F" w14:textId="77777777" w:rsidR="00B5218C" w:rsidRPr="00CA793D" w:rsidRDefault="00B5218C" w:rsidP="00CA793D">
      <w:pPr>
        <w:pStyle w:val="leftright"/>
        <w:spacing w:before="0" w:after="260" w:line="280" w:lineRule="exact"/>
        <w:ind w:right="0"/>
        <w:jc w:val="both"/>
        <w:rPr>
          <w:rFonts w:ascii="Times New Roman" w:hAnsi="Times New Roman"/>
        </w:rPr>
      </w:pPr>
      <w:r w:rsidRPr="00CA793D">
        <w:rPr>
          <w:rFonts w:ascii="Times New Roman" w:hAnsi="Times New Roman"/>
        </w:rPr>
        <w:t>The Review Panel is of the view that a licence term of greater than 10 years, with suitable conditions precedent and staged entitlements, is appropriate for a large-scale development such as that proposed.</w:t>
      </w:r>
    </w:p>
    <w:p w14:paraId="11049044" w14:textId="77777777" w:rsidR="00B5218C" w:rsidRDefault="00B5218C" w:rsidP="00CA793D">
      <w:pPr>
        <w:pStyle w:val="leftright"/>
        <w:spacing w:before="0" w:after="260" w:line="280" w:lineRule="exact"/>
        <w:ind w:right="0"/>
        <w:jc w:val="both"/>
        <w:rPr>
          <w:rFonts w:ascii="Times New Roman" w:hAnsi="Times New Roman"/>
        </w:rPr>
      </w:pPr>
      <w:r w:rsidRPr="00CA793D">
        <w:rPr>
          <w:rFonts w:ascii="Times New Roman" w:hAnsi="Times New Roman"/>
        </w:rPr>
        <w:t xml:space="preserve">The Reviewing Parties also raised concern regarding Minister Lawler, as Minister for Environment, providing her opinion that there were </w:t>
      </w:r>
      <w:r w:rsidRPr="00CA793D">
        <w:rPr>
          <w:rFonts w:ascii="Times New Roman" w:hAnsi="Times New Roman"/>
          <w:i/>
          <w:iCs/>
        </w:rPr>
        <w:t>special circumstances</w:t>
      </w:r>
      <w:r w:rsidRPr="00CA793D">
        <w:rPr>
          <w:rFonts w:ascii="Times New Roman" w:hAnsi="Times New Roman"/>
        </w:rPr>
        <w:t xml:space="preserve"> that justified the Controller granting the licence for a period of 30 years, and Minister Lawler's ability to make a decision under section 30(4) of the Act, citing apprehended bias. The Review Panel was unable to comment on this matter." (emphasis added)</w:t>
      </w:r>
    </w:p>
    <w:p w14:paraId="771F2A96"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However, the reasons of the delegate Minister made no reference to any need for her to be satisfied that there existed special circumstances that justified a term of 30 years, nor is there any reference in those reasons to s 60(4) and its requirements. As a result, the reasons of the delegate Minister disclose no findings about the issue of special circumstances, or whether the term of 30 years was justified. </w:t>
      </w:r>
    </w:p>
    <w:p w14:paraId="01B1AAF1"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On the issue of Aboriginal cultural values, the delegate Minister stated that she considered the issues raised by this matter, and then said, following a detailed summary of the Review Panel's conclusions on these issues, that she accepted the views of the Review Panel "in that regard". She then stated that "[f]or the reasons the Review Panel has given" she would add new condition CP 10. She also determined to make consequential changes to two other conditions precedent "to capture the identified Aboriginal cultural values".</w:t>
      </w:r>
    </w:p>
    <w:p w14:paraId="17F78924" w14:textId="77777777" w:rsidR="00B5218C" w:rsidRPr="00CA793D" w:rsidRDefault="00B5218C" w:rsidP="00CA793D">
      <w:pPr>
        <w:pStyle w:val="HeadingL1"/>
        <w:spacing w:after="260" w:line="280" w:lineRule="exact"/>
        <w:ind w:right="0"/>
        <w:jc w:val="both"/>
        <w:rPr>
          <w:rFonts w:ascii="Times New Roman" w:hAnsi="Times New Roman"/>
        </w:rPr>
      </w:pPr>
      <w:r w:rsidRPr="00CA793D">
        <w:rPr>
          <w:rFonts w:ascii="Times New Roman" w:hAnsi="Times New Roman"/>
        </w:rPr>
        <w:t>Procedural history</w:t>
      </w:r>
    </w:p>
    <w:p w14:paraId="0E54D64B"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MAC sought judicial review in the Supreme Court of the Northern Territory of Australia. It relied on nine grounds to justify the quashing of the licence. It is not necessary to set those out. The primary judge dismissed all of the grounds and decided, amongst other reasons, that the delegate Minister's decision was made correctly in accordance with former s 60(4) which had been in force when the </w:t>
      </w:r>
      <w:r w:rsidRPr="00CA793D">
        <w:rPr>
          <w:rFonts w:ascii="Times New Roman" w:hAnsi="Times New Roman"/>
        </w:rPr>
        <w:lastRenderedPageBreak/>
        <w:t>Controller's decision was made.</w:t>
      </w:r>
      <w:r w:rsidRPr="00CA793D">
        <w:rPr>
          <w:rStyle w:val="FootnoteReference"/>
          <w:rFonts w:ascii="Times New Roman" w:hAnsi="Times New Roman"/>
          <w:sz w:val="24"/>
        </w:rPr>
        <w:footnoteReference w:id="50"/>
      </w:r>
      <w:r w:rsidRPr="00CA793D">
        <w:rPr>
          <w:rFonts w:ascii="Times New Roman" w:hAnsi="Times New Roman"/>
        </w:rPr>
        <w:t xml:space="preserve"> On appeal, the Court of Appeal was of the view that the primary judge had wrongly applied the former s 60(4).</w:t>
      </w:r>
      <w:r w:rsidRPr="00CA793D">
        <w:rPr>
          <w:rStyle w:val="FootnoteReference"/>
          <w:rFonts w:ascii="Times New Roman" w:hAnsi="Times New Roman"/>
          <w:sz w:val="24"/>
        </w:rPr>
        <w:footnoteReference w:id="51"/>
      </w:r>
      <w:r w:rsidRPr="00CA793D">
        <w:rPr>
          <w:rFonts w:ascii="Times New Roman" w:hAnsi="Times New Roman"/>
        </w:rPr>
        <w:t xml:space="preserve"> However, applying the version of s 60(4) in force when the delegate Minister's decision was made, the Court of Appeal inferred that the delegate Minister had in any event found sufficient special circumstances to justify a 30</w:t>
      </w:r>
      <w:r w:rsidRPr="00CA793D">
        <w:rPr>
          <w:rFonts w:ascii="Times New Roman" w:hAnsi="Times New Roman"/>
        </w:rPr>
        <w:noBreakHyphen/>
        <w:t>year term for the licence.</w:t>
      </w:r>
      <w:r w:rsidRPr="00CA793D">
        <w:rPr>
          <w:rStyle w:val="FootnoteReference"/>
          <w:rFonts w:ascii="Times New Roman" w:hAnsi="Times New Roman"/>
          <w:sz w:val="24"/>
        </w:rPr>
        <w:footnoteReference w:id="52"/>
      </w:r>
      <w:r w:rsidRPr="00CA793D">
        <w:rPr>
          <w:rFonts w:ascii="Times New Roman" w:hAnsi="Times New Roman"/>
        </w:rPr>
        <w:t xml:space="preserve"> The Court otherwise dismissed MAC's other grounds of appeal.</w:t>
      </w:r>
    </w:p>
    <w:p w14:paraId="67ADA5CE" w14:textId="77777777" w:rsidR="00B5218C" w:rsidRPr="00CA793D" w:rsidRDefault="00B5218C" w:rsidP="00CA793D">
      <w:pPr>
        <w:pStyle w:val="HeadingL1"/>
        <w:spacing w:after="260" w:line="280" w:lineRule="exact"/>
        <w:ind w:right="0"/>
        <w:jc w:val="both"/>
        <w:rPr>
          <w:rFonts w:ascii="Times New Roman" w:hAnsi="Times New Roman"/>
        </w:rPr>
      </w:pPr>
      <w:r w:rsidRPr="00CA793D">
        <w:rPr>
          <w:rFonts w:ascii="Times New Roman" w:hAnsi="Times New Roman"/>
        </w:rPr>
        <w:t>Ground one – discharge of the statutory task</w:t>
      </w:r>
    </w:p>
    <w:p w14:paraId="0BBEB046"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It was not in dispute that the delegate Minister's statutory task, in deciding to substitute for the decision that the Controller had made the one which the Controller should have made for the purposes of s 30(3)(a)(ii), also included being satisfied, for the purposes of s 60(4)(b), that special circumstances justified the grant of a licence with a term that exceeded ten years. That is because when the delegate Minister made her decision (on 15 November 2021), s 60(4)(b) conferred upon the Controller that task. For the purposes of exercising the power of review conferred by s 30(3)(a)(ii), that then became a task that the delegate Minister (standing in the shoes of the Controller) was required to address, if the licence to be granted was to extend beyond ten years.</w:t>
      </w:r>
    </w:p>
    <w:p w14:paraId="2D7D1824"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In particular, it was never contended that the opinion formed by the Minister for Environment in February 2021 under former s 60(4) could be taken as somehow satisfying s 60(4)(b) on the review of the decision to grant the water extraction licence. Leaving aside any debate about the identity of the Minister who concluded that there were special circumstances under former s 60(4) and the delegate Minister, and the differences between former s 60(4) and s 60(4)(b), by the time the delegate Minister came to decide the application for review further submissions had been received, and they were required to be considered before any opinion under s 60(4)(b) could be formed.</w:t>
      </w:r>
    </w:p>
    <w:p w14:paraId="3313E516"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lastRenderedPageBreak/>
        <w:t>MAC's contentions</w:t>
      </w:r>
    </w:p>
    <w:p w14:paraId="1D4845D3"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MAC criticised the Court of Appeal's reliance, in drawing an inference from the reasons of the delegate Minister that she was satisfied special circumstances existed justifying a 30-year licence, upon the following passage from the reasoning of Kiefel CJ, Gageler, Keane and Gleeson JJ in </w:t>
      </w:r>
      <w:r w:rsidRPr="00CA793D">
        <w:rPr>
          <w:rFonts w:ascii="Times New Roman" w:hAnsi="Times New Roman"/>
          <w:i/>
          <w:iCs/>
        </w:rPr>
        <w:t>MZAPC v Minister for Immigration and Border Protection</w:t>
      </w:r>
      <w:r w:rsidRPr="00CA793D">
        <w:rPr>
          <w:rFonts w:ascii="Times New Roman" w:hAnsi="Times New Roman"/>
        </w:rPr>
        <w:t>:</w:t>
      </w:r>
      <w:r w:rsidRPr="00CA793D">
        <w:rPr>
          <w:rStyle w:val="FootnoteReference"/>
          <w:rFonts w:ascii="Times New Roman" w:hAnsi="Times New Roman"/>
          <w:sz w:val="24"/>
        </w:rPr>
        <w:footnoteReference w:id="53"/>
      </w:r>
      <w:r w:rsidRPr="00CA793D">
        <w:rPr>
          <w:rFonts w:ascii="Times New Roman" w:hAnsi="Times New Roman"/>
        </w:rPr>
        <w:t xml:space="preserve"> </w:t>
      </w:r>
    </w:p>
    <w:p w14:paraId="78AB7868" w14:textId="77777777" w:rsidR="00B5218C" w:rsidRDefault="00B5218C" w:rsidP="00CA793D">
      <w:pPr>
        <w:pStyle w:val="LeftrightafterHC"/>
        <w:spacing w:before="0" w:after="260" w:line="280" w:lineRule="exact"/>
        <w:ind w:right="0"/>
        <w:jc w:val="both"/>
        <w:rPr>
          <w:rFonts w:ascii="Times New Roman" w:hAnsi="Times New Roman"/>
        </w:rPr>
      </w:pPr>
      <w:r w:rsidRPr="00CA793D">
        <w:rPr>
          <w:rFonts w:ascii="Times New Roman" w:hAnsi="Times New Roman"/>
        </w:rPr>
        <w:t>"Like other historical facts to be determined in other civil proceedings, the facts as to what occurred in the making of the decision must be determined in an application for judicial review on the balance of probabilities by inferences drawn from the totality of the evidence."</w:t>
      </w:r>
    </w:p>
    <w:p w14:paraId="653715EE"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MAC essentially relied on two contentions. The first invoked the language of s 71E(3), which juxtaposes a "brief statement" of the reasons for the review decision with the "full review decision", and which requires the Minister or Controller (as the case may be) to give reasons for the decision, which include how comments from the public as well as the relevant factors mentioned in s 90(1) were taken into account. This was said to be the expression of a legislative intent that the court should determine ground one by reference to the reasons proffered by the delegate Minister, and to nothing else. Because those reasons do not disclose any analysis of the requirements of s 60(4), MAC contended that it followed that the delegate Minister had failed to apply that provision. </w:t>
      </w:r>
    </w:p>
    <w:p w14:paraId="0D5137E3"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MAC's second contention was that where an Act of Parliament makes the formation of a state of satisfaction concerning matters of policy, about which reasonable minds might differ, a pre</w:t>
      </w:r>
      <w:r w:rsidRPr="00CA793D">
        <w:rPr>
          <w:rFonts w:ascii="Times New Roman" w:hAnsi="Times New Roman"/>
        </w:rPr>
        <w:noBreakHyphen/>
        <w:t>condition of an exercise of statutory power, and there is an obligation to give reasons, which reasons do not disclose the formation of that state of mind, a court cannot infer that the pre</w:t>
      </w:r>
      <w:r w:rsidRPr="00CA793D">
        <w:rPr>
          <w:rFonts w:ascii="Times New Roman" w:hAnsi="Times New Roman"/>
        </w:rPr>
        <w:noBreakHyphen/>
        <w:t xml:space="preserve">condition was satisfied. To do so would be to trespass into those matters of policy and involve the court substituting its opinion for that of the decision maker. MAC relied upon the following passage from the reasons of this Court in </w:t>
      </w:r>
      <w:r w:rsidRPr="00CA793D">
        <w:rPr>
          <w:rFonts w:ascii="Times New Roman" w:hAnsi="Times New Roman"/>
          <w:i/>
          <w:iCs/>
        </w:rPr>
        <w:t>LPDT v Minister for Immigration, Citizenship, Migrant Services and Multicultural Affairs</w:t>
      </w:r>
      <w:r w:rsidRPr="00CA793D">
        <w:rPr>
          <w:rFonts w:ascii="Times New Roman" w:hAnsi="Times New Roman"/>
        </w:rPr>
        <w:t>:</w:t>
      </w:r>
      <w:r w:rsidRPr="00CA793D">
        <w:rPr>
          <w:rStyle w:val="FootnoteReference"/>
          <w:rFonts w:ascii="Times New Roman" w:hAnsi="Times New Roman"/>
          <w:sz w:val="24"/>
        </w:rPr>
        <w:footnoteReference w:id="54"/>
      </w:r>
    </w:p>
    <w:p w14:paraId="7FD9AC91" w14:textId="77777777" w:rsidR="00B5218C" w:rsidRDefault="00B5218C" w:rsidP="00CA793D">
      <w:pPr>
        <w:pStyle w:val="LeftrightafterHC"/>
        <w:spacing w:before="0" w:after="260" w:line="280" w:lineRule="exact"/>
        <w:ind w:right="0"/>
        <w:jc w:val="both"/>
        <w:rPr>
          <w:rFonts w:ascii="Times New Roman" w:hAnsi="Times New Roman"/>
          <w:b/>
          <w:bCs/>
        </w:rPr>
      </w:pPr>
      <w:r w:rsidRPr="00CA793D">
        <w:rPr>
          <w:rFonts w:ascii="Times New Roman" w:hAnsi="Times New Roman"/>
        </w:rPr>
        <w:t>"A reviewing court does not engage in a review of the merits of the decision, reconstruct a decision‑making process, rework the apparent basis upon which a decision has been made, or rewrite the reasons for decision."</w:t>
      </w:r>
    </w:p>
    <w:p w14:paraId="5CBE4437"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lastRenderedPageBreak/>
        <w:t>The delegate Minister's contentions</w:t>
      </w:r>
    </w:p>
    <w:p w14:paraId="0A4BD078"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In contrast, the delegate Minister submitted that the Court of Appeal had not "inferred" that the delegate Minister had addressed the need for special circumstances; rather, the Court of Appeal had merely "construed" the delegate Minister's reasons and concluded that, read properly, they revealed that the delegate Minister had addressed the statutory task. The first respondent highlighted that the delegate Minister would have been aware of the state of satisfaction reached by the original Minister about special circumstances, would have seen references in the Review Panel's report to the issue about the term of the licence and to submissions made to that Review Panel that special circumstances did not exist, and finally the delegate Minister knew that the licence was for a 30</w:t>
      </w:r>
      <w:r w:rsidRPr="00CA793D">
        <w:rPr>
          <w:rFonts w:ascii="Times New Roman" w:hAnsi="Times New Roman"/>
        </w:rPr>
        <w:noBreakHyphen/>
        <w:t xml:space="preserve">year term. The delegate Minister relied upon the following passage from the reasons of Toohey J, sitting as a judge of the Federal Court of Australia, in </w:t>
      </w:r>
      <w:r w:rsidRPr="00CA793D">
        <w:rPr>
          <w:rFonts w:ascii="Times New Roman" w:hAnsi="Times New Roman"/>
          <w:i/>
          <w:iCs/>
        </w:rPr>
        <w:t>Turner v Minister for Immigration and Ethnic Affairs</w:t>
      </w:r>
      <w:r w:rsidRPr="00CA793D">
        <w:rPr>
          <w:rFonts w:ascii="Times New Roman" w:hAnsi="Times New Roman"/>
        </w:rPr>
        <w:t>:</w:t>
      </w:r>
      <w:r w:rsidRPr="00CA793D">
        <w:rPr>
          <w:rStyle w:val="FootnoteReference"/>
          <w:rFonts w:ascii="Times New Roman" w:hAnsi="Times New Roman"/>
          <w:sz w:val="24"/>
        </w:rPr>
        <w:footnoteReference w:id="55"/>
      </w:r>
    </w:p>
    <w:p w14:paraId="198940F2" w14:textId="77777777" w:rsidR="00B5218C" w:rsidRDefault="00B5218C" w:rsidP="00CA793D">
      <w:pPr>
        <w:pStyle w:val="LeftrightafterHC"/>
        <w:spacing w:before="0" w:after="260" w:line="280" w:lineRule="exact"/>
        <w:ind w:right="0"/>
        <w:jc w:val="both"/>
        <w:rPr>
          <w:rFonts w:ascii="Times New Roman" w:hAnsi="Times New Roman"/>
          <w:b/>
          <w:bCs/>
        </w:rPr>
      </w:pPr>
      <w:r w:rsidRPr="00CA793D">
        <w:rPr>
          <w:rFonts w:ascii="Times New Roman" w:hAnsi="Times New Roman"/>
        </w:rPr>
        <w:t>"</w:t>
      </w:r>
      <w:proofErr w:type="gramStart"/>
      <w:r w:rsidRPr="00CA793D">
        <w:rPr>
          <w:rFonts w:ascii="Times New Roman" w:hAnsi="Times New Roman"/>
        </w:rPr>
        <w:t>the</w:t>
      </w:r>
      <w:proofErr w:type="gramEnd"/>
      <w:r w:rsidRPr="00CA793D">
        <w:rPr>
          <w:rFonts w:ascii="Times New Roman" w:hAnsi="Times New Roman"/>
        </w:rPr>
        <w:t xml:space="preserve"> omission of an express reference to some consideration will not lead inevitably to a conclusion that it was not taken into account. An examination of the reasons for decision and of the decision itself may justify the inference that it was."</w:t>
      </w:r>
    </w:p>
    <w:p w14:paraId="418D43FA"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t>Difficulties with the foregoing submissions</w:t>
      </w:r>
    </w:p>
    <w:p w14:paraId="6375B345"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The function of the Court is to determine whether the delegate Minister exercised her statutory function fully and in accordance with the law. In that respect, the observation of Toohey J is entirely correct and well established. But so too is the proposition that a failure to advert to a relevant matter may justify an inference that it has failed to be taken into account.</w:t>
      </w:r>
      <w:r w:rsidRPr="00CA793D">
        <w:rPr>
          <w:rStyle w:val="FootnoteReference"/>
          <w:rFonts w:ascii="Times New Roman" w:hAnsi="Times New Roman"/>
          <w:sz w:val="24"/>
        </w:rPr>
        <w:footnoteReference w:id="56"/>
      </w:r>
      <w:r w:rsidRPr="00CA793D">
        <w:rPr>
          <w:rFonts w:ascii="Times New Roman" w:hAnsi="Times New Roman"/>
        </w:rPr>
        <w:t xml:space="preserve"> The same also applies to a failure to expressly state that a requisite state of satisfaction has been reached.</w:t>
      </w:r>
    </w:p>
    <w:p w14:paraId="356B5C06"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Determining whether a Minister has exercised that Minister's statutory function fully and in accordance with the law is a question of fact, as Kiefel CJ, Gageler, Keane and Gleeson JJ in </w:t>
      </w:r>
      <w:r w:rsidRPr="00CA793D">
        <w:rPr>
          <w:rFonts w:ascii="Times New Roman" w:hAnsi="Times New Roman"/>
          <w:i/>
          <w:iCs/>
        </w:rPr>
        <w:t>MZAPC</w:t>
      </w:r>
      <w:r w:rsidRPr="00CA793D">
        <w:rPr>
          <w:rFonts w:ascii="Times New Roman" w:hAnsi="Times New Roman"/>
        </w:rPr>
        <w:t xml:space="preserve"> confirmed. It requires the Court to consider all of the material that bears upon that issue, including any reasons given, the materials before the decision maker, the applicable legal regime, and the relevant context, including historical context where relevant. </w:t>
      </w:r>
    </w:p>
    <w:p w14:paraId="72B6129E"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lastRenderedPageBreak/>
        <w:tab/>
        <w:t xml:space="preserve">In that respect, MAC's contention that the Court is limited to the delegate Minister's reasons, and nothing else, must be rejected. That contention was not supported by the language of s 71E of the </w:t>
      </w:r>
      <w:r w:rsidRPr="00CA793D">
        <w:rPr>
          <w:rFonts w:ascii="Times New Roman" w:hAnsi="Times New Roman"/>
          <w:i/>
          <w:iCs/>
        </w:rPr>
        <w:t>Water Act</w:t>
      </w:r>
      <w:r w:rsidRPr="00CA793D">
        <w:rPr>
          <w:rFonts w:ascii="Times New Roman" w:hAnsi="Times New Roman"/>
        </w:rPr>
        <w:t xml:space="preserve">; that provision does not by its terms limit in any way the material that a court may consider on a judicial review application. </w:t>
      </w:r>
    </w:p>
    <w:p w14:paraId="4DF51954"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Further, the distinction sought to be drawn by the delegate Minister between inferences and the construction of reasons is, in this context, unrealistic and unhelpful. The delegate Minister ultimately accepted that there was no sharp distinction between the two concepts. </w:t>
      </w:r>
    </w:p>
    <w:p w14:paraId="4ED994F0"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Moreover, the contention made by MAC in reliance upon </w:t>
      </w:r>
      <w:r w:rsidRPr="00CA793D">
        <w:rPr>
          <w:rFonts w:ascii="Times New Roman" w:hAnsi="Times New Roman"/>
          <w:i/>
          <w:iCs/>
        </w:rPr>
        <w:t>LPDT</w:t>
      </w:r>
      <w:r w:rsidRPr="00CA793D">
        <w:rPr>
          <w:rFonts w:ascii="Times New Roman" w:hAnsi="Times New Roman"/>
        </w:rPr>
        <w:t xml:space="preserve"> is too prescriptive. A court cannot, of course, cure an omission in the reasons of a decision maker by supplying new reasons;</w:t>
      </w:r>
      <w:r w:rsidRPr="00CA793D">
        <w:rPr>
          <w:rStyle w:val="FootnoteReference"/>
          <w:rFonts w:ascii="Times New Roman" w:hAnsi="Times New Roman"/>
          <w:sz w:val="24"/>
        </w:rPr>
        <w:footnoteReference w:id="57"/>
      </w:r>
      <w:r w:rsidRPr="00CA793D">
        <w:rPr>
          <w:rFonts w:ascii="Times New Roman" w:hAnsi="Times New Roman"/>
        </w:rPr>
        <w:t xml:space="preserve"> that would constitute impermissible merits review.</w:t>
      </w:r>
      <w:r w:rsidRPr="00CA793D">
        <w:rPr>
          <w:rStyle w:val="FootnoteReference"/>
          <w:rFonts w:ascii="Times New Roman" w:hAnsi="Times New Roman"/>
          <w:sz w:val="24"/>
        </w:rPr>
        <w:footnoteReference w:id="58"/>
      </w:r>
      <w:r w:rsidRPr="00CA793D">
        <w:rPr>
          <w:rFonts w:ascii="Times New Roman" w:hAnsi="Times New Roman"/>
        </w:rPr>
        <w:t xml:space="preserve"> But the drawing of an inference that a matter has not been considered or that a required state of satisfaction has not been reached, simply because it has not been mentioned in the available reasons, is not "mandatory".</w:t>
      </w:r>
      <w:r w:rsidRPr="00CA793D">
        <w:rPr>
          <w:rStyle w:val="FootnoteReference"/>
          <w:rFonts w:ascii="Times New Roman" w:hAnsi="Times New Roman"/>
          <w:sz w:val="24"/>
        </w:rPr>
        <w:footnoteReference w:id="59"/>
      </w:r>
      <w:r w:rsidRPr="00CA793D">
        <w:rPr>
          <w:rFonts w:ascii="Times New Roman" w:hAnsi="Times New Roman"/>
        </w:rPr>
        <w:t xml:space="preserve"> The reasons of the decision maker, read in context, may support the drawing of an inference, on the balance of probabilities, that a matter, although not expressly adverted to, must be considered to have been taken into account or addressed. The usual example is when it can be inferred that a piece of evidence or argument was not considered by the decision maker to be sufficiently material to merit reference to that matter in the reasons.</w:t>
      </w:r>
      <w:r w:rsidRPr="00CA793D">
        <w:rPr>
          <w:rStyle w:val="FootnoteReference"/>
          <w:rFonts w:ascii="Times New Roman" w:hAnsi="Times New Roman"/>
          <w:sz w:val="24"/>
        </w:rPr>
        <w:footnoteReference w:id="60"/>
      </w:r>
      <w:r w:rsidRPr="00CA793D">
        <w:rPr>
          <w:rFonts w:ascii="Times New Roman" w:hAnsi="Times New Roman"/>
        </w:rPr>
        <w:t xml:space="preserve"> No different rule applies because the subject matter of the decision making concerns matters of policy, or because the reaching of a state of satisfaction is a condition for an application of such statutory power.</w:t>
      </w:r>
    </w:p>
    <w:p w14:paraId="0C33AAD6"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lastRenderedPageBreak/>
        <w:t>Failure to discharge the statutory function</w:t>
      </w:r>
    </w:p>
    <w:p w14:paraId="352D7995"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Whether a decision maker has failed to discharge their statutory function can only be answered by a full consideration of all of the materials that bear upon that issue, including reasons where they have been furnished, and by the drawing of inferences concerning the decision-making process from this evidence. As Dixon J observed in </w:t>
      </w:r>
      <w:r w:rsidRPr="00CA793D">
        <w:rPr>
          <w:rFonts w:ascii="Times New Roman" w:hAnsi="Times New Roman"/>
          <w:i/>
          <w:iCs/>
        </w:rPr>
        <w:t>Avon Downs Pty Ltd v Federal Commissioner of Taxation</w:t>
      </w:r>
      <w:r w:rsidRPr="00CA793D">
        <w:rPr>
          <w:rFonts w:ascii="Times New Roman" w:hAnsi="Times New Roman"/>
        </w:rPr>
        <w:t>:</w:t>
      </w:r>
      <w:r w:rsidRPr="00CA793D">
        <w:rPr>
          <w:rStyle w:val="FootnoteReference"/>
          <w:rFonts w:ascii="Times New Roman" w:hAnsi="Times New Roman"/>
          <w:sz w:val="24"/>
        </w:rPr>
        <w:footnoteReference w:id="61"/>
      </w:r>
    </w:p>
    <w:p w14:paraId="2C9E188E" w14:textId="77777777" w:rsidR="00B5218C" w:rsidRDefault="00B5218C" w:rsidP="00CA793D">
      <w:pPr>
        <w:pStyle w:val="LeftrightafterHC"/>
        <w:spacing w:before="0" w:after="260" w:line="280" w:lineRule="exact"/>
        <w:ind w:right="0"/>
        <w:jc w:val="both"/>
        <w:rPr>
          <w:rFonts w:ascii="Times New Roman" w:hAnsi="Times New Roman"/>
        </w:rPr>
      </w:pPr>
      <w:r w:rsidRPr="00CA793D">
        <w:rPr>
          <w:rFonts w:ascii="Times New Roman" w:hAnsi="Times New Roman"/>
        </w:rPr>
        <w:t>"If [the decision maker] does not address himself to the question which the sub-section formulates, if his conclusion is affected by some mistake of law, if he takes some extraneous reason into consideration or excludes from consideration some factor which should affect his determination, on any of these grounds his conclusion is liable to review. Moreover, the fact that he has not made known the reasons why he was not satisfied will not prevent the review of his decision. The conclusion he has reached may, on a full consideration of the material that was before him, be found to be capable of explanation only on the ground of some such misconception. If the result appears to be unreasonable on the supposition that he addressed himself to the right question, correctly applied the rules of law and took into account all the relevant considerations and no irrelevant considerations, then it may be a proper inference that it is a false supposition. It is not necessary that you should be sure of the precise particular in which he has gone wrong. It is enough that you can see that in some way he must have failed in the discharge of his exact function according to law."</w:t>
      </w:r>
    </w:p>
    <w:p w14:paraId="4820C7BE"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MAC, as the party seeking to establish jurisdictional error, bears the onus of proof in this respect.</w:t>
      </w:r>
      <w:r w:rsidRPr="00CA793D">
        <w:rPr>
          <w:rStyle w:val="FootnoteReference"/>
          <w:rFonts w:ascii="Times New Roman" w:hAnsi="Times New Roman"/>
          <w:sz w:val="24"/>
        </w:rPr>
        <w:footnoteReference w:id="62"/>
      </w:r>
    </w:p>
    <w:p w14:paraId="2C9B9ACB"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Here, the materials that bear upon how the delegate Minister decided to grant the water extraction licence show that she "failed in the discharge of [her] exact function according to law" by failing to "address [herself] to the question"</w:t>
      </w:r>
      <w:r w:rsidRPr="00CA793D">
        <w:rPr>
          <w:rStyle w:val="FootnoteReference"/>
          <w:rFonts w:ascii="Times New Roman" w:hAnsi="Times New Roman"/>
          <w:sz w:val="24"/>
        </w:rPr>
        <w:footnoteReference w:id="63"/>
      </w:r>
      <w:r w:rsidRPr="00CA793D">
        <w:rPr>
          <w:rFonts w:ascii="Times New Roman" w:hAnsi="Times New Roman"/>
        </w:rPr>
        <w:t xml:space="preserve"> posed by s 60(4)(b): namely, whether "special circumstances" existed and whether those special circumstances justified the grant of the licence for a period exceeding ten years (in this case, 30 years). The reasons, read fairly and "not … construed </w:t>
      </w:r>
      <w:r w:rsidRPr="00CA793D">
        <w:rPr>
          <w:rFonts w:ascii="Times New Roman" w:hAnsi="Times New Roman"/>
        </w:rPr>
        <w:lastRenderedPageBreak/>
        <w:t>minutely and finely with an eye keenly attuned to the perception of error",</w:t>
      </w:r>
      <w:r w:rsidRPr="00CA793D">
        <w:rPr>
          <w:rStyle w:val="FootnoteReference"/>
          <w:rFonts w:ascii="Times New Roman" w:hAnsi="Times New Roman"/>
          <w:sz w:val="24"/>
        </w:rPr>
        <w:footnoteReference w:id="64"/>
      </w:r>
      <w:r w:rsidRPr="00CA793D">
        <w:rPr>
          <w:rFonts w:ascii="Times New Roman" w:hAnsi="Times New Roman"/>
        </w:rPr>
        <w:t xml:space="preserve"> show that the delegate Minister did not address herself to the question posed by s 60(4)(b).</w:t>
      </w:r>
    </w:p>
    <w:p w14:paraId="688E1E42"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An analysis of the delegate Minister's reasons themselves supports that conclusion. First, the reasons make no reference to the terms of s 60(4)(b) or the matters that paragraph required the delegate Minister to be satisfied of, although the reasons do refer to other provisions of the </w:t>
      </w:r>
      <w:r w:rsidRPr="00CA793D">
        <w:rPr>
          <w:rFonts w:ascii="Times New Roman" w:hAnsi="Times New Roman"/>
          <w:i/>
          <w:iCs/>
        </w:rPr>
        <w:t>Water Act</w:t>
      </w:r>
      <w:r w:rsidRPr="00CA793D">
        <w:rPr>
          <w:rFonts w:ascii="Times New Roman" w:hAnsi="Times New Roman"/>
        </w:rPr>
        <w:t>. Secondly, the reasons do not identify any "special circumstances". Thirdly, the reasons do not address at all how the circumstances justified a licence with a term which exceeded ten years, specifically 30 years.</w:t>
      </w:r>
    </w:p>
    <w:p w14:paraId="2F2BB2E1"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Relevant contextual materials also support this conclusion. The Review Panel made no determination that "special circumstances" existed or that they justified a licence term of 30 years. It merely referred, as an historical fact, to the earlier opinion of the Minister for Environment under the former s 60(4) that such a term was justified by special circumstances</w:t>
      </w:r>
      <w:r w:rsidRPr="00CA793D">
        <w:rPr>
          <w:rStyle w:val="FootnoteReference"/>
          <w:rFonts w:ascii="Times New Roman" w:hAnsi="Times New Roman"/>
          <w:sz w:val="24"/>
        </w:rPr>
        <w:footnoteReference w:id="65"/>
      </w:r>
      <w:r w:rsidRPr="00CA793D">
        <w:rPr>
          <w:rFonts w:ascii="Times New Roman" w:hAnsi="Times New Roman"/>
        </w:rPr>
        <w:t xml:space="preserve"> and to the receipt of submissions in opposition to that opinion. It then merely stated that a term greater than ten years was "appropriate for a large-scale development such as that proposed". That does not constitute the identification of special circumstances, or set out how such special circumstances justified the longer term that was sought and was to be granted. Further, the references in the Review Panel's report were references to the old s 60(4) (in force prior to 29 September 2021) and not to the amended s 60(4)(b).</w:t>
      </w:r>
      <w:r w:rsidRPr="00CA793D">
        <w:rPr>
          <w:rStyle w:val="FootnoteReference"/>
          <w:rFonts w:ascii="Times New Roman" w:hAnsi="Times New Roman"/>
          <w:sz w:val="24"/>
        </w:rPr>
        <w:footnoteReference w:id="66"/>
      </w:r>
    </w:p>
    <w:p w14:paraId="3A7A209B"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Then there are two Ministerial briefings. These did not advise the delegate Minister that if she were to approve the grant of a water extraction licence with a term that exceeded ten years, she would need to identify special circumstances and be satisfied that those special circumstances justified this longer term. No such special circumstances are described in the Ministerial briefings. And whilst the delegate Minister was supplied with some relevant extracts of the </w:t>
      </w:r>
      <w:r w:rsidRPr="00CA793D">
        <w:rPr>
          <w:rFonts w:ascii="Times New Roman" w:hAnsi="Times New Roman"/>
          <w:i/>
          <w:iCs/>
        </w:rPr>
        <w:t>Water Act</w:t>
      </w:r>
      <w:r w:rsidRPr="00CA793D">
        <w:rPr>
          <w:rFonts w:ascii="Times New Roman" w:hAnsi="Times New Roman"/>
        </w:rPr>
        <w:t>, these did not include s 60.</w:t>
      </w:r>
    </w:p>
    <w:p w14:paraId="7A419CFE"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lastRenderedPageBreak/>
        <w:tab/>
        <w:t>The delegate Minister contended that it was sufficient, in all the circumstances, for the delegate Minister to have been aware of the Review Panel's views about the term of the proposed licence, and for the delegate Minister's reasons to have disclosed that she had determined to accept the conclusions of the Review Panel for the reasons it had given.</w:t>
      </w:r>
    </w:p>
    <w:p w14:paraId="4230AF70"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With respect, that submission suffers from two flaws. First, for the reasons given above, it cannot be concluded that the Review Panel undertook the task required by s 60(4)(b). Secondly, and in any event, the highly generalised and conclusionary adoption of the work of the Review Panel is no substitute for the delegate Minister's own task of assessing whether special circumstances existed and whether those special circumstances justified a licence with a 30</w:t>
      </w:r>
      <w:r w:rsidRPr="00CA793D">
        <w:rPr>
          <w:rFonts w:ascii="Times New Roman" w:hAnsi="Times New Roman"/>
        </w:rPr>
        <w:noBreakHyphen/>
        <w:t xml:space="preserve">year term. It is plain from the statutory scheme that Parliament considered that a grant of a licence to exploit the water resources of the Northern Territory for more than ten years was an important issue which would require the particular and active attention of either the Controller or, upon review, the Minister. That did not occur here. </w:t>
      </w:r>
    </w:p>
    <w:p w14:paraId="60C73C91"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The delegate Minister did not reach the state of satisfaction that s 60(4)(b) of the </w:t>
      </w:r>
      <w:r w:rsidRPr="00CA793D">
        <w:rPr>
          <w:rFonts w:ascii="Times New Roman" w:hAnsi="Times New Roman"/>
          <w:i/>
          <w:iCs/>
        </w:rPr>
        <w:t>Water Act</w:t>
      </w:r>
      <w:r w:rsidRPr="00CA793D">
        <w:rPr>
          <w:rFonts w:ascii="Times New Roman" w:hAnsi="Times New Roman"/>
        </w:rPr>
        <w:t xml:space="preserve"> required her to reach as a statutory pre-condition to the exercise of the power to grant a licence for a period exceeding ten years. In doing so, she failed to address herself to the relevant statutory question and so failed to discharge her statutory function according to law. Without that opinion having been formed, a water extraction licence for a period exceeding ten years could not be granted.</w:t>
      </w:r>
      <w:r w:rsidRPr="00CA793D">
        <w:rPr>
          <w:rStyle w:val="FootnoteReference"/>
          <w:rFonts w:ascii="Times New Roman" w:hAnsi="Times New Roman"/>
          <w:sz w:val="24"/>
        </w:rPr>
        <w:footnoteReference w:id="67"/>
      </w:r>
      <w:r w:rsidRPr="00CA793D">
        <w:rPr>
          <w:rFonts w:ascii="Times New Roman" w:hAnsi="Times New Roman"/>
        </w:rPr>
        <w:t xml:space="preserve"> Ground one is upheld.</w:t>
      </w:r>
    </w:p>
    <w:p w14:paraId="566B818F" w14:textId="77777777" w:rsidR="00B5218C" w:rsidRPr="00CA793D" w:rsidRDefault="00B5218C" w:rsidP="00CA793D">
      <w:pPr>
        <w:pStyle w:val="HeadingL1"/>
        <w:spacing w:after="260" w:line="280" w:lineRule="exact"/>
        <w:ind w:right="0"/>
        <w:jc w:val="both"/>
        <w:rPr>
          <w:rFonts w:ascii="Times New Roman" w:hAnsi="Times New Roman"/>
        </w:rPr>
      </w:pPr>
      <w:r w:rsidRPr="00CA793D">
        <w:rPr>
          <w:rFonts w:ascii="Times New Roman" w:hAnsi="Times New Roman"/>
        </w:rPr>
        <w:t>Ground two – alleged failure to take into account a mandatory relevant consideration</w:t>
      </w:r>
    </w:p>
    <w:p w14:paraId="75562097"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There can be little doubt that the factors listed in s 90(1) of the </w:t>
      </w:r>
      <w:r w:rsidRPr="00CA793D">
        <w:rPr>
          <w:rFonts w:ascii="Times New Roman" w:hAnsi="Times New Roman"/>
          <w:i/>
          <w:iCs/>
        </w:rPr>
        <w:t>Water Act</w:t>
      </w:r>
      <w:r w:rsidRPr="00CA793D">
        <w:rPr>
          <w:rFonts w:ascii="Times New Roman" w:hAnsi="Times New Roman"/>
        </w:rPr>
        <w:t>, save for s 90(1)(k) (being a reference to any other factors which the Controller considers should be taken into account), are mandatory considerations when they are relevant. The terms of s 90(1) make that clear: it states that the Controller "must take into account" the relevant factors listed. These included, by reason of s 90(1)(ab), the Davenport Water Plan. Because an objective of that plan is to "[p]</w:t>
      </w:r>
      <w:proofErr w:type="spellStart"/>
      <w:r w:rsidRPr="00CA793D">
        <w:rPr>
          <w:rFonts w:ascii="Times New Roman" w:hAnsi="Times New Roman"/>
        </w:rPr>
        <w:t>rotect</w:t>
      </w:r>
      <w:proofErr w:type="spellEnd"/>
      <w:r w:rsidRPr="00CA793D">
        <w:rPr>
          <w:rFonts w:ascii="Times New Roman" w:hAnsi="Times New Roman"/>
        </w:rPr>
        <w:t xml:space="preserve"> Aboriginal cultural values associated with water", it follows that in exercising the power of review the delegate Minister was obliged to take that objective into account. But it is well established that it was for the delegate </w:t>
      </w:r>
      <w:r w:rsidRPr="00CA793D">
        <w:rPr>
          <w:rFonts w:ascii="Times New Roman" w:hAnsi="Times New Roman"/>
        </w:rPr>
        <w:lastRenderedPageBreak/>
        <w:t xml:space="preserve">Minister to decide how to take this objective into account, and what weight to give to it, unless the </w:t>
      </w:r>
      <w:r w:rsidRPr="00CA793D">
        <w:rPr>
          <w:rFonts w:ascii="Times New Roman" w:hAnsi="Times New Roman"/>
          <w:i/>
          <w:iCs/>
        </w:rPr>
        <w:t>Water Act</w:t>
      </w:r>
      <w:r w:rsidRPr="00CA793D">
        <w:rPr>
          <w:rFonts w:ascii="Times New Roman" w:hAnsi="Times New Roman"/>
        </w:rPr>
        <w:t xml:space="preserve"> dictated otherwise.</w:t>
      </w:r>
      <w:r w:rsidRPr="00CA793D">
        <w:rPr>
          <w:rStyle w:val="FootnoteReference"/>
          <w:rFonts w:ascii="Times New Roman" w:hAnsi="Times New Roman"/>
          <w:sz w:val="24"/>
        </w:rPr>
        <w:footnoteReference w:id="68"/>
      </w:r>
    </w:p>
    <w:p w14:paraId="042D324D"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There can be no doubt that Aboriginal cultural values were taken into account by the delegate Minister. Under a heading</w:t>
      </w:r>
      <w:r w:rsidRPr="00CA793D" w:rsidDel="00446682">
        <w:rPr>
          <w:rFonts w:ascii="Times New Roman" w:hAnsi="Times New Roman"/>
        </w:rPr>
        <w:t xml:space="preserve"> </w:t>
      </w:r>
      <w:r w:rsidRPr="00CA793D">
        <w:rPr>
          <w:rFonts w:ascii="Times New Roman" w:hAnsi="Times New Roman"/>
        </w:rPr>
        <w:t>"Consideration of Cultural Values", the delegate Minister's reasons contain a summary of the requirements of the Davenport Water Plan's objective concerning those values, as well as a summary of the reasoning of the Review Panel, including its conclusion that it was unable to form its own views on this issue, and its recommendation that a comprehensive cultural values impact assessment was required. The delegate Minister expressed her agreement with that reasoning and then recorded her decision to impose CP 10 to enable the assessment to take place.</w:t>
      </w:r>
    </w:p>
    <w:p w14:paraId="54EF67BF"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t>MAC's contentions</w:t>
      </w:r>
    </w:p>
    <w:p w14:paraId="7F6BF7EE"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MAC submitted that this was not enough. As the Review Panel had formed no view about the likely impact on Aboriginal cultural values, MAC argued that it was not sufficient for the delegate Minister merely to adopt that non-conclusion. The delegate Minister, it was said, should have engaged with the Aboriginal Cultural Values Assessment which had been prepared by the anthropologist and which was before both the Review Panel and the delegate Minister. MAC submitted that if this Aboriginal Cultural Values Assessment were correct, it would indicate a likely loss or decline in Aboriginal cultural values and that it was the Minister's task to engage with the salient facts arising from that assessment. However, it was contended that the delegate Minister had not done so, and thus had not engaged in any "active intellectual process" concerning this issue.</w:t>
      </w:r>
      <w:r w:rsidRPr="00CA793D">
        <w:rPr>
          <w:rStyle w:val="FootnoteReference"/>
          <w:rFonts w:ascii="Times New Roman" w:hAnsi="Times New Roman"/>
          <w:sz w:val="24"/>
        </w:rPr>
        <w:footnoteReference w:id="69"/>
      </w:r>
    </w:p>
    <w:p w14:paraId="6C1354BA"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MAC also submitted that, by imposing CP 10, the delegate Minister effectively postponed the identification of Aboriginal cultural values and consideration of the impacts of the water extraction licence on those values, so that this matter was not taken into account "in making" a water extraction licence decision. MAC accepted that the Controller had the power to impose conditions, including conditions precedent, on a licence granted under s 60(2) of the </w:t>
      </w:r>
      <w:r w:rsidRPr="00CA793D">
        <w:rPr>
          <w:rFonts w:ascii="Times New Roman" w:hAnsi="Times New Roman"/>
          <w:i/>
          <w:iCs/>
        </w:rPr>
        <w:t>Water Act</w:t>
      </w:r>
      <w:r w:rsidRPr="00CA793D">
        <w:rPr>
          <w:rFonts w:ascii="Times New Roman" w:hAnsi="Times New Roman"/>
        </w:rPr>
        <w:t xml:space="preserve">. However, MAC submitted that the substance of a particular condition might disclose a failure to consider a mandatory matter. In this respect, MAC seeks to distinguish between conditions precedent to the </w:t>
      </w:r>
      <w:r w:rsidRPr="00CA793D">
        <w:rPr>
          <w:rFonts w:ascii="Times New Roman" w:hAnsi="Times New Roman"/>
          <w:i/>
          <w:iCs/>
        </w:rPr>
        <w:t xml:space="preserve">existence </w:t>
      </w:r>
      <w:r w:rsidRPr="00CA793D">
        <w:rPr>
          <w:rFonts w:ascii="Times New Roman" w:hAnsi="Times New Roman"/>
        </w:rPr>
        <w:t xml:space="preserve">of a right (which it </w:t>
      </w:r>
      <w:r w:rsidRPr="00CA793D">
        <w:rPr>
          <w:rFonts w:ascii="Times New Roman" w:hAnsi="Times New Roman"/>
        </w:rPr>
        <w:lastRenderedPageBreak/>
        <w:t xml:space="preserve">submitted might disclose an error) and conditions precedent to the </w:t>
      </w:r>
      <w:r w:rsidRPr="00CA793D">
        <w:rPr>
          <w:rFonts w:ascii="Times New Roman" w:hAnsi="Times New Roman"/>
          <w:i/>
          <w:iCs/>
        </w:rPr>
        <w:t xml:space="preserve">performance </w:t>
      </w:r>
      <w:r w:rsidRPr="00CA793D">
        <w:rPr>
          <w:rFonts w:ascii="Times New Roman" w:hAnsi="Times New Roman"/>
        </w:rPr>
        <w:t>or</w:t>
      </w:r>
      <w:r w:rsidRPr="00CA793D">
        <w:rPr>
          <w:rFonts w:ascii="Times New Roman" w:hAnsi="Times New Roman"/>
          <w:i/>
          <w:iCs/>
        </w:rPr>
        <w:t xml:space="preserve"> exercise </w:t>
      </w:r>
      <w:r w:rsidRPr="00CA793D">
        <w:rPr>
          <w:rFonts w:ascii="Times New Roman" w:hAnsi="Times New Roman"/>
        </w:rPr>
        <w:t xml:space="preserve">of a right (which it submitted are permissible). In this case, CP 1 of the water extraction licence provided that "[t]he right to take groundwater provided under this licence </w:t>
      </w:r>
      <w:r w:rsidRPr="00CA793D">
        <w:rPr>
          <w:rFonts w:ascii="Times New Roman" w:hAnsi="Times New Roman"/>
          <w:i/>
          <w:iCs/>
        </w:rPr>
        <w:t>will not take effect</w:t>
      </w:r>
      <w:r w:rsidRPr="00CA793D">
        <w:rPr>
          <w:rFonts w:ascii="Times New Roman" w:hAnsi="Times New Roman"/>
        </w:rPr>
        <w:t xml:space="preserve"> (with the result that this licence will expire automatically)" (emphasis added) unless each of the specified conditions precedent, including CP 10, are fulfilled before 31 December 2023. MAC submitted that, by imposing CP 10, the delegate Minister had impermissibly delegated the consideration of the protection of Aboriginal cultural values to the Controller to consider at some later date. </w:t>
      </w:r>
    </w:p>
    <w:p w14:paraId="3CA659BC"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t>Disposition</w:t>
      </w:r>
    </w:p>
    <w:p w14:paraId="54CD4601"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In more recent times, this Court has warned against the risk that an inquiry, framed in such terms as an "active intellectual process", gives rise to a risk of impermissible merits review. In </w:t>
      </w:r>
      <w:r w:rsidRPr="00CA793D">
        <w:rPr>
          <w:rFonts w:ascii="Times New Roman" w:hAnsi="Times New Roman"/>
          <w:i/>
          <w:iCs/>
        </w:rPr>
        <w:t>Plaintiff M1/2021 v Minister for Home Affairs</w:t>
      </w:r>
      <w:r w:rsidRPr="00CA793D">
        <w:rPr>
          <w:rFonts w:ascii="Times New Roman" w:hAnsi="Times New Roman"/>
        </w:rPr>
        <w:t>, Kiefel CJ, Keane, Gordon and Steward JJ said:</w:t>
      </w:r>
      <w:r w:rsidRPr="00CA793D">
        <w:rPr>
          <w:rStyle w:val="FootnoteReference"/>
          <w:rFonts w:ascii="Times New Roman" w:hAnsi="Times New Roman"/>
          <w:sz w:val="24"/>
        </w:rPr>
        <w:footnoteReference w:id="70"/>
      </w:r>
    </w:p>
    <w:p w14:paraId="620383DB" w14:textId="77777777" w:rsidR="00B5218C" w:rsidRDefault="00B5218C" w:rsidP="00CA793D">
      <w:pPr>
        <w:pStyle w:val="LRIndentafterHC"/>
        <w:spacing w:before="0" w:after="260" w:line="280" w:lineRule="exact"/>
        <w:ind w:right="0"/>
        <w:jc w:val="both"/>
        <w:rPr>
          <w:rFonts w:ascii="Times New Roman" w:hAnsi="Times New Roman"/>
        </w:rPr>
      </w:pPr>
      <w:r w:rsidRPr="00CA793D">
        <w:rPr>
          <w:rFonts w:ascii="Times New Roman" w:hAnsi="Times New Roman"/>
        </w:rPr>
        <w:t xml:space="preserve">"Labels like 'active intellectual process' and 'proper, genuine and realistic consideration' must be understood in their proper context. These formulas have the danger of creating 'a kind of general warrant, invoking language of indefinite and subjective application, in which the procedural and substantive merits of any [decision‑maker's] decision can be scrutinised'. That is not the correct approach. As Mason J stated in </w:t>
      </w:r>
      <w:r w:rsidRPr="00CA793D">
        <w:rPr>
          <w:rFonts w:ascii="Times New Roman" w:hAnsi="Times New Roman"/>
          <w:i/>
          <w:iCs/>
        </w:rPr>
        <w:t>Minister for Aboriginal Affairs v Peko-Wallsend Ltd</w:t>
      </w:r>
      <w:r w:rsidRPr="00CA793D">
        <w:rPr>
          <w:rFonts w:ascii="Times New Roman" w:hAnsi="Times New Roman"/>
        </w:rPr>
        <w:t>, '[t]he limited role of a court reviewing the exercise of an administrative discretion must constantly be borne in mind'. The court does not substitute its decision for that of an administrative decision-maker."</w:t>
      </w:r>
    </w:p>
    <w:p w14:paraId="3BE64D30"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In this case, the reasons of the delegate Minister reveal the extent of her consideration of the considerations said to be relevant to the decision to make on review. Accordingly, whether what the delegate Minister took into account was legally sufficient turns upon whether the </w:t>
      </w:r>
      <w:r w:rsidRPr="00CA793D">
        <w:rPr>
          <w:rFonts w:ascii="Times New Roman" w:hAnsi="Times New Roman"/>
          <w:i/>
          <w:iCs/>
        </w:rPr>
        <w:t>Water Act</w:t>
      </w:r>
      <w:r w:rsidRPr="00CA793D">
        <w:rPr>
          <w:rFonts w:ascii="Times New Roman" w:hAnsi="Times New Roman"/>
        </w:rPr>
        <w:t xml:space="preserve"> obliged the delegate Minister to do more than what appears in the reasons. </w:t>
      </w:r>
    </w:p>
    <w:p w14:paraId="0D2C021B"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In </w:t>
      </w:r>
      <w:r w:rsidRPr="00CA793D">
        <w:rPr>
          <w:rFonts w:ascii="Times New Roman" w:hAnsi="Times New Roman"/>
          <w:i/>
          <w:iCs/>
        </w:rPr>
        <w:t xml:space="preserve">Minister for Aboriginal Affairs v Peko-Wallsend Ltd </w:t>
      </w:r>
      <w:r w:rsidRPr="00CA793D">
        <w:rPr>
          <w:rFonts w:ascii="Times New Roman" w:hAnsi="Times New Roman"/>
        </w:rPr>
        <w:t>Brennan J observed:</w:t>
      </w:r>
      <w:r w:rsidRPr="00CA793D">
        <w:rPr>
          <w:rStyle w:val="FootnoteReference"/>
          <w:rFonts w:ascii="Times New Roman" w:hAnsi="Times New Roman"/>
          <w:sz w:val="24"/>
        </w:rPr>
        <w:footnoteReference w:id="71"/>
      </w:r>
    </w:p>
    <w:p w14:paraId="6C598D36" w14:textId="77777777" w:rsidR="00B5218C" w:rsidRDefault="00B5218C" w:rsidP="00CA793D">
      <w:pPr>
        <w:pStyle w:val="LeftrightafterHC"/>
        <w:spacing w:before="0" w:after="260" w:line="280" w:lineRule="exact"/>
        <w:ind w:right="0"/>
        <w:jc w:val="both"/>
        <w:rPr>
          <w:rFonts w:ascii="Times New Roman" w:hAnsi="Times New Roman"/>
        </w:rPr>
      </w:pPr>
      <w:r w:rsidRPr="00CA793D">
        <w:rPr>
          <w:rFonts w:ascii="Times New Roman" w:hAnsi="Times New Roman"/>
        </w:rPr>
        <w:lastRenderedPageBreak/>
        <w:t>"The Court has no jurisdiction to visit the exercise of a statutory power with invalidity for failure to have regard to a particular matter unless some statute expressly or by implication requires the repository of the power to have regard to that matter or to matters of that kind as a condition of exercising the power."</w:t>
      </w:r>
    </w:p>
    <w:p w14:paraId="428B54CA"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As Gleeson CJ and McHugh J observed in </w:t>
      </w:r>
      <w:proofErr w:type="gramStart"/>
      <w:r w:rsidRPr="00CA793D">
        <w:rPr>
          <w:rFonts w:ascii="Times New Roman" w:hAnsi="Times New Roman"/>
          <w:i/>
          <w:iCs/>
        </w:rPr>
        <w:t>Foster</w:t>
      </w:r>
      <w:proofErr w:type="gramEnd"/>
      <w:r w:rsidRPr="00CA793D">
        <w:rPr>
          <w:rFonts w:ascii="Times New Roman" w:hAnsi="Times New Roman"/>
          <w:i/>
          <w:iCs/>
        </w:rPr>
        <w:t xml:space="preserve"> v Minister for Customs and Justice</w:t>
      </w:r>
      <w:r w:rsidRPr="00CA793D">
        <w:rPr>
          <w:rFonts w:ascii="Times New Roman" w:hAnsi="Times New Roman"/>
        </w:rPr>
        <w:t>, the "level of particularity with which a matter is identified" for the purpose of applying the foregoing principle may be significant.</w:t>
      </w:r>
      <w:r w:rsidRPr="00CA793D">
        <w:rPr>
          <w:rStyle w:val="FootnoteReference"/>
          <w:rFonts w:ascii="Times New Roman" w:hAnsi="Times New Roman"/>
          <w:sz w:val="24"/>
        </w:rPr>
        <w:footnoteReference w:id="72"/>
      </w:r>
      <w:r w:rsidRPr="00CA793D">
        <w:rPr>
          <w:rFonts w:ascii="Times New Roman" w:hAnsi="Times New Roman"/>
        </w:rPr>
        <w:t xml:space="preserve"> In that respect, there is nothing in the terms of s 90(1) of the </w:t>
      </w:r>
      <w:r w:rsidRPr="00CA793D">
        <w:rPr>
          <w:rFonts w:ascii="Times New Roman" w:hAnsi="Times New Roman"/>
          <w:i/>
          <w:iCs/>
        </w:rPr>
        <w:t>Water Act</w:t>
      </w:r>
      <w:r w:rsidRPr="00CA793D">
        <w:rPr>
          <w:rFonts w:ascii="Times New Roman" w:hAnsi="Times New Roman"/>
        </w:rPr>
        <w:t xml:space="preserve"> that obliged the delegate Minister to undertake the tasks suggested by MAC. The language in s 90(1) – "must take into account" – does not mandate the level of particularity that MAC asserts. Instead, other than requiring a listed factor to be "relevant" to the decision on review, the legislature has left the reviewing Minister to determine how that factor is to be addressed in deciding, for the purposes of s 30(3), whether to uphold the decision of the Controller or substitute it with another decision. It follows that the delegate Minister was not obliged by s 90(1)(ab) of the </w:t>
      </w:r>
      <w:r w:rsidRPr="00CA793D">
        <w:rPr>
          <w:rFonts w:ascii="Times New Roman" w:hAnsi="Times New Roman"/>
          <w:i/>
          <w:iCs/>
        </w:rPr>
        <w:t>Water Act</w:t>
      </w:r>
      <w:r w:rsidRPr="00CA793D">
        <w:rPr>
          <w:rFonts w:ascii="Times New Roman" w:hAnsi="Times New Roman"/>
        </w:rPr>
        <w:t xml:space="preserve"> to do more than what is recorded in her reasons. </w:t>
      </w:r>
    </w:p>
    <w:p w14:paraId="7640B31B"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MAC's submission that the imposition of CP 10 amounted to the impermissible deferral of consideration of Aboriginal cultural values should also be rejected. MAC has not identified any textual basis for the restriction on the type of conditions precedent that may be imposed under s 60(2). Further, MAC's submission rests on the language of CP 1, rather than CP 10. If accepted, it would amount to an assertion that the delegate Minister failed to make a decision about whether to grant the water extraction licence at all. However, CP 1 makes it clear that it is "the right to take groundwater" under the water extraction licence that is conditional on satisfaction of the </w:t>
      </w:r>
      <w:proofErr w:type="gramStart"/>
      <w:r w:rsidRPr="00CA793D">
        <w:rPr>
          <w:rFonts w:ascii="Times New Roman" w:hAnsi="Times New Roman"/>
        </w:rPr>
        <w:t>conditions</w:t>
      </w:r>
      <w:proofErr w:type="gramEnd"/>
      <w:r w:rsidRPr="00CA793D">
        <w:rPr>
          <w:rFonts w:ascii="Times New Roman" w:hAnsi="Times New Roman"/>
        </w:rPr>
        <w:t xml:space="preserve"> precedent — not the grant of the water extraction licence itself. That is consistent with the statement in CP 1 that the water extraction licence "will expire automatically" if the various conditions precedent are not fulfilled, which must imply that the licence exists. Ground two fails.</w:t>
      </w:r>
    </w:p>
    <w:p w14:paraId="2B23F7F7"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It is not necessary to separately engage with MAC's submissions in relation to s 90(1)(k). That section could not impose a more onerous requirement to consider the protection of Aboriginal cultural values, or require findings of greater precision, than already required under s 90(1)(ab). </w:t>
      </w:r>
    </w:p>
    <w:p w14:paraId="1DEC7A9A" w14:textId="77777777" w:rsidR="00B5218C" w:rsidRPr="00CA793D" w:rsidRDefault="00B5218C" w:rsidP="00CA793D">
      <w:pPr>
        <w:pStyle w:val="HeadingL1"/>
        <w:spacing w:after="260" w:line="280" w:lineRule="exact"/>
        <w:ind w:right="0"/>
        <w:jc w:val="both"/>
        <w:rPr>
          <w:rFonts w:ascii="Times New Roman" w:hAnsi="Times New Roman"/>
        </w:rPr>
      </w:pPr>
      <w:r w:rsidRPr="00CA793D">
        <w:rPr>
          <w:rFonts w:ascii="Times New Roman" w:hAnsi="Times New Roman"/>
        </w:rPr>
        <w:lastRenderedPageBreak/>
        <w:t>Ground three – denial of procedural fairness</w:t>
      </w:r>
    </w:p>
    <w:p w14:paraId="14281E72"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In </w:t>
      </w:r>
      <w:r w:rsidRPr="00CA793D">
        <w:rPr>
          <w:rFonts w:ascii="Times New Roman" w:hAnsi="Times New Roman"/>
          <w:i/>
          <w:iCs/>
        </w:rPr>
        <w:t>Disorganized Developments Pty Ltd v South Australia</w:t>
      </w:r>
      <w:r w:rsidRPr="00CA793D">
        <w:rPr>
          <w:rStyle w:val="FootnoteReference"/>
          <w:rFonts w:ascii="Times New Roman" w:hAnsi="Times New Roman"/>
          <w:sz w:val="24"/>
        </w:rPr>
        <w:footnoteReference w:id="73"/>
      </w:r>
      <w:r w:rsidRPr="00CA793D">
        <w:rPr>
          <w:rFonts w:ascii="Times New Roman" w:hAnsi="Times New Roman"/>
        </w:rPr>
        <w:t xml:space="preserve"> and in </w:t>
      </w:r>
      <w:r w:rsidRPr="00CA793D">
        <w:rPr>
          <w:rFonts w:ascii="Times New Roman" w:hAnsi="Times New Roman"/>
          <w:i/>
          <w:iCs/>
        </w:rPr>
        <w:t>Badari</w:t>
      </w:r>
      <w:r w:rsidRPr="00CA793D">
        <w:rPr>
          <w:rFonts w:ascii="Times New Roman" w:hAnsi="Times New Roman"/>
        </w:rPr>
        <w:t xml:space="preserve"> </w:t>
      </w:r>
      <w:r w:rsidRPr="00CA793D">
        <w:rPr>
          <w:rFonts w:ascii="Times New Roman" w:hAnsi="Times New Roman"/>
          <w:i/>
          <w:iCs/>
        </w:rPr>
        <w:t>v Minister for Territory Families and Urban Housing</w:t>
      </w:r>
      <w:r w:rsidRPr="00CA793D">
        <w:rPr>
          <w:rStyle w:val="FootnoteReference"/>
          <w:rFonts w:ascii="Times New Roman" w:hAnsi="Times New Roman"/>
          <w:sz w:val="24"/>
        </w:rPr>
        <w:footnoteReference w:id="74"/>
      </w:r>
      <w:r w:rsidRPr="00CA793D">
        <w:rPr>
          <w:rFonts w:ascii="Times New Roman" w:hAnsi="Times New Roman"/>
          <w:i/>
          <w:iCs/>
        </w:rPr>
        <w:t>,</w:t>
      </w:r>
      <w:r w:rsidRPr="00CA793D">
        <w:rPr>
          <w:rFonts w:ascii="Times New Roman" w:hAnsi="Times New Roman"/>
        </w:rPr>
        <w:t xml:space="preserve"> this Court recently re-affirmed the applicable principles concerning when an obligation of procedural fairness arises. In </w:t>
      </w:r>
      <w:r w:rsidRPr="00CA793D">
        <w:rPr>
          <w:rFonts w:ascii="Times New Roman" w:hAnsi="Times New Roman"/>
          <w:i/>
          <w:iCs/>
        </w:rPr>
        <w:t>Badari</w:t>
      </w:r>
      <w:r w:rsidRPr="00CA793D">
        <w:rPr>
          <w:rFonts w:ascii="Times New Roman" w:hAnsi="Times New Roman"/>
        </w:rPr>
        <w:t xml:space="preserve"> the Court said:</w:t>
      </w:r>
      <w:r w:rsidRPr="00CA793D">
        <w:rPr>
          <w:rStyle w:val="FootnoteReference"/>
          <w:rFonts w:ascii="Times New Roman" w:hAnsi="Times New Roman"/>
          <w:sz w:val="24"/>
        </w:rPr>
        <w:footnoteReference w:id="75"/>
      </w:r>
    </w:p>
    <w:p w14:paraId="6224AD3D" w14:textId="77777777" w:rsidR="00B5218C" w:rsidRPr="00CA793D" w:rsidRDefault="00B5218C" w:rsidP="00CA793D">
      <w:pPr>
        <w:pStyle w:val="LeftrightafterHC"/>
        <w:spacing w:before="0" w:after="260" w:line="280" w:lineRule="exact"/>
        <w:ind w:right="0"/>
        <w:jc w:val="both"/>
        <w:rPr>
          <w:rFonts w:ascii="Times New Roman" w:hAnsi="Times New Roman"/>
        </w:rPr>
      </w:pPr>
      <w:r w:rsidRPr="00CA793D">
        <w:rPr>
          <w:rFonts w:ascii="Times New Roman" w:hAnsi="Times New Roman"/>
        </w:rPr>
        <w:t xml:space="preserve">"Whether a statutory power is conditioned by a need to afford procedural fairness is a question of statutory construction. There is a strong common law presumption that a statutory power which is capable of having an adverse effect on legally recognised rights or interests of individuals is impliedly conditioned on the observance of procedural fairness. As Kiefel CJ, Gageler, Gleeson and Jagot JJ observed in </w:t>
      </w:r>
      <w:r w:rsidRPr="00CA793D">
        <w:rPr>
          <w:rFonts w:ascii="Times New Roman" w:hAnsi="Times New Roman"/>
          <w:i/>
          <w:iCs/>
        </w:rPr>
        <w:t>Disorganized Developments Pty Ltd v South Australia</w:t>
      </w:r>
      <w:r w:rsidRPr="00CA793D">
        <w:rPr>
          <w:rFonts w:ascii="Times New Roman" w:hAnsi="Times New Roman"/>
        </w:rPr>
        <w:t>:</w:t>
      </w:r>
    </w:p>
    <w:p w14:paraId="3416F559" w14:textId="77777777" w:rsidR="00B5218C" w:rsidRDefault="00B5218C" w:rsidP="00CA793D">
      <w:pPr>
        <w:pStyle w:val="leftright"/>
        <w:spacing w:before="0" w:after="260" w:line="280" w:lineRule="exact"/>
        <w:ind w:left="1440" w:right="0"/>
        <w:jc w:val="both"/>
        <w:rPr>
          <w:rFonts w:ascii="Times New Roman" w:hAnsi="Times New Roman"/>
        </w:rPr>
      </w:pPr>
      <w:r w:rsidRPr="00CA793D">
        <w:rPr>
          <w:rFonts w:ascii="Times New Roman" w:hAnsi="Times New Roman"/>
        </w:rPr>
        <w:t>'Decisions made in the exercise of statutory powers that affect the rights of individuals with respect to property are a category of cases that has a long history of attracting a duty of procedural fairness as a matter of 'fundamental justice', 'long-established doctrine' and a 'deep-rooted principle of the law', subject to displacement by Parliament through express words or necessary implication in the relevant statute.'"</w:t>
      </w:r>
    </w:p>
    <w:p w14:paraId="6FCF184B"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The parties accepted that the delegate Minister, in deciding to grant the water extraction licence in an exercise of the power under s 30(3)(a)(ii) of the </w:t>
      </w:r>
      <w:r w:rsidRPr="00CA793D">
        <w:rPr>
          <w:rFonts w:ascii="Times New Roman" w:hAnsi="Times New Roman"/>
          <w:i/>
          <w:iCs/>
        </w:rPr>
        <w:t>Water Act</w:t>
      </w:r>
      <w:r w:rsidRPr="00CA793D">
        <w:rPr>
          <w:rFonts w:ascii="Times New Roman" w:hAnsi="Times New Roman"/>
        </w:rPr>
        <w:t>, had an obligation to afford procedural fairness. The issue was the content of that obligation in the circumstances. In particular, was the delegate Minister required to provide MAC with an opportunity to comment on the proposed CP 10, in circumstances where MAC was not previously on notice of the possibility that Fortune (rather than the CLC or the Department) might be responsible for any cultural values assessment?</w:t>
      </w:r>
    </w:p>
    <w:p w14:paraId="76E3E197"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t xml:space="preserve">The </w:t>
      </w:r>
      <w:r>
        <w:rPr>
          <w:rFonts w:ascii="Times New Roman" w:hAnsi="Times New Roman"/>
        </w:rPr>
        <w:t>p</w:t>
      </w:r>
      <w:r w:rsidRPr="00CA793D">
        <w:rPr>
          <w:rFonts w:ascii="Times New Roman" w:hAnsi="Times New Roman"/>
        </w:rPr>
        <w:t>arties' respective contentions</w:t>
      </w:r>
    </w:p>
    <w:p w14:paraId="1F5250DF"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MAC's contentions under this ground of appeal were simple. Not having been forewarned that the task of undertaking the necessary Aboriginal cultural </w:t>
      </w:r>
      <w:r w:rsidRPr="00CA793D">
        <w:rPr>
          <w:rFonts w:ascii="Times New Roman" w:hAnsi="Times New Roman"/>
        </w:rPr>
        <w:lastRenderedPageBreak/>
        <w:t>values impact assessment was to be allocated to Fortune as a term of the water extraction licence, MAC should have received a similar letter to that sent to Fortune on 10 November 2021 before the licence was issued. Specifically, MAC, like Fortune, should have been invited to comment on the proposed insertion of CP 10 into the licence.</w:t>
      </w:r>
    </w:p>
    <w:p w14:paraId="33F54DF5"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In that respect, MAC led evidence before the primary judge: that if it had been given notice of proposed CP 10, the CLC (on behalf of MAC) would have contended that any cultural values impact assessment needed to begin with the identification of the Aboriginal peoples with interests in Singleton Station; that the CLC would be better placed than Fortune to conduct the assessment; that a project proponent ought not be in control of a process that could constrain its project; and that the concept of "cultural values" should be defined, and broadly.</w:t>
      </w:r>
    </w:p>
    <w:p w14:paraId="64BC8CC3"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Fortune contended otherwise, essentially for three reasons. First,</w:t>
      </w:r>
      <w:r w:rsidRPr="00CA793D" w:rsidDel="002F6022">
        <w:rPr>
          <w:rFonts w:ascii="Times New Roman" w:hAnsi="Times New Roman"/>
        </w:rPr>
        <w:t xml:space="preserve"> </w:t>
      </w:r>
      <w:r w:rsidRPr="00CA793D">
        <w:rPr>
          <w:rFonts w:ascii="Times New Roman" w:hAnsi="Times New Roman"/>
        </w:rPr>
        <w:t>MAC was afforded sufficient procedural fairness when it was permitted to make submissions to the Review Panel. Secondly,</w:t>
      </w:r>
      <w:r w:rsidRPr="00CA793D" w:rsidDel="002F6022">
        <w:rPr>
          <w:rFonts w:ascii="Times New Roman" w:hAnsi="Times New Roman"/>
        </w:rPr>
        <w:t xml:space="preserve"> </w:t>
      </w:r>
      <w:r w:rsidRPr="00CA793D">
        <w:rPr>
          <w:rFonts w:ascii="Times New Roman" w:hAnsi="Times New Roman"/>
        </w:rPr>
        <w:t xml:space="preserve">Fortune's completion of the cultural values assessment is, under the terms of the licence, to be undertaken by a suitably qualified professional and subject to the approval of the Controller that this condition had been fulfilled. Without such approval groundwater extraction cannot commence. Thirdly, MAC would have an opportunity in the future to make further submissions, especially at the time when approval would be sought before the Controller. </w:t>
      </w:r>
    </w:p>
    <w:p w14:paraId="30711019" w14:textId="77777777" w:rsidR="00B5218C" w:rsidRPr="00CA793D" w:rsidRDefault="00B5218C" w:rsidP="00CA793D">
      <w:pPr>
        <w:pStyle w:val="HeadingL2"/>
        <w:spacing w:after="260" w:line="280" w:lineRule="exact"/>
        <w:ind w:right="0"/>
        <w:jc w:val="both"/>
        <w:rPr>
          <w:rFonts w:ascii="Times New Roman" w:hAnsi="Times New Roman"/>
        </w:rPr>
      </w:pPr>
      <w:r w:rsidRPr="00CA793D">
        <w:rPr>
          <w:rFonts w:ascii="Times New Roman" w:hAnsi="Times New Roman"/>
        </w:rPr>
        <w:t>Disposition</w:t>
      </w:r>
    </w:p>
    <w:p w14:paraId="7C836133"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The statutory scheme governing the review of the Controller's decision, the making of submissions to the Review Panel and the making of the delegate Minister's decision have been described above. Fortune was successful in its application for the water extraction licence. At the review stage, Fortune was at jeopardy of having that licence removed, or the terms and conditions of that licence altered to its detriment. MAC was a "person aggrieved" by the Controller's decision to grant the water extraction licence. MAC sought review of that decision and had provided detailed written submissions. As noted, MAC was the prescribed body corporate for the native title holders and, contrary to Fortune's submissions that CP 10 did not directly affect MAC, their exercise of their non-exclusive native title rights clearly had the potential to be affected by the grant of the water extraction licence for such a large amount of water for such a long period of time. As noted, CP 10 sought to directly address a particular issue of concern raised by MAC on behalf of the native title holders, namely the impact of the grant of the water extraction licence on cultural and biodiversity values. </w:t>
      </w:r>
    </w:p>
    <w:p w14:paraId="5734E4BA"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lastRenderedPageBreak/>
        <w:tab/>
        <w:t>As noted, it was not disputed that the delegate Minister was obliged to afford procedural fairness to both Fortune and MAC. However, given the statutory scheme and their differing interests,</w:t>
      </w:r>
      <w:r w:rsidRPr="00CA793D">
        <w:rPr>
          <w:rStyle w:val="FootnoteReference"/>
          <w:rFonts w:ascii="Times New Roman" w:hAnsi="Times New Roman"/>
          <w:sz w:val="24"/>
        </w:rPr>
        <w:footnoteReference w:id="76"/>
      </w:r>
      <w:r w:rsidRPr="00CA793D">
        <w:rPr>
          <w:rFonts w:ascii="Times New Roman" w:hAnsi="Times New Roman"/>
        </w:rPr>
        <w:t xml:space="preserve"> it does not follow that the content of that obligation was the same for MAC as it was for Fortune. Hence the relevant inquiry is not, as MAC's submissions appeared to contemplate, whether MAC was entitled to the same opportunity to be heard on the terms of the proposed CP 10 as Fortune, but the proper inquiry is to ask what was the content of the obligation to afford procedural fairness to MAC in so far as it was proposed to address the cultural and biodiversity issues of concern to the native title holders? In particular, was MAC entitled to be afforded a reasonable opportunity to be heard before a condition was imposed in </w:t>
      </w:r>
      <w:r w:rsidRPr="00CA793D">
        <w:rPr>
          <w:rFonts w:ascii="Times New Roman" w:hAnsi="Times New Roman"/>
          <w:i/>
          <w:iCs/>
        </w:rPr>
        <w:t>the form of CP 10</w:t>
      </w:r>
      <w:r w:rsidRPr="00CA793D">
        <w:rPr>
          <w:rFonts w:ascii="Times New Roman" w:hAnsi="Times New Roman"/>
        </w:rPr>
        <w:t xml:space="preserve"> that supposedly responded to those concerns?</w:t>
      </w:r>
    </w:p>
    <w:p w14:paraId="23378F82"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The answer to that question is "yes". However, that is not because a decision maker is obliged, having heard from affected parties, to give some advance warning of the decision to be made. The following observation of Lord Diplock in </w:t>
      </w:r>
      <w:r w:rsidRPr="00CA793D">
        <w:rPr>
          <w:rFonts w:ascii="Times New Roman" w:hAnsi="Times New Roman"/>
          <w:i/>
          <w:iCs/>
        </w:rPr>
        <w:t>F Hoffmann-La Roche &amp; Co AG v Secretary of State for Trade and Industry</w:t>
      </w:r>
      <w:r w:rsidRPr="00CA793D">
        <w:rPr>
          <w:rFonts w:ascii="Times New Roman" w:hAnsi="Times New Roman"/>
        </w:rPr>
        <w:t xml:space="preserve"> remains good law:</w:t>
      </w:r>
      <w:r w:rsidRPr="00CA793D">
        <w:rPr>
          <w:rStyle w:val="FootnoteReference"/>
          <w:rFonts w:ascii="Times New Roman" w:hAnsi="Times New Roman"/>
          <w:sz w:val="24"/>
        </w:rPr>
        <w:footnoteReference w:id="77"/>
      </w:r>
    </w:p>
    <w:p w14:paraId="25894332" w14:textId="77777777" w:rsidR="00B5218C" w:rsidRDefault="00B5218C" w:rsidP="00CA793D">
      <w:pPr>
        <w:pStyle w:val="LeftrightafterHC"/>
        <w:spacing w:before="0" w:after="260" w:line="280" w:lineRule="exact"/>
        <w:ind w:right="0"/>
        <w:jc w:val="both"/>
        <w:rPr>
          <w:rFonts w:ascii="Times New Roman" w:hAnsi="Times New Roman"/>
        </w:rPr>
      </w:pPr>
      <w:r w:rsidRPr="00CA793D">
        <w:rPr>
          <w:rFonts w:ascii="Times New Roman" w:hAnsi="Times New Roman"/>
        </w:rPr>
        <w:t>"</w:t>
      </w:r>
      <w:proofErr w:type="gramStart"/>
      <w:r w:rsidRPr="00CA793D">
        <w:rPr>
          <w:rFonts w:ascii="Times New Roman" w:hAnsi="Times New Roman"/>
        </w:rPr>
        <w:t>the</w:t>
      </w:r>
      <w:proofErr w:type="gramEnd"/>
      <w:r w:rsidRPr="00CA793D">
        <w:rPr>
          <w:rFonts w:ascii="Times New Roman" w:hAnsi="Times New Roman"/>
        </w:rPr>
        <w:t xml:space="preserve"> rules of natural justice do not require the decision maker to disclose what he is minded </w:t>
      </w:r>
      <w:proofErr w:type="gramStart"/>
      <w:r w:rsidRPr="00CA793D">
        <w:rPr>
          <w:rFonts w:ascii="Times New Roman" w:hAnsi="Times New Roman"/>
        </w:rPr>
        <w:t>to decide</w:t>
      </w:r>
      <w:proofErr w:type="gramEnd"/>
      <w:r w:rsidRPr="00CA793D">
        <w:rPr>
          <w:rFonts w:ascii="Times New Roman" w:hAnsi="Times New Roman"/>
        </w:rPr>
        <w:t xml:space="preserve"> so that the parties may have a further opportunity of criticising his mental processes before he reaches a final decision. If this were a rule of natural justice only the most talkative of judges would satisfy it and trial by jury would have to be abolished."</w:t>
      </w:r>
    </w:p>
    <w:p w14:paraId="1DE3AE42"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r>
      <w:proofErr w:type="gramStart"/>
      <w:r w:rsidRPr="00CA793D">
        <w:rPr>
          <w:rFonts w:ascii="Times New Roman" w:hAnsi="Times New Roman"/>
        </w:rPr>
        <w:t>Instead</w:t>
      </w:r>
      <w:proofErr w:type="gramEnd"/>
      <w:r w:rsidRPr="00CA793D">
        <w:rPr>
          <w:rFonts w:ascii="Times New Roman" w:hAnsi="Times New Roman"/>
        </w:rPr>
        <w:t xml:space="preserve"> the answer is "yes" because the position is different where a decision maker has reached an adverse conclusion which would not have been obviously open on the known material. In such a case, that adverse conclusion should be disclosed to the person affected before reaching any final outcome. Thus, the following propositions from a judgment of Jenkinson J in </w:t>
      </w:r>
      <w:proofErr w:type="spellStart"/>
      <w:r w:rsidRPr="00CA793D">
        <w:rPr>
          <w:rFonts w:ascii="Times New Roman" w:hAnsi="Times New Roman"/>
          <w:i/>
          <w:iCs/>
        </w:rPr>
        <w:t>Somaghi</w:t>
      </w:r>
      <w:proofErr w:type="spellEnd"/>
      <w:r w:rsidRPr="00CA793D">
        <w:rPr>
          <w:rFonts w:ascii="Times New Roman" w:hAnsi="Times New Roman"/>
          <w:i/>
          <w:iCs/>
        </w:rPr>
        <w:t xml:space="preserve"> v Minister for Immigration, Local Government and Ethnic Affairs</w:t>
      </w:r>
      <w:r w:rsidRPr="00CA793D">
        <w:rPr>
          <w:rStyle w:val="FootnoteReference"/>
          <w:rFonts w:ascii="Times New Roman" w:hAnsi="Times New Roman"/>
          <w:sz w:val="24"/>
        </w:rPr>
        <w:footnoteReference w:id="78"/>
      </w:r>
      <w:r w:rsidRPr="00CA793D">
        <w:rPr>
          <w:rFonts w:ascii="Times New Roman" w:hAnsi="Times New Roman"/>
        </w:rPr>
        <w:t xml:space="preserve"> were approved by the Full </w:t>
      </w:r>
      <w:r w:rsidRPr="00CA793D">
        <w:rPr>
          <w:rFonts w:ascii="Times New Roman" w:hAnsi="Times New Roman"/>
        </w:rPr>
        <w:lastRenderedPageBreak/>
        <w:t xml:space="preserve">Court of the Federal Court of Australia in </w:t>
      </w:r>
      <w:r w:rsidRPr="00CA793D">
        <w:rPr>
          <w:rFonts w:ascii="Times New Roman" w:hAnsi="Times New Roman"/>
          <w:i/>
          <w:iCs/>
        </w:rPr>
        <w:t>Commissioner for Australian Capital Territory Revenue v Alphaone Pty Ltd</w:t>
      </w:r>
      <w:r w:rsidRPr="00CA793D">
        <w:rPr>
          <w:rFonts w:ascii="Times New Roman" w:hAnsi="Times New Roman"/>
        </w:rPr>
        <w:t>:</w:t>
      </w:r>
      <w:r w:rsidRPr="00CA793D">
        <w:rPr>
          <w:rStyle w:val="FootnoteReference"/>
          <w:rFonts w:ascii="Times New Roman" w:hAnsi="Times New Roman"/>
          <w:sz w:val="24"/>
        </w:rPr>
        <w:footnoteReference w:id="79"/>
      </w:r>
    </w:p>
    <w:p w14:paraId="42A0CC54" w14:textId="77777777" w:rsidR="00B5218C" w:rsidRPr="00CA793D" w:rsidRDefault="00B5218C" w:rsidP="00CA793D">
      <w:pPr>
        <w:pStyle w:val="LeftrightafterHC"/>
        <w:spacing w:before="0" w:after="260" w:line="280" w:lineRule="exact"/>
        <w:ind w:left="1440" w:right="0" w:hanging="720"/>
        <w:jc w:val="both"/>
        <w:rPr>
          <w:rFonts w:ascii="Times New Roman" w:hAnsi="Times New Roman"/>
        </w:rPr>
      </w:pPr>
      <w:r w:rsidRPr="00CA793D">
        <w:rPr>
          <w:rFonts w:ascii="Times New Roman" w:hAnsi="Times New Roman"/>
        </w:rPr>
        <w:t>"1.</w:t>
      </w:r>
      <w:r w:rsidRPr="00CA793D">
        <w:rPr>
          <w:rFonts w:ascii="Times New Roman" w:hAnsi="Times New Roman"/>
        </w:rPr>
        <w:tab/>
        <w:t>The subject of a decision is entitled to have his or her mind directed to the critical issues or factors on which the decision is likely to turn in order to have an opportunity of dealing with it ...</w:t>
      </w:r>
    </w:p>
    <w:p w14:paraId="2DCB8EC1" w14:textId="77777777" w:rsidR="00B5218C" w:rsidRDefault="00B5218C" w:rsidP="00CA793D">
      <w:pPr>
        <w:pStyle w:val="leftright"/>
        <w:spacing w:before="0" w:after="260" w:line="280" w:lineRule="exact"/>
        <w:ind w:left="1440" w:right="0" w:hanging="720"/>
        <w:jc w:val="both"/>
        <w:rPr>
          <w:rFonts w:ascii="Times New Roman" w:hAnsi="Times New Roman"/>
        </w:rPr>
      </w:pPr>
      <w:r w:rsidRPr="00CA793D">
        <w:rPr>
          <w:rFonts w:ascii="Times New Roman" w:hAnsi="Times New Roman"/>
        </w:rPr>
        <w:t>2.</w:t>
      </w:r>
      <w:r w:rsidRPr="00CA793D">
        <w:rPr>
          <w:rFonts w:ascii="Times New Roman" w:hAnsi="Times New Roman"/>
        </w:rPr>
        <w:tab/>
        <w:t>The subject is entitled to respond to any adverse conclusion drawn by the decision-maker on material supplied by or known to the subject which is not an obvious and natural evaluation of that material ..."</w:t>
      </w:r>
    </w:p>
    <w:p w14:paraId="75304C97"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In this case, the relevant "adverse conclusion" is that MAC's concerns about the cultural and biodiversity impacts of the grant of the water extraction licence were to be addressed by having Fortune and its expert assess those impacts. Whilst MAC was aware before the grant of the licence of the possibility of a cultural values assessment being made a condition in the terms of the licence, it had no knowledge that Fortune would be the entity chosen to undertake that task; that was not a matter that was an "obvious and natural evaluation of" the material known to MAC, especially given the CLC's participation in the Davenport Water Plan, which contemplated that a cultural values assessment would be conducted by the CLC and the Department. To the contrary it was unusual and wholly unexpected that the delegate Minister would adopt such a method for addressing MAC's and the native title holders' concerns. It follows that MAC should have been given a reasonable opportunity to make a submission in respect of the possible imposition of CP 10.</w:t>
      </w:r>
    </w:p>
    <w:p w14:paraId="58F72BD3"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r>
      <w:bookmarkStart w:id="0" w:name="_Ref222816130"/>
      <w:r w:rsidRPr="00CA793D">
        <w:rPr>
          <w:rFonts w:ascii="Times New Roman" w:hAnsi="Times New Roman"/>
        </w:rPr>
        <w:t>It further follows that Fortune's contentions that natural justice was afforded to MAC should be rejected. The appointment of Fortune to arrange for the assessment contemplated by CP 10 to be undertaken was not raised before the Review Panel in the course of preparing its report and so MAC did not have the opportunity to make submissions on that topic to the Review Panel. The fact that the Controller must ultimately approve Fortune's assessment and MAC might have the opportunity to respond does not address the concern that it is Fortune and its expert who will undertake that assessment, identify the Aboriginal cultural values impacts and the modelling reference points, and specify the monitoring parameters, the trigger values and the limits for those reference points. Nor does it address the concern that the CLC should have been appointed to undertake those tasks instead.</w:t>
      </w:r>
      <w:bookmarkEnd w:id="0"/>
    </w:p>
    <w:p w14:paraId="1D5917F2"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lastRenderedPageBreak/>
        <w:tab/>
        <w:t>The third ground must be upheld.</w:t>
      </w:r>
    </w:p>
    <w:p w14:paraId="7DF84DAA" w14:textId="77777777" w:rsidR="00B5218C" w:rsidRPr="00CA793D" w:rsidRDefault="00B5218C" w:rsidP="00CA793D">
      <w:pPr>
        <w:pStyle w:val="HeadingL1"/>
        <w:spacing w:after="260" w:line="280" w:lineRule="exact"/>
        <w:ind w:right="0"/>
        <w:jc w:val="both"/>
        <w:rPr>
          <w:rFonts w:ascii="Times New Roman" w:hAnsi="Times New Roman"/>
        </w:rPr>
      </w:pPr>
      <w:r w:rsidRPr="00CA793D">
        <w:rPr>
          <w:rFonts w:ascii="Times New Roman" w:hAnsi="Times New Roman"/>
        </w:rPr>
        <w:t>Relief</w:t>
      </w:r>
    </w:p>
    <w:p w14:paraId="39C88026"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 xml:space="preserve">On the issue of relief three matters should be noted. First, there is an agreement between MAC and the delegate Minister that each bear their own costs. Secondly, the participation of Fortune in this Court was limited to the third ground of appeal. Thirdly, the effect of setting aside the decision is that the application for review of the Controller's decision remains undetermined and no actions can be taken in reliance on the water extraction licence granted by the Controller in the meantime until the decision is re-made by the Minister administering the </w:t>
      </w:r>
      <w:r w:rsidRPr="00CA793D">
        <w:rPr>
          <w:rFonts w:ascii="Times New Roman" w:hAnsi="Times New Roman"/>
          <w:i/>
          <w:iCs/>
        </w:rPr>
        <w:t>Water Act</w:t>
      </w:r>
      <w:r w:rsidRPr="00CA793D">
        <w:rPr>
          <w:rFonts w:ascii="Times New Roman" w:hAnsi="Times New Roman"/>
        </w:rPr>
        <w:t xml:space="preserve"> according to law. </w:t>
      </w:r>
    </w:p>
    <w:p w14:paraId="5BE9025A" w14:textId="77777777" w:rsidR="00B5218C" w:rsidRPr="00CA793D" w:rsidRDefault="00B5218C" w:rsidP="00CA793D">
      <w:pPr>
        <w:pStyle w:val="FixListStyle"/>
        <w:spacing w:after="260" w:line="280" w:lineRule="exact"/>
        <w:ind w:right="0"/>
        <w:jc w:val="both"/>
        <w:rPr>
          <w:rFonts w:ascii="Times New Roman" w:hAnsi="Times New Roman"/>
        </w:rPr>
      </w:pPr>
      <w:r w:rsidRPr="00CA793D">
        <w:rPr>
          <w:rFonts w:ascii="Times New Roman" w:hAnsi="Times New Roman"/>
        </w:rPr>
        <w:tab/>
        <w:t>The following orders should be made:</w:t>
      </w:r>
    </w:p>
    <w:p w14:paraId="150C1AA7" w14:textId="77777777" w:rsidR="00B5218C" w:rsidRPr="00CA793D" w:rsidRDefault="00B5218C" w:rsidP="00CA793D">
      <w:pPr>
        <w:pStyle w:val="NormalBody"/>
        <w:spacing w:after="260" w:line="280" w:lineRule="exact"/>
        <w:ind w:left="720" w:right="0"/>
        <w:jc w:val="both"/>
        <w:rPr>
          <w:rFonts w:ascii="Times New Roman" w:hAnsi="Times New Roman"/>
        </w:rPr>
      </w:pPr>
      <w:r w:rsidRPr="00CA793D">
        <w:rPr>
          <w:rFonts w:ascii="Times New Roman" w:hAnsi="Times New Roman"/>
        </w:rPr>
        <w:t>1.</w:t>
      </w:r>
      <w:r w:rsidRPr="00CA793D">
        <w:rPr>
          <w:rFonts w:ascii="Times New Roman" w:hAnsi="Times New Roman"/>
        </w:rPr>
        <w:tab/>
        <w:t>Appeal allowed.</w:t>
      </w:r>
    </w:p>
    <w:p w14:paraId="0C6737FC" w14:textId="77777777" w:rsidR="00B5218C" w:rsidRPr="00CA793D" w:rsidRDefault="00B5218C" w:rsidP="00CA793D">
      <w:pPr>
        <w:pStyle w:val="NormalBody"/>
        <w:spacing w:after="260" w:line="280" w:lineRule="exact"/>
        <w:ind w:left="1440" w:right="0" w:hanging="720"/>
        <w:jc w:val="both"/>
        <w:rPr>
          <w:rFonts w:ascii="Times New Roman" w:hAnsi="Times New Roman"/>
        </w:rPr>
      </w:pPr>
      <w:r w:rsidRPr="00CA793D">
        <w:rPr>
          <w:rFonts w:ascii="Times New Roman" w:hAnsi="Times New Roman"/>
        </w:rPr>
        <w:t>2.</w:t>
      </w:r>
      <w:r w:rsidRPr="00CA793D">
        <w:rPr>
          <w:rFonts w:ascii="Times New Roman" w:hAnsi="Times New Roman"/>
        </w:rPr>
        <w:tab/>
        <w:t>Paragraph 1 of the orders of the Court of Appeal of the Northern Territory of Australia dated 12 May 2025 be set aside and, in lieu thereof, it be ordered that:</w:t>
      </w:r>
    </w:p>
    <w:p w14:paraId="6EDB84AD" w14:textId="77777777" w:rsidR="00B5218C" w:rsidRPr="00CA793D" w:rsidRDefault="00B5218C" w:rsidP="00CA793D">
      <w:pPr>
        <w:pStyle w:val="NormalBody"/>
        <w:spacing w:after="260" w:line="280" w:lineRule="exact"/>
        <w:ind w:left="1440" w:right="0"/>
        <w:jc w:val="both"/>
        <w:rPr>
          <w:rFonts w:ascii="Times New Roman" w:hAnsi="Times New Roman"/>
        </w:rPr>
      </w:pPr>
      <w:r w:rsidRPr="00CA793D">
        <w:rPr>
          <w:rFonts w:ascii="Times New Roman" w:hAnsi="Times New Roman"/>
        </w:rPr>
        <w:t>(a)</w:t>
      </w:r>
      <w:r w:rsidRPr="00CA793D">
        <w:rPr>
          <w:rFonts w:ascii="Times New Roman" w:hAnsi="Times New Roman"/>
        </w:rPr>
        <w:tab/>
        <w:t>The appeal is allowed.</w:t>
      </w:r>
    </w:p>
    <w:p w14:paraId="767DE1A5" w14:textId="77777777" w:rsidR="00B5218C" w:rsidRPr="00CA793D" w:rsidRDefault="00B5218C" w:rsidP="00CA793D">
      <w:pPr>
        <w:pStyle w:val="NormalBody"/>
        <w:spacing w:after="260" w:line="280" w:lineRule="exact"/>
        <w:ind w:left="2160" w:right="0" w:hanging="720"/>
        <w:jc w:val="both"/>
        <w:rPr>
          <w:rFonts w:ascii="Times New Roman" w:hAnsi="Times New Roman"/>
        </w:rPr>
      </w:pPr>
      <w:r w:rsidRPr="00CA793D">
        <w:rPr>
          <w:rFonts w:ascii="Times New Roman" w:hAnsi="Times New Roman"/>
        </w:rPr>
        <w:t>(b)</w:t>
      </w:r>
      <w:r w:rsidRPr="00CA793D">
        <w:rPr>
          <w:rFonts w:ascii="Times New Roman" w:hAnsi="Times New Roman"/>
        </w:rPr>
        <w:tab/>
        <w:t>Paragraph 1 of the orders of the Supreme Court of the Northern Territory of Australia made on 31 January 2024 be set aside and, in lieu thereof, it be ordered that:</w:t>
      </w:r>
    </w:p>
    <w:p w14:paraId="5646806F" w14:textId="77777777" w:rsidR="00B5218C" w:rsidRPr="00CA793D" w:rsidRDefault="00B5218C" w:rsidP="00CA793D">
      <w:pPr>
        <w:pStyle w:val="NormalBody"/>
        <w:spacing w:after="260" w:line="280" w:lineRule="exact"/>
        <w:ind w:left="2880" w:right="0" w:hanging="720"/>
        <w:jc w:val="both"/>
        <w:rPr>
          <w:rFonts w:ascii="Times New Roman" w:hAnsi="Times New Roman"/>
        </w:rPr>
      </w:pPr>
      <w:r w:rsidRPr="00CA793D">
        <w:rPr>
          <w:rFonts w:ascii="Times New Roman" w:hAnsi="Times New Roman"/>
        </w:rPr>
        <w:t>(</w:t>
      </w:r>
      <w:proofErr w:type="spellStart"/>
      <w:r w:rsidRPr="00CA793D">
        <w:rPr>
          <w:rFonts w:ascii="Times New Roman" w:hAnsi="Times New Roman"/>
        </w:rPr>
        <w:t>i</w:t>
      </w:r>
      <w:proofErr w:type="spellEnd"/>
      <w:r w:rsidRPr="00CA793D">
        <w:rPr>
          <w:rFonts w:ascii="Times New Roman" w:hAnsi="Times New Roman"/>
        </w:rPr>
        <w:t>)</w:t>
      </w:r>
      <w:r w:rsidRPr="00CA793D">
        <w:rPr>
          <w:rFonts w:ascii="Times New Roman" w:hAnsi="Times New Roman"/>
        </w:rPr>
        <w:tab/>
        <w:t xml:space="preserve">the licence granted to the second defendant on 15 November 2021 bearing licence number WDCP10358 be quashed; and </w:t>
      </w:r>
    </w:p>
    <w:p w14:paraId="69BA0826" w14:textId="77777777" w:rsidR="00B5218C" w:rsidRPr="00CA793D" w:rsidRDefault="00B5218C" w:rsidP="00CA793D">
      <w:pPr>
        <w:pStyle w:val="NormalBody"/>
        <w:spacing w:after="260" w:line="280" w:lineRule="exact"/>
        <w:ind w:left="2880" w:right="0" w:hanging="720"/>
        <w:jc w:val="both"/>
        <w:rPr>
          <w:rFonts w:ascii="Times New Roman" w:hAnsi="Times New Roman"/>
        </w:rPr>
      </w:pPr>
      <w:r w:rsidRPr="00CA793D">
        <w:rPr>
          <w:rFonts w:ascii="Times New Roman" w:hAnsi="Times New Roman"/>
        </w:rPr>
        <w:t>(ii)</w:t>
      </w:r>
      <w:r w:rsidRPr="00CA793D">
        <w:rPr>
          <w:rFonts w:ascii="Times New Roman" w:hAnsi="Times New Roman"/>
        </w:rPr>
        <w:tab/>
        <w:t xml:space="preserve">the matter be remitted to the Minister administering the </w:t>
      </w:r>
      <w:r w:rsidRPr="00CA793D">
        <w:rPr>
          <w:rFonts w:ascii="Times New Roman" w:hAnsi="Times New Roman"/>
          <w:i/>
          <w:iCs/>
        </w:rPr>
        <w:t xml:space="preserve">Water Act 1992 </w:t>
      </w:r>
      <w:r w:rsidRPr="00CA793D">
        <w:rPr>
          <w:rFonts w:ascii="Times New Roman" w:hAnsi="Times New Roman"/>
        </w:rPr>
        <w:t>(NT) to be decided according to law.</w:t>
      </w:r>
    </w:p>
    <w:p w14:paraId="20D7943D" w14:textId="77777777" w:rsidR="00B5218C" w:rsidRPr="00CA793D" w:rsidRDefault="00B5218C" w:rsidP="00CA793D">
      <w:pPr>
        <w:pStyle w:val="NormalBody"/>
        <w:spacing w:after="260" w:line="280" w:lineRule="exact"/>
        <w:ind w:left="2160" w:right="0" w:hanging="720"/>
        <w:jc w:val="both"/>
        <w:rPr>
          <w:rFonts w:ascii="Times New Roman" w:hAnsi="Times New Roman"/>
        </w:rPr>
      </w:pPr>
      <w:r w:rsidRPr="00CA793D">
        <w:rPr>
          <w:rFonts w:ascii="Times New Roman" w:hAnsi="Times New Roman"/>
        </w:rPr>
        <w:t>(c)</w:t>
      </w:r>
      <w:r w:rsidRPr="00CA793D">
        <w:rPr>
          <w:rFonts w:ascii="Times New Roman" w:hAnsi="Times New Roman"/>
        </w:rPr>
        <w:tab/>
        <w:t>The issue of the costs of the proceeding before the Supreme Court be remitted to the primary judge.</w:t>
      </w:r>
    </w:p>
    <w:p w14:paraId="095EBA5C" w14:textId="77777777" w:rsidR="00B5218C" w:rsidRPr="00CA793D" w:rsidRDefault="00B5218C" w:rsidP="00CA793D">
      <w:pPr>
        <w:pStyle w:val="NormalBody"/>
        <w:spacing w:after="260" w:line="280" w:lineRule="exact"/>
        <w:ind w:left="1440" w:right="0" w:hanging="720"/>
        <w:jc w:val="both"/>
        <w:rPr>
          <w:rFonts w:ascii="Times New Roman" w:hAnsi="Times New Roman"/>
        </w:rPr>
      </w:pPr>
      <w:r w:rsidRPr="00CA793D">
        <w:rPr>
          <w:rFonts w:ascii="Times New Roman" w:hAnsi="Times New Roman"/>
        </w:rPr>
        <w:t>3.</w:t>
      </w:r>
      <w:r w:rsidRPr="00CA793D">
        <w:rPr>
          <w:rFonts w:ascii="Times New Roman" w:hAnsi="Times New Roman"/>
        </w:rPr>
        <w:tab/>
        <w:t>The second respondent pay the appellant's costs of this appeal limited to the third ground of appeal.</w:t>
      </w:r>
    </w:p>
    <w:p w14:paraId="65553333" w14:textId="6F6C3815" w:rsidR="00B5218C" w:rsidRDefault="00B5218C" w:rsidP="00B5218C">
      <w:pPr>
        <w:pStyle w:val="NormalBody"/>
        <w:spacing w:after="260" w:line="280" w:lineRule="exact"/>
        <w:ind w:left="1440" w:right="0" w:hanging="720"/>
        <w:jc w:val="both"/>
        <w:rPr>
          <w:rFonts w:ascii="Times New Roman" w:hAnsi="Times New Roman"/>
        </w:rPr>
      </w:pPr>
      <w:r w:rsidRPr="00CA793D">
        <w:rPr>
          <w:rFonts w:ascii="Times New Roman" w:hAnsi="Times New Roman"/>
        </w:rPr>
        <w:t>4.</w:t>
      </w:r>
      <w:r w:rsidRPr="00CA793D">
        <w:rPr>
          <w:rFonts w:ascii="Times New Roman" w:hAnsi="Times New Roman"/>
        </w:rPr>
        <w:tab/>
        <w:t>The issue of the costs of the appeal before the Court of Appeal of the Northern Territory of Australia be remitted to that Court.</w:t>
      </w:r>
    </w:p>
    <w:p w14:paraId="109A237E" w14:textId="77777777" w:rsidR="00B5218C" w:rsidRDefault="00B5218C" w:rsidP="007E042A">
      <w:pPr>
        <w:pStyle w:val="FixListStyle"/>
        <w:spacing w:after="260" w:line="280" w:lineRule="exact"/>
        <w:ind w:right="0"/>
        <w:jc w:val="both"/>
        <w:rPr>
          <w:rFonts w:ascii="Times New Roman" w:hAnsi="Times New Roman"/>
        </w:rPr>
        <w:sectPr w:rsidR="00B5218C" w:rsidSect="00B5218C">
          <w:headerReference w:type="even" r:id="rId23"/>
          <w:headerReference w:type="default" r:id="rId24"/>
          <w:headerReference w:type="first" r:id="rId25"/>
          <w:pgSz w:w="11907" w:h="16839" w:code="9"/>
          <w:pgMar w:top="1440" w:right="1701" w:bottom="1984" w:left="1701" w:header="720" w:footer="720" w:gutter="0"/>
          <w:cols w:space="720"/>
          <w:docGrid w:linePitch="354"/>
        </w:sectPr>
      </w:pPr>
    </w:p>
    <w:p w14:paraId="6C5E7D8A" w14:textId="77777777" w:rsidR="00B5218C" w:rsidRPr="003531AB" w:rsidRDefault="00B5218C" w:rsidP="003531AB">
      <w:pPr>
        <w:pStyle w:val="NormalBody"/>
        <w:tabs>
          <w:tab w:val="clear" w:pos="720"/>
          <w:tab w:val="left" w:pos="0"/>
        </w:tabs>
        <w:spacing w:after="260" w:line="280" w:lineRule="exact"/>
        <w:ind w:right="0"/>
        <w:jc w:val="both"/>
        <w:rPr>
          <w:rFonts w:ascii="Times New Roman" w:hAnsi="Times New Roman"/>
        </w:rPr>
      </w:pPr>
      <w:r w:rsidRPr="003531AB">
        <w:rPr>
          <w:rFonts w:ascii="Times New Roman" w:hAnsi="Times New Roman"/>
        </w:rPr>
        <w:lastRenderedPageBreak/>
        <w:t xml:space="preserve">EDELMAN J.   </w:t>
      </w:r>
    </w:p>
    <w:p w14:paraId="0002FEB0" w14:textId="77777777" w:rsidR="00B5218C" w:rsidRPr="003531AB" w:rsidRDefault="00B5218C" w:rsidP="003531AB">
      <w:pPr>
        <w:pStyle w:val="HeadingL1"/>
        <w:spacing w:after="260" w:line="280" w:lineRule="exact"/>
        <w:ind w:right="0"/>
        <w:jc w:val="both"/>
        <w:rPr>
          <w:rFonts w:ascii="Times New Roman" w:hAnsi="Times New Roman"/>
        </w:rPr>
      </w:pPr>
      <w:r w:rsidRPr="003531AB">
        <w:rPr>
          <w:rFonts w:ascii="Times New Roman" w:hAnsi="Times New Roman"/>
        </w:rPr>
        <w:t>General concurrence and additional reasons</w:t>
      </w:r>
    </w:p>
    <w:p w14:paraId="0DF15A9E"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I agree generally with the reasons of Gordon, Steward, Gleeson and Beech</w:t>
      </w:r>
      <w:r>
        <w:rPr>
          <w:rFonts w:ascii="Times New Roman" w:hAnsi="Times New Roman"/>
        </w:rPr>
        <w:noBreakHyphen/>
      </w:r>
      <w:r w:rsidRPr="003531AB">
        <w:rPr>
          <w:rFonts w:ascii="Times New Roman" w:hAnsi="Times New Roman"/>
        </w:rPr>
        <w:t xml:space="preserve">Jones JJ, subject to the additional remarks below concerning ground one. The context of ground one is the grant of a licence to take water from a bore following what was described by the Chief Executive Officer of the Department of Environment, Parks and Water Security of the Northern Territory as "possibly the largest volume application in a single water resource by a single entity in Australia", amounting to the equivalent of filling 16,000 Olympic-sized swimming pools every year for 30 years. The issue raised by ground one is centrally concerned with the meaning of the words "is satisfied" in the requirement in s 60(4)(b) of the </w:t>
      </w:r>
      <w:r w:rsidRPr="003531AB">
        <w:rPr>
          <w:rFonts w:ascii="Times New Roman" w:hAnsi="Times New Roman"/>
          <w:i/>
          <w:iCs/>
        </w:rPr>
        <w:t xml:space="preserve">Water Act 1992 </w:t>
      </w:r>
      <w:r w:rsidRPr="003531AB">
        <w:rPr>
          <w:rFonts w:ascii="Times New Roman" w:hAnsi="Times New Roman"/>
        </w:rPr>
        <w:t xml:space="preserve">(NT), read with s 30(3)(a)(ii), that the Minister "is satisfied" that special circumstances justify the grant of a licence to take water for a period exceeding ten years. </w:t>
      </w:r>
    </w:p>
    <w:p w14:paraId="7F2E071C"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 xml:space="preserve">The appellant, </w:t>
      </w:r>
      <w:proofErr w:type="spellStart"/>
      <w:r w:rsidRPr="003531AB">
        <w:rPr>
          <w:rFonts w:ascii="Times New Roman" w:hAnsi="Times New Roman"/>
        </w:rPr>
        <w:t>Mpwerempwer</w:t>
      </w:r>
      <w:proofErr w:type="spellEnd"/>
      <w:r w:rsidRPr="003531AB">
        <w:rPr>
          <w:rFonts w:ascii="Times New Roman" w:hAnsi="Times New Roman"/>
        </w:rPr>
        <w:t xml:space="preserve"> Aboriginal Corporation RNTBC ("MAC"), expressed the issue as whether the Court of Appeal of the Northern Territory erred in concluding that it could infer two matters establishing satisfaction of special circumstances in the mind of the Minister for Territory Families and Urban Housing ("the delegate Minister") as the delegate of the Minister for Environment. The two matters were a subjective awareness by the delegate Minister of the need to find "special circumstances" and that she "determined" that special circumstances existed. MAC asserted that drawing such inferences was contrary to the principle that "a reviewing court does not rework or rewrite a decision-maker's reasons". MAC submitted that in ascertaining whether the </w:t>
      </w:r>
      <w:r w:rsidRPr="004C748D">
        <w:rPr>
          <w:rFonts w:ascii="Times New Roman" w:hAnsi="Times New Roman"/>
        </w:rPr>
        <w:t>delegate Minister</w:t>
      </w:r>
      <w:r w:rsidRPr="003531AB">
        <w:rPr>
          <w:rFonts w:ascii="Times New Roman" w:hAnsi="Times New Roman"/>
        </w:rPr>
        <w:t xml:space="preserve"> was satisfied that special circumstances existed, it was not permissible for a court to consider any material beyond</w:t>
      </w:r>
      <w:r>
        <w:rPr>
          <w:rFonts w:ascii="Times New Roman" w:hAnsi="Times New Roman"/>
        </w:rPr>
        <w:t xml:space="preserve"> </w:t>
      </w:r>
      <w:r w:rsidRPr="003531AB">
        <w:rPr>
          <w:rFonts w:ascii="Times New Roman" w:hAnsi="Times New Roman"/>
        </w:rPr>
        <w:t>the delegate Minister's reasons for decision.</w:t>
      </w:r>
    </w:p>
    <w:p w14:paraId="23D3AF2D"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 xml:space="preserve">In many contexts, a "jurisdictional fact" arising from words like "is satisfied" in s 60(4)(b) of the </w:t>
      </w:r>
      <w:r w:rsidRPr="003531AB">
        <w:rPr>
          <w:rFonts w:ascii="Times New Roman" w:hAnsi="Times New Roman"/>
          <w:i/>
          <w:iCs/>
        </w:rPr>
        <w:t xml:space="preserve">Water Act </w:t>
      </w:r>
      <w:r w:rsidRPr="003531AB">
        <w:rPr>
          <w:rFonts w:ascii="Times New Roman" w:hAnsi="Times New Roman"/>
        </w:rPr>
        <w:t xml:space="preserve">will be concerned with the state of mind of a decision maker. This is particularly so where a decision maker is not required to give reasons for their decision. Even in some cases where reasons are required, the relevance of the requirement of reasons to a provision concerning satisfaction of a decision maker might be merely as evidence from which an inference might be drawn about whether the state of mind of the decision maker was one of satisfaction. Everything depends on the proper interpretation of the particular statutory provisions. There cannot be any universal proposition that the meaning of a statutory requirement that a decision maker be "satisfied" must be concerned with the state of mind of the decision maker, established by direct evidence or by inference. Section 60(4)(b) of the </w:t>
      </w:r>
      <w:r w:rsidRPr="003531AB">
        <w:rPr>
          <w:rFonts w:ascii="Times New Roman" w:hAnsi="Times New Roman"/>
          <w:i/>
          <w:iCs/>
        </w:rPr>
        <w:t xml:space="preserve">Water Act </w:t>
      </w:r>
      <w:r w:rsidRPr="003531AB">
        <w:rPr>
          <w:rFonts w:ascii="Times New Roman" w:hAnsi="Times New Roman"/>
        </w:rPr>
        <w:t xml:space="preserve">should not be interpreted in that way. </w:t>
      </w:r>
    </w:p>
    <w:p w14:paraId="0AF42618"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 xml:space="preserve">Relevantly to s 60(4)(b), the </w:t>
      </w:r>
      <w:r w:rsidRPr="003531AB">
        <w:rPr>
          <w:rFonts w:ascii="Times New Roman" w:hAnsi="Times New Roman"/>
          <w:i/>
          <w:iCs/>
        </w:rPr>
        <w:t xml:space="preserve">Water Act </w:t>
      </w:r>
      <w:r w:rsidRPr="003531AB">
        <w:rPr>
          <w:rFonts w:ascii="Times New Roman" w:hAnsi="Times New Roman"/>
        </w:rPr>
        <w:t xml:space="preserve">did not merely require the </w:t>
      </w:r>
      <w:r w:rsidRPr="000C5DCD">
        <w:rPr>
          <w:rFonts w:ascii="Times New Roman" w:hAnsi="Times New Roman"/>
        </w:rPr>
        <w:t>delegate Minister</w:t>
      </w:r>
      <w:r w:rsidRPr="003531AB">
        <w:rPr>
          <w:rFonts w:ascii="Times New Roman" w:hAnsi="Times New Roman"/>
        </w:rPr>
        <w:t xml:space="preserve"> to give reasons in this case for a review decision concerning the </w:t>
      </w:r>
      <w:r w:rsidRPr="003531AB">
        <w:rPr>
          <w:rFonts w:ascii="Times New Roman" w:hAnsi="Times New Roman"/>
        </w:rPr>
        <w:lastRenderedPageBreak/>
        <w:t xml:space="preserve">licence for which there was a requirement of satisfaction of special circumstances. The </w:t>
      </w:r>
      <w:r w:rsidRPr="003531AB">
        <w:rPr>
          <w:rFonts w:ascii="Times New Roman" w:hAnsi="Times New Roman"/>
          <w:i/>
          <w:iCs/>
        </w:rPr>
        <w:t>Water Act</w:t>
      </w:r>
      <w:r w:rsidRPr="003531AB">
        <w:rPr>
          <w:rFonts w:ascii="Times New Roman" w:hAnsi="Times New Roman"/>
        </w:rPr>
        <w:t xml:space="preserve"> provided for a careful regime of public notice and transparency structured around the required reasons. The </w:t>
      </w:r>
      <w:r w:rsidRPr="003531AB">
        <w:rPr>
          <w:rFonts w:ascii="Times New Roman" w:hAnsi="Times New Roman"/>
          <w:i/>
          <w:iCs/>
        </w:rPr>
        <w:t xml:space="preserve">Water Act </w:t>
      </w:r>
      <w:r w:rsidRPr="003531AB">
        <w:rPr>
          <w:rFonts w:ascii="Times New Roman" w:hAnsi="Times New Roman"/>
        </w:rPr>
        <w:t>required the reasons of the delegate Minister to include the way in which all of the specified mandatory considerations under s 90(1) that were relevant were taken into account.</w:t>
      </w:r>
      <w:r w:rsidRPr="003531AB">
        <w:rPr>
          <w:rStyle w:val="FootnoteReference"/>
          <w:rFonts w:ascii="Times New Roman" w:hAnsi="Times New Roman"/>
          <w:sz w:val="24"/>
        </w:rPr>
        <w:footnoteReference w:id="80"/>
      </w:r>
      <w:r w:rsidRPr="003531AB">
        <w:rPr>
          <w:rFonts w:ascii="Times New Roman" w:hAnsi="Times New Roman"/>
        </w:rPr>
        <w:t xml:space="preserve"> And if the delegate Minister was substituting a decision for the original decision, the </w:t>
      </w:r>
      <w:r w:rsidRPr="003531AB">
        <w:rPr>
          <w:rFonts w:ascii="Times New Roman" w:hAnsi="Times New Roman"/>
          <w:i/>
          <w:iCs/>
        </w:rPr>
        <w:t xml:space="preserve">Water Act </w:t>
      </w:r>
      <w:r w:rsidRPr="003531AB">
        <w:rPr>
          <w:rFonts w:ascii="Times New Roman" w:hAnsi="Times New Roman"/>
        </w:rPr>
        <w:t>required a notice of the decision to be published in the same newspaper or newspapers in which a notice of the original decision was published, with a brief statement of the reasons and advice of where the "full review decision" could be read or obtained.</w:t>
      </w:r>
      <w:r w:rsidRPr="003531AB">
        <w:rPr>
          <w:rStyle w:val="FootnoteReference"/>
          <w:rFonts w:ascii="Times New Roman" w:hAnsi="Times New Roman"/>
          <w:sz w:val="24"/>
        </w:rPr>
        <w:footnoteReference w:id="81"/>
      </w:r>
    </w:p>
    <w:p w14:paraId="53662AE7"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 xml:space="preserve">It would be a very curious interpretation of s 60(4)(b) if, despite the transparent regime with public notice of reasons including a requirement that the reasons contain all the specified mandatory considerations which are relevant, the provision were taken to be concerned only with a state of mind of the Minister, which might be unknown to the public and which might ignore or contradict the reasons. It would be somewhat irrational to think that the Northern Territory Parliament contemplated the spectacle of a Minister (or delegate) giving evidence of a thought process that differed from the objective and apparent meaning of the required public reasons, given as part of a careful scheme constructed for reasons of transparency. And it would be wholly irrational to think that such evidence, even if accepted, could be held to establish satisfaction of special circumstances when such satisfaction was not made manifest in those reasons interpreted in the context of all relevant surrounding circumstances. The act of the Northern Territory Parliament in enacting s 60(4)(b) should not be treated so irrationally. The requirement in s 60(4)(b), read with s 30(3)(a)(ii), that the Minister be "satisfied" of special circumstances is a requirement that the Minister manifest satisfaction of special circumstances in the reasons given by the Minister.   </w:t>
      </w:r>
    </w:p>
    <w:p w14:paraId="1188C500"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 xml:space="preserve">In this case, the reasons of the delegate Minister, when properly interpreted in light of all background and surrounding circumstances, do not contain any expression or implication of satisfaction of special circumstances by the </w:t>
      </w:r>
      <w:r w:rsidRPr="000C5DCD">
        <w:rPr>
          <w:rFonts w:ascii="Times New Roman" w:hAnsi="Times New Roman"/>
        </w:rPr>
        <w:t>delegate Minister.</w:t>
      </w:r>
      <w:r w:rsidRPr="003531AB">
        <w:rPr>
          <w:rFonts w:ascii="Times New Roman" w:hAnsi="Times New Roman"/>
        </w:rPr>
        <w:t xml:space="preserve">        </w:t>
      </w:r>
    </w:p>
    <w:p w14:paraId="46FA45C0" w14:textId="77777777" w:rsidR="00B5218C" w:rsidRPr="003531AB" w:rsidRDefault="00B5218C" w:rsidP="000379A9">
      <w:pPr>
        <w:pStyle w:val="HeadingL1"/>
        <w:spacing w:after="260" w:line="280" w:lineRule="exact"/>
        <w:ind w:right="0"/>
        <w:jc w:val="both"/>
        <w:rPr>
          <w:rFonts w:ascii="Times New Roman" w:hAnsi="Times New Roman"/>
        </w:rPr>
      </w:pPr>
      <w:r w:rsidRPr="003531AB">
        <w:rPr>
          <w:rFonts w:ascii="Times New Roman" w:hAnsi="Times New Roman"/>
        </w:rPr>
        <w:lastRenderedPageBreak/>
        <w:t>Two interpretations of "</w:t>
      </w:r>
      <w:proofErr w:type="gramStart"/>
      <w:r w:rsidRPr="003531AB">
        <w:rPr>
          <w:rFonts w:ascii="Times New Roman" w:hAnsi="Times New Roman"/>
        </w:rPr>
        <w:t>is</w:t>
      </w:r>
      <w:proofErr w:type="gramEnd"/>
      <w:r w:rsidRPr="003531AB">
        <w:rPr>
          <w:rFonts w:ascii="Times New Roman" w:hAnsi="Times New Roman"/>
        </w:rPr>
        <w:t xml:space="preserve"> satisfied"   </w:t>
      </w:r>
    </w:p>
    <w:p w14:paraId="0A52ABCC" w14:textId="77777777" w:rsidR="00B5218C" w:rsidRPr="003531AB" w:rsidRDefault="00B5218C" w:rsidP="000379A9">
      <w:pPr>
        <w:pStyle w:val="FixListStyle"/>
        <w:keepNext/>
        <w:spacing w:after="260" w:line="280" w:lineRule="exact"/>
        <w:ind w:right="0"/>
        <w:jc w:val="both"/>
        <w:rPr>
          <w:rFonts w:ascii="Times New Roman" w:hAnsi="Times New Roman"/>
        </w:rPr>
      </w:pPr>
      <w:r w:rsidRPr="003531AB">
        <w:rPr>
          <w:rFonts w:ascii="Times New Roman" w:hAnsi="Times New Roman"/>
        </w:rPr>
        <w:tab/>
        <w:t xml:space="preserve">The relevant words of s 60(4)(b) of the </w:t>
      </w:r>
      <w:r w:rsidRPr="003531AB">
        <w:rPr>
          <w:rFonts w:ascii="Times New Roman" w:hAnsi="Times New Roman"/>
          <w:i/>
          <w:iCs/>
        </w:rPr>
        <w:t>Water Act</w:t>
      </w:r>
      <w:r w:rsidRPr="003531AB">
        <w:rPr>
          <w:rFonts w:ascii="Times New Roman" w:hAnsi="Times New Roman"/>
        </w:rPr>
        <w:t xml:space="preserve"> at the relevant time were as follows:</w:t>
      </w:r>
    </w:p>
    <w:p w14:paraId="20956ACE" w14:textId="77777777" w:rsidR="00B5218C" w:rsidRDefault="00B5218C" w:rsidP="003531AB">
      <w:pPr>
        <w:pStyle w:val="LeftrightafterHC"/>
        <w:spacing w:before="0" w:after="260" w:line="280" w:lineRule="exact"/>
        <w:ind w:right="0"/>
        <w:jc w:val="both"/>
        <w:rPr>
          <w:rFonts w:ascii="Times New Roman" w:hAnsi="Times New Roman"/>
        </w:rPr>
      </w:pPr>
      <w:r w:rsidRPr="003531AB">
        <w:rPr>
          <w:rFonts w:ascii="Times New Roman" w:hAnsi="Times New Roman"/>
        </w:rPr>
        <w:t>"A licence may be granted ... for a period exceeding 10 years if ... the Controller is satisfied that special circumstances justify the longer period."</w:t>
      </w:r>
    </w:p>
    <w:p w14:paraId="1F2F356F" w14:textId="77777777" w:rsidR="00B5218C" w:rsidRPr="003531AB" w:rsidRDefault="00B5218C" w:rsidP="003531AB">
      <w:pPr>
        <w:pStyle w:val="NormalBody"/>
        <w:spacing w:after="260" w:line="280" w:lineRule="exact"/>
        <w:ind w:right="0"/>
        <w:jc w:val="both"/>
        <w:rPr>
          <w:rFonts w:ascii="Times New Roman" w:hAnsi="Times New Roman"/>
        </w:rPr>
      </w:pPr>
      <w:r w:rsidRPr="003531AB">
        <w:rPr>
          <w:rFonts w:ascii="Times New Roman" w:hAnsi="Times New Roman"/>
        </w:rPr>
        <w:t>This provision applies in circumstances including when the Minister (or a delegate</w:t>
      </w:r>
      <w:r w:rsidRPr="003531AB">
        <w:rPr>
          <w:rStyle w:val="FootnoteReference"/>
          <w:rFonts w:ascii="Times New Roman" w:hAnsi="Times New Roman"/>
          <w:sz w:val="24"/>
        </w:rPr>
        <w:footnoteReference w:id="82"/>
      </w:r>
      <w:r w:rsidRPr="003531AB">
        <w:rPr>
          <w:rFonts w:ascii="Times New Roman" w:hAnsi="Times New Roman"/>
        </w:rPr>
        <w:t xml:space="preserve">) conducts a review under s 30 (of a decision of the </w:t>
      </w:r>
      <w:r w:rsidRPr="00C74FA1">
        <w:rPr>
          <w:rFonts w:ascii="Times New Roman" w:hAnsi="Times New Roman"/>
        </w:rPr>
        <w:t>Controller under s 60(4))</w:t>
      </w:r>
      <w:r w:rsidRPr="003531AB">
        <w:rPr>
          <w:rFonts w:ascii="Times New Roman" w:hAnsi="Times New Roman"/>
        </w:rPr>
        <w:t xml:space="preserve"> which could, as it did in this case, lead to the delegate Minister substituting for the Controller's decision "the decision that, in the opinion of the Minister, the Controller should have made in the first instance".</w:t>
      </w:r>
      <w:r w:rsidRPr="003531AB">
        <w:rPr>
          <w:rStyle w:val="FootnoteReference"/>
          <w:rFonts w:ascii="Times New Roman" w:hAnsi="Times New Roman"/>
          <w:sz w:val="24"/>
        </w:rPr>
        <w:footnoteReference w:id="83"/>
      </w:r>
      <w:r w:rsidRPr="003531AB">
        <w:rPr>
          <w:rFonts w:ascii="Times New Roman" w:hAnsi="Times New Roman"/>
        </w:rPr>
        <w:t xml:space="preserve"> </w:t>
      </w:r>
    </w:p>
    <w:p w14:paraId="71219992" w14:textId="77777777" w:rsidR="00B5218C" w:rsidRPr="003531AB" w:rsidRDefault="00B5218C" w:rsidP="003531AB">
      <w:pPr>
        <w:pStyle w:val="HeadingL2"/>
        <w:spacing w:after="260" w:line="280" w:lineRule="exact"/>
        <w:ind w:right="0"/>
        <w:jc w:val="both"/>
        <w:rPr>
          <w:rFonts w:ascii="Times New Roman" w:hAnsi="Times New Roman"/>
        </w:rPr>
      </w:pPr>
      <w:r w:rsidRPr="003531AB">
        <w:rPr>
          <w:rFonts w:ascii="Times New Roman" w:hAnsi="Times New Roman"/>
        </w:rPr>
        <w:t>The approach of the delegate Minister to the meaning of "is satisfied"</w:t>
      </w:r>
    </w:p>
    <w:p w14:paraId="310D635C"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 xml:space="preserve">The delegate Minister, as the first respondent before this Court, submitted that the requirement in s 60(4)(b) that the Controller or the Minister be "satisfied" that special circumstances justify a longer period was a requirement of a subjective state of mind. That state of mind might be inferred by evidence of things said and done by the Controller or the Minister. Or it could be the subject of direct evidence. As the Solicitor-General for the Northern Territory submitted, the </w:t>
      </w:r>
      <w:r w:rsidRPr="00C74FA1">
        <w:rPr>
          <w:rFonts w:ascii="Times New Roman" w:hAnsi="Times New Roman"/>
        </w:rPr>
        <w:t>delegate Minister</w:t>
      </w:r>
      <w:r w:rsidRPr="003531AB">
        <w:rPr>
          <w:rFonts w:ascii="Times New Roman" w:hAnsi="Times New Roman"/>
        </w:rPr>
        <w:t xml:space="preserve"> in this case could have given evidence as to her subjective state of mind. </w:t>
      </w:r>
    </w:p>
    <w:p w14:paraId="69A99ADC"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On this meaning of s 60(4)(b), the satisfaction of the Controller or the Minister is a question of fact concerning the existence of a state of mind. The existence of that state of mind is as much a fact as the state of their digestion.</w:t>
      </w:r>
      <w:r w:rsidRPr="003531AB">
        <w:rPr>
          <w:rStyle w:val="FootnoteReference"/>
          <w:rFonts w:ascii="Times New Roman" w:hAnsi="Times New Roman"/>
          <w:sz w:val="24"/>
        </w:rPr>
        <w:footnoteReference w:id="84"/>
      </w:r>
      <w:r w:rsidRPr="003531AB">
        <w:rPr>
          <w:rFonts w:ascii="Times New Roman" w:hAnsi="Times New Roman"/>
        </w:rPr>
        <w:t xml:space="preserve"> The onus would be upon an applicant for judicial review to prove the state of mind of the Controller or the Minister by inference from evidence of things said and done by the Controller or the Minister.</w:t>
      </w:r>
      <w:r w:rsidRPr="003531AB">
        <w:rPr>
          <w:rStyle w:val="FootnoteReference"/>
          <w:rFonts w:ascii="Times New Roman" w:hAnsi="Times New Roman"/>
          <w:sz w:val="24"/>
        </w:rPr>
        <w:footnoteReference w:id="85"/>
      </w:r>
      <w:r w:rsidRPr="003531AB">
        <w:rPr>
          <w:rFonts w:ascii="Times New Roman" w:hAnsi="Times New Roman"/>
        </w:rPr>
        <w:t xml:space="preserve"> The Controller or the Minister could give direct evidence of their state of mind which, if accepted, would preclude such an inference. Indeed, the evidence of the Controller or the Minister might even be that </w:t>
      </w:r>
      <w:r w:rsidRPr="003531AB">
        <w:rPr>
          <w:rFonts w:ascii="Times New Roman" w:hAnsi="Times New Roman"/>
        </w:rPr>
        <w:lastRenderedPageBreak/>
        <w:t>a plain and obvious interpretation of written reasons did not accurately reflect the Controller's or the Minister's state of mind at that time.</w:t>
      </w:r>
    </w:p>
    <w:p w14:paraId="2AA6CCFB"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Of course, the "jurisdictional fact"</w:t>
      </w:r>
      <w:r w:rsidRPr="003531AB">
        <w:rPr>
          <w:rStyle w:val="FootnoteReference"/>
          <w:rFonts w:ascii="Times New Roman" w:hAnsi="Times New Roman"/>
          <w:sz w:val="24"/>
        </w:rPr>
        <w:footnoteReference w:id="86"/>
      </w:r>
      <w:r w:rsidRPr="003531AB">
        <w:rPr>
          <w:rFonts w:ascii="Times New Roman" w:hAnsi="Times New Roman"/>
        </w:rPr>
        <w:t xml:space="preserve"> concerning the state of mind of the Controller or the Minister will almost invariably be qualified by statutory implications. For instance, a state of mind expressed as one of "satisfaction" of a matter will impliedly require (amongst other things) the satisfaction to have been reasonably, rationally, and logically formed, by </w:t>
      </w:r>
      <w:proofErr w:type="gramStart"/>
      <w:r w:rsidRPr="003531AB">
        <w:rPr>
          <w:rFonts w:ascii="Times New Roman" w:hAnsi="Times New Roman"/>
        </w:rPr>
        <w:t>taking into account</w:t>
      </w:r>
      <w:proofErr w:type="gramEnd"/>
      <w:r w:rsidRPr="003531AB">
        <w:rPr>
          <w:rFonts w:ascii="Times New Roman" w:hAnsi="Times New Roman"/>
        </w:rPr>
        <w:t xml:space="preserve"> all mandatory relevant considerations and without </w:t>
      </w:r>
      <w:proofErr w:type="gramStart"/>
      <w:r w:rsidRPr="003531AB">
        <w:rPr>
          <w:rFonts w:ascii="Times New Roman" w:hAnsi="Times New Roman"/>
        </w:rPr>
        <w:t>taking into account</w:t>
      </w:r>
      <w:proofErr w:type="gramEnd"/>
      <w:r w:rsidRPr="003531AB">
        <w:rPr>
          <w:rFonts w:ascii="Times New Roman" w:hAnsi="Times New Roman"/>
        </w:rPr>
        <w:t xml:space="preserve"> irrelevant considerations.</w:t>
      </w:r>
      <w:r w:rsidRPr="003531AB">
        <w:rPr>
          <w:rStyle w:val="FootnoteReference"/>
          <w:rFonts w:ascii="Times New Roman" w:hAnsi="Times New Roman"/>
          <w:sz w:val="24"/>
        </w:rPr>
        <w:footnoteReference w:id="87"/>
      </w:r>
      <w:r w:rsidRPr="003531AB">
        <w:rPr>
          <w:rFonts w:ascii="Times New Roman" w:hAnsi="Times New Roman"/>
        </w:rPr>
        <w:t xml:space="preserve">    </w:t>
      </w:r>
    </w:p>
    <w:p w14:paraId="5C12719A" w14:textId="77777777" w:rsidR="00B5218C" w:rsidRPr="003531AB" w:rsidRDefault="00B5218C" w:rsidP="003531AB">
      <w:pPr>
        <w:pStyle w:val="HeadingL2"/>
        <w:spacing w:after="260" w:line="280" w:lineRule="exact"/>
        <w:ind w:right="0"/>
        <w:jc w:val="both"/>
        <w:rPr>
          <w:rFonts w:ascii="Times New Roman" w:hAnsi="Times New Roman"/>
        </w:rPr>
      </w:pPr>
      <w:r w:rsidRPr="003531AB">
        <w:rPr>
          <w:rFonts w:ascii="Times New Roman" w:hAnsi="Times New Roman"/>
        </w:rPr>
        <w:t>The approach of MAC to the meaning of "is satisfied"</w:t>
      </w:r>
    </w:p>
    <w:p w14:paraId="4A9D1888"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 xml:space="preserve">The effect of the submission for MAC, although not put precisely in these terms, was that the requirement that the Controller or the Minister be "satisfied" is a requirement that the Controller or the Minister </w:t>
      </w:r>
      <w:r w:rsidRPr="003531AB">
        <w:rPr>
          <w:rFonts w:ascii="Times New Roman" w:hAnsi="Times New Roman"/>
          <w:i/>
          <w:iCs/>
        </w:rPr>
        <w:t xml:space="preserve">manifest </w:t>
      </w:r>
      <w:r w:rsidRPr="003531AB">
        <w:rPr>
          <w:rFonts w:ascii="Times New Roman" w:hAnsi="Times New Roman"/>
        </w:rPr>
        <w:t>satisfaction, expressly or impliedly, from words used in their reasons for decision. Although the satisfaction that must be manifest will be qualified by the same statutory implications as the state of mind considered above, the jurisdictional fact of satisfaction is not concerned with the state of mind of the Controller or the Minister. The jurisdictional fact is a question of interpretation of the reasons for decision of the Controller or the Minister. Although this meaning of "is satisfied" is limited to the interpretation of the reasons for decision provided by the Controller or the Minister, contrary to the submission of MAC there is no basis to conclude that the Northern Territory Parliament intended to take the highly artificial approach of limiting the contextual material to which a court can have regard in the interpretation of those reasons.</w:t>
      </w:r>
      <w:r w:rsidRPr="003531AB">
        <w:rPr>
          <w:rStyle w:val="FootnoteReference"/>
          <w:rFonts w:ascii="Times New Roman" w:hAnsi="Times New Roman"/>
          <w:sz w:val="24"/>
        </w:rPr>
        <w:footnoteReference w:id="88"/>
      </w:r>
      <w:r w:rsidRPr="003531AB">
        <w:rPr>
          <w:rFonts w:ascii="Times New Roman" w:hAnsi="Times New Roman"/>
        </w:rPr>
        <w:t xml:space="preserve"> </w:t>
      </w:r>
    </w:p>
    <w:p w14:paraId="07C2EF5A"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 xml:space="preserve">In some circumstances it will be possible to conclude that, despite a lack of </w:t>
      </w:r>
      <w:r w:rsidRPr="003531AB">
        <w:rPr>
          <w:rFonts w:ascii="Times New Roman" w:hAnsi="Times New Roman"/>
          <w:i/>
          <w:iCs/>
        </w:rPr>
        <w:t xml:space="preserve">express </w:t>
      </w:r>
      <w:r w:rsidRPr="003531AB">
        <w:rPr>
          <w:rFonts w:ascii="Times New Roman" w:hAnsi="Times New Roman"/>
        </w:rPr>
        <w:t>reference, the Controller or the Minister manifested a state of mind of satisfaction of special circumstances or "the reasons for the decision ... [had] taken into account ... any relevant factors mentioned in section 90(1)".</w:t>
      </w:r>
      <w:r w:rsidRPr="003531AB">
        <w:rPr>
          <w:rStyle w:val="FootnoteReference"/>
          <w:rFonts w:ascii="Times New Roman" w:hAnsi="Times New Roman"/>
          <w:sz w:val="24"/>
        </w:rPr>
        <w:footnoteReference w:id="89"/>
      </w:r>
      <w:r w:rsidRPr="003531AB">
        <w:rPr>
          <w:rFonts w:ascii="Times New Roman" w:hAnsi="Times New Roman"/>
        </w:rPr>
        <w:t xml:space="preserve"> As with the interpretation of all utterances, some matters can be implicit or implied in </w:t>
      </w:r>
      <w:r w:rsidRPr="003531AB">
        <w:rPr>
          <w:rFonts w:ascii="Times New Roman" w:hAnsi="Times New Roman"/>
        </w:rPr>
        <w:lastRenderedPageBreak/>
        <w:t xml:space="preserve">communications, such as where the matters are either so obvious that they are presupposed or where they can be inferred from other matters that are said expressly.     </w:t>
      </w:r>
    </w:p>
    <w:p w14:paraId="5C651048"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On this approach, the onus of proof for whether a decision maker manifested satisfaction in reasons is not entirely an onus upon an applicant. The issue is one of interpretation of the reasons, which involves integrated questions of fact (for which an applicant will generally bear the onus) and law.</w:t>
      </w:r>
      <w:r w:rsidRPr="003531AB">
        <w:rPr>
          <w:rStyle w:val="FootnoteReference"/>
          <w:rFonts w:ascii="Times New Roman" w:hAnsi="Times New Roman"/>
          <w:sz w:val="24"/>
        </w:rPr>
        <w:footnoteReference w:id="90"/>
      </w:r>
      <w:r w:rsidRPr="003531AB">
        <w:rPr>
          <w:rFonts w:ascii="Times New Roman" w:hAnsi="Times New Roman"/>
        </w:rPr>
        <w:t xml:space="preserve"> As Gordon, Steward, Gleeson and Beech-Jones JJ explain,</w:t>
      </w:r>
      <w:r w:rsidRPr="003531AB">
        <w:rPr>
          <w:rStyle w:val="FootnoteReference"/>
          <w:rFonts w:ascii="Times New Roman" w:hAnsi="Times New Roman"/>
          <w:sz w:val="24"/>
        </w:rPr>
        <w:footnoteReference w:id="91"/>
      </w:r>
      <w:r w:rsidRPr="003531AB">
        <w:rPr>
          <w:rFonts w:ascii="Times New Roman" w:hAnsi="Times New Roman"/>
        </w:rPr>
        <w:t xml:space="preserve"> there is no "sharp distinction" that can be drawn between, on the one hand, the exercise of establishing facts or drawing factual inferences and, on the other hand, the interpretation of reasons. The factual aspects that must be proved by an applicant include: the existence of the reasons of the decision maker; the factual context of those reasons; and, within those reasons, the meaning of any common word or expression, including by social use shown from dictionaries or legal corpus linguistics.</w:t>
      </w:r>
      <w:r w:rsidRPr="003531AB">
        <w:rPr>
          <w:rStyle w:val="FootnoteReference"/>
          <w:rFonts w:ascii="Times New Roman" w:hAnsi="Times New Roman"/>
          <w:sz w:val="24"/>
        </w:rPr>
        <w:footnoteReference w:id="92"/>
      </w:r>
      <w:r w:rsidRPr="003531AB">
        <w:rPr>
          <w:rFonts w:ascii="Times New Roman" w:hAnsi="Times New Roman"/>
        </w:rPr>
        <w:t xml:space="preserve"> But the remainder of the interpretative exercise is a task which must be performed by the court and is not the subject of any onus of proof. </w:t>
      </w:r>
    </w:p>
    <w:p w14:paraId="2C2E8A07" w14:textId="77777777" w:rsidR="00B5218C" w:rsidRPr="003531AB" w:rsidRDefault="00B5218C" w:rsidP="003531AB">
      <w:pPr>
        <w:pStyle w:val="HeadingL2"/>
        <w:spacing w:after="260" w:line="280" w:lineRule="exact"/>
        <w:ind w:right="0"/>
        <w:jc w:val="both"/>
        <w:rPr>
          <w:rFonts w:ascii="Times New Roman" w:hAnsi="Times New Roman"/>
        </w:rPr>
      </w:pPr>
      <w:r w:rsidRPr="003531AB">
        <w:rPr>
          <w:rFonts w:ascii="Times New Roman" w:hAnsi="Times New Roman"/>
        </w:rPr>
        <w:t>The better interpretation</w:t>
      </w:r>
    </w:p>
    <w:p w14:paraId="1071E94A"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There is no doubt that a statutory requirement that a decision maker be "satisfied" as to some matter is capable of bearing either meaning in context. In some cases, such a statutory requirement has been found, or assumed, to mean a (subjective) state of mind,</w:t>
      </w:r>
      <w:r w:rsidRPr="003531AB">
        <w:rPr>
          <w:rStyle w:val="FootnoteReference"/>
          <w:rFonts w:ascii="Times New Roman" w:hAnsi="Times New Roman"/>
          <w:sz w:val="24"/>
        </w:rPr>
        <w:footnoteReference w:id="93"/>
      </w:r>
      <w:r w:rsidRPr="003531AB">
        <w:rPr>
          <w:rFonts w:ascii="Times New Roman" w:hAnsi="Times New Roman"/>
        </w:rPr>
        <w:t xml:space="preserve"> although this can present difficulties of application where the decision maker is a corporation or other statutory entity</w:t>
      </w:r>
      <w:r w:rsidRPr="003531AB">
        <w:rPr>
          <w:rStyle w:val="FootnoteReference"/>
          <w:rFonts w:ascii="Times New Roman" w:hAnsi="Times New Roman"/>
          <w:sz w:val="24"/>
        </w:rPr>
        <w:footnoteReference w:id="94"/>
      </w:r>
      <w:r w:rsidRPr="003531AB">
        <w:rPr>
          <w:rFonts w:ascii="Times New Roman" w:hAnsi="Times New Roman"/>
        </w:rPr>
        <w:t xml:space="preserve"> so that the "opinion" of the entity could only be subjective and divorced from reasons given by the entity if the "opinion" is derived from the states of mind of a sufficient number of those individuals, or sufficiently important individuals, participating in the decision.</w:t>
      </w:r>
      <w:r w:rsidRPr="003531AB">
        <w:rPr>
          <w:rStyle w:val="FootnoteReference"/>
          <w:rFonts w:ascii="Times New Roman" w:hAnsi="Times New Roman"/>
          <w:sz w:val="24"/>
        </w:rPr>
        <w:footnoteReference w:id="95"/>
      </w:r>
      <w:r w:rsidRPr="003531AB">
        <w:rPr>
          <w:rFonts w:ascii="Times New Roman" w:hAnsi="Times New Roman"/>
        </w:rPr>
        <w:t xml:space="preserve"> In every case, however, the existence and content of a particular "jurisdictional fact" is a matter of statutory interpretation. In relation to s 60(4) of the </w:t>
      </w:r>
      <w:r w:rsidRPr="003531AB">
        <w:rPr>
          <w:rFonts w:ascii="Times New Roman" w:hAnsi="Times New Roman"/>
          <w:i/>
          <w:iCs/>
        </w:rPr>
        <w:t>Water Act</w:t>
      </w:r>
      <w:r w:rsidRPr="003531AB">
        <w:rPr>
          <w:rFonts w:ascii="Times New Roman" w:hAnsi="Times New Roman"/>
        </w:rPr>
        <w:t>,</w:t>
      </w:r>
      <w:r w:rsidRPr="003531AB">
        <w:rPr>
          <w:rFonts w:ascii="Times New Roman" w:hAnsi="Times New Roman"/>
          <w:i/>
          <w:iCs/>
        </w:rPr>
        <w:t xml:space="preserve"> </w:t>
      </w:r>
      <w:r w:rsidRPr="003531AB">
        <w:rPr>
          <w:rFonts w:ascii="Times New Roman" w:hAnsi="Times New Roman"/>
        </w:rPr>
        <w:t xml:space="preserve">there are three powerful indicators that the jurisdictional fact of </w:t>
      </w:r>
      <w:r w:rsidRPr="003531AB">
        <w:rPr>
          <w:rFonts w:ascii="Times New Roman" w:hAnsi="Times New Roman"/>
        </w:rPr>
        <w:lastRenderedPageBreak/>
        <w:t xml:space="preserve">"satisfaction" means satisfaction that is manifest in the required reasons for decision, interpreted in light of all background and surrounding circumstances. </w:t>
      </w:r>
    </w:p>
    <w:p w14:paraId="7D0F7EF1"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 xml:space="preserve">First, the condition in s 60(4)(b) is an alternative to the condition in </w:t>
      </w:r>
      <w:r w:rsidRPr="00C74FA1">
        <w:rPr>
          <w:rFonts w:ascii="Times New Roman" w:hAnsi="Times New Roman"/>
        </w:rPr>
        <w:t>s 60(4)(a).</w:t>
      </w:r>
      <w:r w:rsidRPr="003531AB">
        <w:rPr>
          <w:rFonts w:ascii="Times New Roman" w:hAnsi="Times New Roman"/>
        </w:rPr>
        <w:t xml:space="preserve"> The condition in s 60(4)(a), although concerned with the "purpose" of granting the licence, or "criteria" for the grant of the licence, is plainly a condition concerned with the purpose which the Minister </w:t>
      </w:r>
      <w:r w:rsidRPr="003531AB">
        <w:rPr>
          <w:rFonts w:ascii="Times New Roman" w:hAnsi="Times New Roman"/>
          <w:i/>
          <w:iCs/>
        </w:rPr>
        <w:t xml:space="preserve">manifests </w:t>
      </w:r>
      <w:r w:rsidRPr="003531AB">
        <w:rPr>
          <w:rFonts w:ascii="Times New Roman" w:hAnsi="Times New Roman"/>
        </w:rPr>
        <w:t xml:space="preserve">("specifies"). </w:t>
      </w:r>
      <w:r w:rsidRPr="00C74FA1">
        <w:rPr>
          <w:rFonts w:ascii="Times New Roman" w:hAnsi="Times New Roman"/>
        </w:rPr>
        <w:t>Section 60(4)(a)</w:t>
      </w:r>
      <w:r w:rsidRPr="003531AB">
        <w:rPr>
          <w:rFonts w:ascii="Times New Roman" w:hAnsi="Times New Roman"/>
        </w:rPr>
        <w:t xml:space="preserve"> permits the grant of a licence for a period exceeding ten years if "the licence is for a purpose, or meets criteria, that the Minister, by </w:t>
      </w:r>
      <w:r w:rsidRPr="003531AB">
        <w:rPr>
          <w:rFonts w:ascii="Times New Roman" w:hAnsi="Times New Roman"/>
          <w:i/>
          <w:iCs/>
        </w:rPr>
        <w:t xml:space="preserve">Gazette </w:t>
      </w:r>
      <w:r w:rsidRPr="003531AB">
        <w:rPr>
          <w:rFonts w:ascii="Times New Roman" w:hAnsi="Times New Roman"/>
        </w:rPr>
        <w:t xml:space="preserve">notice, specifies as justifying a longer period". </w:t>
      </w:r>
    </w:p>
    <w:p w14:paraId="5685D331"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 xml:space="preserve">Secondly, the reason that s 60(4)(b) uses the expression "the Controller is satisfied", rather than expressly saying that the Controller "specifies" or manifests satisfaction, is that the detail concerning the manner in which that satisfaction is to occur (by a decision by the Controller or review decision by the Minister) is provided separately in Pt 6A of the </w:t>
      </w:r>
      <w:r w:rsidRPr="003531AB">
        <w:rPr>
          <w:rFonts w:ascii="Times New Roman" w:hAnsi="Times New Roman"/>
          <w:i/>
          <w:iCs/>
        </w:rPr>
        <w:t>Water Act</w:t>
      </w:r>
      <w:r w:rsidRPr="003531AB">
        <w:rPr>
          <w:rFonts w:ascii="Times New Roman" w:hAnsi="Times New Roman"/>
        </w:rPr>
        <w:t>. Part 6A includes s 71C(3), which provides that for a decision by the Controller "[a] copy of the full decision must be available to the public and must include the reasons for the decision and the way in which the Controller has taken into account" particular comments about the application and specified mandatory considerations where relevant. Likewise, by ss 71E(1)(a) and 71</w:t>
      </w:r>
      <w:proofErr w:type="gramStart"/>
      <w:r w:rsidRPr="003531AB">
        <w:rPr>
          <w:rFonts w:ascii="Times New Roman" w:hAnsi="Times New Roman"/>
        </w:rPr>
        <w:t>E(</w:t>
      </w:r>
      <w:proofErr w:type="gramEnd"/>
      <w:r w:rsidRPr="003531AB">
        <w:rPr>
          <w:rFonts w:ascii="Times New Roman" w:hAnsi="Times New Roman"/>
        </w:rPr>
        <w:t xml:space="preserve">4), a decision by the Minister on review under s 30(3)(a)(ii) in substitution for the original decision "must include the reasons for the decision and the way in which the Minister or Controller has taken into account" the same comments and factors. By ss 71E(2) and 71E(3), notice of the decision of the Minister must be published in the same newspaper or newspapers as the original decision, and the notice must include a brief statement of the reasons for the review decision and </w:t>
      </w:r>
      <w:r w:rsidRPr="003531AB" w:rsidDel="00E57D46">
        <w:rPr>
          <w:rFonts w:ascii="Times New Roman" w:hAnsi="Times New Roman"/>
        </w:rPr>
        <w:t>advise</w:t>
      </w:r>
      <w:r w:rsidRPr="003531AB">
        <w:rPr>
          <w:rFonts w:ascii="Times New Roman" w:hAnsi="Times New Roman"/>
        </w:rPr>
        <w:t xml:space="preserve"> where a person "may read or obtain a copy of the full review decision". </w:t>
      </w:r>
    </w:p>
    <w:p w14:paraId="6703F184"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 xml:space="preserve">Thirdly, when it replaced the older provision, the purpose of the new s 60(4) (which is the provision in issue) was said to contrast with the older provision which was "based on the Minister's opinion". The </w:t>
      </w:r>
      <w:proofErr w:type="spellStart"/>
      <w:r w:rsidRPr="003531AB">
        <w:rPr>
          <w:rFonts w:ascii="Times New Roman" w:hAnsi="Times New Roman"/>
        </w:rPr>
        <w:t>new s</w:t>
      </w:r>
      <w:proofErr w:type="spellEnd"/>
      <w:r w:rsidRPr="003531AB">
        <w:rPr>
          <w:rFonts w:ascii="Times New Roman" w:hAnsi="Times New Roman"/>
        </w:rPr>
        <w:t xml:space="preserve"> 60(4) was designed to "create[] additional certainty for industry ... and provide transparency in the decision-making process".</w:t>
      </w:r>
      <w:r w:rsidRPr="003531AB">
        <w:rPr>
          <w:rStyle w:val="FootnoteReference"/>
          <w:rFonts w:ascii="Times New Roman" w:hAnsi="Times New Roman"/>
          <w:sz w:val="24"/>
        </w:rPr>
        <w:footnoteReference w:id="96"/>
      </w:r>
      <w:r w:rsidRPr="003531AB">
        <w:rPr>
          <w:rFonts w:ascii="Times New Roman" w:hAnsi="Times New Roman"/>
        </w:rPr>
        <w:t xml:space="preserve"> It would be very curious if a legislative amendment that was introduced to provide transparency was intended to operate based upon the uncommunicated thoughts of the Controller or the Minister, even when those uncommunicated thoughts contradicted the objective interpretation of the required, and public, reasons. </w:t>
      </w:r>
    </w:p>
    <w:p w14:paraId="1D553251" w14:textId="77777777" w:rsidR="00B5218C" w:rsidRPr="003531AB" w:rsidRDefault="00B5218C" w:rsidP="003531AB">
      <w:pPr>
        <w:pStyle w:val="HeadingL1"/>
        <w:spacing w:after="260" w:line="280" w:lineRule="exact"/>
        <w:ind w:right="0"/>
        <w:jc w:val="both"/>
        <w:rPr>
          <w:rFonts w:ascii="Times New Roman" w:hAnsi="Times New Roman"/>
        </w:rPr>
      </w:pPr>
      <w:r w:rsidRPr="003531AB">
        <w:rPr>
          <w:rFonts w:ascii="Times New Roman" w:hAnsi="Times New Roman"/>
        </w:rPr>
        <w:lastRenderedPageBreak/>
        <w:t>Conclusion</w:t>
      </w:r>
    </w:p>
    <w:p w14:paraId="68780D56"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The consequence of this interpretation of s 60(4)(b) is that the relevant assessment of whether the "jurisdictional fact" in that provision was met in this case is not concerned with the state of mind of the delegate Minister but is, instead, concerned with the content of the reasons given by the delegate Minister interpreted in light of all background and surrounding circumstances and all of the specified mandatory considerations which are relevant. As Gordon, Steward, Gleeson and Beech-Jones JJ explain, the reasons of the delegate Minister show that the delegate Minister did not address herself to the question posed by s 60(4)(b).</w:t>
      </w:r>
      <w:r w:rsidRPr="003531AB">
        <w:rPr>
          <w:rStyle w:val="FootnoteReference"/>
          <w:rFonts w:ascii="Times New Roman" w:hAnsi="Times New Roman"/>
          <w:sz w:val="24"/>
        </w:rPr>
        <w:footnoteReference w:id="97"/>
      </w:r>
      <w:r w:rsidRPr="003531AB">
        <w:rPr>
          <w:rFonts w:ascii="Times New Roman" w:hAnsi="Times New Roman"/>
        </w:rPr>
        <w:t xml:space="preserve"> For that reason, ground one should be allowed. </w:t>
      </w:r>
    </w:p>
    <w:p w14:paraId="60A49A1F" w14:textId="77777777" w:rsidR="00B5218C" w:rsidRPr="003531AB" w:rsidRDefault="00B5218C" w:rsidP="003531AB">
      <w:pPr>
        <w:pStyle w:val="FixListStyle"/>
        <w:spacing w:after="260" w:line="280" w:lineRule="exact"/>
        <w:ind w:right="0"/>
        <w:jc w:val="both"/>
        <w:rPr>
          <w:rFonts w:ascii="Times New Roman" w:hAnsi="Times New Roman"/>
        </w:rPr>
      </w:pPr>
      <w:r w:rsidRPr="003531AB">
        <w:rPr>
          <w:rFonts w:ascii="Times New Roman" w:hAnsi="Times New Roman"/>
        </w:rPr>
        <w:tab/>
        <w:t xml:space="preserve">I agree with the reasons of Gordon, Steward, Gleeson and Beech-Jones JJ for the failure of ground two. Ground two fails because the reasons of the </w:t>
      </w:r>
      <w:r w:rsidRPr="00C74FA1">
        <w:rPr>
          <w:rFonts w:ascii="Times New Roman" w:hAnsi="Times New Roman"/>
        </w:rPr>
        <w:t>delegate Minister</w:t>
      </w:r>
      <w:r w:rsidRPr="003531AB">
        <w:rPr>
          <w:rFonts w:ascii="Times New Roman" w:hAnsi="Times New Roman"/>
        </w:rPr>
        <w:t xml:space="preserve"> complied with the requirements in ss 90(</w:t>
      </w:r>
      <w:proofErr w:type="gramStart"/>
      <w:r w:rsidRPr="003531AB">
        <w:rPr>
          <w:rFonts w:ascii="Times New Roman" w:hAnsi="Times New Roman"/>
        </w:rPr>
        <w:t>1)(</w:t>
      </w:r>
      <w:proofErr w:type="gramEnd"/>
      <w:r w:rsidRPr="003531AB">
        <w:rPr>
          <w:rFonts w:ascii="Times New Roman" w:hAnsi="Times New Roman"/>
        </w:rPr>
        <w:t xml:space="preserve">ab) and 90(1)(k) that the Minister </w:t>
      </w:r>
      <w:proofErr w:type="gramStart"/>
      <w:r w:rsidRPr="003531AB">
        <w:rPr>
          <w:rFonts w:ascii="Times New Roman" w:hAnsi="Times New Roman"/>
        </w:rPr>
        <w:t>take into account</w:t>
      </w:r>
      <w:proofErr w:type="gramEnd"/>
      <w:r w:rsidRPr="003531AB">
        <w:rPr>
          <w:rFonts w:ascii="Times New Roman" w:hAnsi="Times New Roman"/>
        </w:rPr>
        <w:t xml:space="preserve"> "any water allocation plan applying to the area in question". Hence, the delegate Minister complied with the applicable requirement that the "review decision ... include the reasons for the decision and the way in which the Minister ... has taken into account ... any relevant factors mentioned in section 90(1)".</w:t>
      </w:r>
      <w:r w:rsidRPr="003531AB">
        <w:rPr>
          <w:rStyle w:val="FootnoteReference"/>
          <w:rFonts w:ascii="Times New Roman" w:hAnsi="Times New Roman"/>
          <w:sz w:val="24"/>
        </w:rPr>
        <w:footnoteReference w:id="98"/>
      </w:r>
    </w:p>
    <w:p w14:paraId="191F6902" w14:textId="3919698A" w:rsidR="00B5218C" w:rsidRPr="00B5218C" w:rsidRDefault="00B5218C" w:rsidP="00B5218C">
      <w:pPr>
        <w:pStyle w:val="FixListStyle"/>
        <w:spacing w:after="260" w:line="280" w:lineRule="exact"/>
        <w:ind w:right="0"/>
        <w:jc w:val="both"/>
        <w:rPr>
          <w:rFonts w:ascii="Times New Roman" w:hAnsi="Times New Roman"/>
        </w:rPr>
      </w:pPr>
      <w:r w:rsidRPr="003531AB">
        <w:rPr>
          <w:rFonts w:ascii="Times New Roman" w:hAnsi="Times New Roman"/>
        </w:rPr>
        <w:tab/>
        <w:t xml:space="preserve">I also agree with the reasons of Gordon, Steward, Gleeson and </w:t>
      </w:r>
      <w:r w:rsidRPr="00C74FA1">
        <w:rPr>
          <w:rFonts w:ascii="Times New Roman" w:hAnsi="Times New Roman"/>
        </w:rPr>
        <w:t>Beech</w:t>
      </w:r>
      <w:r>
        <w:rPr>
          <w:rFonts w:ascii="Times New Roman" w:hAnsi="Times New Roman"/>
        </w:rPr>
        <w:noBreakHyphen/>
      </w:r>
      <w:r w:rsidRPr="00C74FA1">
        <w:rPr>
          <w:rFonts w:ascii="Times New Roman" w:hAnsi="Times New Roman"/>
        </w:rPr>
        <w:t>Jones JJ for</w:t>
      </w:r>
      <w:r w:rsidRPr="003531AB">
        <w:rPr>
          <w:rFonts w:ascii="Times New Roman" w:hAnsi="Times New Roman"/>
        </w:rPr>
        <w:t xml:space="preserve"> the success of ground three, and with the orders that their Honours propose.</w:t>
      </w:r>
    </w:p>
    <w:p w14:paraId="650C4079" w14:textId="77777777" w:rsidR="00B5218C" w:rsidRDefault="00B5218C" w:rsidP="007E042A">
      <w:pPr>
        <w:pStyle w:val="FixListStyle"/>
        <w:spacing w:after="260" w:line="280" w:lineRule="exact"/>
        <w:ind w:right="0"/>
        <w:jc w:val="both"/>
        <w:rPr>
          <w:rFonts w:ascii="Times New Roman" w:hAnsi="Times New Roman"/>
        </w:rPr>
        <w:sectPr w:rsidR="00B5218C" w:rsidSect="00B5218C">
          <w:headerReference w:type="even" r:id="rId26"/>
          <w:headerReference w:type="default" r:id="rId27"/>
          <w:footerReference w:type="even" r:id="rId28"/>
          <w:footerReference w:type="default" r:id="rId29"/>
          <w:headerReference w:type="first" r:id="rId30"/>
          <w:footerReference w:type="first" r:id="rId31"/>
          <w:pgSz w:w="11907" w:h="16839" w:code="9"/>
          <w:pgMar w:top="1440" w:right="1701" w:bottom="1984" w:left="1701" w:header="720" w:footer="720" w:gutter="0"/>
          <w:cols w:space="720"/>
          <w:docGrid w:linePitch="354"/>
        </w:sectPr>
      </w:pPr>
    </w:p>
    <w:p w14:paraId="37C73091" w14:textId="77777777" w:rsidR="00B5218C" w:rsidRPr="00F559DC" w:rsidRDefault="00B5218C" w:rsidP="00F559DC">
      <w:pPr>
        <w:pStyle w:val="NormalBody"/>
        <w:tabs>
          <w:tab w:val="clear" w:pos="720"/>
          <w:tab w:val="left" w:pos="0"/>
        </w:tabs>
        <w:spacing w:after="260" w:line="280" w:lineRule="exact"/>
        <w:ind w:right="0"/>
        <w:jc w:val="both"/>
        <w:rPr>
          <w:rFonts w:ascii="Times New Roman" w:hAnsi="Times New Roman"/>
        </w:rPr>
      </w:pPr>
      <w:r w:rsidRPr="00F559DC">
        <w:rPr>
          <w:rFonts w:ascii="Times New Roman" w:hAnsi="Times New Roman"/>
        </w:rPr>
        <w:lastRenderedPageBreak/>
        <w:t xml:space="preserve">JAGOT J.   </w:t>
      </w:r>
    </w:p>
    <w:p w14:paraId="6F9EE963" w14:textId="77777777" w:rsidR="00B5218C" w:rsidRPr="00F559DC" w:rsidRDefault="00B5218C" w:rsidP="00F559DC">
      <w:pPr>
        <w:pStyle w:val="HeadingL1"/>
        <w:spacing w:after="260" w:line="280" w:lineRule="exact"/>
        <w:ind w:right="0"/>
        <w:jc w:val="both"/>
        <w:rPr>
          <w:rFonts w:ascii="Times New Roman" w:hAnsi="Times New Roman"/>
        </w:rPr>
      </w:pPr>
      <w:r w:rsidRPr="00F559DC">
        <w:rPr>
          <w:rFonts w:ascii="Times New Roman" w:hAnsi="Times New Roman"/>
        </w:rPr>
        <w:t xml:space="preserve">The appeal </w:t>
      </w:r>
    </w:p>
    <w:p w14:paraId="3E6C7C71"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The appellant, the </w:t>
      </w:r>
      <w:proofErr w:type="spellStart"/>
      <w:r w:rsidRPr="00F559DC">
        <w:rPr>
          <w:rFonts w:ascii="Times New Roman" w:hAnsi="Times New Roman"/>
        </w:rPr>
        <w:t>Mpwerempwer</w:t>
      </w:r>
      <w:proofErr w:type="spellEnd"/>
      <w:r w:rsidRPr="00F559DC">
        <w:rPr>
          <w:rFonts w:ascii="Times New Roman" w:hAnsi="Times New Roman"/>
        </w:rPr>
        <w:t xml:space="preserve"> Aboriginal Corporation RNTBC ("MAC"), is a registered native title body corporate and the prescribed body corporate under a determination of native title made in accordance with the provisions of the </w:t>
      </w:r>
      <w:r w:rsidRPr="00F559DC">
        <w:rPr>
          <w:rFonts w:ascii="Times New Roman" w:hAnsi="Times New Roman"/>
          <w:i/>
          <w:iCs/>
        </w:rPr>
        <w:t>Native Title Act 1993</w:t>
      </w:r>
      <w:r w:rsidRPr="00F559DC">
        <w:rPr>
          <w:rFonts w:ascii="Times New Roman" w:hAnsi="Times New Roman"/>
        </w:rPr>
        <w:t xml:space="preserve"> (</w:t>
      </w:r>
      <w:proofErr w:type="spellStart"/>
      <w:r w:rsidRPr="00F559DC">
        <w:rPr>
          <w:rFonts w:ascii="Times New Roman" w:hAnsi="Times New Roman"/>
        </w:rPr>
        <w:t>Cth</w:t>
      </w:r>
      <w:proofErr w:type="spellEnd"/>
      <w:r w:rsidRPr="00F559DC">
        <w:rPr>
          <w:rFonts w:ascii="Times New Roman" w:hAnsi="Times New Roman"/>
        </w:rPr>
        <w:t>) applying to land and waters held under Perpetual Pastoral Lease No 1022 in the Northern Territory, known as Singleton Station.</w:t>
      </w:r>
      <w:r w:rsidRPr="00F559DC">
        <w:rPr>
          <w:rStyle w:val="FootnoteReference"/>
          <w:rFonts w:ascii="Times New Roman" w:hAnsi="Times New Roman"/>
          <w:sz w:val="24"/>
        </w:rPr>
        <w:footnoteReference w:id="99"/>
      </w:r>
      <w:r w:rsidRPr="00F559DC">
        <w:rPr>
          <w:rFonts w:ascii="Times New Roman" w:hAnsi="Times New Roman"/>
        </w:rPr>
        <w:t xml:space="preserve"> The first respondent, the Minister for Territory Families and Urban Housing ("the delegate Minister"), was delegated by the Minister for Environment (as the Minister administering the </w:t>
      </w:r>
      <w:r w:rsidRPr="00F559DC">
        <w:rPr>
          <w:rFonts w:ascii="Times New Roman" w:hAnsi="Times New Roman"/>
          <w:i/>
          <w:iCs/>
        </w:rPr>
        <w:t>Water Act 1992</w:t>
      </w:r>
      <w:r w:rsidRPr="00F559DC">
        <w:rPr>
          <w:rFonts w:ascii="Times New Roman" w:hAnsi="Times New Roman"/>
        </w:rPr>
        <w:t xml:space="preserve"> (NT)) the function of determining an application by the Central Land Council ("the CLC")</w:t>
      </w:r>
      <w:r w:rsidRPr="00F559DC">
        <w:rPr>
          <w:rStyle w:val="FootnoteReference"/>
          <w:rFonts w:ascii="Times New Roman" w:hAnsi="Times New Roman"/>
          <w:sz w:val="24"/>
        </w:rPr>
        <w:footnoteReference w:id="100"/>
      </w:r>
      <w:r w:rsidRPr="00F559DC">
        <w:rPr>
          <w:rFonts w:ascii="Times New Roman" w:hAnsi="Times New Roman"/>
        </w:rPr>
        <w:t xml:space="preserve"> on behalf of MAC and others for review of a decision of the Controller of Water Resources ("the Controller") under the </w:t>
      </w:r>
      <w:r w:rsidRPr="00F559DC">
        <w:rPr>
          <w:rFonts w:ascii="Times New Roman" w:hAnsi="Times New Roman"/>
          <w:i/>
          <w:iCs/>
        </w:rPr>
        <w:t>Water Act</w:t>
      </w:r>
      <w:r w:rsidRPr="00F559DC">
        <w:rPr>
          <w:rFonts w:ascii="Times New Roman" w:hAnsi="Times New Roman"/>
        </w:rPr>
        <w:t xml:space="preserve"> to grant to the second respondent, Fortune Agribusiness Funds Management Pty Ltd ("Fortune"), a water extraction licence for a period of 30 years subject to conditions.</w:t>
      </w:r>
      <w:r w:rsidRPr="00F559DC">
        <w:rPr>
          <w:rStyle w:val="FootnoteReference"/>
          <w:rFonts w:ascii="Times New Roman" w:hAnsi="Times New Roman"/>
          <w:sz w:val="24"/>
        </w:rPr>
        <w:footnoteReference w:id="101"/>
      </w:r>
      <w:r w:rsidRPr="00F559DC">
        <w:rPr>
          <w:rFonts w:ascii="Times New Roman" w:hAnsi="Times New Roman"/>
        </w:rPr>
        <w:t xml:space="preserve"> The application for a water extraction licence was described in the decision-making process as "unique" and "possibly the largest volume application in a single water resource by a single entity in Australia". The delegate Minister determined the review application by substituting for the decision of the Controller a grant of a water extraction licence for a period of 30 years, subject to conditions additional to those which the Controller had imposed.</w:t>
      </w:r>
    </w:p>
    <w:p w14:paraId="62EED018"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MAC applied for judicial review of the delegate Minister's review decision. The primary judge in the Supreme Court of the Northern Territory (Barr J) dismissed MAC's application.</w:t>
      </w:r>
      <w:r w:rsidRPr="00F559DC">
        <w:rPr>
          <w:rStyle w:val="FootnoteReference"/>
          <w:rFonts w:ascii="Times New Roman" w:hAnsi="Times New Roman"/>
          <w:sz w:val="24"/>
        </w:rPr>
        <w:footnoteReference w:id="102"/>
      </w:r>
      <w:r w:rsidRPr="00F559DC">
        <w:rPr>
          <w:rFonts w:ascii="Times New Roman" w:hAnsi="Times New Roman"/>
        </w:rPr>
        <w:t xml:space="preserve"> The Court of Appeal of the Supreme Court of the Northern Territory (Kelly, </w:t>
      </w:r>
      <w:proofErr w:type="spellStart"/>
      <w:r w:rsidRPr="00F559DC">
        <w:rPr>
          <w:rFonts w:ascii="Times New Roman" w:hAnsi="Times New Roman"/>
        </w:rPr>
        <w:t>Huntingford</w:t>
      </w:r>
      <w:proofErr w:type="spellEnd"/>
      <w:r w:rsidRPr="00F559DC">
        <w:rPr>
          <w:rFonts w:ascii="Times New Roman" w:hAnsi="Times New Roman"/>
        </w:rPr>
        <w:t xml:space="preserve"> and Burns JJ) dismissed MAC's appeal from the decision of the primary judge.</w:t>
      </w:r>
      <w:r w:rsidRPr="00F559DC">
        <w:rPr>
          <w:rStyle w:val="FootnoteReference"/>
          <w:rFonts w:ascii="Times New Roman" w:hAnsi="Times New Roman"/>
          <w:sz w:val="24"/>
        </w:rPr>
        <w:footnoteReference w:id="103"/>
      </w:r>
      <w:r w:rsidRPr="00F559DC">
        <w:rPr>
          <w:rFonts w:ascii="Times New Roman" w:hAnsi="Times New Roman"/>
        </w:rPr>
        <w:t xml:space="preserve"> For the following reasons MAC's appeal must be allowed.</w:t>
      </w:r>
    </w:p>
    <w:p w14:paraId="7EB208C6" w14:textId="77777777" w:rsidR="00B5218C" w:rsidRPr="00F559DC" w:rsidRDefault="00B5218C" w:rsidP="00F559DC">
      <w:pPr>
        <w:pStyle w:val="HeadingL1"/>
        <w:spacing w:after="260" w:line="280" w:lineRule="exact"/>
        <w:ind w:right="0"/>
        <w:jc w:val="both"/>
        <w:rPr>
          <w:rFonts w:ascii="Times New Roman" w:hAnsi="Times New Roman"/>
        </w:rPr>
      </w:pPr>
      <w:r w:rsidRPr="00F559DC">
        <w:rPr>
          <w:rFonts w:ascii="Times New Roman" w:hAnsi="Times New Roman"/>
        </w:rPr>
        <w:lastRenderedPageBreak/>
        <w:t>Ground one</w:t>
      </w:r>
    </w:p>
    <w:p w14:paraId="0F078EE4" w14:textId="77777777" w:rsidR="00B5218C" w:rsidRPr="00F559DC" w:rsidRDefault="00B5218C" w:rsidP="00F559DC">
      <w:pPr>
        <w:pStyle w:val="HeadingL2"/>
        <w:spacing w:after="260" w:line="280" w:lineRule="exact"/>
        <w:ind w:right="0"/>
        <w:jc w:val="both"/>
        <w:rPr>
          <w:rFonts w:ascii="Times New Roman" w:hAnsi="Times New Roman"/>
        </w:rPr>
      </w:pPr>
      <w:r w:rsidRPr="00F559DC">
        <w:rPr>
          <w:rFonts w:ascii="Times New Roman" w:hAnsi="Times New Roman"/>
        </w:rPr>
        <w:t>The terms of ground one</w:t>
      </w:r>
    </w:p>
    <w:p w14:paraId="30017727"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Ground one is that:</w:t>
      </w:r>
    </w:p>
    <w:p w14:paraId="4344E118" w14:textId="77777777" w:rsidR="00B5218C" w:rsidRDefault="00B5218C" w:rsidP="00F559DC">
      <w:pPr>
        <w:pStyle w:val="leftright"/>
        <w:spacing w:before="0" w:after="260" w:line="280" w:lineRule="exact"/>
        <w:ind w:right="0"/>
        <w:jc w:val="both"/>
        <w:rPr>
          <w:rFonts w:ascii="Times New Roman" w:hAnsi="Times New Roman"/>
        </w:rPr>
      </w:pPr>
      <w:r w:rsidRPr="00F559DC">
        <w:rPr>
          <w:rFonts w:ascii="Times New Roman" w:hAnsi="Times New Roman"/>
        </w:rPr>
        <w:t>"The [Court of Appeal] erred by holding it was permitted by [</w:t>
      </w:r>
      <w:r w:rsidRPr="00F559DC">
        <w:rPr>
          <w:rFonts w:ascii="Times New Roman" w:hAnsi="Times New Roman"/>
          <w:i/>
          <w:iCs/>
        </w:rPr>
        <w:t>MZAPC v Minister for Immigration and Border Protection</w:t>
      </w:r>
      <w:r w:rsidRPr="00F559DC">
        <w:rPr>
          <w:rStyle w:val="FootnoteReference"/>
          <w:rFonts w:ascii="Times New Roman" w:hAnsi="Times New Roman"/>
          <w:sz w:val="24"/>
        </w:rPr>
        <w:footnoteReference w:id="104"/>
      </w:r>
      <w:r w:rsidRPr="00F559DC">
        <w:rPr>
          <w:rFonts w:ascii="Times New Roman" w:hAnsi="Times New Roman"/>
        </w:rPr>
        <w:t xml:space="preserve">] to infer two critical matters about the [delegate Minister's] state of mind into her statutory reasons for granting the licence, being (a) she was aware of the need to find 'special circumstances' under s 60(4)(b) of the </w:t>
      </w:r>
      <w:r w:rsidRPr="00F559DC">
        <w:rPr>
          <w:rFonts w:ascii="Times New Roman" w:hAnsi="Times New Roman"/>
          <w:i/>
          <w:iCs/>
        </w:rPr>
        <w:t xml:space="preserve">Water Act </w:t>
      </w:r>
      <w:r w:rsidRPr="00F559DC">
        <w:rPr>
          <w:rFonts w:ascii="Times New Roman" w:hAnsi="Times New Roman"/>
        </w:rPr>
        <w:t>... ; and (b) she determined there were 'special circumstances', notwithstanding that was contrary to the principle confirmed in [</w:t>
      </w:r>
      <w:r w:rsidRPr="00F559DC">
        <w:rPr>
          <w:rFonts w:ascii="Times New Roman" w:hAnsi="Times New Roman"/>
          <w:i/>
          <w:iCs/>
        </w:rPr>
        <w:t>LPDT</w:t>
      </w:r>
      <w:r w:rsidRPr="00F559DC">
        <w:rPr>
          <w:rFonts w:ascii="Times New Roman" w:hAnsi="Times New Roman"/>
        </w:rPr>
        <w:t xml:space="preserve"> </w:t>
      </w:r>
      <w:r w:rsidRPr="00F559DC">
        <w:rPr>
          <w:rFonts w:ascii="Times New Roman" w:hAnsi="Times New Roman"/>
          <w:i/>
          <w:iCs/>
        </w:rPr>
        <w:t>v</w:t>
      </w:r>
      <w:r w:rsidRPr="00F559DC">
        <w:rPr>
          <w:rFonts w:ascii="Times New Roman" w:hAnsi="Times New Roman"/>
        </w:rPr>
        <w:t xml:space="preserve"> </w:t>
      </w:r>
      <w:r w:rsidRPr="00F559DC">
        <w:rPr>
          <w:rFonts w:ascii="Times New Roman" w:hAnsi="Times New Roman"/>
          <w:i/>
          <w:iCs/>
        </w:rPr>
        <w:t>Minister for Immigration, Citizenship, Migrant Services and Multicultural Affairs</w:t>
      </w:r>
      <w:r w:rsidRPr="00F559DC">
        <w:rPr>
          <w:rStyle w:val="FootnoteReference"/>
          <w:rFonts w:ascii="Times New Roman" w:hAnsi="Times New Roman"/>
          <w:iCs/>
          <w:sz w:val="24"/>
        </w:rPr>
        <w:footnoteReference w:id="105"/>
      </w:r>
      <w:r w:rsidRPr="00F559DC">
        <w:rPr>
          <w:rFonts w:ascii="Times New Roman" w:hAnsi="Times New Roman"/>
        </w:rPr>
        <w:t xml:space="preserve">] that a reviewing court does not rework or rewrite a decision-maker's reasons." </w:t>
      </w:r>
    </w:p>
    <w:p w14:paraId="447C2BF6"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In the terms expressed, ground one is needlessly over-complicated. The references to the two cases, </w:t>
      </w:r>
      <w:r w:rsidRPr="00F559DC">
        <w:rPr>
          <w:rFonts w:ascii="Times New Roman" w:hAnsi="Times New Roman"/>
          <w:i/>
          <w:iCs/>
        </w:rPr>
        <w:t xml:space="preserve">MZAPC v Minister for Immigration and Border Protection </w:t>
      </w:r>
      <w:r w:rsidRPr="00F559DC">
        <w:rPr>
          <w:rFonts w:ascii="Times New Roman" w:hAnsi="Times New Roman"/>
        </w:rPr>
        <w:t>("</w:t>
      </w:r>
      <w:r w:rsidRPr="00F559DC">
        <w:rPr>
          <w:rFonts w:ascii="Times New Roman" w:hAnsi="Times New Roman"/>
          <w:i/>
          <w:iCs/>
        </w:rPr>
        <w:t>MZAPC</w:t>
      </w:r>
      <w:r w:rsidRPr="00F559DC">
        <w:rPr>
          <w:rFonts w:ascii="Times New Roman" w:hAnsi="Times New Roman"/>
        </w:rPr>
        <w:t>")</w:t>
      </w:r>
      <w:r w:rsidRPr="00F559DC">
        <w:rPr>
          <w:rStyle w:val="FootnoteReference"/>
          <w:rFonts w:ascii="Times New Roman" w:hAnsi="Times New Roman"/>
          <w:sz w:val="24"/>
        </w:rPr>
        <w:footnoteReference w:id="106"/>
      </w:r>
      <w:r w:rsidRPr="00F559DC">
        <w:rPr>
          <w:rFonts w:ascii="Times New Roman" w:hAnsi="Times New Roman"/>
        </w:rPr>
        <w:t xml:space="preserve"> and </w:t>
      </w:r>
      <w:r w:rsidRPr="00F559DC">
        <w:rPr>
          <w:rFonts w:ascii="Times New Roman" w:hAnsi="Times New Roman"/>
          <w:i/>
          <w:iCs/>
        </w:rPr>
        <w:t xml:space="preserve">LPDT v Minister for Immigration, Citizenship, Migrant Services and Multicultural Affairs </w:t>
      </w:r>
      <w:r w:rsidRPr="00F559DC">
        <w:rPr>
          <w:rFonts w:ascii="Times New Roman" w:hAnsi="Times New Roman"/>
        </w:rPr>
        <w:t>("</w:t>
      </w:r>
      <w:r w:rsidRPr="00F559DC">
        <w:rPr>
          <w:rFonts w:ascii="Times New Roman" w:hAnsi="Times New Roman"/>
          <w:i/>
          <w:iCs/>
        </w:rPr>
        <w:t>LPDT</w:t>
      </w:r>
      <w:r w:rsidRPr="00F559DC">
        <w:rPr>
          <w:rFonts w:ascii="Times New Roman" w:hAnsi="Times New Roman"/>
        </w:rPr>
        <w:t>"),</w:t>
      </w:r>
      <w:r w:rsidRPr="00F559DC">
        <w:rPr>
          <w:rStyle w:val="FootnoteReference"/>
          <w:rFonts w:ascii="Times New Roman" w:hAnsi="Times New Roman"/>
          <w:sz w:val="24"/>
        </w:rPr>
        <w:footnoteReference w:id="107"/>
      </w:r>
      <w:r w:rsidRPr="00F559DC">
        <w:rPr>
          <w:rFonts w:ascii="Times New Roman" w:hAnsi="Times New Roman"/>
        </w:rPr>
        <w:t xml:space="preserve"> concern the question whether an administrative decision-maker's non-compliance with an obligation relating to the making of the decision (such non-compliance having been found) was material to the decision in fact made. The test of materiality is whether, had the decision-maker complied with the obligation, the decision-maker "could realistically" have reached a different decision.</w:t>
      </w:r>
      <w:r w:rsidRPr="00F559DC">
        <w:rPr>
          <w:rStyle w:val="FootnoteReference"/>
          <w:rFonts w:ascii="Times New Roman" w:hAnsi="Times New Roman"/>
          <w:sz w:val="24"/>
        </w:rPr>
        <w:footnoteReference w:id="108"/>
      </w:r>
      <w:r w:rsidRPr="00F559DC">
        <w:rPr>
          <w:rFonts w:ascii="Times New Roman" w:hAnsi="Times New Roman"/>
        </w:rPr>
        <w:t xml:space="preserve"> Those parts of the reasoning in </w:t>
      </w:r>
      <w:r w:rsidRPr="00F559DC">
        <w:rPr>
          <w:rFonts w:ascii="Times New Roman" w:hAnsi="Times New Roman"/>
          <w:i/>
          <w:iCs/>
        </w:rPr>
        <w:t>MZAPC</w:t>
      </w:r>
      <w:r w:rsidRPr="00F559DC">
        <w:rPr>
          <w:rFonts w:ascii="Times New Roman" w:hAnsi="Times New Roman"/>
        </w:rPr>
        <w:t xml:space="preserve"> and </w:t>
      </w:r>
      <w:r w:rsidRPr="00F559DC">
        <w:rPr>
          <w:rFonts w:ascii="Times New Roman" w:hAnsi="Times New Roman"/>
          <w:i/>
          <w:iCs/>
        </w:rPr>
        <w:t>LPDT</w:t>
      </w:r>
      <w:r w:rsidRPr="00F559DC">
        <w:rPr>
          <w:rFonts w:ascii="Times New Roman" w:hAnsi="Times New Roman"/>
        </w:rPr>
        <w:t xml:space="preserve"> to which reference is made in ground one explain that, in applying that test of materiality, it is first necessary to determine "the facts as to what occurred in the making of the decision ... on the balance of probabilities by inferences drawn from the totality of the evidence".</w:t>
      </w:r>
      <w:r w:rsidRPr="00F559DC">
        <w:rPr>
          <w:rStyle w:val="FootnoteReference"/>
          <w:rFonts w:ascii="Times New Roman" w:hAnsi="Times New Roman"/>
          <w:sz w:val="24"/>
        </w:rPr>
        <w:footnoteReference w:id="109"/>
      </w:r>
      <w:r w:rsidRPr="00F559DC">
        <w:rPr>
          <w:rFonts w:ascii="Times New Roman" w:hAnsi="Times New Roman"/>
        </w:rPr>
        <w:t xml:space="preserve"> It is then necessary to determine "had there been compliance with a legal obligation that was in fact breached, whether the decision that was in fact made could have been different had the condition been complied with", which "falls to be determined as a matter of reasonable conjecture within the parameters set by the historical facts that have </w:t>
      </w:r>
      <w:r w:rsidRPr="00F559DC">
        <w:rPr>
          <w:rFonts w:ascii="Times New Roman" w:hAnsi="Times New Roman"/>
        </w:rPr>
        <w:lastRenderedPageBreak/>
        <w:t>been determined on the balance of probabilities".</w:t>
      </w:r>
      <w:r w:rsidRPr="00F559DC">
        <w:rPr>
          <w:rStyle w:val="FootnoteReference"/>
          <w:rFonts w:ascii="Times New Roman" w:hAnsi="Times New Roman"/>
          <w:sz w:val="24"/>
        </w:rPr>
        <w:footnoteReference w:id="110"/>
      </w:r>
      <w:r w:rsidRPr="00F559DC">
        <w:rPr>
          <w:rFonts w:ascii="Times New Roman" w:hAnsi="Times New Roman"/>
        </w:rPr>
        <w:t xml:space="preserve"> In so determining, it is not permissible at either stage of the inquiry to "engage in a review of the merits of the decision, reconstruct a decision</w:t>
      </w:r>
      <w:r>
        <w:rPr>
          <w:rFonts w:ascii="Times New Roman" w:hAnsi="Times New Roman"/>
        </w:rPr>
        <w:t>-</w:t>
      </w:r>
      <w:r w:rsidRPr="00F559DC">
        <w:rPr>
          <w:rFonts w:ascii="Times New Roman" w:hAnsi="Times New Roman"/>
        </w:rPr>
        <w:t>making process, rework the apparent basis upon which a decision has been made, or rewrite the reasons for decision".</w:t>
      </w:r>
      <w:r w:rsidRPr="00F559DC">
        <w:rPr>
          <w:rStyle w:val="FootnoteReference"/>
          <w:rFonts w:ascii="Times New Roman" w:hAnsi="Times New Roman"/>
          <w:sz w:val="24"/>
        </w:rPr>
        <w:footnoteReference w:id="111"/>
      </w:r>
      <w:r w:rsidRPr="00F559DC">
        <w:rPr>
          <w:rFonts w:ascii="Times New Roman" w:hAnsi="Times New Roman"/>
        </w:rPr>
        <w:t xml:space="preserve"> In other words, unless and until non-compliance is found, no question of materiality arises.</w:t>
      </w:r>
    </w:p>
    <w:p w14:paraId="6AAF58D4"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The question whether there has been non-compliance with an obligation in relation to the making of an administrative decision is a question of fact to be determined in accordance with the ordinary principles applicable to fact-finding and the drawing of inferences. Those ordinary principles include that, subject to any statutory provision to the contrary, in conventional civil litigation: (</w:t>
      </w:r>
      <w:proofErr w:type="spellStart"/>
      <w:r w:rsidRPr="00F559DC">
        <w:rPr>
          <w:rFonts w:ascii="Times New Roman" w:hAnsi="Times New Roman"/>
        </w:rPr>
        <w:t>i</w:t>
      </w:r>
      <w:proofErr w:type="spellEnd"/>
      <w:r w:rsidRPr="00F559DC">
        <w:rPr>
          <w:rFonts w:ascii="Times New Roman" w:hAnsi="Times New Roman"/>
        </w:rPr>
        <w:t xml:space="preserve">) the party asserting the non-compliance bears the onus of proof; (ii) the applicable standard of proof is on the balance of probabilities; and (iii) facts are to be found and inferences are to be drawn having regard to the whole of the relevant evidence. </w:t>
      </w:r>
    </w:p>
    <w:p w14:paraId="63EF9C66" w14:textId="77777777" w:rsidR="00B5218C" w:rsidRPr="00F559DC" w:rsidRDefault="00B5218C" w:rsidP="00F559DC">
      <w:pPr>
        <w:pStyle w:val="HeadingL2"/>
        <w:spacing w:after="260" w:line="280" w:lineRule="exact"/>
        <w:ind w:right="0"/>
        <w:jc w:val="both"/>
        <w:rPr>
          <w:rFonts w:ascii="Times New Roman" w:hAnsi="Times New Roman"/>
        </w:rPr>
      </w:pPr>
      <w:r w:rsidRPr="00F559DC">
        <w:rPr>
          <w:rFonts w:ascii="Times New Roman" w:hAnsi="Times New Roman"/>
        </w:rPr>
        <w:t>Relevant statutory provisions</w:t>
      </w:r>
    </w:p>
    <w:p w14:paraId="7A4FD7A8"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At the time the Controller granted the water extraction licence, 8 April 2021, s 60 of the </w:t>
      </w:r>
      <w:r w:rsidRPr="00F559DC">
        <w:rPr>
          <w:rFonts w:ascii="Times New Roman" w:hAnsi="Times New Roman"/>
          <w:i/>
          <w:iCs/>
        </w:rPr>
        <w:t>Water Act</w:t>
      </w:r>
      <w:r w:rsidRPr="00F559DC">
        <w:rPr>
          <w:rFonts w:ascii="Times New Roman" w:hAnsi="Times New Roman"/>
        </w:rPr>
        <w:t xml:space="preserve"> provided that:</w:t>
      </w:r>
    </w:p>
    <w:p w14:paraId="641149BB" w14:textId="77777777" w:rsidR="00B5218C" w:rsidRPr="00F559DC" w:rsidRDefault="00B5218C" w:rsidP="00F559DC">
      <w:pPr>
        <w:pStyle w:val="leftright"/>
        <w:spacing w:before="0" w:after="260" w:line="280" w:lineRule="exact"/>
        <w:ind w:left="1440" w:right="0" w:hanging="720"/>
        <w:jc w:val="both"/>
        <w:rPr>
          <w:rFonts w:ascii="Times New Roman" w:hAnsi="Times New Roman"/>
        </w:rPr>
      </w:pPr>
      <w:r w:rsidRPr="00F559DC">
        <w:rPr>
          <w:rFonts w:ascii="Times New Roman" w:hAnsi="Times New Roman"/>
        </w:rPr>
        <w:t xml:space="preserve">"(1) </w:t>
      </w:r>
      <w:r w:rsidRPr="00F559DC">
        <w:rPr>
          <w:rFonts w:ascii="Times New Roman" w:hAnsi="Times New Roman"/>
        </w:rPr>
        <w:tab/>
        <w:t>Subject to this Act, the Controller may, on the Controller's own initiative or on application in the prescribed manner and form, grant to a person a licence in the prescribed form to take water from a bore.</w:t>
      </w:r>
    </w:p>
    <w:p w14:paraId="064674F6" w14:textId="77777777" w:rsidR="00B5218C" w:rsidRPr="00F559DC" w:rsidRDefault="00B5218C" w:rsidP="00F559DC">
      <w:pPr>
        <w:pStyle w:val="leftright"/>
        <w:spacing w:before="0" w:after="260" w:line="280" w:lineRule="exact"/>
        <w:ind w:left="1440" w:right="0" w:hanging="720"/>
        <w:jc w:val="both"/>
        <w:rPr>
          <w:rFonts w:ascii="Times New Roman" w:hAnsi="Times New Roman"/>
        </w:rPr>
      </w:pPr>
      <w:r w:rsidRPr="00F559DC">
        <w:rPr>
          <w:rFonts w:ascii="Times New Roman" w:hAnsi="Times New Roman"/>
        </w:rPr>
        <w:t xml:space="preserve">(2) </w:t>
      </w:r>
      <w:r w:rsidRPr="00F559DC">
        <w:rPr>
          <w:rFonts w:ascii="Times New Roman" w:hAnsi="Times New Roman"/>
        </w:rPr>
        <w:tab/>
        <w:t>A licence may be granted under subsection (1) subject to such terms and conditions, if any, as are specified in the licence document.</w:t>
      </w:r>
    </w:p>
    <w:p w14:paraId="5801B5AA" w14:textId="77777777" w:rsidR="00B5218C" w:rsidRPr="00F559DC" w:rsidRDefault="00B5218C" w:rsidP="00F559DC">
      <w:pPr>
        <w:pStyle w:val="leftright"/>
        <w:spacing w:before="0" w:after="260" w:line="280" w:lineRule="exact"/>
        <w:ind w:left="1440" w:right="0" w:hanging="720"/>
        <w:jc w:val="both"/>
        <w:rPr>
          <w:rFonts w:ascii="Times New Roman" w:hAnsi="Times New Roman"/>
        </w:rPr>
      </w:pPr>
      <w:r w:rsidRPr="00F559DC">
        <w:rPr>
          <w:rFonts w:ascii="Times New Roman" w:hAnsi="Times New Roman"/>
        </w:rPr>
        <w:t xml:space="preserve">(3) </w:t>
      </w:r>
      <w:r w:rsidRPr="00F559DC">
        <w:rPr>
          <w:rFonts w:ascii="Times New Roman" w:hAnsi="Times New Roman"/>
        </w:rPr>
        <w:tab/>
        <w:t>Subject to subsection (4), a licence shall be granted for such period, not exceeding 10 years, as is specified in the licence document.</w:t>
      </w:r>
    </w:p>
    <w:p w14:paraId="54A332B8" w14:textId="77777777" w:rsidR="00B5218C" w:rsidRDefault="00B5218C" w:rsidP="00F559DC">
      <w:pPr>
        <w:pStyle w:val="leftright"/>
        <w:spacing w:before="0" w:after="260" w:line="280" w:lineRule="exact"/>
        <w:ind w:left="1440" w:right="0" w:hanging="720"/>
        <w:jc w:val="both"/>
        <w:rPr>
          <w:rFonts w:ascii="Times New Roman" w:hAnsi="Times New Roman"/>
        </w:rPr>
      </w:pPr>
      <w:r w:rsidRPr="00F559DC">
        <w:rPr>
          <w:rFonts w:ascii="Times New Roman" w:hAnsi="Times New Roman"/>
        </w:rPr>
        <w:t xml:space="preserve">(4) </w:t>
      </w:r>
      <w:r w:rsidRPr="00F559DC">
        <w:rPr>
          <w:rFonts w:ascii="Times New Roman" w:hAnsi="Times New Roman"/>
        </w:rPr>
        <w:tab/>
        <w:t>The Controller may, where in the opinion of the Minister there are special circumstances that justify so granting the licence, grant a licence for such period exceeding 10 years as is specified in the licence document."</w:t>
      </w:r>
    </w:p>
    <w:p w14:paraId="13DD8F45"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Section 30, the provision enabling review of a decision of the Controller to grant a water extraction licence (defined in s 4(1) to include a licence under s 60 to take water from a bore), was in these terms:</w:t>
      </w:r>
    </w:p>
    <w:p w14:paraId="35CDF60D" w14:textId="77777777" w:rsidR="00B5218C" w:rsidRPr="00F559DC" w:rsidRDefault="00B5218C" w:rsidP="00F559DC">
      <w:pPr>
        <w:pStyle w:val="leftright"/>
        <w:spacing w:before="0" w:after="260" w:line="280" w:lineRule="exact"/>
        <w:ind w:left="1440" w:right="0" w:hanging="720"/>
        <w:jc w:val="both"/>
        <w:rPr>
          <w:rFonts w:ascii="Times New Roman" w:hAnsi="Times New Roman"/>
        </w:rPr>
      </w:pPr>
      <w:r w:rsidRPr="00F559DC">
        <w:rPr>
          <w:rFonts w:ascii="Times New Roman" w:hAnsi="Times New Roman"/>
        </w:rPr>
        <w:lastRenderedPageBreak/>
        <w:t xml:space="preserve">"(1) </w:t>
      </w:r>
      <w:r w:rsidRPr="00F559DC">
        <w:rPr>
          <w:rFonts w:ascii="Times New Roman" w:hAnsi="Times New Roman"/>
        </w:rPr>
        <w:tab/>
        <w:t>Subject to subsection (2), a person aggrieved by an action or decision under this Act ... of the Controller ... may apply to the Minister to review the matter.</w:t>
      </w:r>
    </w:p>
    <w:p w14:paraId="39651C1A" w14:textId="77777777" w:rsidR="00B5218C" w:rsidRPr="00F559DC" w:rsidRDefault="00B5218C" w:rsidP="00F559DC">
      <w:pPr>
        <w:pStyle w:val="leftright"/>
        <w:spacing w:before="0" w:after="260" w:line="280" w:lineRule="exact"/>
        <w:ind w:right="0"/>
        <w:jc w:val="both"/>
        <w:rPr>
          <w:rFonts w:ascii="Times New Roman" w:hAnsi="Times New Roman"/>
        </w:rPr>
      </w:pPr>
      <w:r w:rsidRPr="00F559DC">
        <w:rPr>
          <w:rFonts w:ascii="Times New Roman" w:hAnsi="Times New Roman"/>
        </w:rPr>
        <w:t>...</w:t>
      </w:r>
    </w:p>
    <w:p w14:paraId="76F3E0F1" w14:textId="77777777" w:rsidR="00B5218C" w:rsidRPr="00F559DC" w:rsidRDefault="00B5218C" w:rsidP="00F559DC">
      <w:pPr>
        <w:pStyle w:val="leftright"/>
        <w:spacing w:before="0" w:after="260" w:line="280" w:lineRule="exact"/>
        <w:ind w:right="0"/>
        <w:jc w:val="both"/>
        <w:rPr>
          <w:rFonts w:ascii="Times New Roman" w:hAnsi="Times New Roman"/>
        </w:rPr>
      </w:pPr>
      <w:r w:rsidRPr="00F559DC">
        <w:rPr>
          <w:rFonts w:ascii="Times New Roman" w:hAnsi="Times New Roman"/>
        </w:rPr>
        <w:t xml:space="preserve">(3) </w:t>
      </w:r>
      <w:r w:rsidRPr="00F559DC">
        <w:rPr>
          <w:rFonts w:ascii="Times New Roman" w:hAnsi="Times New Roman"/>
        </w:rPr>
        <w:tab/>
        <w:t>Subject to this Act, the Minister may:</w:t>
      </w:r>
    </w:p>
    <w:p w14:paraId="0509730B" w14:textId="77777777" w:rsidR="00B5218C" w:rsidRPr="00F559DC" w:rsidRDefault="00B5218C" w:rsidP="00F559DC">
      <w:pPr>
        <w:pStyle w:val="leftright"/>
        <w:spacing w:before="0" w:after="260" w:line="280" w:lineRule="exact"/>
        <w:ind w:left="2138" w:right="0" w:hanging="1418"/>
        <w:jc w:val="both"/>
        <w:rPr>
          <w:rFonts w:ascii="Times New Roman" w:hAnsi="Times New Roman"/>
        </w:rPr>
      </w:pPr>
      <w:r w:rsidRPr="00F559DC">
        <w:rPr>
          <w:rFonts w:ascii="Times New Roman" w:hAnsi="Times New Roman"/>
        </w:rPr>
        <w:tab/>
        <w:t xml:space="preserve">(a) </w:t>
      </w:r>
      <w:r w:rsidRPr="00F559DC">
        <w:rPr>
          <w:rFonts w:ascii="Times New Roman" w:hAnsi="Times New Roman"/>
        </w:rPr>
        <w:tab/>
      </w:r>
      <w:r w:rsidRPr="00F559DC">
        <w:rPr>
          <w:rFonts w:ascii="Times New Roman" w:hAnsi="Times New Roman"/>
        </w:rPr>
        <w:tab/>
        <w:t>in the case of an application against an action or decision of the Controller:</w:t>
      </w:r>
    </w:p>
    <w:p w14:paraId="568F1947" w14:textId="77777777" w:rsidR="00B5218C" w:rsidRPr="00F559DC" w:rsidRDefault="00B5218C" w:rsidP="00F559DC">
      <w:pPr>
        <w:pStyle w:val="leftright"/>
        <w:spacing w:before="0" w:after="260" w:line="280" w:lineRule="exact"/>
        <w:ind w:right="0"/>
        <w:jc w:val="both"/>
        <w:rPr>
          <w:rFonts w:ascii="Times New Roman" w:hAnsi="Times New Roman"/>
        </w:rPr>
      </w:pPr>
      <w:r w:rsidRPr="00F559DC">
        <w:rPr>
          <w:rFonts w:ascii="Times New Roman" w:hAnsi="Times New Roman"/>
        </w:rPr>
        <w:tab/>
      </w:r>
      <w:r w:rsidRPr="00F559DC">
        <w:rPr>
          <w:rFonts w:ascii="Times New Roman" w:hAnsi="Times New Roman"/>
        </w:rPr>
        <w:tab/>
        <w:t>(</w:t>
      </w:r>
      <w:proofErr w:type="spellStart"/>
      <w:r w:rsidRPr="00F559DC">
        <w:rPr>
          <w:rFonts w:ascii="Times New Roman" w:hAnsi="Times New Roman"/>
        </w:rPr>
        <w:t>i</w:t>
      </w:r>
      <w:proofErr w:type="spellEnd"/>
      <w:r w:rsidRPr="00F559DC">
        <w:rPr>
          <w:rFonts w:ascii="Times New Roman" w:hAnsi="Times New Roman"/>
        </w:rPr>
        <w:t xml:space="preserve">) </w:t>
      </w:r>
      <w:r w:rsidRPr="00F559DC">
        <w:rPr>
          <w:rFonts w:ascii="Times New Roman" w:hAnsi="Times New Roman"/>
        </w:rPr>
        <w:tab/>
        <w:t>uphold the action or decision;</w:t>
      </w:r>
    </w:p>
    <w:p w14:paraId="4AC9A00B" w14:textId="77777777" w:rsidR="00B5218C" w:rsidRPr="00F559DC" w:rsidRDefault="00B5218C" w:rsidP="00F559DC">
      <w:pPr>
        <w:pStyle w:val="leftright"/>
        <w:spacing w:before="0" w:after="260" w:line="280" w:lineRule="exact"/>
        <w:ind w:left="2875" w:right="0" w:hanging="2155"/>
        <w:jc w:val="both"/>
        <w:rPr>
          <w:rFonts w:ascii="Times New Roman" w:hAnsi="Times New Roman"/>
        </w:rPr>
      </w:pPr>
      <w:r w:rsidRPr="00F559DC">
        <w:rPr>
          <w:rFonts w:ascii="Times New Roman" w:hAnsi="Times New Roman"/>
        </w:rPr>
        <w:tab/>
      </w:r>
      <w:r w:rsidRPr="00F559DC">
        <w:rPr>
          <w:rFonts w:ascii="Times New Roman" w:hAnsi="Times New Roman"/>
        </w:rPr>
        <w:tab/>
        <w:t xml:space="preserve">(ii) </w:t>
      </w:r>
      <w:r w:rsidRPr="00F559DC">
        <w:rPr>
          <w:rFonts w:ascii="Times New Roman" w:hAnsi="Times New Roman"/>
        </w:rPr>
        <w:tab/>
      </w:r>
      <w:r w:rsidRPr="00F559DC">
        <w:rPr>
          <w:rFonts w:ascii="Times New Roman" w:hAnsi="Times New Roman"/>
        </w:rPr>
        <w:tab/>
        <w:t>substitute for the decision the decision that, in the opinion of the Minister, the Controller should have made in the first instance; or</w:t>
      </w:r>
    </w:p>
    <w:p w14:paraId="340DAB60" w14:textId="77777777" w:rsidR="00B5218C" w:rsidRPr="00F559DC" w:rsidRDefault="00B5218C" w:rsidP="00F559DC">
      <w:pPr>
        <w:pStyle w:val="leftright"/>
        <w:spacing w:before="0" w:after="260" w:line="280" w:lineRule="exact"/>
        <w:ind w:left="2875" w:right="0" w:hanging="2155"/>
        <w:jc w:val="both"/>
        <w:rPr>
          <w:rFonts w:ascii="Times New Roman" w:hAnsi="Times New Roman"/>
        </w:rPr>
      </w:pPr>
      <w:r w:rsidRPr="00F559DC">
        <w:rPr>
          <w:rFonts w:ascii="Times New Roman" w:hAnsi="Times New Roman"/>
        </w:rPr>
        <w:tab/>
      </w:r>
      <w:r w:rsidRPr="00F559DC">
        <w:rPr>
          <w:rFonts w:ascii="Times New Roman" w:hAnsi="Times New Roman"/>
        </w:rPr>
        <w:tab/>
        <w:t xml:space="preserve">(iii) </w:t>
      </w:r>
      <w:r w:rsidRPr="00F559DC">
        <w:rPr>
          <w:rFonts w:ascii="Times New Roman" w:hAnsi="Times New Roman"/>
        </w:rPr>
        <w:tab/>
        <w:t xml:space="preserve">refer a matter back to the Controller for reconsideration of the action or decision with or without directions about new matters that the Controller shall </w:t>
      </w:r>
      <w:proofErr w:type="gramStart"/>
      <w:r w:rsidRPr="00F559DC">
        <w:rPr>
          <w:rFonts w:ascii="Times New Roman" w:hAnsi="Times New Roman"/>
        </w:rPr>
        <w:t>take into account</w:t>
      </w:r>
      <w:proofErr w:type="gramEnd"/>
      <w:r w:rsidRPr="00F559DC">
        <w:rPr>
          <w:rFonts w:ascii="Times New Roman" w:hAnsi="Times New Roman"/>
        </w:rPr>
        <w:t xml:space="preserve"> in that reconsideration; or</w:t>
      </w:r>
    </w:p>
    <w:p w14:paraId="0B745280" w14:textId="77777777" w:rsidR="00B5218C" w:rsidRPr="00F559DC" w:rsidRDefault="00B5218C" w:rsidP="00F559DC">
      <w:pPr>
        <w:pStyle w:val="leftright"/>
        <w:spacing w:before="0" w:after="260" w:line="280" w:lineRule="exact"/>
        <w:ind w:left="2138" w:right="0" w:hanging="1418"/>
        <w:jc w:val="both"/>
        <w:rPr>
          <w:rFonts w:ascii="Times New Roman" w:hAnsi="Times New Roman"/>
        </w:rPr>
      </w:pPr>
      <w:r w:rsidRPr="00F559DC">
        <w:rPr>
          <w:rFonts w:ascii="Times New Roman" w:hAnsi="Times New Roman"/>
        </w:rPr>
        <w:tab/>
        <w:t xml:space="preserve">(b) </w:t>
      </w:r>
      <w:r w:rsidRPr="00F559DC">
        <w:rPr>
          <w:rFonts w:ascii="Times New Roman" w:hAnsi="Times New Roman"/>
        </w:rPr>
        <w:tab/>
        <w:t>in any case, refer the matter to the Review Panel with the request that it advise the Minister within the time indicated on what action the Minister should take in relation to the matter.</w:t>
      </w:r>
    </w:p>
    <w:p w14:paraId="088DBD10" w14:textId="77777777" w:rsidR="00B5218C" w:rsidRDefault="00B5218C" w:rsidP="00F559DC">
      <w:pPr>
        <w:pStyle w:val="leftright"/>
        <w:spacing w:before="0" w:after="260" w:line="280" w:lineRule="exact"/>
        <w:ind w:left="1440" w:right="0" w:hanging="720"/>
        <w:jc w:val="both"/>
        <w:rPr>
          <w:rFonts w:ascii="Times New Roman" w:hAnsi="Times New Roman"/>
        </w:rPr>
      </w:pPr>
      <w:r w:rsidRPr="00F559DC">
        <w:rPr>
          <w:rFonts w:ascii="Times New Roman" w:hAnsi="Times New Roman"/>
        </w:rPr>
        <w:t xml:space="preserve">(4) </w:t>
      </w:r>
      <w:r w:rsidRPr="00F559DC">
        <w:rPr>
          <w:rFonts w:ascii="Times New Roman" w:hAnsi="Times New Roman"/>
        </w:rPr>
        <w:tab/>
        <w:t>If a matter has been referred under subsection (3)(b) to the Review Panel, the Review Panel must consider it and advise the Minister accordingly and the Minister must take such action under subsection (3)(a)(</w:t>
      </w:r>
      <w:proofErr w:type="spellStart"/>
      <w:r w:rsidRPr="00F559DC">
        <w:rPr>
          <w:rFonts w:ascii="Times New Roman" w:hAnsi="Times New Roman"/>
        </w:rPr>
        <w:t>i</w:t>
      </w:r>
      <w:proofErr w:type="spellEnd"/>
      <w:r w:rsidRPr="00F559DC">
        <w:rPr>
          <w:rFonts w:ascii="Times New Roman" w:hAnsi="Times New Roman"/>
        </w:rPr>
        <w:t>) or (ii) as the Minister thinks fit."</w:t>
      </w:r>
    </w:p>
    <w:p w14:paraId="409ACA02"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At the time the delegate Minister decided to grant the water extraction licence, 15 November 2021, s 60(4) of the </w:t>
      </w:r>
      <w:r w:rsidRPr="00F559DC">
        <w:rPr>
          <w:rFonts w:ascii="Times New Roman" w:hAnsi="Times New Roman"/>
          <w:i/>
          <w:iCs/>
        </w:rPr>
        <w:t>Water Act</w:t>
      </w:r>
      <w:r w:rsidRPr="00F559DC">
        <w:rPr>
          <w:rFonts w:ascii="Times New Roman" w:hAnsi="Times New Roman"/>
        </w:rPr>
        <w:t xml:space="preserve"> had been amended by s 118 of the </w:t>
      </w:r>
      <w:r w:rsidRPr="00F559DC">
        <w:rPr>
          <w:rFonts w:ascii="Times New Roman" w:hAnsi="Times New Roman"/>
          <w:i/>
          <w:iCs/>
        </w:rPr>
        <w:t>Statute Law Amendment (Territory Economic Reconstruction) Act 2021</w:t>
      </w:r>
      <w:r w:rsidRPr="00F559DC">
        <w:rPr>
          <w:rFonts w:ascii="Times New Roman" w:hAnsi="Times New Roman"/>
        </w:rPr>
        <w:t xml:space="preserve"> (NT). The relevant amendment had commenced on 29 September 2021. That Act did not contain any savings or transitional provision relating to an opinion the Minister formed under s 60(4) before its amendment. As amended, s 60(4) provided for the grant of a water extraction licence in these terms:</w:t>
      </w:r>
    </w:p>
    <w:p w14:paraId="0D44753D" w14:textId="77777777" w:rsidR="00B5218C" w:rsidRPr="00F559DC" w:rsidRDefault="00B5218C" w:rsidP="00F559DC">
      <w:pPr>
        <w:pStyle w:val="leftright"/>
        <w:spacing w:before="0" w:after="260" w:line="280" w:lineRule="exact"/>
        <w:ind w:right="0"/>
        <w:jc w:val="both"/>
        <w:rPr>
          <w:rFonts w:ascii="Times New Roman" w:hAnsi="Times New Roman"/>
        </w:rPr>
      </w:pPr>
      <w:r w:rsidRPr="00F559DC">
        <w:rPr>
          <w:rFonts w:ascii="Times New Roman" w:hAnsi="Times New Roman"/>
        </w:rPr>
        <w:t>"A licence may be granted under subsection (1) for a period exceeding 10</w:t>
      </w:r>
      <w:r>
        <w:rPr>
          <w:rFonts w:ascii="Times New Roman" w:hAnsi="Times New Roman"/>
        </w:rPr>
        <w:t> </w:t>
      </w:r>
      <w:r w:rsidRPr="00F559DC">
        <w:rPr>
          <w:rFonts w:ascii="Times New Roman" w:hAnsi="Times New Roman"/>
        </w:rPr>
        <w:t>years if:</w:t>
      </w:r>
    </w:p>
    <w:p w14:paraId="165255B7" w14:textId="77777777" w:rsidR="00B5218C" w:rsidRPr="00F559DC" w:rsidRDefault="00B5218C" w:rsidP="00F559DC">
      <w:pPr>
        <w:pStyle w:val="leftright"/>
        <w:spacing w:before="0" w:after="260" w:line="280" w:lineRule="exact"/>
        <w:ind w:left="1440" w:right="0" w:hanging="720"/>
        <w:jc w:val="both"/>
        <w:rPr>
          <w:rFonts w:ascii="Times New Roman" w:hAnsi="Times New Roman"/>
        </w:rPr>
      </w:pPr>
      <w:r w:rsidRPr="00F559DC">
        <w:rPr>
          <w:rFonts w:ascii="Times New Roman" w:hAnsi="Times New Roman"/>
        </w:rPr>
        <w:t xml:space="preserve">(a) </w:t>
      </w:r>
      <w:r w:rsidRPr="00F559DC">
        <w:rPr>
          <w:rFonts w:ascii="Times New Roman" w:hAnsi="Times New Roman"/>
        </w:rPr>
        <w:tab/>
        <w:t xml:space="preserve">the licence is for a purpose, or meets criteria, that the Minister, by </w:t>
      </w:r>
      <w:r w:rsidRPr="00F559DC">
        <w:rPr>
          <w:rFonts w:ascii="Times New Roman" w:hAnsi="Times New Roman"/>
          <w:i/>
          <w:iCs/>
        </w:rPr>
        <w:t>Gazette</w:t>
      </w:r>
      <w:r w:rsidRPr="00F559DC">
        <w:rPr>
          <w:rFonts w:ascii="Times New Roman" w:hAnsi="Times New Roman"/>
        </w:rPr>
        <w:t xml:space="preserve"> notice, specifies as justifying a longer period; or</w:t>
      </w:r>
    </w:p>
    <w:p w14:paraId="6FAF1BEE" w14:textId="77777777" w:rsidR="00B5218C" w:rsidRDefault="00B5218C" w:rsidP="00F559DC">
      <w:pPr>
        <w:pStyle w:val="leftright"/>
        <w:spacing w:before="0" w:after="260" w:line="280" w:lineRule="exact"/>
        <w:ind w:left="1440" w:right="0" w:hanging="720"/>
        <w:jc w:val="both"/>
        <w:rPr>
          <w:rFonts w:ascii="Times New Roman" w:hAnsi="Times New Roman"/>
        </w:rPr>
      </w:pPr>
      <w:r w:rsidRPr="00F559DC">
        <w:rPr>
          <w:rFonts w:ascii="Times New Roman" w:hAnsi="Times New Roman"/>
        </w:rPr>
        <w:lastRenderedPageBreak/>
        <w:t xml:space="preserve">(b) </w:t>
      </w:r>
      <w:r w:rsidRPr="00F559DC">
        <w:rPr>
          <w:rFonts w:ascii="Times New Roman" w:hAnsi="Times New Roman"/>
        </w:rPr>
        <w:tab/>
        <w:t>the Controller is satisfied that special circumstances justify the longer period."</w:t>
      </w:r>
    </w:p>
    <w:p w14:paraId="2BCF5A1F"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The </w:t>
      </w:r>
      <w:r w:rsidRPr="00F559DC">
        <w:rPr>
          <w:rFonts w:ascii="Times New Roman" w:hAnsi="Times New Roman"/>
          <w:i/>
          <w:iCs/>
        </w:rPr>
        <w:t>Water Act</w:t>
      </w:r>
      <w:r w:rsidRPr="00F559DC">
        <w:rPr>
          <w:rFonts w:ascii="Times New Roman" w:hAnsi="Times New Roman"/>
        </w:rPr>
        <w:t xml:space="preserve"> included a provision that applied if "a water extraction licence decision (</w:t>
      </w:r>
      <w:r w:rsidRPr="00F559DC">
        <w:rPr>
          <w:rFonts w:ascii="Times New Roman" w:hAnsi="Times New Roman"/>
          <w:b/>
          <w:bCs/>
          <w:i/>
          <w:iCs/>
        </w:rPr>
        <w:t>the original decision</w:t>
      </w:r>
      <w:r w:rsidRPr="00F559DC">
        <w:rPr>
          <w:rFonts w:ascii="Times New Roman" w:hAnsi="Times New Roman"/>
        </w:rPr>
        <w:t>) is reviewed under section 30 and", relevantly, the Minister decides to make a decision in substitution for the original decision in accordance with s 30(3)(a)(ii) (as occurred in this case). The provision, s 71E, provided, relevantly, that:</w:t>
      </w:r>
    </w:p>
    <w:p w14:paraId="4CC11706" w14:textId="77777777" w:rsidR="00B5218C" w:rsidRPr="00F559DC" w:rsidRDefault="00B5218C" w:rsidP="00F559DC">
      <w:pPr>
        <w:pStyle w:val="leftright"/>
        <w:spacing w:before="0" w:after="260" w:line="280" w:lineRule="exact"/>
        <w:ind w:left="1440" w:right="0" w:hanging="720"/>
        <w:jc w:val="both"/>
        <w:rPr>
          <w:rFonts w:ascii="Times New Roman" w:hAnsi="Times New Roman"/>
        </w:rPr>
      </w:pPr>
      <w:r w:rsidRPr="00F559DC">
        <w:rPr>
          <w:rFonts w:ascii="Times New Roman" w:hAnsi="Times New Roman"/>
        </w:rPr>
        <w:t xml:space="preserve">"(2) </w:t>
      </w:r>
      <w:r w:rsidRPr="00F559DC">
        <w:rPr>
          <w:rFonts w:ascii="Times New Roman" w:hAnsi="Times New Roman"/>
        </w:rPr>
        <w:tab/>
        <w:t>Within 10 business days after the review decision is made, the Controller must publish a notice of the decision in the same newspaper (or newspapers) in which the original decision was published.</w:t>
      </w:r>
    </w:p>
    <w:p w14:paraId="269D3120" w14:textId="77777777" w:rsidR="00B5218C" w:rsidRPr="00F559DC" w:rsidRDefault="00B5218C" w:rsidP="00F559DC">
      <w:pPr>
        <w:pStyle w:val="leftright"/>
        <w:spacing w:before="0" w:after="260" w:line="280" w:lineRule="exact"/>
        <w:ind w:left="1440" w:right="0" w:hanging="720"/>
        <w:jc w:val="both"/>
        <w:rPr>
          <w:rFonts w:ascii="Times New Roman" w:hAnsi="Times New Roman"/>
        </w:rPr>
      </w:pPr>
      <w:r w:rsidRPr="00F559DC">
        <w:rPr>
          <w:rFonts w:ascii="Times New Roman" w:hAnsi="Times New Roman"/>
        </w:rPr>
        <w:t>(3)</w:t>
      </w:r>
      <w:r w:rsidRPr="00F559DC">
        <w:rPr>
          <w:rFonts w:ascii="Times New Roman" w:hAnsi="Times New Roman"/>
        </w:rPr>
        <w:tab/>
        <w:t xml:space="preserve"> The notice must include a brief statement:</w:t>
      </w:r>
    </w:p>
    <w:p w14:paraId="77725A56" w14:textId="77777777" w:rsidR="00B5218C" w:rsidRPr="00F559DC" w:rsidRDefault="00B5218C" w:rsidP="00F559DC">
      <w:pPr>
        <w:pStyle w:val="leftright"/>
        <w:spacing w:before="0" w:after="260" w:line="280" w:lineRule="exact"/>
        <w:ind w:left="2120" w:right="0" w:hanging="680"/>
        <w:jc w:val="both"/>
        <w:rPr>
          <w:rFonts w:ascii="Times New Roman" w:hAnsi="Times New Roman"/>
        </w:rPr>
      </w:pPr>
      <w:r w:rsidRPr="00F559DC">
        <w:rPr>
          <w:rFonts w:ascii="Times New Roman" w:hAnsi="Times New Roman"/>
        </w:rPr>
        <w:t xml:space="preserve">(a) </w:t>
      </w:r>
      <w:r w:rsidRPr="00F559DC">
        <w:rPr>
          <w:rFonts w:ascii="Times New Roman" w:hAnsi="Times New Roman"/>
        </w:rPr>
        <w:tab/>
        <w:t>of the reasons for the review decision; and</w:t>
      </w:r>
    </w:p>
    <w:p w14:paraId="79007A8B" w14:textId="77777777" w:rsidR="00B5218C" w:rsidRPr="00F559DC" w:rsidRDefault="00B5218C" w:rsidP="00F559DC">
      <w:pPr>
        <w:pStyle w:val="leftright"/>
        <w:spacing w:before="0" w:after="260" w:line="280" w:lineRule="exact"/>
        <w:ind w:left="2120" w:right="0" w:hanging="680"/>
        <w:jc w:val="both"/>
        <w:rPr>
          <w:rFonts w:ascii="Times New Roman" w:hAnsi="Times New Roman"/>
        </w:rPr>
      </w:pPr>
      <w:r w:rsidRPr="00F559DC">
        <w:rPr>
          <w:rFonts w:ascii="Times New Roman" w:hAnsi="Times New Roman"/>
        </w:rPr>
        <w:t xml:space="preserve">(b) </w:t>
      </w:r>
      <w:r w:rsidRPr="00F559DC">
        <w:rPr>
          <w:rFonts w:ascii="Times New Roman" w:hAnsi="Times New Roman"/>
        </w:rPr>
        <w:tab/>
        <w:t>advising where a person may read or obtain a copy of the full review decision.</w:t>
      </w:r>
    </w:p>
    <w:p w14:paraId="226A1684" w14:textId="77777777" w:rsidR="00B5218C" w:rsidRPr="00F559DC" w:rsidRDefault="00B5218C" w:rsidP="00F559DC">
      <w:pPr>
        <w:pStyle w:val="leftright"/>
        <w:spacing w:before="0" w:after="260" w:line="280" w:lineRule="exact"/>
        <w:ind w:left="1440" w:right="0" w:hanging="720"/>
        <w:jc w:val="both"/>
        <w:rPr>
          <w:rFonts w:ascii="Times New Roman" w:hAnsi="Times New Roman"/>
        </w:rPr>
      </w:pPr>
      <w:r w:rsidRPr="00F559DC">
        <w:rPr>
          <w:rFonts w:ascii="Times New Roman" w:hAnsi="Times New Roman"/>
        </w:rPr>
        <w:t xml:space="preserve">(4) </w:t>
      </w:r>
      <w:r w:rsidRPr="00F559DC">
        <w:rPr>
          <w:rFonts w:ascii="Times New Roman" w:hAnsi="Times New Roman"/>
        </w:rPr>
        <w:tab/>
        <w:t xml:space="preserve">The review decision must include the reasons for the decision and the way in which the Minister or Controller has </w:t>
      </w:r>
      <w:proofErr w:type="gramStart"/>
      <w:r w:rsidRPr="00F559DC">
        <w:rPr>
          <w:rFonts w:ascii="Times New Roman" w:hAnsi="Times New Roman"/>
        </w:rPr>
        <w:t>taken into account</w:t>
      </w:r>
      <w:proofErr w:type="gramEnd"/>
      <w:r w:rsidRPr="00F559DC">
        <w:rPr>
          <w:rFonts w:ascii="Times New Roman" w:hAnsi="Times New Roman"/>
        </w:rPr>
        <w:t>:</w:t>
      </w:r>
    </w:p>
    <w:p w14:paraId="5AEE8EB5" w14:textId="77777777" w:rsidR="00B5218C" w:rsidRPr="00F559DC" w:rsidRDefault="00B5218C" w:rsidP="00F559DC">
      <w:pPr>
        <w:pStyle w:val="leftright"/>
        <w:spacing w:before="0" w:after="260" w:line="280" w:lineRule="exact"/>
        <w:ind w:left="2120" w:right="0" w:hanging="680"/>
        <w:jc w:val="both"/>
        <w:rPr>
          <w:rFonts w:ascii="Times New Roman" w:hAnsi="Times New Roman"/>
        </w:rPr>
      </w:pPr>
      <w:r w:rsidRPr="00F559DC">
        <w:rPr>
          <w:rFonts w:ascii="Times New Roman" w:hAnsi="Times New Roman"/>
        </w:rPr>
        <w:t xml:space="preserve">(a) </w:t>
      </w:r>
      <w:r w:rsidRPr="00F559DC">
        <w:rPr>
          <w:rFonts w:ascii="Times New Roman" w:hAnsi="Times New Roman"/>
        </w:rPr>
        <w:tab/>
        <w:t>the comments made in accordance with section 71</w:t>
      </w:r>
      <w:proofErr w:type="gramStart"/>
      <w:r w:rsidRPr="00F559DC">
        <w:rPr>
          <w:rFonts w:ascii="Times New Roman" w:hAnsi="Times New Roman"/>
        </w:rPr>
        <w:t>B(</w:t>
      </w:r>
      <w:proofErr w:type="gramEnd"/>
      <w:r w:rsidRPr="00F559DC">
        <w:rPr>
          <w:rFonts w:ascii="Times New Roman" w:hAnsi="Times New Roman"/>
        </w:rPr>
        <w:t>4); and</w:t>
      </w:r>
    </w:p>
    <w:p w14:paraId="0CE59DE8" w14:textId="77777777" w:rsidR="00B5218C" w:rsidRDefault="00B5218C" w:rsidP="00F559DC">
      <w:pPr>
        <w:pStyle w:val="leftright"/>
        <w:spacing w:before="0" w:after="260" w:line="280" w:lineRule="exact"/>
        <w:ind w:left="2120" w:right="0" w:hanging="680"/>
        <w:jc w:val="both"/>
        <w:rPr>
          <w:rFonts w:ascii="Times New Roman" w:hAnsi="Times New Roman"/>
        </w:rPr>
      </w:pPr>
      <w:r w:rsidRPr="00F559DC">
        <w:rPr>
          <w:rFonts w:ascii="Times New Roman" w:hAnsi="Times New Roman"/>
        </w:rPr>
        <w:t xml:space="preserve">(b) </w:t>
      </w:r>
      <w:r w:rsidRPr="00F559DC">
        <w:rPr>
          <w:rFonts w:ascii="Times New Roman" w:hAnsi="Times New Roman"/>
        </w:rPr>
        <w:tab/>
        <w:t>any relevant factors mentioned in section 90(1)."</w:t>
      </w:r>
    </w:p>
    <w:p w14:paraId="5FE79330" w14:textId="77777777" w:rsidR="00B5218C" w:rsidRPr="00F559DC" w:rsidRDefault="00B5218C" w:rsidP="00F559DC">
      <w:pPr>
        <w:pStyle w:val="HeadingL2"/>
        <w:spacing w:after="260" w:line="280" w:lineRule="exact"/>
        <w:ind w:right="0"/>
        <w:jc w:val="both"/>
        <w:rPr>
          <w:rFonts w:ascii="Times New Roman" w:hAnsi="Times New Roman"/>
        </w:rPr>
      </w:pPr>
      <w:r w:rsidRPr="00F559DC">
        <w:rPr>
          <w:rFonts w:ascii="Times New Roman" w:hAnsi="Times New Roman"/>
        </w:rPr>
        <w:t>Deciding ground one</w:t>
      </w:r>
    </w:p>
    <w:p w14:paraId="52068455"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It was common ground that, at the time the delegate Minister granted the water extraction licence, there was no Gazette notice as specified in s 60(4)(a) of the </w:t>
      </w:r>
      <w:r w:rsidRPr="00F559DC">
        <w:rPr>
          <w:rFonts w:ascii="Times New Roman" w:hAnsi="Times New Roman"/>
          <w:i/>
          <w:iCs/>
        </w:rPr>
        <w:t>Water Act</w:t>
      </w:r>
      <w:r w:rsidRPr="00F559DC">
        <w:rPr>
          <w:rFonts w:ascii="Times New Roman" w:hAnsi="Times New Roman"/>
        </w:rPr>
        <w:t xml:space="preserve"> as amended in respect of that licence. Accordingly, for the water extraction licence to be granted for the period of 30 years, the pre-condition in s 60(4)(b) had to be satisfied ("the Controller is satisfied that special circumstances justify the longer period"). Because the delegate Minister was exercising power on review under s 30(3)(a)(ii), to substitute for the Controller's decision "the decision that, in the opinion of the Minister, the Controller should have made in the first instance", the pre-condition in s 60(4)(b) applied to that exercise of power by the delegate Minister.</w:t>
      </w:r>
      <w:r w:rsidRPr="00F559DC">
        <w:rPr>
          <w:rStyle w:val="FootnoteReference"/>
          <w:rFonts w:ascii="Times New Roman" w:hAnsi="Times New Roman"/>
          <w:sz w:val="24"/>
        </w:rPr>
        <w:footnoteReference w:id="112"/>
      </w:r>
      <w:r w:rsidRPr="00F559DC">
        <w:rPr>
          <w:rFonts w:ascii="Times New Roman" w:hAnsi="Times New Roman"/>
        </w:rPr>
        <w:t xml:space="preserve"> </w:t>
      </w:r>
    </w:p>
    <w:p w14:paraId="5F0FA04C"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A pre-condition to an exercise of statutory power in the form that s 60(4)(b) takes, by reference to the decision-maker's "satisfaction", establishes a </w:t>
      </w:r>
      <w:r w:rsidRPr="00F559DC">
        <w:rPr>
          <w:rFonts w:ascii="Times New Roman" w:hAnsi="Times New Roman"/>
        </w:rPr>
        <w:lastRenderedPageBreak/>
        <w:t>jurisdictional fact. The consequence is that the fact, being the required state of satisfaction, must exist before the power is available to be exercised.</w:t>
      </w:r>
      <w:r w:rsidRPr="00F559DC">
        <w:rPr>
          <w:rStyle w:val="FootnoteReference"/>
          <w:rFonts w:ascii="Times New Roman" w:hAnsi="Times New Roman"/>
          <w:sz w:val="24"/>
        </w:rPr>
        <w:footnoteReference w:id="113"/>
      </w:r>
      <w:r w:rsidRPr="00F559DC">
        <w:rPr>
          <w:rFonts w:ascii="Times New Roman" w:hAnsi="Times New Roman"/>
        </w:rPr>
        <w:t xml:space="preserve"> A failure to form a required state of satisfaction, that state of satisfaction being a jurisdictional fact which conditions the availability of a statutory power, is necessarily a material error. </w:t>
      </w:r>
    </w:p>
    <w:p w14:paraId="75856144"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MAC contended that, by reason of the terms of s 71E of the </w:t>
      </w:r>
      <w:r w:rsidRPr="00F559DC">
        <w:rPr>
          <w:rFonts w:ascii="Times New Roman" w:hAnsi="Times New Roman"/>
          <w:i/>
          <w:iCs/>
        </w:rPr>
        <w:t>Water Act</w:t>
      </w:r>
      <w:r w:rsidRPr="00F559DC">
        <w:rPr>
          <w:rFonts w:ascii="Times New Roman" w:hAnsi="Times New Roman"/>
        </w:rPr>
        <w:t xml:space="preserve">, the question whether the delegate Minister had complied with s 60(4)(b) of the </w:t>
      </w:r>
      <w:r w:rsidRPr="00F559DC">
        <w:rPr>
          <w:rFonts w:ascii="Times New Roman" w:hAnsi="Times New Roman"/>
          <w:i/>
          <w:iCs/>
        </w:rPr>
        <w:t>Water Act</w:t>
      </w:r>
      <w:r w:rsidRPr="00F559DC">
        <w:rPr>
          <w:rFonts w:ascii="Times New Roman" w:hAnsi="Times New Roman"/>
        </w:rPr>
        <w:t xml:space="preserve"> was to be answered by reference only to the "full review decision" and no other material. However, s 60(4)(b) does not require any record to be made or notice to be given of the decision-maker having reached the required state of satisfaction. Nothing else in the </w:t>
      </w:r>
      <w:r w:rsidRPr="00F559DC">
        <w:rPr>
          <w:rFonts w:ascii="Times New Roman" w:hAnsi="Times New Roman"/>
          <w:i/>
          <w:iCs/>
        </w:rPr>
        <w:t>Water Act</w:t>
      </w:r>
      <w:r w:rsidRPr="00F559DC">
        <w:rPr>
          <w:rFonts w:ascii="Times New Roman" w:hAnsi="Times New Roman"/>
        </w:rPr>
        <w:t xml:space="preserve"> displaces principle (iii) referred to above, that in conventional civil litigation facts are to be found and inferences are to be drawn having regard to the whole of the relevant evidence. Section 71</w:t>
      </w:r>
      <w:proofErr w:type="gramStart"/>
      <w:r w:rsidRPr="00F559DC">
        <w:rPr>
          <w:rFonts w:ascii="Times New Roman" w:hAnsi="Times New Roman"/>
        </w:rPr>
        <w:t>E(</w:t>
      </w:r>
      <w:proofErr w:type="gramEnd"/>
      <w:r w:rsidRPr="00F559DC">
        <w:rPr>
          <w:rFonts w:ascii="Times New Roman" w:hAnsi="Times New Roman"/>
        </w:rPr>
        <w:t>3) does not displace this principle because the delegate Minister's "reasons for the review decision" do not have to include a record that s 60(4) has been satisfied. MAC's contention, that in a court deciding if the statutory pre-condition was satisfied or not, the court must consider only the delegate Minister's reasons for the decision, therefore must be rejected. As explained below, however, this does not mean that the absence of any record in the delegate Minister's reasons for decision of the delegate Minister having formed the state of satisfaction that s 60(4)(b) required is irrelevant to the question of jurisdictional fact to be decided. To the contrary, it is relevant and of importance.</w:t>
      </w:r>
    </w:p>
    <w:p w14:paraId="18F16FDB"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For the same reasons, MAC's contention that s 71E of the </w:t>
      </w:r>
      <w:r w:rsidRPr="00F559DC">
        <w:rPr>
          <w:rFonts w:ascii="Times New Roman" w:hAnsi="Times New Roman"/>
          <w:i/>
          <w:iCs/>
        </w:rPr>
        <w:t>Water Act</w:t>
      </w:r>
      <w:r w:rsidRPr="00F559DC">
        <w:rPr>
          <w:rFonts w:ascii="Times New Roman" w:hAnsi="Times New Roman"/>
        </w:rPr>
        <w:t xml:space="preserve"> means that the question whether the delegate Minister formed the state of satisfaction s 60(4)(b) required must be answered on the express terms of the Minister's reasons and without "inference, implication or interpretation" is pitched too high. It is fundamental to a court's fact-finding task that relevant statements be interpreted (including by recourse to ordinary processes of implication) and that inferences be drawn or not drawn therefrom as appropriate.</w:t>
      </w:r>
    </w:p>
    <w:p w14:paraId="015CEBAB"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The problem with MAC's contentions in this regard is that they attempt to elevate mere steps in the fact-finding task to questions of principle governing the performance of that task. The contentions must be rejected as a distraction from what was and remains a conventional task of fact-finding in accordance with the three basic principles referred to above. Once those basic principles are applied to the evidence, the inference that must be drawn is that the delegate Minister failed to form the state of satisfaction that s 60(4)(b) of the </w:t>
      </w:r>
      <w:r w:rsidRPr="00F559DC">
        <w:rPr>
          <w:rFonts w:ascii="Times New Roman" w:hAnsi="Times New Roman"/>
          <w:i/>
          <w:iCs/>
        </w:rPr>
        <w:t>Water Act</w:t>
      </w:r>
      <w:r w:rsidRPr="00F559DC">
        <w:rPr>
          <w:rFonts w:ascii="Times New Roman" w:hAnsi="Times New Roman"/>
        </w:rPr>
        <w:t xml:space="preserve"> required before granting the water extraction licence. </w:t>
      </w:r>
    </w:p>
    <w:p w14:paraId="64C9C10E"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lastRenderedPageBreak/>
        <w:tab/>
        <w:t>Contrary to the submissions for the delegate Minister, MAC's onus of proof does not require MAC to prove that the delegate Minister was not satisfied that there were special circumstances that justified the period of 30 years for the water extraction licence. MAC's onus was to prove only that the delegate Minister did not form the state of satisfaction s 60(4)(b) required.</w:t>
      </w:r>
    </w:p>
    <w:p w14:paraId="2B00304C"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The terms of the amendment to s 60(4) of the </w:t>
      </w:r>
      <w:r w:rsidRPr="00F559DC">
        <w:rPr>
          <w:rFonts w:ascii="Times New Roman" w:hAnsi="Times New Roman"/>
          <w:i/>
          <w:iCs/>
        </w:rPr>
        <w:t>Water Act</w:t>
      </w:r>
      <w:r w:rsidRPr="00F559DC">
        <w:rPr>
          <w:rFonts w:ascii="Times New Roman" w:hAnsi="Times New Roman"/>
        </w:rPr>
        <w:t xml:space="preserve"> are important. Before the amendment, the statutory pre-condition in s 60(4) was that the Minister had to form an opinion that "there are special circumstances that justify so granting the licence ... for such period exceeding 10 years as is specified in the licence document". If the Minister had formed that opinion, the Controller could grant a water extraction licence for a period longer than ten years as specified in the licence. If an aggrieved person had applied for review of such a decision of the Controller and that review application had been determined under s 60(4) of the </w:t>
      </w:r>
      <w:r w:rsidRPr="00F559DC">
        <w:rPr>
          <w:rFonts w:ascii="Times New Roman" w:hAnsi="Times New Roman"/>
          <w:i/>
          <w:iCs/>
        </w:rPr>
        <w:t>Water Act</w:t>
      </w:r>
      <w:r w:rsidRPr="00F559DC">
        <w:rPr>
          <w:rFonts w:ascii="Times New Roman" w:hAnsi="Times New Roman"/>
        </w:rPr>
        <w:t xml:space="preserve"> before its amendment, the review would have been of the "decision of the Controller" under s 30(3)(a) of the </w:t>
      </w:r>
      <w:r w:rsidRPr="00F559DC">
        <w:rPr>
          <w:rFonts w:ascii="Times New Roman" w:hAnsi="Times New Roman"/>
          <w:i/>
          <w:iCs/>
        </w:rPr>
        <w:t>Water Act</w:t>
      </w:r>
      <w:r w:rsidRPr="00F559DC">
        <w:rPr>
          <w:rFonts w:ascii="Times New Roman" w:hAnsi="Times New Roman"/>
        </w:rPr>
        <w:t xml:space="preserve">. That review would not have extended to a review of the opinion of the Minister under s 60(4). Provided that the Minister on review, in exercising the power to grant a water extraction licence in substitution for the Controller's decision under s 30(3)(a)(ii), did not grant a licence for any period longer than that the subject of the Minister's opinion, the pre-condition in s 60(4) before its amendment would have remained satisfied without any requirement for the Minister to form another opinion under s 60(4) on the review application. As amended, however, s 60(4)(b) required the Controller to form the required state of satisfaction. As that is a function of the Controller, it formed part of the "decision of the Controller" which was subject to review by the delegate Minister. As the delegate Minister granted the water extraction licence in substitution for the Controller's decision under s 30(3)(a)(ii), the delegate Minister also had to exercise the Controller's function under s 60(4)(b) of the </w:t>
      </w:r>
      <w:r w:rsidRPr="00F559DC">
        <w:rPr>
          <w:rFonts w:ascii="Times New Roman" w:hAnsi="Times New Roman"/>
          <w:i/>
          <w:iCs/>
        </w:rPr>
        <w:t>Water Act</w:t>
      </w:r>
      <w:r w:rsidRPr="00F559DC">
        <w:rPr>
          <w:rFonts w:ascii="Times New Roman" w:hAnsi="Times New Roman"/>
        </w:rPr>
        <w:t xml:space="preserve"> before doing so. </w:t>
      </w:r>
    </w:p>
    <w:p w14:paraId="41499C5D"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No part of the documentary evidence relevant to the decision-making process of the delegate Minister in respect of the review application records the different operation of s 60(4) before and after its amendment on 29 September 2021. No part of that documentary evidence records any advice to the delegate Minister in respect of the amendment to s 60(4) or its legal consequences for the delegate Minister's decision on review. No part of that documentary evidence records that the delegate Minister should form or had formed the state of satisfaction s 60(4)(b) required before granting the water extraction licence. While the Court of Appeal concluded that the "material before the [delegate] Minister was replete with references to the need to find special circumstances",</w:t>
      </w:r>
      <w:r w:rsidRPr="00F559DC">
        <w:rPr>
          <w:rStyle w:val="FootnoteReference"/>
          <w:rFonts w:ascii="Times New Roman" w:hAnsi="Times New Roman"/>
          <w:sz w:val="24"/>
        </w:rPr>
        <w:footnoteReference w:id="114"/>
      </w:r>
      <w:r w:rsidRPr="00F559DC">
        <w:rPr>
          <w:rFonts w:ascii="Times New Roman" w:hAnsi="Times New Roman"/>
        </w:rPr>
        <w:t xml:space="preserve"> that </w:t>
      </w:r>
      <w:r w:rsidRPr="00F559DC">
        <w:rPr>
          <w:rFonts w:ascii="Times New Roman" w:hAnsi="Times New Roman"/>
        </w:rPr>
        <w:lastRenderedPageBreak/>
        <w:t>characterisation of the documents evidencing the process before the delegate Minister is unsustainable.</w:t>
      </w:r>
    </w:p>
    <w:p w14:paraId="400083F0"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The Controller's decision was referred to the Water Resources Review Panel ("the Review Panel") and the Review Panel provided a report shortly after the amendment to s 60(4) of the </w:t>
      </w:r>
      <w:r w:rsidRPr="00F559DC">
        <w:rPr>
          <w:rFonts w:ascii="Times New Roman" w:hAnsi="Times New Roman"/>
          <w:i/>
          <w:iCs/>
        </w:rPr>
        <w:t xml:space="preserve">Water Act </w:t>
      </w:r>
      <w:r w:rsidRPr="00F559DC">
        <w:rPr>
          <w:rFonts w:ascii="Times New Roman" w:hAnsi="Times New Roman"/>
        </w:rPr>
        <w:t xml:space="preserve">commenced. The report did not refer to the amendment. This is reflected in the Review Panel's report which refers to the fact that the Controller had sought the opinion of the Minister under s 60(4) and the Minister had "affirmed that in her opinion there are special circumstances that justify a 30-year term licence". This is a reference to s 60(4) before its amendment, under which it was for the Minister, not the Controller as the decision-maker, to form the required state of satisfaction under s 60(4). Moreover, the Review Panel's report says that its view was that a licence of greater than ten years "is appropriate for a large-scale development such as that proposed". The Review Panel's report does not disclose that s 60(4) had been amended. It cannot be assumed that the Review Panel either was aware of any such amendment at the time it completed its report or was aware that the delegate Minister might have to consider and comply with any such amended provision. </w:t>
      </w:r>
    </w:p>
    <w:p w14:paraId="6ED25418"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The Ministerial briefing provided to the delegate Minister on 12 November 2021 contains no reference to the fact of the amendment or the terms of s 60(4) as amended. Indeed, the Ministerial briefing states that "[r]</w:t>
      </w:r>
      <w:proofErr w:type="spellStart"/>
      <w:r w:rsidRPr="00F559DC">
        <w:rPr>
          <w:rFonts w:ascii="Times New Roman" w:hAnsi="Times New Roman"/>
        </w:rPr>
        <w:t>elevant</w:t>
      </w:r>
      <w:proofErr w:type="spellEnd"/>
      <w:r w:rsidRPr="00F559DC">
        <w:rPr>
          <w:rFonts w:ascii="Times New Roman" w:hAnsi="Times New Roman"/>
        </w:rPr>
        <w:t xml:space="preserve"> extracts of the </w:t>
      </w:r>
      <w:r w:rsidRPr="00F559DC">
        <w:rPr>
          <w:rFonts w:ascii="Times New Roman" w:hAnsi="Times New Roman"/>
          <w:i/>
          <w:iCs/>
        </w:rPr>
        <w:t>Water Act </w:t>
      </w:r>
      <w:r w:rsidRPr="00F559DC">
        <w:rPr>
          <w:rFonts w:ascii="Times New Roman" w:hAnsi="Times New Roman"/>
        </w:rPr>
        <w:t>... are at Attachment B" but Attachment B does not include s 60(4) as amended or in its unamended form. The recommendation to the delegate Minister in the Ministerial briefing does not refer to s 60(4) as amended or in its unamended form. In respect of option two contained in the briefing, which was to substitute for the Controller's decision a decision to grant a water extraction licence but with additional conditions to those the Controller imposed, the Ministerial briefing does not disclose that the delegate Minister had to first form the state of satisfaction required under s 60(4)(b).</w:t>
      </w:r>
    </w:p>
    <w:p w14:paraId="15F1089E"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The delegate Minister's decision is recorded without reference to the delegate Minister having first formed the state of satisfaction required under s 60(4)(b). Rather, the delegate Minister's decision states only that, in accordance with s 30(3)(a)(ii), the delegate Minister had "determined on the review to substitute the decision made by the Controller but would grant the licence on the same basis as the Controller save" for the imposition of additional conditions and minor amendments to the existing conditions.</w:t>
      </w:r>
    </w:p>
    <w:p w14:paraId="5AE45E74"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The delegate Minister's reasons for the grant of the water extraction licence do not refer to s 60(4) of the </w:t>
      </w:r>
      <w:r w:rsidRPr="00F559DC">
        <w:rPr>
          <w:rFonts w:ascii="Times New Roman" w:hAnsi="Times New Roman"/>
          <w:i/>
          <w:iCs/>
        </w:rPr>
        <w:t>Water Act</w:t>
      </w:r>
      <w:r w:rsidRPr="00F559DC">
        <w:rPr>
          <w:rFonts w:ascii="Times New Roman" w:hAnsi="Times New Roman"/>
        </w:rPr>
        <w:t xml:space="preserve"> as amended. Rather, the delegate Minister's reasons record that, for the purposes of the determining the review application, the delegate Minister had "reviewed and considered", amongst other things, "the relevant legislative provisions and the applicable criteria". There is no justification for inferring that those relevant legislative provisions and applicable criteria are other than those identified in the Ministerial briefing (which included the Review </w:t>
      </w:r>
      <w:r w:rsidRPr="00F559DC">
        <w:rPr>
          <w:rFonts w:ascii="Times New Roman" w:hAnsi="Times New Roman"/>
        </w:rPr>
        <w:lastRenderedPageBreak/>
        <w:t>Panel's report</w:t>
      </w:r>
      <w:r>
        <w:rPr>
          <w:rFonts w:ascii="Times New Roman" w:hAnsi="Times New Roman"/>
        </w:rPr>
        <w:t>)</w:t>
      </w:r>
      <w:r w:rsidRPr="00F559DC">
        <w:rPr>
          <w:rFonts w:ascii="Times New Roman" w:hAnsi="Times New Roman"/>
        </w:rPr>
        <w:t xml:space="preserve">. Indeed, the delegate Minister's reasons expressly state that the delegate Minister had "not considered any other information as part of the review". While the delegate Minister's reasons record that, before the Controller's decision, the Minister had formed the then-required opinion under s 60(4) of the </w:t>
      </w:r>
      <w:r w:rsidRPr="00F559DC">
        <w:rPr>
          <w:rFonts w:ascii="Times New Roman" w:hAnsi="Times New Roman"/>
          <w:i/>
          <w:iCs/>
        </w:rPr>
        <w:t>Water Act</w:t>
      </w:r>
      <w:r w:rsidRPr="00F559DC">
        <w:rPr>
          <w:rFonts w:ascii="Times New Roman" w:hAnsi="Times New Roman"/>
        </w:rPr>
        <w:t xml:space="preserve">, the reasons do not refer to the amendment to s 60(4), the need for the delegate Minister to form the required state of satisfaction under s 60(4)(b) as amended, or the delegate Minister </w:t>
      </w:r>
      <w:r>
        <w:rPr>
          <w:rFonts w:ascii="Times New Roman" w:hAnsi="Times New Roman"/>
        </w:rPr>
        <w:t>having</w:t>
      </w:r>
      <w:r w:rsidRPr="00F559DC">
        <w:rPr>
          <w:rFonts w:ascii="Times New Roman" w:hAnsi="Times New Roman"/>
        </w:rPr>
        <w:t xml:space="preserve"> done so. The only reference to "special circumstances" in the delegate Minister's reasons is in the context of the Minister (meaning the Minister for Environment) having formed the opinion under s 60(4) of the </w:t>
      </w:r>
      <w:r w:rsidRPr="00F559DC">
        <w:rPr>
          <w:rFonts w:ascii="Times New Roman" w:hAnsi="Times New Roman"/>
          <w:i/>
          <w:iCs/>
        </w:rPr>
        <w:t>Water Act</w:t>
      </w:r>
      <w:r w:rsidRPr="00F559DC">
        <w:rPr>
          <w:rFonts w:ascii="Times New Roman" w:hAnsi="Times New Roman"/>
        </w:rPr>
        <w:t xml:space="preserve"> before the Controller's decision was made and of a concern expressed by the parties who had sought review that the Minister for Environment ought not to conduct the review of the Controller's decision by reason of apprehended bias.</w:t>
      </w:r>
    </w:p>
    <w:p w14:paraId="060865CE"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Contrary to the Court of Appeal's conclusion, the documentary evidence in fact contains no reference to the "need" for the delegate Minister to form the required state of satisfaction under s 60(4) as amended. Rather, the documentary evidence records only one matter, being the large scale of the project, which might have enabled the delegate Minister to form a state of satisfaction that the grant of the water extraction licence for a period of 30 years was justified, as required by s 60(4)(b) as amended. </w:t>
      </w:r>
    </w:p>
    <w:p w14:paraId="0B364543"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Given that s 60(4) establishes a jurisdictional pre-condition to the availability of the power to grant a water extraction licence for a period longer than ten years, it would be expected that the terms and operation of s 60(4) of the </w:t>
      </w:r>
      <w:r w:rsidRPr="00F559DC">
        <w:rPr>
          <w:rFonts w:ascii="Times New Roman" w:hAnsi="Times New Roman"/>
          <w:i/>
          <w:iCs/>
        </w:rPr>
        <w:t>Water Act</w:t>
      </w:r>
      <w:r w:rsidRPr="00F559DC">
        <w:rPr>
          <w:rFonts w:ascii="Times New Roman" w:hAnsi="Times New Roman"/>
        </w:rPr>
        <w:t xml:space="preserve"> as amended would have been: (</w:t>
      </w:r>
      <w:proofErr w:type="spellStart"/>
      <w:r w:rsidRPr="00F559DC">
        <w:rPr>
          <w:rFonts w:ascii="Times New Roman" w:hAnsi="Times New Roman"/>
        </w:rPr>
        <w:t>i</w:t>
      </w:r>
      <w:proofErr w:type="spellEnd"/>
      <w:r w:rsidRPr="00F559DC">
        <w:rPr>
          <w:rFonts w:ascii="Times New Roman" w:hAnsi="Times New Roman"/>
        </w:rPr>
        <w:t xml:space="preserve">) specifically drawn to the delegate Minister's attention in the Ministerial briefing; (ii) the subject of a specific recommendation in the Ministerial briefing as to whether the delegate Minister could and should be satisfied or not that special circumstances existed justifying the grant of the water extraction licence for the period of 30 years and, if so, what those special circumstances were; and (iii) the subject of specific record of the delegate Minister's satisfaction or not in at least the delegate Minister's reasons for the decision, if not in the licence itself in terms which related directly to the requirements of the provision. Yet those matters do not appear in any document concerning the functions of the delegate Minister on review of the Controller's decision. Moreover, when s 60(4) is referred to in those documents, the context is the provision before its amendment and the opinion reached by the Minister for Environment before the making of the Controller's decision. </w:t>
      </w:r>
    </w:p>
    <w:p w14:paraId="3C0BE25F"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These circumstances amply discharge MAC's onus of proving that the delegate Minister did not form the required state of satisfaction under s 60(4)(b) of the </w:t>
      </w:r>
      <w:r w:rsidRPr="00F559DC">
        <w:rPr>
          <w:rFonts w:ascii="Times New Roman" w:hAnsi="Times New Roman"/>
          <w:i/>
          <w:iCs/>
        </w:rPr>
        <w:t>Water Act</w:t>
      </w:r>
      <w:r w:rsidRPr="00F559DC">
        <w:rPr>
          <w:rFonts w:ascii="Times New Roman" w:hAnsi="Times New Roman"/>
        </w:rPr>
        <w:t xml:space="preserve"> as amended. The consequence is that a jurisdictional fact which conditioned the exercise of the power to substitute a decision granting a water extraction licence for the Controller's decision, the delegate Minister having formed the required state of satisfaction under s 60(4)(b) of the </w:t>
      </w:r>
      <w:r w:rsidRPr="00F559DC">
        <w:rPr>
          <w:rFonts w:ascii="Times New Roman" w:hAnsi="Times New Roman"/>
          <w:i/>
          <w:iCs/>
        </w:rPr>
        <w:t>Water Act</w:t>
      </w:r>
      <w:r w:rsidRPr="00F559DC">
        <w:rPr>
          <w:rFonts w:ascii="Times New Roman" w:hAnsi="Times New Roman"/>
        </w:rPr>
        <w:t xml:space="preserve"> as </w:t>
      </w:r>
      <w:r w:rsidRPr="00F559DC">
        <w:rPr>
          <w:rFonts w:ascii="Times New Roman" w:hAnsi="Times New Roman"/>
        </w:rPr>
        <w:lastRenderedPageBreak/>
        <w:t xml:space="preserve">amended, did not exist. That means the delegate Minister's decision to grant the water extraction licence is void, as is the water extraction licence itself. </w:t>
      </w:r>
    </w:p>
    <w:p w14:paraId="2EF837D8" w14:textId="77777777" w:rsidR="00B5218C" w:rsidRPr="00F559DC" w:rsidRDefault="00B5218C" w:rsidP="00F559DC">
      <w:pPr>
        <w:pStyle w:val="HeadingL1"/>
        <w:spacing w:after="260" w:line="280" w:lineRule="exact"/>
        <w:ind w:right="0"/>
        <w:jc w:val="both"/>
        <w:rPr>
          <w:rFonts w:ascii="Times New Roman" w:hAnsi="Times New Roman"/>
        </w:rPr>
      </w:pPr>
      <w:r w:rsidRPr="00F559DC">
        <w:rPr>
          <w:rFonts w:ascii="Times New Roman" w:hAnsi="Times New Roman"/>
        </w:rPr>
        <w:t>Ground two</w:t>
      </w:r>
    </w:p>
    <w:p w14:paraId="03833170" w14:textId="77777777" w:rsidR="00B5218C" w:rsidRPr="00F559DC" w:rsidRDefault="00B5218C" w:rsidP="00F559DC">
      <w:pPr>
        <w:pStyle w:val="HeadingL2"/>
        <w:spacing w:after="260" w:line="280" w:lineRule="exact"/>
        <w:ind w:right="0"/>
        <w:jc w:val="both"/>
        <w:rPr>
          <w:rFonts w:ascii="Times New Roman" w:hAnsi="Times New Roman"/>
        </w:rPr>
      </w:pPr>
      <w:r w:rsidRPr="00F559DC">
        <w:rPr>
          <w:rFonts w:ascii="Times New Roman" w:hAnsi="Times New Roman"/>
        </w:rPr>
        <w:t>The terms of ground two</w:t>
      </w:r>
    </w:p>
    <w:p w14:paraId="5B0C529A"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Ground two is that:</w:t>
      </w:r>
      <w:r w:rsidRPr="00F559DC">
        <w:rPr>
          <w:rStyle w:val="FootnoteReference"/>
          <w:rFonts w:ascii="Times New Roman" w:hAnsi="Times New Roman"/>
          <w:sz w:val="24"/>
        </w:rPr>
        <w:footnoteReference w:id="115"/>
      </w:r>
    </w:p>
    <w:p w14:paraId="02C9D1A3" w14:textId="77777777" w:rsidR="00B5218C" w:rsidRDefault="00B5218C" w:rsidP="00F559DC">
      <w:pPr>
        <w:pStyle w:val="leftright"/>
        <w:spacing w:before="0" w:after="260" w:line="280" w:lineRule="exact"/>
        <w:ind w:right="0"/>
        <w:jc w:val="both"/>
        <w:rPr>
          <w:rFonts w:ascii="Times New Roman" w:hAnsi="Times New Roman"/>
        </w:rPr>
      </w:pPr>
      <w:r w:rsidRPr="00F559DC">
        <w:rPr>
          <w:rFonts w:ascii="Times New Roman" w:hAnsi="Times New Roman"/>
        </w:rPr>
        <w:t xml:space="preserve">"The [Court of Appeal] erred in holding [that the delegate Minister] took Aboriginal cultural values into account by imposing a condition on the licence, even though she did not form a view about the only information before her on those values and even though the statutory scheme required those values to be taken into account </w:t>
      </w:r>
      <w:r w:rsidRPr="00F559DC">
        <w:rPr>
          <w:rFonts w:ascii="Times New Roman" w:hAnsi="Times New Roman"/>
          <w:i/>
          <w:iCs/>
        </w:rPr>
        <w:t>before</w:t>
      </w:r>
      <w:r w:rsidRPr="00F559DC">
        <w:rPr>
          <w:rFonts w:ascii="Times New Roman" w:hAnsi="Times New Roman"/>
        </w:rPr>
        <w:t xml:space="preserve"> the licence was </w:t>
      </w:r>
      <w:proofErr w:type="gramStart"/>
      <w:r w:rsidRPr="00F559DC">
        <w:rPr>
          <w:rFonts w:ascii="Times New Roman" w:hAnsi="Times New Roman"/>
        </w:rPr>
        <w:t>granted, and</w:t>
      </w:r>
      <w:proofErr w:type="gramEnd"/>
      <w:r w:rsidRPr="00F559DC">
        <w:rPr>
          <w:rFonts w:ascii="Times New Roman" w:hAnsi="Times New Roman"/>
        </w:rPr>
        <w:t xml:space="preserve"> did not permit their consideration to be deferred to a licence condition."</w:t>
      </w:r>
    </w:p>
    <w:p w14:paraId="137C1F14" w14:textId="77777777" w:rsidR="00B5218C" w:rsidRPr="00F559DC" w:rsidRDefault="00B5218C" w:rsidP="00F559DC">
      <w:pPr>
        <w:pStyle w:val="HeadingL2"/>
        <w:spacing w:after="260" w:line="280" w:lineRule="exact"/>
        <w:ind w:right="0"/>
        <w:jc w:val="both"/>
        <w:rPr>
          <w:rFonts w:ascii="Times New Roman" w:hAnsi="Times New Roman"/>
        </w:rPr>
      </w:pPr>
      <w:r w:rsidRPr="00F559DC">
        <w:rPr>
          <w:rFonts w:ascii="Times New Roman" w:hAnsi="Times New Roman"/>
        </w:rPr>
        <w:t>Relevant statutory provisions</w:t>
      </w:r>
    </w:p>
    <w:p w14:paraId="1BC0F2F9"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Section 22B of the </w:t>
      </w:r>
      <w:r w:rsidRPr="00F559DC">
        <w:rPr>
          <w:rFonts w:ascii="Times New Roman" w:hAnsi="Times New Roman"/>
          <w:i/>
          <w:iCs/>
        </w:rPr>
        <w:t>Water Act</w:t>
      </w:r>
      <w:r w:rsidRPr="00F559DC">
        <w:rPr>
          <w:rFonts w:ascii="Times New Roman" w:hAnsi="Times New Roman"/>
        </w:rPr>
        <w:t xml:space="preserve"> included the following:</w:t>
      </w:r>
    </w:p>
    <w:p w14:paraId="5436077B" w14:textId="77777777" w:rsidR="00B5218C" w:rsidRPr="00F559DC" w:rsidRDefault="00B5218C" w:rsidP="00F559DC">
      <w:pPr>
        <w:pStyle w:val="LeftrightHanging"/>
        <w:spacing w:before="0" w:after="260" w:line="280" w:lineRule="exact"/>
        <w:ind w:right="0"/>
        <w:jc w:val="both"/>
        <w:rPr>
          <w:rFonts w:ascii="Times New Roman" w:hAnsi="Times New Roman"/>
        </w:rPr>
      </w:pPr>
      <w:r w:rsidRPr="00F559DC">
        <w:rPr>
          <w:rFonts w:ascii="Times New Roman" w:hAnsi="Times New Roman"/>
        </w:rPr>
        <w:t xml:space="preserve">"(1) </w:t>
      </w:r>
      <w:r w:rsidRPr="00F559DC">
        <w:rPr>
          <w:rFonts w:ascii="Times New Roman" w:hAnsi="Times New Roman"/>
        </w:rPr>
        <w:tab/>
        <w:t xml:space="preserve">The Minister may, by notice in the </w:t>
      </w:r>
      <w:r w:rsidRPr="00F559DC">
        <w:rPr>
          <w:rFonts w:ascii="Times New Roman" w:hAnsi="Times New Roman"/>
          <w:i/>
        </w:rPr>
        <w:t>Gazette</w:t>
      </w:r>
      <w:r w:rsidRPr="00F559DC">
        <w:rPr>
          <w:rFonts w:ascii="Times New Roman" w:hAnsi="Times New Roman"/>
        </w:rPr>
        <w:t>, declare a water allocation plan in respect of a water control district.</w:t>
      </w:r>
    </w:p>
    <w:p w14:paraId="37C9EF66" w14:textId="77777777" w:rsidR="00B5218C" w:rsidRPr="00F559DC" w:rsidRDefault="00B5218C" w:rsidP="00F559DC">
      <w:pPr>
        <w:pStyle w:val="leftright"/>
        <w:spacing w:before="0" w:after="260" w:line="280" w:lineRule="exact"/>
        <w:ind w:right="0"/>
        <w:jc w:val="both"/>
        <w:rPr>
          <w:rFonts w:ascii="Times New Roman" w:hAnsi="Times New Roman"/>
        </w:rPr>
      </w:pPr>
      <w:r w:rsidRPr="00F559DC">
        <w:rPr>
          <w:rFonts w:ascii="Times New Roman" w:hAnsi="Times New Roman"/>
        </w:rPr>
        <w:t>...</w:t>
      </w:r>
    </w:p>
    <w:p w14:paraId="58F1DD3E" w14:textId="77777777" w:rsidR="00B5218C" w:rsidRDefault="00B5218C" w:rsidP="00F559DC">
      <w:pPr>
        <w:pStyle w:val="LeftrightHanging"/>
        <w:spacing w:before="0" w:after="260" w:line="280" w:lineRule="exact"/>
        <w:ind w:right="0"/>
        <w:jc w:val="both"/>
        <w:rPr>
          <w:rFonts w:ascii="Times New Roman" w:hAnsi="Times New Roman"/>
        </w:rPr>
      </w:pPr>
      <w:r w:rsidRPr="00F559DC">
        <w:rPr>
          <w:rFonts w:ascii="Times New Roman" w:hAnsi="Times New Roman"/>
        </w:rPr>
        <w:t xml:space="preserve">(4) </w:t>
      </w:r>
      <w:r w:rsidRPr="00F559DC">
        <w:rPr>
          <w:rFonts w:ascii="Times New Roman" w:hAnsi="Times New Roman"/>
        </w:rPr>
        <w:tab/>
        <w:t>Water resource management in a water control district is to be in accordance with the water allocation plan declared in respect of the district."</w:t>
      </w:r>
    </w:p>
    <w:p w14:paraId="51C16E69"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Section 90 of the </w:t>
      </w:r>
      <w:r w:rsidRPr="00F559DC">
        <w:rPr>
          <w:rFonts w:ascii="Times New Roman" w:hAnsi="Times New Roman"/>
          <w:i/>
          <w:iCs/>
        </w:rPr>
        <w:t>Water Act</w:t>
      </w:r>
      <w:r w:rsidRPr="00F559DC">
        <w:rPr>
          <w:rFonts w:ascii="Times New Roman" w:hAnsi="Times New Roman"/>
        </w:rPr>
        <w:t xml:space="preserve"> provided in part that:</w:t>
      </w:r>
    </w:p>
    <w:p w14:paraId="04B598A6" w14:textId="77777777" w:rsidR="00B5218C" w:rsidRPr="00F559DC" w:rsidRDefault="00B5218C" w:rsidP="00F559DC">
      <w:pPr>
        <w:pStyle w:val="LeftrightHanging"/>
        <w:spacing w:before="0" w:after="260" w:line="280" w:lineRule="exact"/>
        <w:ind w:right="0"/>
        <w:jc w:val="both"/>
        <w:rPr>
          <w:rFonts w:ascii="Times New Roman" w:hAnsi="Times New Roman"/>
        </w:rPr>
      </w:pPr>
      <w:r w:rsidRPr="00F559DC">
        <w:rPr>
          <w:rFonts w:ascii="Times New Roman" w:hAnsi="Times New Roman"/>
        </w:rPr>
        <w:t xml:space="preserve">"(1) </w:t>
      </w:r>
      <w:r w:rsidRPr="00F559DC">
        <w:rPr>
          <w:rFonts w:ascii="Times New Roman" w:hAnsi="Times New Roman"/>
        </w:rPr>
        <w:tab/>
        <w:t>In ... making a water extraction licence decision, the Controller must take into account any of the following factors that are relevant to the decision:</w:t>
      </w:r>
    </w:p>
    <w:p w14:paraId="45ADDE5D" w14:textId="77777777" w:rsidR="00B5218C" w:rsidRPr="00F559DC" w:rsidRDefault="00B5218C" w:rsidP="00F559DC">
      <w:pPr>
        <w:pStyle w:val="leftright"/>
        <w:spacing w:before="0" w:after="260" w:line="280" w:lineRule="exact"/>
        <w:ind w:left="1440" w:right="0"/>
        <w:jc w:val="both"/>
        <w:rPr>
          <w:rFonts w:ascii="Times New Roman" w:hAnsi="Times New Roman"/>
        </w:rPr>
      </w:pPr>
      <w:r w:rsidRPr="00F559DC">
        <w:rPr>
          <w:rFonts w:ascii="Times New Roman" w:hAnsi="Times New Roman"/>
        </w:rPr>
        <w:t>...</w:t>
      </w:r>
    </w:p>
    <w:p w14:paraId="3A386942" w14:textId="77777777" w:rsidR="00B5218C" w:rsidRPr="00F559DC" w:rsidRDefault="00B5218C" w:rsidP="00F559DC">
      <w:pPr>
        <w:pStyle w:val="LeftrightHanging"/>
        <w:spacing w:before="0" w:after="260" w:line="280" w:lineRule="exact"/>
        <w:ind w:left="2160" w:right="0"/>
        <w:jc w:val="both"/>
        <w:rPr>
          <w:rFonts w:ascii="Times New Roman" w:hAnsi="Times New Roman"/>
        </w:rPr>
      </w:pPr>
      <w:r w:rsidRPr="00F559DC">
        <w:rPr>
          <w:rFonts w:ascii="Times New Roman" w:hAnsi="Times New Roman"/>
        </w:rPr>
        <w:t xml:space="preserve">(ab) </w:t>
      </w:r>
      <w:r w:rsidRPr="00F559DC">
        <w:rPr>
          <w:rFonts w:ascii="Times New Roman" w:hAnsi="Times New Roman"/>
        </w:rPr>
        <w:tab/>
        <w:t>any water allocation plan applying to the area in question;</w:t>
      </w:r>
    </w:p>
    <w:p w14:paraId="212AC9CB" w14:textId="77777777" w:rsidR="00B5218C" w:rsidRPr="00F559DC" w:rsidRDefault="00B5218C" w:rsidP="00F559DC">
      <w:pPr>
        <w:pStyle w:val="leftright"/>
        <w:spacing w:before="0" w:after="260" w:line="280" w:lineRule="exact"/>
        <w:ind w:left="1440" w:right="0"/>
        <w:jc w:val="both"/>
        <w:rPr>
          <w:rFonts w:ascii="Times New Roman" w:hAnsi="Times New Roman"/>
        </w:rPr>
      </w:pPr>
      <w:r w:rsidRPr="00F559DC">
        <w:rPr>
          <w:rFonts w:ascii="Times New Roman" w:hAnsi="Times New Roman"/>
        </w:rPr>
        <w:t>...</w:t>
      </w:r>
    </w:p>
    <w:p w14:paraId="018C28CC" w14:textId="77777777" w:rsidR="00B5218C" w:rsidRDefault="00B5218C" w:rsidP="00F559DC">
      <w:pPr>
        <w:pStyle w:val="LeftrightHanging"/>
        <w:spacing w:before="0" w:after="260" w:line="280" w:lineRule="exact"/>
        <w:ind w:left="2160" w:right="0"/>
        <w:jc w:val="both"/>
        <w:rPr>
          <w:rFonts w:ascii="Times New Roman" w:hAnsi="Times New Roman"/>
        </w:rPr>
      </w:pPr>
      <w:r w:rsidRPr="00F559DC">
        <w:rPr>
          <w:rFonts w:ascii="Times New Roman" w:hAnsi="Times New Roman"/>
        </w:rPr>
        <w:lastRenderedPageBreak/>
        <w:t xml:space="preserve">(k) </w:t>
      </w:r>
      <w:r w:rsidRPr="00F559DC">
        <w:rPr>
          <w:rFonts w:ascii="Times New Roman" w:hAnsi="Times New Roman"/>
        </w:rPr>
        <w:tab/>
        <w:t>other factors the Controller considers should be taken into account or that the Controller is required to take into account under any other law in force in the Territory."</w:t>
      </w:r>
    </w:p>
    <w:p w14:paraId="7905C87D"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Section 71</w:t>
      </w:r>
      <w:proofErr w:type="gramStart"/>
      <w:r w:rsidRPr="00F559DC">
        <w:rPr>
          <w:rFonts w:ascii="Times New Roman" w:hAnsi="Times New Roman"/>
        </w:rPr>
        <w:t>A(</w:t>
      </w:r>
      <w:proofErr w:type="gramEnd"/>
      <w:r w:rsidRPr="00F559DC">
        <w:rPr>
          <w:rFonts w:ascii="Times New Roman" w:hAnsi="Times New Roman"/>
        </w:rPr>
        <w:t xml:space="preserve">1) of the </w:t>
      </w:r>
      <w:r w:rsidRPr="00F559DC">
        <w:rPr>
          <w:rFonts w:ascii="Times New Roman" w:hAnsi="Times New Roman"/>
          <w:i/>
          <w:iCs/>
        </w:rPr>
        <w:t>Water Act</w:t>
      </w:r>
      <w:r w:rsidRPr="00F559DC">
        <w:rPr>
          <w:rFonts w:ascii="Times New Roman" w:hAnsi="Times New Roman"/>
        </w:rPr>
        <w:t xml:space="preserve"> defined a "water extraction licence decision" as a decision about an application to which Pt 6A of the </w:t>
      </w:r>
      <w:r w:rsidRPr="00F559DC">
        <w:rPr>
          <w:rFonts w:ascii="Times New Roman" w:hAnsi="Times New Roman"/>
          <w:i/>
          <w:iCs/>
        </w:rPr>
        <w:t>Water Act</w:t>
      </w:r>
      <w:r w:rsidRPr="00F559DC">
        <w:rPr>
          <w:rFonts w:ascii="Times New Roman" w:hAnsi="Times New Roman"/>
        </w:rPr>
        <w:t xml:space="preserve"> applied. By s 71A(2)(a), Pt 6A applied to the application for "the grant of a water extraction licence". As noted above, s 60(1) of the </w:t>
      </w:r>
      <w:r w:rsidRPr="00F559DC">
        <w:rPr>
          <w:rFonts w:ascii="Times New Roman" w:hAnsi="Times New Roman"/>
          <w:i/>
          <w:iCs/>
        </w:rPr>
        <w:t>Water Act</w:t>
      </w:r>
      <w:r w:rsidRPr="00F559DC">
        <w:rPr>
          <w:rFonts w:ascii="Times New Roman" w:hAnsi="Times New Roman"/>
        </w:rPr>
        <w:t xml:space="preserve"> enabled the Controller (and therefore the delegate Minister on review under s 30(3)(a)(ii)) to grant a water extraction licence, s 60(2) providing that the licence may be granted "subject to such terms and conditions, if any, as are specified in the licence document".</w:t>
      </w:r>
    </w:p>
    <w:p w14:paraId="6DE94DF5" w14:textId="77777777" w:rsidR="00B5218C" w:rsidRPr="00F559DC" w:rsidRDefault="00B5218C" w:rsidP="00F559DC">
      <w:pPr>
        <w:pStyle w:val="HeadingL2"/>
        <w:spacing w:after="260" w:line="280" w:lineRule="exact"/>
        <w:ind w:right="0"/>
        <w:jc w:val="both"/>
        <w:rPr>
          <w:rFonts w:ascii="Times New Roman" w:hAnsi="Times New Roman"/>
        </w:rPr>
      </w:pPr>
      <w:r w:rsidRPr="00F559DC">
        <w:rPr>
          <w:rFonts w:ascii="Times New Roman" w:hAnsi="Times New Roman"/>
        </w:rPr>
        <w:t>Relevant evidence</w:t>
      </w:r>
    </w:p>
    <w:p w14:paraId="2A60A09F"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The Western Davenport Water Allocation Plan 2018-2021 ("the WDWAP") was declared to be a water allocation plan in respect of the Western Davenport Water Control District, in which Singleton Station is located, on 22 December 2018 and remained in force until 6 December 2021. The objectives of the WDWAP were stated to include "[p]</w:t>
      </w:r>
      <w:proofErr w:type="spellStart"/>
      <w:r w:rsidRPr="00F559DC">
        <w:rPr>
          <w:rFonts w:ascii="Times New Roman" w:hAnsi="Times New Roman"/>
        </w:rPr>
        <w:t>rotect</w:t>
      </w:r>
      <w:proofErr w:type="spellEnd"/>
      <w:r w:rsidRPr="00F559DC">
        <w:rPr>
          <w:rFonts w:ascii="Times New Roman" w:hAnsi="Times New Roman"/>
        </w:rPr>
        <w:t xml:space="preserve"> Aboriginal cultural values associated with water and provide access to water resources to support local Aboriginal economic development". In respect of "groundwater dependent ecosystems" ("GDEs"), the WDWAP referred to a "strategy to protect GDEs [which] also includes a program to improve the information base upon which GDEs are managed. This includes field assessment and mapping of GDEs, research into GDE groundwater access requirements and a program of monitoring GDE condition and groundwater levels at GDE sites." The WDWAP said that it "seeks to protect cultural values by building the understanding of the location and water access requirements of cultural values depending on water". The WDWAP also recommended the involvement of "Traditional Owners to advise on cultural values and their groundwater requirements via formation of a Traditional Owner advisory committee (or a different approach to achieve the same effect) and working with the Rangers in assessing, monitoring and preserving cultural values".</w:t>
      </w:r>
    </w:p>
    <w:p w14:paraId="57FECDE6"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The WDWAP stated that it "adopts an adaptive management framework. This includes establishing trigger values for groundwater levels and condition of GDEs and cultural values at which various management responses should be enacted. It is noted that the [WDWAP] is based on limited information. Further research, particularly </w:t>
      </w:r>
      <w:proofErr w:type="gramStart"/>
      <w:r w:rsidRPr="00F559DC">
        <w:rPr>
          <w:rFonts w:ascii="Times New Roman" w:hAnsi="Times New Roman"/>
        </w:rPr>
        <w:t>in regard to</w:t>
      </w:r>
      <w:proofErr w:type="gramEnd"/>
      <w:r w:rsidRPr="00F559DC">
        <w:rPr>
          <w:rFonts w:ascii="Times New Roman" w:hAnsi="Times New Roman"/>
        </w:rPr>
        <w:t xml:space="preserve"> accessibility of groundwater stored in the regolith [the unconsolidated surface layer above solid rock] and the location and individual requirements of GDEs is recommended to occur within the term of the [WDWAP]. Due to these data limitations, there is a significant risk that the consumptive pool could be reduced in future [water allocation plans]." Under the heading "Cultural water use" the WDWAP recorded that further work was required for "cultural use protection such as soaks, ceremonial areas and hunting grounds" both relating to GDEs and otherwise. The WDWAP recommended the </w:t>
      </w:r>
      <w:r w:rsidRPr="00F559DC">
        <w:rPr>
          <w:rFonts w:ascii="Times New Roman" w:hAnsi="Times New Roman"/>
        </w:rPr>
        <w:lastRenderedPageBreak/>
        <w:t>implementation of "a program of identification, assessment, documentation, condition monitoring and (to a practical extent) maintenance of the cultural values which could depend upon water", as well as groundwater modelling to "determine if proposed groundwater extraction will unacceptably impact on groundwater dependent Aboriginal cultural values", which would require the "participation of local Aboriginal people in water management and planning". An implementation program included, as an entry under a heading "Objective 2. Protect Aboriginal cultural values associated with water and provide access to water resources to support economic development", a "[c]</w:t>
      </w:r>
      <w:proofErr w:type="spellStart"/>
      <w:r w:rsidRPr="00F559DC">
        <w:rPr>
          <w:rFonts w:ascii="Times New Roman" w:hAnsi="Times New Roman"/>
        </w:rPr>
        <w:t>ultural</w:t>
      </w:r>
      <w:proofErr w:type="spellEnd"/>
      <w:r w:rsidRPr="00F559DC">
        <w:rPr>
          <w:rFonts w:ascii="Times New Roman" w:hAnsi="Times New Roman"/>
        </w:rPr>
        <w:t xml:space="preserve"> values protection program" to be "done [by the Department of Environment and Natural Resources] in partnership with the Traditional Owners and assisted by [the] CLC".</w:t>
      </w:r>
    </w:p>
    <w:p w14:paraId="652DDE19"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The CLC on behalf of MAC and others made submissions in respect of the application for review of the Controller's decision. The Review Panel's report recorded those submissions as including that there needed to be a comprehensive map and assessment of cultural and biodiversity values of GDEs before consideration of the grant of a water extraction licence. In support of this submission the CLC obtained an anthropologist's report. The Review Panel report noted that the WDWAP was based on "limited information" and therefore promoted a "program of further research and investigation in order to improve confidence and reduce risk" including an "adaptive management framework" by which "trigger values" were to be identified as prompting "management responses". The Review Panel noted the implementation activities set out in the WDWAP, including those to protect Aboriginal cultural values, observing that it was not clear "which if any of those activities identified have been progressed". The Review Panel said in its report that it was not "able to form a view on the significance of the information presented in [the anthropological] report but is </w:t>
      </w:r>
      <w:r w:rsidRPr="00F559DC">
        <w:rPr>
          <w:rFonts w:ascii="Times New Roman" w:hAnsi="Times New Roman"/>
          <w:b/>
          <w:bCs/>
        </w:rPr>
        <w:t>of the opinion that a comprehensive cultural impact assessment is required prior to the extraction of any significant volumes of water on Singleton Station</w:t>
      </w:r>
      <w:r w:rsidRPr="00F559DC">
        <w:rPr>
          <w:rFonts w:ascii="Times New Roman" w:hAnsi="Times New Roman"/>
        </w:rPr>
        <w:t>".</w:t>
      </w:r>
      <w:r w:rsidRPr="00F559DC">
        <w:rPr>
          <w:rStyle w:val="FootnoteReference"/>
          <w:rFonts w:ascii="Times New Roman" w:hAnsi="Times New Roman"/>
          <w:sz w:val="24"/>
        </w:rPr>
        <w:footnoteReference w:id="116"/>
      </w:r>
    </w:p>
    <w:p w14:paraId="2BAE545A"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The water extraction licence as granted by the delegate Minister contains these conditions:</w:t>
      </w:r>
    </w:p>
    <w:p w14:paraId="59E6D06B" w14:textId="77777777" w:rsidR="00B5218C" w:rsidRPr="00F559DC" w:rsidRDefault="00B5218C" w:rsidP="00F559DC">
      <w:pPr>
        <w:pStyle w:val="LeftrightHanging"/>
        <w:spacing w:before="0" w:after="260" w:line="280" w:lineRule="exact"/>
        <w:ind w:left="2160" w:right="0" w:hanging="1440"/>
        <w:jc w:val="both"/>
        <w:rPr>
          <w:rFonts w:ascii="Times New Roman" w:hAnsi="Times New Roman"/>
        </w:rPr>
      </w:pPr>
      <w:r w:rsidRPr="00F559DC">
        <w:rPr>
          <w:rFonts w:ascii="Times New Roman" w:hAnsi="Times New Roman"/>
        </w:rPr>
        <w:t>"CP 1.</w:t>
      </w:r>
      <w:r w:rsidRPr="00F559DC">
        <w:rPr>
          <w:rFonts w:ascii="Times New Roman" w:hAnsi="Times New Roman"/>
        </w:rPr>
        <w:tab/>
      </w:r>
      <w:r>
        <w:rPr>
          <w:rFonts w:ascii="Times New Roman" w:hAnsi="Times New Roman"/>
        </w:rPr>
        <w:tab/>
      </w:r>
      <w:r w:rsidRPr="00F559DC">
        <w:rPr>
          <w:rFonts w:ascii="Times New Roman" w:hAnsi="Times New Roman"/>
        </w:rPr>
        <w:t>The right to take groundwater provided under this licence will not take effect ... unless these Conditions Precedent are fulfilled before 31 December 2023.</w:t>
      </w:r>
    </w:p>
    <w:p w14:paraId="06D67CE7" w14:textId="77777777" w:rsidR="00B5218C" w:rsidRPr="00F559DC" w:rsidRDefault="00B5218C" w:rsidP="00F559DC">
      <w:pPr>
        <w:pStyle w:val="leftright"/>
        <w:spacing w:before="0" w:after="260" w:line="280" w:lineRule="exact"/>
        <w:ind w:left="2160" w:right="0"/>
        <w:jc w:val="both"/>
        <w:rPr>
          <w:rFonts w:ascii="Times New Roman" w:hAnsi="Times New Roman"/>
        </w:rPr>
      </w:pPr>
      <w:r w:rsidRPr="00F559DC">
        <w:rPr>
          <w:rFonts w:ascii="Times New Roman" w:hAnsi="Times New Roman"/>
        </w:rPr>
        <w:t>...</w:t>
      </w:r>
    </w:p>
    <w:p w14:paraId="6D827033" w14:textId="77777777" w:rsidR="00B5218C" w:rsidRPr="00F559DC" w:rsidRDefault="00B5218C" w:rsidP="00F559DC">
      <w:pPr>
        <w:pStyle w:val="LeftrightHanging"/>
        <w:spacing w:before="0" w:after="260" w:line="280" w:lineRule="exact"/>
        <w:ind w:left="2160" w:right="0" w:hanging="1440"/>
        <w:jc w:val="both"/>
        <w:rPr>
          <w:rFonts w:ascii="Times New Roman" w:hAnsi="Times New Roman"/>
        </w:rPr>
      </w:pPr>
      <w:r w:rsidRPr="00F559DC">
        <w:rPr>
          <w:rFonts w:ascii="Times New Roman" w:hAnsi="Times New Roman"/>
        </w:rPr>
        <w:t>CP 10.</w:t>
      </w:r>
      <w:r w:rsidRPr="00F559DC">
        <w:rPr>
          <w:rFonts w:ascii="Times New Roman" w:hAnsi="Times New Roman"/>
        </w:rPr>
        <w:tab/>
      </w:r>
      <w:r>
        <w:rPr>
          <w:rFonts w:ascii="Times New Roman" w:hAnsi="Times New Roman"/>
        </w:rPr>
        <w:tab/>
      </w:r>
      <w:r w:rsidRPr="00F559DC">
        <w:rPr>
          <w:rFonts w:ascii="Times New Roman" w:hAnsi="Times New Roman"/>
        </w:rPr>
        <w:t>The licence holder must develop and submit to the Controller a groundwater dependent Aboriginal cultural values impact assessment. The assessment must:</w:t>
      </w:r>
    </w:p>
    <w:p w14:paraId="40173CE7" w14:textId="77777777" w:rsidR="00B5218C" w:rsidRPr="00F559DC" w:rsidRDefault="00B5218C" w:rsidP="00F559DC">
      <w:pPr>
        <w:pStyle w:val="LeftrightHanging"/>
        <w:spacing w:before="0" w:after="260" w:line="280" w:lineRule="exact"/>
        <w:ind w:left="2880" w:right="0"/>
        <w:jc w:val="both"/>
        <w:rPr>
          <w:rFonts w:ascii="Times New Roman" w:hAnsi="Times New Roman"/>
        </w:rPr>
      </w:pPr>
      <w:r w:rsidRPr="00F559DC">
        <w:rPr>
          <w:rFonts w:ascii="Times New Roman" w:hAnsi="Times New Roman"/>
        </w:rPr>
        <w:lastRenderedPageBreak/>
        <w:t>(a)</w:t>
      </w:r>
      <w:r w:rsidRPr="00F559DC">
        <w:rPr>
          <w:rFonts w:ascii="Times New Roman" w:hAnsi="Times New Roman"/>
        </w:rPr>
        <w:tab/>
        <w:t>be prepared by a suitably qualified professional;</w:t>
      </w:r>
    </w:p>
    <w:p w14:paraId="568844CE" w14:textId="77777777" w:rsidR="00B5218C" w:rsidRPr="00F559DC" w:rsidRDefault="00B5218C" w:rsidP="00F559DC">
      <w:pPr>
        <w:pStyle w:val="leftright"/>
        <w:spacing w:before="0" w:after="260" w:line="280" w:lineRule="exact"/>
        <w:ind w:left="2880" w:right="0" w:hanging="720"/>
        <w:jc w:val="both"/>
        <w:rPr>
          <w:rFonts w:ascii="Times New Roman" w:hAnsi="Times New Roman"/>
        </w:rPr>
      </w:pPr>
      <w:r w:rsidRPr="00F559DC">
        <w:rPr>
          <w:rFonts w:ascii="Times New Roman" w:hAnsi="Times New Roman"/>
        </w:rPr>
        <w:t>(b)</w:t>
      </w:r>
      <w:r w:rsidRPr="00F559DC">
        <w:rPr>
          <w:rFonts w:ascii="Times New Roman" w:hAnsi="Times New Roman"/>
        </w:rPr>
        <w:tab/>
        <w:t>identify, map and document (as appropriate) the cultural values of Aboriginal people that will be impacted by groundwater extraction under this licence;</w:t>
      </w:r>
    </w:p>
    <w:p w14:paraId="44C47956" w14:textId="77777777" w:rsidR="00B5218C" w:rsidRPr="00F559DC" w:rsidRDefault="00B5218C" w:rsidP="00F559DC">
      <w:pPr>
        <w:pStyle w:val="leftright"/>
        <w:spacing w:before="0" w:after="260" w:line="280" w:lineRule="exact"/>
        <w:ind w:left="2880" w:right="0" w:hanging="720"/>
        <w:jc w:val="both"/>
        <w:rPr>
          <w:rFonts w:ascii="Times New Roman" w:hAnsi="Times New Roman"/>
        </w:rPr>
      </w:pPr>
      <w:r w:rsidRPr="00F559DC">
        <w:rPr>
          <w:rFonts w:ascii="Times New Roman" w:hAnsi="Times New Roman"/>
        </w:rPr>
        <w:t>(c)</w:t>
      </w:r>
      <w:r w:rsidRPr="00F559DC">
        <w:rPr>
          <w:rFonts w:ascii="Times New Roman" w:hAnsi="Times New Roman"/>
        </w:rPr>
        <w:tab/>
        <w:t>identify reference points to be used in modelling the impacts of groundwater extraction under this licence on the identified Aboriginal cultural values; and</w:t>
      </w:r>
    </w:p>
    <w:p w14:paraId="406FC4AA" w14:textId="77777777" w:rsidR="00B5218C" w:rsidRDefault="00B5218C" w:rsidP="00F559DC">
      <w:pPr>
        <w:pStyle w:val="leftright"/>
        <w:spacing w:before="0" w:after="260" w:line="280" w:lineRule="exact"/>
        <w:ind w:left="2880" w:right="0" w:hanging="720"/>
        <w:jc w:val="both"/>
        <w:rPr>
          <w:rFonts w:ascii="Times New Roman" w:hAnsi="Times New Roman"/>
          <w:b/>
          <w:bCs/>
        </w:rPr>
      </w:pPr>
      <w:r w:rsidRPr="00F559DC">
        <w:rPr>
          <w:rFonts w:ascii="Times New Roman" w:hAnsi="Times New Roman"/>
        </w:rPr>
        <w:t>(d)</w:t>
      </w:r>
      <w:r w:rsidRPr="00F559DC">
        <w:rPr>
          <w:rFonts w:ascii="Times New Roman" w:hAnsi="Times New Roman"/>
        </w:rPr>
        <w:tab/>
        <w:t xml:space="preserve">specify monitoring parameters, trigger values and limits for the reference points which can be used to initiate actions under an adaptive management framework." </w:t>
      </w:r>
    </w:p>
    <w:p w14:paraId="1AD8813B" w14:textId="77777777" w:rsidR="00B5218C" w:rsidRPr="00F559DC" w:rsidRDefault="00B5218C" w:rsidP="00F559DC">
      <w:pPr>
        <w:pStyle w:val="HeadingL2"/>
        <w:spacing w:after="260" w:line="280" w:lineRule="exact"/>
        <w:ind w:right="0"/>
        <w:jc w:val="both"/>
        <w:rPr>
          <w:rFonts w:ascii="Times New Roman" w:hAnsi="Times New Roman"/>
        </w:rPr>
      </w:pPr>
      <w:r w:rsidRPr="00F559DC">
        <w:rPr>
          <w:rFonts w:ascii="Times New Roman" w:hAnsi="Times New Roman"/>
        </w:rPr>
        <w:t>Deciding ground two</w:t>
      </w:r>
    </w:p>
    <w:p w14:paraId="7EE2753E"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Ground two must be rejected.</w:t>
      </w:r>
    </w:p>
    <w:p w14:paraId="50B8D04C"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In accordance with s 90(</w:t>
      </w:r>
      <w:proofErr w:type="gramStart"/>
      <w:r w:rsidRPr="00F559DC">
        <w:rPr>
          <w:rFonts w:ascii="Times New Roman" w:hAnsi="Times New Roman"/>
        </w:rPr>
        <w:t>1)(</w:t>
      </w:r>
      <w:proofErr w:type="gramEnd"/>
      <w:r w:rsidRPr="00F559DC">
        <w:rPr>
          <w:rFonts w:ascii="Times New Roman" w:hAnsi="Times New Roman"/>
        </w:rPr>
        <w:t xml:space="preserve">ab) of the </w:t>
      </w:r>
      <w:r w:rsidRPr="00F559DC">
        <w:rPr>
          <w:rFonts w:ascii="Times New Roman" w:hAnsi="Times New Roman"/>
          <w:i/>
          <w:iCs/>
        </w:rPr>
        <w:t>Water Act</w:t>
      </w:r>
      <w:r w:rsidRPr="00F559DC">
        <w:rPr>
          <w:rFonts w:ascii="Times New Roman" w:hAnsi="Times New Roman"/>
        </w:rPr>
        <w:t xml:space="preserve">, the delegate Minister was required to </w:t>
      </w:r>
      <w:proofErr w:type="gramStart"/>
      <w:r w:rsidRPr="00F559DC">
        <w:rPr>
          <w:rFonts w:ascii="Times New Roman" w:hAnsi="Times New Roman"/>
        </w:rPr>
        <w:t>take into account</w:t>
      </w:r>
      <w:proofErr w:type="gramEnd"/>
      <w:r w:rsidRPr="00F559DC">
        <w:rPr>
          <w:rFonts w:ascii="Times New Roman" w:hAnsi="Times New Roman"/>
        </w:rPr>
        <w:t xml:space="preserve"> the WDWAP as a "water allocation plan applying to the area in question" only as "relevant" to the decision to grant the water extraction licence. The WDWAP was a document of 80 pages including details of water resources, water use, estimated sustainable yield, risk and uncertainty, water management arrangements, risk identification and mitigation strategies, and implementation, monitoring and review, as well as multiple schedules, appendices, tables and figures. It was for the delegate Minister to determine the extent and degree of consideration of Aboriginal cultural values as contained in the WDWAP called for by the decision in respect of the water extraction licence. The same is true of s 90(1)(k) of the </w:t>
      </w:r>
      <w:r w:rsidRPr="00F559DC">
        <w:rPr>
          <w:rFonts w:ascii="Times New Roman" w:hAnsi="Times New Roman"/>
          <w:i/>
          <w:iCs/>
        </w:rPr>
        <w:t>Water Act</w:t>
      </w:r>
      <w:r w:rsidRPr="00F559DC">
        <w:rPr>
          <w:rFonts w:ascii="Times New Roman" w:hAnsi="Times New Roman"/>
        </w:rPr>
        <w:t>, which, insofar as relied upon by MAC, vested in the decision-maker the function of identifying other factors the decision-maker considers relevant to the decision to be made.</w:t>
      </w:r>
    </w:p>
    <w:p w14:paraId="5D1BC85A"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MAC's real complaint is not that the delegate Minister failed to </w:t>
      </w:r>
      <w:proofErr w:type="gramStart"/>
      <w:r w:rsidRPr="00F559DC">
        <w:rPr>
          <w:rFonts w:ascii="Times New Roman" w:hAnsi="Times New Roman"/>
        </w:rPr>
        <w:t>take into account</w:t>
      </w:r>
      <w:proofErr w:type="gramEnd"/>
      <w:r w:rsidRPr="00F559DC">
        <w:rPr>
          <w:rFonts w:ascii="Times New Roman" w:hAnsi="Times New Roman"/>
        </w:rPr>
        <w:t xml:space="preserve"> the WDWAP insofar as it dealt with Aboriginal cultural values. The real complaint is that the terms of CP 10 expose that the delegate Minister could not assess the effect of the water extraction licence on Aboriginal cultural values but granted the licence in any event on the basis that such an assessment could be made by the Controller subsequently once Fortune had submitted the "groundwater dependent Aboriginal cultural values impact assessment" required by CP 10. As MAC put it, CP 10 was not responsive to consideration of the protection of Aboriginal cultural values but was in substitution for that consideration. CP 10 thereby functioned to defer the consideration that s 90(</w:t>
      </w:r>
      <w:proofErr w:type="gramStart"/>
      <w:r w:rsidRPr="00F559DC">
        <w:rPr>
          <w:rFonts w:ascii="Times New Roman" w:hAnsi="Times New Roman"/>
        </w:rPr>
        <w:t>1)(</w:t>
      </w:r>
      <w:proofErr w:type="gramEnd"/>
      <w:r w:rsidRPr="00F559DC">
        <w:rPr>
          <w:rFonts w:ascii="Times New Roman" w:hAnsi="Times New Roman"/>
        </w:rPr>
        <w:t>ab) required at the time of deciding to grant the licence to a subsequent time and a different person (being the Controller).</w:t>
      </w:r>
    </w:p>
    <w:p w14:paraId="0DE20F3F"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lastRenderedPageBreak/>
        <w:tab/>
        <w:t xml:space="preserve">The difficulty MAC's argument confronts is that the delegate Minister's obligation in respect of the grant of the water extraction licence was not to ensure that Aboriginal cultural values were protected. Rather, the delegate Minister's obligation was to </w:t>
      </w:r>
      <w:proofErr w:type="gramStart"/>
      <w:r w:rsidRPr="00F559DC">
        <w:rPr>
          <w:rFonts w:ascii="Times New Roman" w:hAnsi="Times New Roman"/>
        </w:rPr>
        <w:t>take into account</w:t>
      </w:r>
      <w:proofErr w:type="gramEnd"/>
      <w:r w:rsidRPr="00F559DC">
        <w:rPr>
          <w:rFonts w:ascii="Times New Roman" w:hAnsi="Times New Roman"/>
        </w:rPr>
        <w:t xml:space="preserve"> the WDWAP as relevant to the decision to grant the licence. The WDWAP, as noted, contemplated that the Department of Environment and Natural Resources in partnership with the Traditional Owners and assisted by the CLC would develop a cultural values protection program. Whether that had been done or not, no such document was available to the Review Panel or the delegate Minister. Rather, CP 10 required Fortune itself to arrange for, in effect, such a document to be prepared and submitted to the Controller before the right to take groundwater under the licence would take effect. Given that the WDWAP expressly contemplated an adaptive management approach</w:t>
      </w:r>
      <w:r w:rsidRPr="00F559DC" w:rsidDel="00CC7A6B">
        <w:rPr>
          <w:rFonts w:ascii="Times New Roman" w:hAnsi="Times New Roman"/>
        </w:rPr>
        <w:t xml:space="preserve"> </w:t>
      </w:r>
      <w:r w:rsidRPr="00F559DC">
        <w:rPr>
          <w:rFonts w:ascii="Times New Roman" w:hAnsi="Times New Roman"/>
        </w:rPr>
        <w:t xml:space="preserve">to the use of water resources and the protection of GDEs and Aboriginal cultural values dependent on or independent of GDEs, it is not possible to characterise CP 10 as involving a deferral of the consideration which s 90(1)(ab) and (k) of the </w:t>
      </w:r>
      <w:r w:rsidRPr="00F559DC">
        <w:rPr>
          <w:rFonts w:ascii="Times New Roman" w:hAnsi="Times New Roman"/>
          <w:i/>
          <w:iCs/>
        </w:rPr>
        <w:t>Water Act</w:t>
      </w:r>
      <w:r w:rsidRPr="00F559DC">
        <w:rPr>
          <w:rFonts w:ascii="Times New Roman" w:hAnsi="Times New Roman"/>
        </w:rPr>
        <w:t xml:space="preserve"> required. </w:t>
      </w:r>
    </w:p>
    <w:p w14:paraId="346FA29A" w14:textId="77777777" w:rsidR="00B5218C" w:rsidRPr="00F559DC" w:rsidRDefault="00B5218C" w:rsidP="00F559DC">
      <w:pPr>
        <w:pStyle w:val="HeadingL1"/>
        <w:spacing w:after="260" w:line="280" w:lineRule="exact"/>
        <w:ind w:right="0"/>
        <w:jc w:val="both"/>
        <w:rPr>
          <w:rFonts w:ascii="Times New Roman" w:hAnsi="Times New Roman"/>
        </w:rPr>
      </w:pPr>
      <w:r w:rsidRPr="00F559DC">
        <w:rPr>
          <w:rFonts w:ascii="Times New Roman" w:hAnsi="Times New Roman"/>
        </w:rPr>
        <w:t>Ground three</w:t>
      </w:r>
    </w:p>
    <w:p w14:paraId="39BDC90F" w14:textId="77777777" w:rsidR="00B5218C" w:rsidRPr="00F559DC" w:rsidRDefault="00B5218C" w:rsidP="00F559DC">
      <w:pPr>
        <w:pStyle w:val="HeadingL2"/>
        <w:spacing w:after="260" w:line="280" w:lineRule="exact"/>
        <w:ind w:right="0"/>
        <w:jc w:val="both"/>
        <w:rPr>
          <w:rFonts w:ascii="Times New Roman" w:hAnsi="Times New Roman"/>
        </w:rPr>
      </w:pPr>
      <w:r w:rsidRPr="00F559DC">
        <w:rPr>
          <w:rFonts w:ascii="Times New Roman" w:hAnsi="Times New Roman"/>
        </w:rPr>
        <w:t>The terms of ground three</w:t>
      </w:r>
    </w:p>
    <w:p w14:paraId="40D7197E"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Ground three is as follows:</w:t>
      </w:r>
    </w:p>
    <w:p w14:paraId="16F9D6D6" w14:textId="77777777" w:rsidR="00B5218C" w:rsidRDefault="00B5218C" w:rsidP="00F559DC">
      <w:pPr>
        <w:pStyle w:val="leftright"/>
        <w:spacing w:before="0" w:after="260" w:line="280" w:lineRule="exact"/>
        <w:ind w:right="0"/>
        <w:jc w:val="both"/>
        <w:rPr>
          <w:rFonts w:ascii="Times New Roman" w:hAnsi="Times New Roman"/>
        </w:rPr>
      </w:pPr>
      <w:r w:rsidRPr="00F559DC">
        <w:rPr>
          <w:rFonts w:ascii="Times New Roman" w:hAnsi="Times New Roman"/>
        </w:rPr>
        <w:t>"The [Court of Appeal] erred in failing to hold [that the delegate Minister] was obliged to give MAC, whose members held the Aboriginal cultural values the subject of a proposed licence condition [CP 10], and which derived from their native title rights and interests, the same opportunity to be heard on the terms of the proposed condition as she gave to [Fortune]."</w:t>
      </w:r>
    </w:p>
    <w:p w14:paraId="09B37DFA" w14:textId="77777777" w:rsidR="00B5218C" w:rsidRPr="00F559DC" w:rsidRDefault="00B5218C" w:rsidP="00F559DC">
      <w:pPr>
        <w:pStyle w:val="HeadingL2"/>
        <w:spacing w:after="260" w:line="280" w:lineRule="exact"/>
        <w:ind w:right="0"/>
        <w:jc w:val="both"/>
        <w:rPr>
          <w:rFonts w:ascii="Times New Roman" w:hAnsi="Times New Roman"/>
        </w:rPr>
      </w:pPr>
      <w:r w:rsidRPr="00F559DC">
        <w:rPr>
          <w:rFonts w:ascii="Times New Roman" w:hAnsi="Times New Roman"/>
        </w:rPr>
        <w:t>Relevant statutory provisions</w:t>
      </w:r>
    </w:p>
    <w:p w14:paraId="45F49612"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Part 6A, ss 71A-71E, of the </w:t>
      </w:r>
      <w:r w:rsidRPr="00F559DC">
        <w:rPr>
          <w:rFonts w:ascii="Times New Roman" w:hAnsi="Times New Roman"/>
          <w:i/>
          <w:iCs/>
        </w:rPr>
        <w:t>Water Act</w:t>
      </w:r>
      <w:r w:rsidRPr="00F559DC">
        <w:rPr>
          <w:rFonts w:ascii="Times New Roman" w:hAnsi="Times New Roman"/>
        </w:rPr>
        <w:t xml:space="preserve"> contained provisions which required notice to be given of an intention to make a water extraction licence decision, of the making of a water extraction licence decision, and of a substituted or varied water extraction licence decision. No provision in Pt 6A suggested that its provisions exhausted any duty of procedural fairness that the delegate Minister might have had in making the decision to substitute for the decision of the Controller the grant of the water extraction licence subject to CP 10. The parties accepted that the delegate Minister's exercise of power under s 30(3)(a)(ii) of the </w:t>
      </w:r>
      <w:r w:rsidRPr="00F559DC">
        <w:rPr>
          <w:rFonts w:ascii="Times New Roman" w:hAnsi="Times New Roman"/>
          <w:i/>
        </w:rPr>
        <w:t>Water Act</w:t>
      </w:r>
      <w:r w:rsidRPr="00F559DC">
        <w:rPr>
          <w:rFonts w:ascii="Times New Roman" w:hAnsi="Times New Roman"/>
        </w:rPr>
        <w:t xml:space="preserve"> to grant the water extraction licence in substitution for the licence the Controller had granted was conditioned on the observance of procedural fairness but disagreed as to whether that required MAC to be given notice of the terms of CP 10 before the grant of the licence subject to that condition.</w:t>
      </w:r>
    </w:p>
    <w:p w14:paraId="532DF77F" w14:textId="77777777" w:rsidR="00B5218C" w:rsidRPr="00F559DC" w:rsidRDefault="00B5218C" w:rsidP="00F559DC">
      <w:pPr>
        <w:pStyle w:val="HeadingL2"/>
        <w:spacing w:after="260" w:line="280" w:lineRule="exact"/>
        <w:ind w:right="0"/>
        <w:jc w:val="both"/>
        <w:rPr>
          <w:rFonts w:ascii="Times New Roman" w:hAnsi="Times New Roman"/>
        </w:rPr>
      </w:pPr>
      <w:r w:rsidRPr="00F559DC">
        <w:rPr>
          <w:rFonts w:ascii="Times New Roman" w:hAnsi="Times New Roman"/>
        </w:rPr>
        <w:lastRenderedPageBreak/>
        <w:t>Relevant evidence</w:t>
      </w:r>
    </w:p>
    <w:p w14:paraId="257C9D81"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The Department of Environment, Parks and Water Security recognised that, as CP 10 was newly proposed by the Review Panel (in addition to CP 9), Fortune may be "adversely impact[ed]" by CP 10 (as well as CP 9). The Department therefore notified Fortune of the terms of these proposed conditions precedent and invited Fortune's response before the delegate Minister made any decision on the review application. Fortune responded to the effect that it accepted the new conditions precedent. Neither MAC, nor the CLC on MAC's behalf, was given notice of proposed CP 10. Proposed CP 10, however, was undoubtedly responsive to the Review Panel's assessment of the submission the CLC made on behalf of MAC and others that, as supported by the anthropologist's report, there needed to be a comprehensive map and assessment of cultural and biodiversity values of GDEs before consideration of the grant of a water extraction licence. As will be recalled, the Review Panel said it could not form a view on the significance of the information in the anthropologist's report and therefore recommended that a comprehensive cultural impact assessment be required prior to the extraction of any significant volumes of water at Singleton Station.</w:t>
      </w:r>
    </w:p>
    <w:p w14:paraId="38B31396" w14:textId="77777777" w:rsidR="00B5218C" w:rsidRPr="00F559DC" w:rsidRDefault="00B5218C" w:rsidP="00F559DC">
      <w:pPr>
        <w:pStyle w:val="HeadingL2"/>
        <w:spacing w:after="260" w:line="280" w:lineRule="exact"/>
        <w:ind w:right="0"/>
        <w:jc w:val="both"/>
        <w:rPr>
          <w:rFonts w:ascii="Times New Roman" w:hAnsi="Times New Roman"/>
        </w:rPr>
      </w:pPr>
      <w:r w:rsidRPr="00F559DC">
        <w:rPr>
          <w:rFonts w:ascii="Times New Roman" w:hAnsi="Times New Roman"/>
        </w:rPr>
        <w:t>Deciding ground three</w:t>
      </w:r>
    </w:p>
    <w:p w14:paraId="49034466"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As noted, MAC is the prescribed body corporate for the native title holders of the native title rights and interests in the land the subject of the Singleton Station pastoral lease. Those rights include, for example, "the right to live on the land, and for that purpose, to camp, erect shelters and other structures", "the right to hunt, gather, take and use the natural resources of the land and waters, including the right to access, take and use natural water resources on or in the land", and "the right to access, maintain and protect places and areas of importance on or in the land and waters".</w:t>
      </w:r>
      <w:r w:rsidRPr="00F559DC">
        <w:rPr>
          <w:rStyle w:val="FootnoteReference"/>
          <w:rFonts w:ascii="Times New Roman" w:hAnsi="Times New Roman"/>
          <w:sz w:val="24"/>
        </w:rPr>
        <w:footnoteReference w:id="117"/>
      </w:r>
      <w:r w:rsidRPr="00F559DC">
        <w:rPr>
          <w:rFonts w:ascii="Times New Roman" w:hAnsi="Times New Roman"/>
        </w:rPr>
        <w:t xml:space="preserve"> By reason of the native title determination recognising those native title rights and interests, those rights and interests became enforceable under and protected by both common law and equity.</w:t>
      </w:r>
      <w:r w:rsidRPr="00F559DC">
        <w:rPr>
          <w:rStyle w:val="FootnoteReference"/>
          <w:rFonts w:ascii="Times New Roman" w:hAnsi="Times New Roman"/>
          <w:sz w:val="24"/>
        </w:rPr>
        <w:footnoteReference w:id="118"/>
      </w:r>
      <w:r w:rsidRPr="00F559DC">
        <w:rPr>
          <w:rFonts w:ascii="Times New Roman" w:hAnsi="Times New Roman"/>
        </w:rPr>
        <w:t xml:space="preserve"> That the rights and interests so granted to the native title holders are non-exclusive rights and interests does not diminish their character as the kind of proprietary or quasi-proprietary rights and </w:t>
      </w:r>
      <w:r w:rsidRPr="00F559DC">
        <w:rPr>
          <w:rFonts w:ascii="Times New Roman" w:hAnsi="Times New Roman"/>
        </w:rPr>
        <w:lastRenderedPageBreak/>
        <w:t>interests to which the requirement to provide procedural fairness ordinarily would attach.</w:t>
      </w:r>
      <w:r w:rsidRPr="00F559DC">
        <w:rPr>
          <w:rStyle w:val="FootnoteReference"/>
          <w:rFonts w:ascii="Times New Roman" w:hAnsi="Times New Roman"/>
          <w:sz w:val="24"/>
        </w:rPr>
        <w:footnoteReference w:id="119"/>
      </w:r>
      <w:r w:rsidRPr="00F559DC">
        <w:rPr>
          <w:rFonts w:ascii="Times New Roman" w:hAnsi="Times New Roman"/>
        </w:rPr>
        <w:t xml:space="preserve"> </w:t>
      </w:r>
    </w:p>
    <w:p w14:paraId="1D63CDE8"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The submissions which the CLC made on behalf of MAC were submissions for MAC as the prescribed body corporate for the native title holders of the native title rights and interests in the land the subject of the Singleton Station pastoral lease. In that capacity MAC was a body holding legally recognised rights and interests on trust for the native title holders in circumstances where the grant of the water extraction licence subject to CP 10 would directly and adversely affect those rights and interests. In this context, the critical circumstances were threefold. First, the WDWAP, which the delegate Minister was required to </w:t>
      </w:r>
      <w:proofErr w:type="gramStart"/>
      <w:r w:rsidRPr="00F559DC">
        <w:rPr>
          <w:rFonts w:ascii="Times New Roman" w:hAnsi="Times New Roman"/>
        </w:rPr>
        <w:t>take into account</w:t>
      </w:r>
      <w:proofErr w:type="gramEnd"/>
      <w:r w:rsidRPr="00F559DC">
        <w:rPr>
          <w:rFonts w:ascii="Times New Roman" w:hAnsi="Times New Roman"/>
        </w:rPr>
        <w:t xml:space="preserve">, expressly contemplated that there would be prepared by the Department of Environment and Natural Resources, in partnership with the Traditional Owners and assisted by the CLC, an Aboriginal cultural values protection program. Second, the CLC, on behalf of MAC, had submitted on the review application that this document had to be prepared before a water extraction licence was granted. Third, the function intended to be performed by CP 10 was to require Fortune to retain a suitably qualified person to prepare, in effect, the Aboriginal cultural values protection program. </w:t>
      </w:r>
    </w:p>
    <w:p w14:paraId="18DEF063"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It is not that the making of a submission by an interested person on the review application meant that the person had to be notified of every condition potentially addressing any issue of concern the person had raised in their submission.</w:t>
      </w:r>
      <w:r w:rsidRPr="00F559DC">
        <w:rPr>
          <w:rStyle w:val="FootnoteReference"/>
          <w:rFonts w:ascii="Times New Roman" w:hAnsi="Times New Roman"/>
          <w:sz w:val="24"/>
        </w:rPr>
        <w:footnoteReference w:id="120"/>
      </w:r>
      <w:r w:rsidRPr="00F559DC">
        <w:rPr>
          <w:rFonts w:ascii="Times New Roman" w:hAnsi="Times New Roman"/>
        </w:rPr>
        <w:t xml:space="preserve"> In respect of CP 10, MAC was not just another person making a submission. MAC was the representative of the holders of the legally recognised rights and interests in the land and waters the subject of the water extraction licence, which were the very rights and interests that CP 10 was intended to protect. Moreover, nothing in the circumstances could have put the CLC or MAC on notice of a possibility that a condition precedent would be imposed requiring Fortune to submit a "groundwater dependent Aboriginal cultural values impact assessment" to be prepared without the involvement of the CLC or MAC (or, for that matter, the Department). As observed in </w:t>
      </w:r>
      <w:r w:rsidRPr="00F559DC">
        <w:rPr>
          <w:rFonts w:ascii="Times New Roman" w:hAnsi="Times New Roman"/>
          <w:i/>
          <w:iCs/>
        </w:rPr>
        <w:t>Commissioner for Australian Capital Territory Revenue v Alphaone Pty Ltd</w:t>
      </w:r>
      <w:r w:rsidRPr="00F559DC">
        <w:rPr>
          <w:rFonts w:ascii="Times New Roman" w:hAnsi="Times New Roman"/>
        </w:rPr>
        <w:t>,</w:t>
      </w:r>
      <w:r w:rsidRPr="00F559DC">
        <w:rPr>
          <w:rStyle w:val="FootnoteReference"/>
          <w:rFonts w:ascii="Times New Roman" w:hAnsi="Times New Roman"/>
          <w:sz w:val="24"/>
        </w:rPr>
        <w:footnoteReference w:id="121"/>
      </w:r>
      <w:r w:rsidRPr="00F559DC">
        <w:rPr>
          <w:rFonts w:ascii="Times New Roman" w:hAnsi="Times New Roman"/>
        </w:rPr>
        <w:t xml:space="preserve"> while "[w]</w:t>
      </w:r>
      <w:proofErr w:type="spellStart"/>
      <w:r w:rsidRPr="00F559DC">
        <w:rPr>
          <w:rFonts w:ascii="Times New Roman" w:hAnsi="Times New Roman"/>
        </w:rPr>
        <w:t>ithin</w:t>
      </w:r>
      <w:proofErr w:type="spellEnd"/>
      <w:r w:rsidRPr="00F559DC">
        <w:rPr>
          <w:rFonts w:ascii="Times New Roman" w:hAnsi="Times New Roman"/>
        </w:rPr>
        <w:t xml:space="preserve"> the bounds of rationality a decision-maker is generally not obliged to invite comment on the evaluation of the subject's case", if procedural fairness obligations apply "[t]</w:t>
      </w:r>
      <w:proofErr w:type="gramStart"/>
      <w:r w:rsidRPr="00F559DC">
        <w:rPr>
          <w:rFonts w:ascii="Times New Roman" w:hAnsi="Times New Roman"/>
        </w:rPr>
        <w:t>he</w:t>
      </w:r>
      <w:proofErr w:type="gramEnd"/>
      <w:r w:rsidRPr="00F559DC">
        <w:rPr>
          <w:rFonts w:ascii="Times New Roman" w:hAnsi="Times New Roman"/>
        </w:rPr>
        <w:t xml:space="preserve"> subject is entitled </w:t>
      </w:r>
      <w:r w:rsidRPr="00F559DC">
        <w:rPr>
          <w:rFonts w:ascii="Times New Roman" w:hAnsi="Times New Roman"/>
        </w:rPr>
        <w:lastRenderedPageBreak/>
        <w:t>to respond to any adverse conclusion drawn by the decision-maker on material supplied by or known to the subject which is not an obvious and natural evaluation of that material".</w:t>
      </w:r>
      <w:r w:rsidRPr="00F559DC">
        <w:rPr>
          <w:rStyle w:val="FootnoteReference"/>
          <w:rFonts w:ascii="Times New Roman" w:hAnsi="Times New Roman"/>
          <w:sz w:val="24"/>
        </w:rPr>
        <w:footnoteReference w:id="122"/>
      </w:r>
    </w:p>
    <w:p w14:paraId="3BB8B4CC"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CP 10 is not an "obvious and natural" outcome of any material made known to MAC before the decision of the delegate Minister to grant the water extraction licence. Contrary to the apparent assumptions of Fortune and the delegate Minister, CP 10 does not require: (</w:t>
      </w:r>
      <w:proofErr w:type="spellStart"/>
      <w:r w:rsidRPr="00F559DC">
        <w:rPr>
          <w:rFonts w:ascii="Times New Roman" w:hAnsi="Times New Roman"/>
        </w:rPr>
        <w:t>i</w:t>
      </w:r>
      <w:proofErr w:type="spellEnd"/>
      <w:r w:rsidRPr="00F559DC">
        <w:rPr>
          <w:rFonts w:ascii="Times New Roman" w:hAnsi="Times New Roman"/>
        </w:rPr>
        <w:t>) the Controller to approve the groundwater dependent Aboriginal cultural values impact assessment; or (ii) Fortune, the suitably qualified professional, or the Controller to consult with MAC, the CLC or the Department about the preparation of the Aboriginal cultural values impact assessment. All that CP 10 requires is for Fortune to "develop and submit to the Controller a groundwater dependent Aboriginal cultural values impact assessment" as described.</w:t>
      </w:r>
    </w:p>
    <w:p w14:paraId="37FCBDBE"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One of the important objects that procedural fairness satisfies in decision-making processes is to improve the quality of decision-making. If the CLC and MAC had been notified of the proposal to impose CP 10 or a condition precedent similar to it on the water extraction licence, they could have pointed out, amongst other things, that CP 10 does not require Fortune to obtain the Controller's approval of the groundwater dependent Aboriginal cultural values impact assessment (a most basic omission from the terms of CP 10) and does not require, for example: (</w:t>
      </w:r>
      <w:proofErr w:type="spellStart"/>
      <w:r w:rsidRPr="00F559DC">
        <w:rPr>
          <w:rFonts w:ascii="Times New Roman" w:hAnsi="Times New Roman"/>
        </w:rPr>
        <w:t>i</w:t>
      </w:r>
      <w:proofErr w:type="spellEnd"/>
      <w:r w:rsidRPr="00F559DC">
        <w:rPr>
          <w:rFonts w:ascii="Times New Roman" w:hAnsi="Times New Roman"/>
        </w:rPr>
        <w:t xml:space="preserve">) Fortune to consult with the CLC, MAC and the Department about the selection of the "suitably qualified professional"; (ii) the "suitably qualified professional" to consult with the CLC, MAC and the Department about the work required to satisfy requirements (b)-(d) of the proposed condition; or (iii) the Controller to consult with the CLC, MAC and the Department before deciding whether or not to approve the Aboriginal cultural values impact assessment. Nor does CP 10 permit the Controller to amend or modify the groundwater dependent Aboriginal cultural values impact assessment or to impose conditions on its approval. </w:t>
      </w:r>
    </w:p>
    <w:p w14:paraId="7607EE5F" w14:textId="77777777" w:rsidR="00B5218C" w:rsidRPr="00F559DC" w:rsidRDefault="00B5218C" w:rsidP="00F559DC">
      <w:pPr>
        <w:pStyle w:val="FixListStyle"/>
        <w:spacing w:after="260" w:line="280" w:lineRule="exact"/>
        <w:ind w:right="0"/>
        <w:jc w:val="both"/>
        <w:rPr>
          <w:rFonts w:ascii="Times New Roman" w:hAnsi="Times New Roman"/>
        </w:rPr>
      </w:pPr>
      <w:r w:rsidRPr="00F559DC">
        <w:rPr>
          <w:rFonts w:ascii="Times New Roman" w:hAnsi="Times New Roman"/>
        </w:rPr>
        <w:tab/>
        <w:t xml:space="preserve">Leaving aside ground one, the delegate Minister's decision to grant the water extraction licence would be void, as would be the water extraction licence itself, because the making of the decision including a condition to the effect of CP 10 was conditioned on MAC being given notice of the proposed condition and an opportunity to be heard by the making of a written submission about that proposed condition before any decision was made. MAC was given no such notice and no such opportunity. </w:t>
      </w:r>
    </w:p>
    <w:p w14:paraId="2950B63D" w14:textId="77777777" w:rsidR="00B5218C" w:rsidRPr="00F559DC" w:rsidRDefault="00B5218C" w:rsidP="00F559DC">
      <w:pPr>
        <w:pStyle w:val="HeadingL1"/>
        <w:spacing w:after="260" w:line="280" w:lineRule="exact"/>
        <w:ind w:right="0"/>
        <w:jc w:val="both"/>
        <w:rPr>
          <w:rFonts w:ascii="Times New Roman" w:hAnsi="Times New Roman"/>
        </w:rPr>
      </w:pPr>
      <w:r w:rsidRPr="00F559DC">
        <w:rPr>
          <w:rFonts w:ascii="Times New Roman" w:hAnsi="Times New Roman"/>
        </w:rPr>
        <w:lastRenderedPageBreak/>
        <w:t>Orders</w:t>
      </w:r>
    </w:p>
    <w:p w14:paraId="11F9171A" w14:textId="77777777" w:rsidR="00B5218C" w:rsidRDefault="00B5218C" w:rsidP="00B5218C">
      <w:pPr>
        <w:pStyle w:val="FixListStyle"/>
        <w:spacing w:after="260" w:line="280" w:lineRule="exact"/>
        <w:ind w:right="0"/>
        <w:jc w:val="both"/>
        <w:rPr>
          <w:rFonts w:ascii="Times New Roman" w:hAnsi="Times New Roman"/>
        </w:rPr>
        <w:sectPr w:rsidR="00B5218C" w:rsidSect="00B5218C">
          <w:headerReference w:type="even" r:id="rId32"/>
          <w:headerReference w:type="default" r:id="rId33"/>
          <w:headerReference w:type="first" r:id="rId34"/>
          <w:pgSz w:w="11907" w:h="16839" w:code="9"/>
          <w:pgMar w:top="1440" w:right="1701" w:bottom="1984" w:left="1701" w:header="720" w:footer="720" w:gutter="0"/>
          <w:cols w:space="720"/>
          <w:docGrid w:linePitch="354"/>
        </w:sectPr>
      </w:pPr>
      <w:r w:rsidRPr="00F559DC">
        <w:rPr>
          <w:rFonts w:ascii="Times New Roman" w:hAnsi="Times New Roman"/>
        </w:rPr>
        <w:tab/>
        <w:t xml:space="preserve">The orders which Gordon, Steward, Gleeson and Beech-Jones JJ propose should be made. </w:t>
      </w:r>
    </w:p>
    <w:p w14:paraId="46165345" w14:textId="520B2E39" w:rsidR="00B16D5E" w:rsidRPr="00B5218C" w:rsidRDefault="00B16D5E" w:rsidP="00B5218C">
      <w:pPr>
        <w:pStyle w:val="NormalBody"/>
      </w:pPr>
    </w:p>
    <w:sectPr w:rsidR="00B16D5E" w:rsidRPr="00B5218C" w:rsidSect="00B5218C">
      <w:headerReference w:type="default" r:id="rId35"/>
      <w:pgSz w:w="11907" w:h="16839" w:code="9"/>
      <w:pgMar w:top="1440" w:right="1701" w:bottom="1984" w:left="1701"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19C3A" w14:textId="77777777" w:rsidR="006E1C27" w:rsidRDefault="006E1C27">
      <w:pPr>
        <w:spacing w:line="240" w:lineRule="auto"/>
      </w:pPr>
      <w:r>
        <w:separator/>
      </w:r>
    </w:p>
  </w:endnote>
  <w:endnote w:type="continuationSeparator" w:id="0">
    <w:p w14:paraId="0B0C13B0" w14:textId="77777777" w:rsidR="006E1C27" w:rsidRDefault="006E1C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4383" w14:textId="77777777" w:rsidR="00985AA9" w:rsidRDefault="00985A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85EF" w14:textId="77777777" w:rsidR="00985AA9" w:rsidRDefault="00985A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1F29" w14:textId="77777777" w:rsidR="00985AA9" w:rsidRDefault="00985A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B6A4" w14:textId="77777777" w:rsidR="00985AA9" w:rsidRDefault="00985A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8C55" w14:textId="77777777" w:rsidR="00985AA9" w:rsidRDefault="00985AA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5B9A5" w14:textId="77777777" w:rsidR="00985AA9" w:rsidRDefault="00985AA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4C905" w14:textId="77777777" w:rsidR="00B5218C" w:rsidRDefault="00B5218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7A6E" w14:textId="77777777" w:rsidR="00B5218C" w:rsidRDefault="00B5218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7E0C" w14:textId="77777777" w:rsidR="00B5218C" w:rsidRDefault="00B52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B3579" w14:textId="77777777" w:rsidR="006E1C27" w:rsidRPr="007E042A" w:rsidRDefault="006E1C27" w:rsidP="007E042A">
      <w:pPr>
        <w:pStyle w:val="Footer"/>
        <w:spacing w:before="120" w:after="20"/>
        <w:ind w:right="0"/>
        <w:rPr>
          <w:rFonts w:ascii="Times New Roman" w:hAnsi="Times New Roman"/>
        </w:rPr>
      </w:pPr>
      <w:r>
        <w:continuationSeparator/>
      </w:r>
    </w:p>
  </w:footnote>
  <w:footnote w:type="continuationSeparator" w:id="0">
    <w:p w14:paraId="5B284699" w14:textId="77777777" w:rsidR="006E1C27" w:rsidRPr="007E042A" w:rsidRDefault="006E1C27" w:rsidP="007E042A">
      <w:pPr>
        <w:pStyle w:val="Footer"/>
        <w:spacing w:before="120" w:after="20"/>
        <w:ind w:right="0"/>
        <w:rPr>
          <w:rFonts w:ascii="Times New Roman" w:hAnsi="Times New Roman"/>
        </w:rPr>
      </w:pPr>
      <w:r w:rsidRPr="007E042A">
        <w:rPr>
          <w:rFonts w:ascii="Times New Roman" w:hAnsi="Times New Roman"/>
        </w:rPr>
        <w:continuationSeparator/>
      </w:r>
    </w:p>
  </w:footnote>
  <w:footnote w:type="continuationNotice" w:id="1">
    <w:p w14:paraId="510709FB" w14:textId="77777777" w:rsidR="006E1C27" w:rsidRPr="00B5218C" w:rsidRDefault="006E1C27">
      <w:pPr>
        <w:jc w:val="right"/>
        <w:rPr>
          <w:rFonts w:ascii="Times New Roman" w:hAnsi="Times New Roman"/>
          <w:sz w:val="24"/>
        </w:rPr>
      </w:pPr>
    </w:p>
  </w:footnote>
  <w:footnote w:id="2">
    <w:p w14:paraId="2F201329" w14:textId="23893EE3" w:rsidR="00770F40" w:rsidRPr="007E042A" w:rsidRDefault="00770F40"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FD4CF2" w:rsidRPr="007E042A">
        <w:rPr>
          <w:rFonts w:ascii="Times New Roman" w:hAnsi="Times New Roman"/>
          <w:sz w:val="24"/>
        </w:rPr>
        <w:tab/>
      </w:r>
      <w:r w:rsidR="00FD4CF2" w:rsidRPr="007E042A">
        <w:rPr>
          <w:rFonts w:ascii="Times New Roman" w:hAnsi="Times New Roman"/>
          <w:i/>
          <w:iCs/>
          <w:sz w:val="24"/>
        </w:rPr>
        <w:t xml:space="preserve">Mpwerempwer Aboriginal Corporation RNTBC v Minister for Territory Families </w:t>
      </w:r>
      <w:r w:rsidR="00524B67" w:rsidRPr="007E042A">
        <w:rPr>
          <w:rFonts w:ascii="Times New Roman" w:hAnsi="Times New Roman"/>
          <w:i/>
          <w:iCs/>
          <w:sz w:val="24"/>
        </w:rPr>
        <w:t>and</w:t>
      </w:r>
      <w:r w:rsidR="00FD4CF2" w:rsidRPr="007E042A">
        <w:rPr>
          <w:rFonts w:ascii="Times New Roman" w:hAnsi="Times New Roman"/>
          <w:i/>
          <w:iCs/>
          <w:sz w:val="24"/>
        </w:rPr>
        <w:t xml:space="preserve"> Urban Housing as delegate of </w:t>
      </w:r>
      <w:r w:rsidR="00225586" w:rsidRPr="007E042A">
        <w:rPr>
          <w:rFonts w:ascii="Times New Roman" w:hAnsi="Times New Roman"/>
          <w:i/>
          <w:iCs/>
          <w:sz w:val="24"/>
        </w:rPr>
        <w:t xml:space="preserve">the </w:t>
      </w:r>
      <w:r w:rsidR="00FD4CF2" w:rsidRPr="007E042A">
        <w:rPr>
          <w:rFonts w:ascii="Times New Roman" w:hAnsi="Times New Roman"/>
          <w:i/>
          <w:iCs/>
          <w:sz w:val="24"/>
        </w:rPr>
        <w:t xml:space="preserve">Minister for </w:t>
      </w:r>
      <w:r w:rsidR="00300B21" w:rsidRPr="007E042A">
        <w:rPr>
          <w:rFonts w:ascii="Times New Roman" w:hAnsi="Times New Roman"/>
          <w:i/>
          <w:iCs/>
          <w:sz w:val="24"/>
        </w:rPr>
        <w:t xml:space="preserve">the </w:t>
      </w:r>
      <w:r w:rsidR="00FD4CF2" w:rsidRPr="007E042A">
        <w:rPr>
          <w:rFonts w:ascii="Times New Roman" w:hAnsi="Times New Roman"/>
          <w:i/>
          <w:iCs/>
          <w:sz w:val="24"/>
        </w:rPr>
        <w:t xml:space="preserve">Environment </w:t>
      </w:r>
      <w:r w:rsidR="00FD4CF2" w:rsidRPr="007E042A">
        <w:rPr>
          <w:rFonts w:ascii="Times New Roman" w:hAnsi="Times New Roman"/>
          <w:sz w:val="24"/>
        </w:rPr>
        <w:t xml:space="preserve">(2025) 395 FLR 125. </w:t>
      </w:r>
    </w:p>
  </w:footnote>
  <w:footnote w:id="3">
    <w:p w14:paraId="3C6810B3" w14:textId="21C40EDC" w:rsidR="00E31825" w:rsidRPr="007E042A" w:rsidRDefault="00E31825"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8217EB" w:rsidRPr="007E042A">
        <w:rPr>
          <w:rFonts w:ascii="Times New Roman" w:hAnsi="Times New Roman"/>
          <w:sz w:val="24"/>
        </w:rPr>
        <w:tab/>
      </w:r>
      <w:r w:rsidR="00A46FDB" w:rsidRPr="007E042A">
        <w:rPr>
          <w:rFonts w:ascii="Times New Roman" w:hAnsi="Times New Roman"/>
          <w:i/>
          <w:iCs/>
          <w:sz w:val="24"/>
        </w:rPr>
        <w:t xml:space="preserve">Mpwerempwer Aboriginal Corporation RNTBC </w:t>
      </w:r>
      <w:r w:rsidR="005C5BFF" w:rsidRPr="007E042A">
        <w:rPr>
          <w:rFonts w:ascii="Times New Roman" w:hAnsi="Times New Roman"/>
          <w:i/>
          <w:iCs/>
          <w:sz w:val="24"/>
        </w:rPr>
        <w:t>v Minister for Territory Families and Urban Housing</w:t>
      </w:r>
      <w:r w:rsidR="00D701BC" w:rsidRPr="007E042A">
        <w:rPr>
          <w:rFonts w:ascii="Times New Roman" w:hAnsi="Times New Roman"/>
          <w:i/>
          <w:iCs/>
          <w:sz w:val="24"/>
        </w:rPr>
        <w:t xml:space="preserve"> </w:t>
      </w:r>
      <w:r w:rsidR="00D701BC" w:rsidRPr="007E042A">
        <w:rPr>
          <w:rFonts w:ascii="Times New Roman" w:hAnsi="Times New Roman"/>
          <w:sz w:val="24"/>
        </w:rPr>
        <w:t xml:space="preserve">(2024) </w:t>
      </w:r>
      <w:r w:rsidR="003744F0" w:rsidRPr="007E042A">
        <w:rPr>
          <w:rFonts w:ascii="Times New Roman" w:hAnsi="Times New Roman"/>
          <w:sz w:val="24"/>
        </w:rPr>
        <w:t xml:space="preserve">384 FLR 234. </w:t>
      </w:r>
    </w:p>
  </w:footnote>
  <w:footnote w:id="4">
    <w:p w14:paraId="6EC9466B" w14:textId="586156E0" w:rsidR="002F5FC5" w:rsidRPr="007E042A" w:rsidRDefault="002F5FC5"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Pr="007E042A">
        <w:rPr>
          <w:rFonts w:ascii="Times New Roman" w:hAnsi="Times New Roman"/>
          <w:sz w:val="24"/>
        </w:rPr>
        <w:tab/>
      </w:r>
      <w:r w:rsidRPr="007E042A">
        <w:rPr>
          <w:rFonts w:ascii="Times New Roman" w:hAnsi="Times New Roman"/>
          <w:i/>
          <w:iCs/>
          <w:sz w:val="24"/>
        </w:rPr>
        <w:t xml:space="preserve">Mpwerempwer Aboriginal Corporation RNTBC v Minister for Territory Families and Urban Housing as delegate of the Minister for the Environment </w:t>
      </w:r>
      <w:r w:rsidRPr="007E042A">
        <w:rPr>
          <w:rFonts w:ascii="Times New Roman" w:hAnsi="Times New Roman"/>
          <w:sz w:val="24"/>
        </w:rPr>
        <w:t xml:space="preserve">(2025) 395 FLR 125 at </w:t>
      </w:r>
      <w:r w:rsidR="00C904D5" w:rsidRPr="007E042A">
        <w:rPr>
          <w:rFonts w:ascii="Times New Roman" w:hAnsi="Times New Roman"/>
          <w:sz w:val="24"/>
        </w:rPr>
        <w:t xml:space="preserve">148 </w:t>
      </w:r>
      <w:r w:rsidRPr="007E042A">
        <w:rPr>
          <w:rFonts w:ascii="Times New Roman" w:hAnsi="Times New Roman"/>
          <w:sz w:val="24"/>
        </w:rPr>
        <w:t>[81].</w:t>
      </w:r>
    </w:p>
  </w:footnote>
  <w:footnote w:id="5">
    <w:p w14:paraId="11F706C6" w14:textId="2AEF949A" w:rsidR="002A21BE" w:rsidRPr="007E042A" w:rsidRDefault="002A21BE"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2D5BD9" w:rsidRPr="007E042A">
        <w:rPr>
          <w:rFonts w:ascii="Times New Roman" w:hAnsi="Times New Roman"/>
          <w:sz w:val="24"/>
        </w:rPr>
        <w:tab/>
      </w:r>
      <w:r w:rsidR="006818AC" w:rsidRPr="007E042A">
        <w:rPr>
          <w:rFonts w:ascii="Times New Roman" w:hAnsi="Times New Roman"/>
          <w:i/>
          <w:iCs/>
          <w:sz w:val="24"/>
        </w:rPr>
        <w:t xml:space="preserve">Minister for Immigration and Multicultural </w:t>
      </w:r>
      <w:r w:rsidR="00C955EB" w:rsidRPr="007E042A">
        <w:rPr>
          <w:rFonts w:ascii="Times New Roman" w:hAnsi="Times New Roman"/>
          <w:i/>
          <w:iCs/>
          <w:sz w:val="24"/>
        </w:rPr>
        <w:t>Affairs v Eshetu</w:t>
      </w:r>
      <w:r w:rsidR="00C955EB" w:rsidRPr="007E042A">
        <w:rPr>
          <w:rFonts w:ascii="Times New Roman" w:hAnsi="Times New Roman"/>
          <w:sz w:val="24"/>
        </w:rPr>
        <w:t xml:space="preserve"> (1999) 197 CLR 611 at 651 [130]</w:t>
      </w:r>
      <w:r w:rsidR="007914C5" w:rsidRPr="007E042A">
        <w:rPr>
          <w:rFonts w:ascii="Times New Roman" w:hAnsi="Times New Roman"/>
          <w:sz w:val="24"/>
        </w:rPr>
        <w:t>.</w:t>
      </w:r>
    </w:p>
  </w:footnote>
  <w:footnote w:id="6">
    <w:p w14:paraId="610603D2" w14:textId="102F0CD0" w:rsidR="009546FD" w:rsidRPr="007E042A" w:rsidRDefault="009546FD"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761B41" w:rsidRPr="007E042A">
        <w:rPr>
          <w:rFonts w:ascii="Times New Roman" w:hAnsi="Times New Roman"/>
          <w:sz w:val="24"/>
        </w:rPr>
        <w:tab/>
      </w:r>
      <w:r w:rsidR="000A02CA" w:rsidRPr="007E042A">
        <w:rPr>
          <w:rFonts w:ascii="Times New Roman" w:hAnsi="Times New Roman"/>
          <w:i/>
          <w:iCs/>
          <w:sz w:val="24"/>
        </w:rPr>
        <w:t xml:space="preserve">Mpwerempwer Aboriginal Corporation RNTBC v Minister for Territory Families and Urban Housing as delegate of the Minister for the Environment </w:t>
      </w:r>
      <w:r w:rsidR="000A02CA" w:rsidRPr="007E042A">
        <w:rPr>
          <w:rFonts w:ascii="Times New Roman" w:hAnsi="Times New Roman"/>
          <w:sz w:val="24"/>
        </w:rPr>
        <w:t xml:space="preserve">(2025) 395 FLR 125 </w:t>
      </w:r>
      <w:r w:rsidR="007161CC" w:rsidRPr="007E042A">
        <w:rPr>
          <w:rFonts w:ascii="Times New Roman" w:hAnsi="Times New Roman"/>
          <w:sz w:val="24"/>
        </w:rPr>
        <w:t xml:space="preserve">at </w:t>
      </w:r>
      <w:r w:rsidR="000A02CA" w:rsidRPr="007E042A">
        <w:rPr>
          <w:rFonts w:ascii="Times New Roman" w:hAnsi="Times New Roman"/>
          <w:sz w:val="24"/>
        </w:rPr>
        <w:t xml:space="preserve">151 </w:t>
      </w:r>
      <w:r w:rsidR="007161CC" w:rsidRPr="007E042A">
        <w:rPr>
          <w:rFonts w:ascii="Times New Roman" w:hAnsi="Times New Roman"/>
          <w:sz w:val="24"/>
        </w:rPr>
        <w:t>[95].</w:t>
      </w:r>
    </w:p>
  </w:footnote>
  <w:footnote w:id="7">
    <w:p w14:paraId="136012FB" w14:textId="330E5258" w:rsidR="00251CA9" w:rsidRPr="007E042A" w:rsidRDefault="00251CA9" w:rsidP="007E042A">
      <w:pPr>
        <w:pStyle w:val="FootnoteText"/>
        <w:spacing w:line="280" w:lineRule="exact"/>
        <w:ind w:right="0"/>
        <w:jc w:val="both"/>
        <w:rPr>
          <w:rFonts w:ascii="Times New Roman" w:hAnsi="Times New Roman"/>
          <w:i/>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1159AD" w:rsidRPr="007E042A">
        <w:rPr>
          <w:rFonts w:ascii="Times New Roman" w:hAnsi="Times New Roman"/>
          <w:sz w:val="24"/>
        </w:rPr>
        <w:tab/>
      </w:r>
      <w:r w:rsidR="001159AD" w:rsidRPr="007E042A">
        <w:rPr>
          <w:rFonts w:ascii="Times New Roman" w:hAnsi="Times New Roman"/>
          <w:i/>
          <w:iCs/>
          <w:sz w:val="24"/>
        </w:rPr>
        <w:t>MZAPC v Minister</w:t>
      </w:r>
      <w:r w:rsidR="0045361E" w:rsidRPr="007E042A">
        <w:rPr>
          <w:rFonts w:ascii="Times New Roman" w:hAnsi="Times New Roman"/>
          <w:i/>
          <w:iCs/>
          <w:sz w:val="24"/>
        </w:rPr>
        <w:t xml:space="preserve"> for Immigration and Border Protection</w:t>
      </w:r>
      <w:r w:rsidR="0045361E" w:rsidRPr="007E042A">
        <w:rPr>
          <w:rFonts w:ascii="Times New Roman" w:hAnsi="Times New Roman"/>
          <w:sz w:val="24"/>
        </w:rPr>
        <w:t xml:space="preserve"> </w:t>
      </w:r>
      <w:r w:rsidR="00DE3758" w:rsidRPr="007E042A">
        <w:rPr>
          <w:rFonts w:ascii="Times New Roman" w:hAnsi="Times New Roman"/>
          <w:sz w:val="24"/>
        </w:rPr>
        <w:t xml:space="preserve">(2021) 273 CLR 506 at </w:t>
      </w:r>
      <w:r w:rsidR="00993DFB" w:rsidRPr="007E042A">
        <w:rPr>
          <w:rFonts w:ascii="Times New Roman" w:hAnsi="Times New Roman"/>
          <w:sz w:val="24"/>
        </w:rPr>
        <w:t>52</w:t>
      </w:r>
      <w:r w:rsidR="008952B1" w:rsidRPr="007E042A">
        <w:rPr>
          <w:rFonts w:ascii="Times New Roman" w:hAnsi="Times New Roman"/>
          <w:sz w:val="24"/>
        </w:rPr>
        <w:t>4</w:t>
      </w:r>
      <w:r w:rsidR="00993DFB" w:rsidRPr="007E042A">
        <w:rPr>
          <w:rFonts w:ascii="Times New Roman" w:hAnsi="Times New Roman"/>
          <w:sz w:val="24"/>
        </w:rPr>
        <w:t xml:space="preserve"> [3</w:t>
      </w:r>
      <w:r w:rsidR="008952B1" w:rsidRPr="007E042A">
        <w:rPr>
          <w:rFonts w:ascii="Times New Roman" w:hAnsi="Times New Roman"/>
          <w:sz w:val="24"/>
        </w:rPr>
        <w:t>8</w:t>
      </w:r>
      <w:r w:rsidR="00993DFB" w:rsidRPr="007E042A">
        <w:rPr>
          <w:rFonts w:ascii="Times New Roman" w:hAnsi="Times New Roman"/>
          <w:sz w:val="24"/>
        </w:rPr>
        <w:t>]</w:t>
      </w:r>
      <w:r w:rsidR="00FB12D0" w:rsidRPr="007E042A">
        <w:rPr>
          <w:rFonts w:ascii="Times New Roman" w:hAnsi="Times New Roman"/>
          <w:sz w:val="24"/>
        </w:rPr>
        <w:t xml:space="preserve"> (footnote omitted)</w:t>
      </w:r>
      <w:r w:rsidR="00993DFB" w:rsidRPr="007E042A">
        <w:rPr>
          <w:rFonts w:ascii="Times New Roman" w:hAnsi="Times New Roman"/>
          <w:sz w:val="24"/>
        </w:rPr>
        <w:t>.</w:t>
      </w:r>
      <w:r w:rsidR="00437DF6" w:rsidRPr="007E042A">
        <w:rPr>
          <w:rFonts w:ascii="Times New Roman" w:hAnsi="Times New Roman"/>
          <w:sz w:val="24"/>
        </w:rPr>
        <w:t xml:space="preserve"> See also </w:t>
      </w:r>
      <w:r w:rsidR="009A1F6E" w:rsidRPr="007E042A">
        <w:rPr>
          <w:rFonts w:ascii="Times New Roman" w:hAnsi="Times New Roman"/>
          <w:i/>
          <w:iCs/>
          <w:sz w:val="24"/>
        </w:rPr>
        <w:t>R</w:t>
      </w:r>
      <w:r w:rsidR="00AE7738" w:rsidRPr="007E042A">
        <w:rPr>
          <w:rFonts w:ascii="Times New Roman" w:hAnsi="Times New Roman"/>
          <w:i/>
          <w:iCs/>
          <w:sz w:val="24"/>
        </w:rPr>
        <w:t xml:space="preserve"> v Australian Stevedoring Industry Board</w:t>
      </w:r>
      <w:r w:rsidR="001E49DE" w:rsidRPr="007E042A">
        <w:rPr>
          <w:rFonts w:ascii="Times New Roman" w:hAnsi="Times New Roman"/>
          <w:i/>
          <w:iCs/>
          <w:sz w:val="24"/>
        </w:rPr>
        <w:t xml:space="preserve">; Ex </w:t>
      </w:r>
      <w:r w:rsidR="001E49DE" w:rsidRPr="007E042A">
        <w:rPr>
          <w:rFonts w:ascii="Times New Roman" w:hAnsi="Times New Roman"/>
          <w:i/>
          <w:iCs/>
          <w:sz w:val="24"/>
        </w:rPr>
        <w:t xml:space="preserve">parte Melbourne Stevedoring Co Pty Ltd </w:t>
      </w:r>
      <w:r w:rsidR="001E49DE" w:rsidRPr="007E042A">
        <w:rPr>
          <w:rFonts w:ascii="Times New Roman" w:hAnsi="Times New Roman"/>
          <w:sz w:val="24"/>
        </w:rPr>
        <w:t xml:space="preserve">(1953) 88 CLR </w:t>
      </w:r>
      <w:r w:rsidR="00803605" w:rsidRPr="007E042A">
        <w:rPr>
          <w:rFonts w:ascii="Times New Roman" w:hAnsi="Times New Roman"/>
          <w:sz w:val="24"/>
        </w:rPr>
        <w:t>100</w:t>
      </w:r>
      <w:r w:rsidR="001E49DE" w:rsidRPr="007E042A">
        <w:rPr>
          <w:rFonts w:ascii="Times New Roman" w:hAnsi="Times New Roman"/>
          <w:sz w:val="24"/>
        </w:rPr>
        <w:t xml:space="preserve"> at </w:t>
      </w:r>
      <w:r w:rsidR="003662B7" w:rsidRPr="007E042A">
        <w:rPr>
          <w:rFonts w:ascii="Times New Roman" w:hAnsi="Times New Roman"/>
          <w:sz w:val="24"/>
        </w:rPr>
        <w:t>120.</w:t>
      </w:r>
    </w:p>
  </w:footnote>
  <w:footnote w:id="8">
    <w:p w14:paraId="111B5228" w14:textId="1EE507FB" w:rsidR="002F198E" w:rsidRPr="007E042A" w:rsidRDefault="002F198E"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993DFB" w:rsidRPr="007E042A">
        <w:rPr>
          <w:rFonts w:ascii="Times New Roman" w:hAnsi="Times New Roman"/>
          <w:sz w:val="24"/>
        </w:rPr>
        <w:tab/>
      </w:r>
      <w:r w:rsidR="00993DFB" w:rsidRPr="007E042A">
        <w:rPr>
          <w:rFonts w:ascii="Times New Roman" w:hAnsi="Times New Roman"/>
          <w:i/>
          <w:iCs/>
          <w:sz w:val="24"/>
        </w:rPr>
        <w:t>MZAPC v Minister for Immigration and Border Protection</w:t>
      </w:r>
      <w:r w:rsidR="00993DFB" w:rsidRPr="007E042A">
        <w:rPr>
          <w:rFonts w:ascii="Times New Roman" w:hAnsi="Times New Roman"/>
          <w:sz w:val="24"/>
        </w:rPr>
        <w:t xml:space="preserve"> (2021) 273 CLR 506 at</w:t>
      </w:r>
      <w:r w:rsidR="00A71A4C" w:rsidRPr="007E042A">
        <w:rPr>
          <w:rFonts w:ascii="Times New Roman" w:hAnsi="Times New Roman"/>
          <w:sz w:val="24"/>
        </w:rPr>
        <w:t xml:space="preserve"> 524 [39]</w:t>
      </w:r>
      <w:r w:rsidR="00ED4E49" w:rsidRPr="007E042A">
        <w:rPr>
          <w:rFonts w:ascii="Times New Roman" w:hAnsi="Times New Roman"/>
          <w:sz w:val="24"/>
        </w:rPr>
        <w:t>.</w:t>
      </w:r>
      <w:r w:rsidR="00A71A4C" w:rsidRPr="007E042A">
        <w:rPr>
          <w:rFonts w:ascii="Times New Roman" w:hAnsi="Times New Roman"/>
          <w:sz w:val="24"/>
        </w:rPr>
        <w:t xml:space="preserve"> </w:t>
      </w:r>
    </w:p>
  </w:footnote>
  <w:footnote w:id="9">
    <w:p w14:paraId="70D51243" w14:textId="69B2ADC5" w:rsidR="00BB35FB" w:rsidRPr="007E042A" w:rsidRDefault="00BB35FB"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D8799E" w:rsidRPr="007E042A">
        <w:rPr>
          <w:rFonts w:ascii="Times New Roman" w:hAnsi="Times New Roman"/>
          <w:sz w:val="24"/>
        </w:rPr>
        <w:tab/>
        <w:t xml:space="preserve">Compare </w:t>
      </w:r>
      <w:r w:rsidR="0079637E" w:rsidRPr="007E042A">
        <w:rPr>
          <w:rFonts w:ascii="Times New Roman" w:hAnsi="Times New Roman"/>
          <w:i/>
          <w:iCs/>
          <w:sz w:val="24"/>
        </w:rPr>
        <w:t xml:space="preserve">Duncan v Independent Commission </w:t>
      </w:r>
      <w:r w:rsidR="00785C60" w:rsidRPr="007E042A">
        <w:rPr>
          <w:rFonts w:ascii="Times New Roman" w:hAnsi="Times New Roman"/>
          <w:i/>
          <w:iCs/>
          <w:sz w:val="24"/>
        </w:rPr>
        <w:t xml:space="preserve">Against </w:t>
      </w:r>
      <w:r w:rsidR="0079637E" w:rsidRPr="007E042A">
        <w:rPr>
          <w:rFonts w:ascii="Times New Roman" w:hAnsi="Times New Roman"/>
          <w:i/>
          <w:iCs/>
          <w:sz w:val="24"/>
        </w:rPr>
        <w:t>Corruption</w:t>
      </w:r>
      <w:r w:rsidR="0079637E" w:rsidRPr="007E042A">
        <w:rPr>
          <w:rFonts w:ascii="Times New Roman" w:hAnsi="Times New Roman"/>
          <w:sz w:val="24"/>
        </w:rPr>
        <w:t xml:space="preserve"> </w:t>
      </w:r>
      <w:r w:rsidR="00030462" w:rsidRPr="007E042A">
        <w:rPr>
          <w:rFonts w:ascii="Times New Roman" w:hAnsi="Times New Roman"/>
          <w:sz w:val="24"/>
        </w:rPr>
        <w:t>(2015) 256 CLR 83 at 100 [35].</w:t>
      </w:r>
    </w:p>
  </w:footnote>
  <w:footnote w:id="10">
    <w:p w14:paraId="6F9B551D" w14:textId="27829AD6" w:rsidR="00213CC7" w:rsidRPr="007E042A" w:rsidRDefault="00213CC7"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B80FEE" w:rsidRPr="007E042A">
        <w:rPr>
          <w:rFonts w:ascii="Times New Roman" w:hAnsi="Times New Roman"/>
          <w:sz w:val="24"/>
        </w:rPr>
        <w:tab/>
      </w:r>
      <w:r w:rsidR="00FC2ABF" w:rsidRPr="007E042A">
        <w:rPr>
          <w:rFonts w:ascii="Times New Roman" w:hAnsi="Times New Roman"/>
          <w:i/>
          <w:iCs/>
          <w:sz w:val="24"/>
        </w:rPr>
        <w:t xml:space="preserve">Re Minister for Immigration and Multicultural and Indigenous Affairs; Ex </w:t>
      </w:r>
      <w:r w:rsidR="00FC2ABF" w:rsidRPr="007E042A">
        <w:rPr>
          <w:rFonts w:ascii="Times New Roman" w:hAnsi="Times New Roman"/>
          <w:i/>
          <w:iCs/>
          <w:sz w:val="24"/>
        </w:rPr>
        <w:t>parte Palme</w:t>
      </w:r>
      <w:r w:rsidR="00FC2ABF" w:rsidRPr="007E042A">
        <w:rPr>
          <w:rFonts w:ascii="Times New Roman" w:hAnsi="Times New Roman"/>
          <w:sz w:val="24"/>
        </w:rPr>
        <w:t xml:space="preserve"> (2003) </w:t>
      </w:r>
      <w:r w:rsidR="00C51151" w:rsidRPr="007E042A">
        <w:rPr>
          <w:rFonts w:ascii="Times New Roman" w:hAnsi="Times New Roman"/>
          <w:sz w:val="24"/>
        </w:rPr>
        <w:t>216 CLR 212 at 224 [40].</w:t>
      </w:r>
    </w:p>
  </w:footnote>
  <w:footnote w:id="11">
    <w:p w14:paraId="6206F100" w14:textId="19452480" w:rsidR="00E268AD" w:rsidRPr="007E042A" w:rsidRDefault="00E268AD"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5D2598" w:rsidRPr="007E042A">
        <w:rPr>
          <w:rFonts w:ascii="Times New Roman" w:hAnsi="Times New Roman"/>
          <w:sz w:val="24"/>
        </w:rPr>
        <w:tab/>
      </w:r>
      <w:r w:rsidR="0070262F" w:rsidRPr="007E042A">
        <w:rPr>
          <w:rFonts w:ascii="Times New Roman" w:hAnsi="Times New Roman"/>
          <w:i/>
          <w:iCs/>
          <w:sz w:val="24"/>
        </w:rPr>
        <w:t>Minister for Immigration and Multicultural Affairs v Yusuf</w:t>
      </w:r>
      <w:r w:rsidR="0070262F" w:rsidRPr="007E042A">
        <w:rPr>
          <w:rFonts w:ascii="Times New Roman" w:hAnsi="Times New Roman"/>
          <w:sz w:val="24"/>
        </w:rPr>
        <w:t xml:space="preserve"> </w:t>
      </w:r>
      <w:r w:rsidR="00B80FEE" w:rsidRPr="007E042A">
        <w:rPr>
          <w:rFonts w:ascii="Times New Roman" w:hAnsi="Times New Roman"/>
          <w:sz w:val="24"/>
        </w:rPr>
        <w:t>(2001) 206 CLR 323 at 346 [69]</w:t>
      </w:r>
      <w:r w:rsidR="00FA6E50" w:rsidRPr="007E042A">
        <w:rPr>
          <w:rFonts w:ascii="Times New Roman" w:hAnsi="Times New Roman"/>
          <w:sz w:val="24"/>
        </w:rPr>
        <w:t>. See also</w:t>
      </w:r>
      <w:r w:rsidR="0000441A" w:rsidRPr="007E042A">
        <w:rPr>
          <w:rFonts w:ascii="Times New Roman" w:hAnsi="Times New Roman"/>
          <w:sz w:val="24"/>
        </w:rPr>
        <w:t xml:space="preserve"> </w:t>
      </w:r>
      <w:r w:rsidR="0000441A" w:rsidRPr="007E042A">
        <w:rPr>
          <w:rFonts w:ascii="Times New Roman" w:hAnsi="Times New Roman"/>
          <w:i/>
          <w:iCs/>
          <w:sz w:val="24"/>
        </w:rPr>
        <w:t>LPDT v Minister for Immigration, Citizenship, Migrant Services and Multicultural Affairs</w:t>
      </w:r>
      <w:r w:rsidR="0000441A" w:rsidRPr="007E042A">
        <w:rPr>
          <w:rFonts w:ascii="Times New Roman" w:hAnsi="Times New Roman"/>
          <w:sz w:val="24"/>
        </w:rPr>
        <w:t xml:space="preserve"> (2024) 280 CLR 321 at 328 [12].</w:t>
      </w:r>
    </w:p>
  </w:footnote>
  <w:footnote w:id="12">
    <w:p w14:paraId="79F6F14C" w14:textId="269D296E" w:rsidR="00AE4FF5" w:rsidRPr="007E042A" w:rsidRDefault="00AE4FF5"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8B2BD9" w:rsidRPr="007E042A">
        <w:rPr>
          <w:rFonts w:ascii="Times New Roman" w:hAnsi="Times New Roman"/>
          <w:sz w:val="24"/>
        </w:rPr>
        <w:tab/>
      </w:r>
      <w:r w:rsidR="008A3627" w:rsidRPr="007E042A">
        <w:rPr>
          <w:rFonts w:ascii="Times New Roman" w:hAnsi="Times New Roman"/>
          <w:i/>
          <w:iCs/>
          <w:sz w:val="24"/>
        </w:rPr>
        <w:t>G v H</w:t>
      </w:r>
      <w:r w:rsidR="008A3627" w:rsidRPr="007E042A">
        <w:rPr>
          <w:rFonts w:ascii="Times New Roman" w:hAnsi="Times New Roman"/>
          <w:sz w:val="24"/>
        </w:rPr>
        <w:t xml:space="preserve"> (1994) 181 CLR 387 at 390.</w:t>
      </w:r>
    </w:p>
  </w:footnote>
  <w:footnote w:id="13">
    <w:p w14:paraId="42F40232" w14:textId="43F49E27" w:rsidR="00C41E12" w:rsidRPr="007E042A" w:rsidRDefault="00C41E12"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7A7BDA" w:rsidRPr="007E042A">
        <w:rPr>
          <w:rFonts w:ascii="Times New Roman" w:hAnsi="Times New Roman"/>
          <w:sz w:val="24"/>
        </w:rPr>
        <w:tab/>
      </w:r>
      <w:r w:rsidR="007A7BDA" w:rsidRPr="007E042A">
        <w:rPr>
          <w:rFonts w:ascii="Times New Roman" w:hAnsi="Times New Roman"/>
          <w:i/>
          <w:iCs/>
          <w:sz w:val="24"/>
        </w:rPr>
        <w:t>Statute Law Amendment (Territory Economic Reconstruction) Act 2021</w:t>
      </w:r>
      <w:r w:rsidR="007A7BDA" w:rsidRPr="007E042A">
        <w:rPr>
          <w:rFonts w:ascii="Times New Roman" w:hAnsi="Times New Roman"/>
          <w:sz w:val="24"/>
        </w:rPr>
        <w:t xml:space="preserve"> (NT).</w:t>
      </w:r>
    </w:p>
  </w:footnote>
  <w:footnote w:id="14">
    <w:p w14:paraId="37BA39F5" w14:textId="4EC3ADED" w:rsidR="007E6B14" w:rsidRPr="007E042A" w:rsidRDefault="007E6B14"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2434A5" w:rsidRPr="007E042A">
        <w:rPr>
          <w:rFonts w:ascii="Times New Roman" w:hAnsi="Times New Roman"/>
          <w:sz w:val="24"/>
        </w:rPr>
        <w:tab/>
      </w:r>
      <w:r w:rsidR="002434A5" w:rsidRPr="007E042A">
        <w:rPr>
          <w:rFonts w:ascii="Times New Roman" w:hAnsi="Times New Roman"/>
          <w:i/>
          <w:iCs/>
          <w:sz w:val="24"/>
        </w:rPr>
        <w:t>LPDT v Minister for Immigration, Citizenship, Migrant Services and Multicultural Affairs</w:t>
      </w:r>
      <w:r w:rsidR="002434A5" w:rsidRPr="007E042A">
        <w:rPr>
          <w:rFonts w:ascii="Times New Roman" w:hAnsi="Times New Roman"/>
          <w:sz w:val="24"/>
        </w:rPr>
        <w:t xml:space="preserve"> (2024) 280 CLR 321 at 32</w:t>
      </w:r>
      <w:r w:rsidR="00A229F7" w:rsidRPr="007E042A">
        <w:rPr>
          <w:rFonts w:ascii="Times New Roman" w:hAnsi="Times New Roman"/>
          <w:sz w:val="24"/>
        </w:rPr>
        <w:t>5</w:t>
      </w:r>
      <w:r w:rsidR="002434A5" w:rsidRPr="007E042A">
        <w:rPr>
          <w:rFonts w:ascii="Times New Roman" w:hAnsi="Times New Roman"/>
          <w:sz w:val="24"/>
        </w:rPr>
        <w:t xml:space="preserve"> [2]</w:t>
      </w:r>
      <w:r w:rsidR="00A229F7" w:rsidRPr="007E042A">
        <w:rPr>
          <w:rFonts w:ascii="Times New Roman" w:hAnsi="Times New Roman"/>
          <w:sz w:val="24"/>
        </w:rPr>
        <w:t xml:space="preserve">, quoting </w:t>
      </w:r>
      <w:r w:rsidR="00CB174F" w:rsidRPr="007E042A">
        <w:rPr>
          <w:rFonts w:ascii="Times New Roman" w:hAnsi="Times New Roman"/>
          <w:i/>
          <w:iCs/>
          <w:sz w:val="24"/>
        </w:rPr>
        <w:t>Minister for Immigration and Multicultural Affairs v Bhardwaj</w:t>
      </w:r>
      <w:r w:rsidR="00CB174F" w:rsidRPr="007E042A">
        <w:rPr>
          <w:rFonts w:ascii="Times New Roman" w:hAnsi="Times New Roman"/>
          <w:sz w:val="24"/>
        </w:rPr>
        <w:t xml:space="preserve"> (2002) 209 CLR </w:t>
      </w:r>
      <w:r w:rsidR="00C77A6A" w:rsidRPr="007E042A">
        <w:rPr>
          <w:rFonts w:ascii="Times New Roman" w:hAnsi="Times New Roman"/>
          <w:sz w:val="24"/>
        </w:rPr>
        <w:t>597 at 616 [53].</w:t>
      </w:r>
    </w:p>
  </w:footnote>
  <w:footnote w:id="15">
    <w:p w14:paraId="6A4E9ABC" w14:textId="2A989F42" w:rsidR="00184A26" w:rsidRPr="007E042A" w:rsidRDefault="00184A26"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513E19" w:rsidRPr="007E042A">
        <w:rPr>
          <w:rFonts w:ascii="Times New Roman" w:hAnsi="Times New Roman"/>
          <w:sz w:val="24"/>
        </w:rPr>
        <w:tab/>
      </w:r>
      <w:r w:rsidR="00513E19" w:rsidRPr="007E042A">
        <w:rPr>
          <w:rFonts w:ascii="Times New Roman" w:hAnsi="Times New Roman"/>
          <w:i/>
          <w:iCs/>
          <w:sz w:val="24"/>
        </w:rPr>
        <w:t xml:space="preserve">LPDT v Minister for </w:t>
      </w:r>
      <w:r w:rsidR="003E256E" w:rsidRPr="007E042A">
        <w:rPr>
          <w:rFonts w:ascii="Times New Roman" w:hAnsi="Times New Roman"/>
          <w:i/>
          <w:iCs/>
          <w:sz w:val="24"/>
        </w:rPr>
        <w:t>Immigration, Citizenship, Migrant Services and Multicultural Affairs</w:t>
      </w:r>
      <w:r w:rsidR="003E256E" w:rsidRPr="007E042A">
        <w:rPr>
          <w:rFonts w:ascii="Times New Roman" w:hAnsi="Times New Roman"/>
          <w:sz w:val="24"/>
        </w:rPr>
        <w:t xml:space="preserve"> (2024) 280 CLR 321 at </w:t>
      </w:r>
      <w:r w:rsidR="00D23750" w:rsidRPr="007E042A">
        <w:rPr>
          <w:rFonts w:ascii="Times New Roman" w:hAnsi="Times New Roman"/>
          <w:sz w:val="24"/>
        </w:rPr>
        <w:t>327 [6].</w:t>
      </w:r>
    </w:p>
  </w:footnote>
  <w:footnote w:id="16">
    <w:p w14:paraId="08DF8919" w14:textId="567E24E2" w:rsidR="003C3AD9" w:rsidRPr="007E042A" w:rsidRDefault="003C3AD9"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3A3334" w:rsidRPr="007E042A">
        <w:rPr>
          <w:rFonts w:ascii="Times New Roman" w:hAnsi="Times New Roman"/>
          <w:sz w:val="24"/>
        </w:rPr>
        <w:tab/>
      </w:r>
      <w:r w:rsidR="000F73CB" w:rsidRPr="007E042A">
        <w:rPr>
          <w:rFonts w:ascii="Times New Roman" w:hAnsi="Times New Roman"/>
          <w:sz w:val="24"/>
        </w:rPr>
        <w:t xml:space="preserve">Compare </w:t>
      </w:r>
      <w:r w:rsidR="003A3334" w:rsidRPr="007E042A">
        <w:rPr>
          <w:rFonts w:ascii="Times New Roman" w:hAnsi="Times New Roman"/>
          <w:i/>
          <w:iCs/>
          <w:sz w:val="24"/>
        </w:rPr>
        <w:t>LPDT v Minister for Immigration, Citizenship, Migrant Services and Multicultural Affairs</w:t>
      </w:r>
      <w:r w:rsidR="003A3334" w:rsidRPr="007E042A">
        <w:rPr>
          <w:rFonts w:ascii="Times New Roman" w:hAnsi="Times New Roman"/>
          <w:sz w:val="24"/>
        </w:rPr>
        <w:t xml:space="preserve"> (2024) 280 CLR 321 at 328 [12]</w:t>
      </w:r>
      <w:r w:rsidR="000F73CB" w:rsidRPr="007E042A">
        <w:rPr>
          <w:rFonts w:ascii="Times New Roman" w:hAnsi="Times New Roman"/>
          <w:sz w:val="24"/>
        </w:rPr>
        <w:t>;</w:t>
      </w:r>
      <w:r w:rsidR="00EF3727" w:rsidRPr="007E042A">
        <w:rPr>
          <w:rFonts w:ascii="Times New Roman" w:hAnsi="Times New Roman"/>
          <w:sz w:val="24"/>
        </w:rPr>
        <w:t xml:space="preserve"> </w:t>
      </w:r>
      <w:r w:rsidR="00EF3727" w:rsidRPr="007E042A">
        <w:rPr>
          <w:rFonts w:ascii="Times New Roman" w:hAnsi="Times New Roman"/>
          <w:i/>
          <w:iCs/>
          <w:sz w:val="24"/>
        </w:rPr>
        <w:t>MZAPC v Minister for Immigration and Border Protection</w:t>
      </w:r>
      <w:r w:rsidR="00EF3727" w:rsidRPr="007E042A">
        <w:rPr>
          <w:rFonts w:ascii="Times New Roman" w:hAnsi="Times New Roman"/>
          <w:sz w:val="24"/>
        </w:rPr>
        <w:t xml:space="preserve"> (2021) 273 CLR 506 at 522 [33].</w:t>
      </w:r>
    </w:p>
  </w:footnote>
  <w:footnote w:id="17">
    <w:p w14:paraId="19C740CB" w14:textId="1F4E654F" w:rsidR="00C81013" w:rsidRPr="007E042A" w:rsidRDefault="00C81013"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6661C6" w:rsidRPr="007E042A">
        <w:rPr>
          <w:rFonts w:ascii="Times New Roman" w:hAnsi="Times New Roman"/>
          <w:sz w:val="24"/>
        </w:rPr>
        <w:tab/>
      </w:r>
      <w:r w:rsidR="006661C6" w:rsidRPr="007E042A">
        <w:rPr>
          <w:rFonts w:ascii="Times New Roman" w:hAnsi="Times New Roman"/>
          <w:i/>
          <w:iCs/>
          <w:sz w:val="24"/>
        </w:rPr>
        <w:t>Wingfoot Aust</w:t>
      </w:r>
      <w:r w:rsidR="00982233" w:rsidRPr="007E042A">
        <w:rPr>
          <w:rFonts w:ascii="Times New Roman" w:hAnsi="Times New Roman"/>
          <w:i/>
          <w:iCs/>
          <w:sz w:val="24"/>
        </w:rPr>
        <w:t>ralia</w:t>
      </w:r>
      <w:r w:rsidR="006661C6" w:rsidRPr="007E042A">
        <w:rPr>
          <w:rFonts w:ascii="Times New Roman" w:hAnsi="Times New Roman"/>
          <w:i/>
          <w:iCs/>
          <w:sz w:val="24"/>
        </w:rPr>
        <w:t xml:space="preserve"> Partners </w:t>
      </w:r>
      <w:r w:rsidR="00982233" w:rsidRPr="007E042A">
        <w:rPr>
          <w:rFonts w:ascii="Times New Roman" w:hAnsi="Times New Roman"/>
          <w:i/>
          <w:iCs/>
          <w:sz w:val="24"/>
        </w:rPr>
        <w:t>Pty Ltd</w:t>
      </w:r>
      <w:r w:rsidR="006661C6" w:rsidRPr="007E042A">
        <w:rPr>
          <w:rFonts w:ascii="Times New Roman" w:hAnsi="Times New Roman"/>
          <w:i/>
          <w:iCs/>
          <w:sz w:val="24"/>
        </w:rPr>
        <w:t xml:space="preserve"> v Kocak</w:t>
      </w:r>
      <w:r w:rsidR="00E47574" w:rsidRPr="007E042A">
        <w:rPr>
          <w:rFonts w:ascii="Times New Roman" w:hAnsi="Times New Roman"/>
          <w:i/>
          <w:iCs/>
          <w:sz w:val="24"/>
        </w:rPr>
        <w:t xml:space="preserve"> </w:t>
      </w:r>
      <w:r w:rsidR="003D0026" w:rsidRPr="007E042A">
        <w:rPr>
          <w:rFonts w:ascii="Times New Roman" w:hAnsi="Times New Roman"/>
          <w:sz w:val="24"/>
        </w:rPr>
        <w:t xml:space="preserve">(2013) </w:t>
      </w:r>
      <w:r w:rsidR="00EA2BBD" w:rsidRPr="007E042A">
        <w:rPr>
          <w:rFonts w:ascii="Times New Roman" w:hAnsi="Times New Roman"/>
          <w:sz w:val="24"/>
        </w:rPr>
        <w:t xml:space="preserve">252 CLR 480 </w:t>
      </w:r>
      <w:r w:rsidR="00E47574" w:rsidRPr="007E042A">
        <w:rPr>
          <w:rFonts w:ascii="Times New Roman" w:hAnsi="Times New Roman"/>
          <w:sz w:val="24"/>
        </w:rPr>
        <w:t xml:space="preserve">at 492 </w:t>
      </w:r>
      <w:r w:rsidR="00805BE0" w:rsidRPr="007E042A">
        <w:rPr>
          <w:rFonts w:ascii="Times New Roman" w:hAnsi="Times New Roman"/>
          <w:sz w:val="24"/>
        </w:rPr>
        <w:t>[26].</w:t>
      </w:r>
    </w:p>
  </w:footnote>
  <w:footnote w:id="18">
    <w:p w14:paraId="5903B5E2" w14:textId="74C49117" w:rsidR="00A656B0" w:rsidRPr="007E042A" w:rsidRDefault="00A656B0" w:rsidP="007E042A">
      <w:pPr>
        <w:pStyle w:val="FootnoteText"/>
        <w:spacing w:line="280" w:lineRule="exact"/>
        <w:ind w:right="0"/>
        <w:jc w:val="both"/>
        <w:rPr>
          <w:rFonts w:ascii="Times New Roman" w:hAnsi="Times New Roman"/>
          <w:sz w:val="24"/>
        </w:rPr>
      </w:pPr>
      <w:r w:rsidRPr="007E042A">
        <w:rPr>
          <w:rStyle w:val="FootnoteReference"/>
          <w:rFonts w:ascii="Times New Roman" w:hAnsi="Times New Roman"/>
          <w:sz w:val="22"/>
          <w:vertAlign w:val="baseline"/>
        </w:rPr>
        <w:footnoteRef/>
      </w:r>
      <w:r w:rsidRPr="007E042A">
        <w:rPr>
          <w:rFonts w:ascii="Times New Roman" w:hAnsi="Times New Roman"/>
          <w:sz w:val="24"/>
        </w:rPr>
        <w:t xml:space="preserve"> </w:t>
      </w:r>
      <w:r w:rsidR="00555E6E" w:rsidRPr="007E042A">
        <w:rPr>
          <w:rFonts w:ascii="Times New Roman" w:hAnsi="Times New Roman"/>
          <w:sz w:val="24"/>
        </w:rPr>
        <w:tab/>
      </w:r>
      <w:r w:rsidR="00EE7890" w:rsidRPr="007E042A">
        <w:rPr>
          <w:rFonts w:ascii="Times New Roman" w:hAnsi="Times New Roman"/>
          <w:i/>
          <w:iCs/>
          <w:sz w:val="24"/>
        </w:rPr>
        <w:t xml:space="preserve">R v War Pensions Entitlement Appeal Tribunal; Ex </w:t>
      </w:r>
      <w:r w:rsidR="00EE7890" w:rsidRPr="007E042A">
        <w:rPr>
          <w:rFonts w:ascii="Times New Roman" w:hAnsi="Times New Roman"/>
          <w:i/>
          <w:iCs/>
          <w:sz w:val="24"/>
        </w:rPr>
        <w:t xml:space="preserve">parte Bott </w:t>
      </w:r>
      <w:r w:rsidR="00EE7890" w:rsidRPr="007E042A">
        <w:rPr>
          <w:rFonts w:ascii="Times New Roman" w:hAnsi="Times New Roman"/>
          <w:sz w:val="24"/>
        </w:rPr>
        <w:t>(1</w:t>
      </w:r>
      <w:r w:rsidR="006E7770" w:rsidRPr="007E042A">
        <w:rPr>
          <w:rFonts w:ascii="Times New Roman" w:hAnsi="Times New Roman"/>
          <w:sz w:val="24"/>
        </w:rPr>
        <w:t xml:space="preserve">933) 50 CLR 228 at </w:t>
      </w:r>
      <w:r w:rsidR="00DA72B2" w:rsidRPr="007E042A">
        <w:rPr>
          <w:rFonts w:ascii="Times New Roman" w:hAnsi="Times New Roman"/>
          <w:sz w:val="24"/>
        </w:rPr>
        <w:t>242.</w:t>
      </w:r>
    </w:p>
  </w:footnote>
  <w:footnote w:id="19">
    <w:p w14:paraId="7466AE06"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 xml:space="preserve">See </w:t>
      </w:r>
      <w:r w:rsidRPr="00CA793D">
        <w:rPr>
          <w:rFonts w:ascii="Times New Roman" w:hAnsi="Times New Roman"/>
          <w:i/>
          <w:iCs/>
          <w:sz w:val="24"/>
        </w:rPr>
        <w:t>Native Title Act 1993</w:t>
      </w:r>
      <w:r w:rsidRPr="00CA793D">
        <w:rPr>
          <w:rFonts w:ascii="Times New Roman" w:hAnsi="Times New Roman"/>
          <w:sz w:val="24"/>
        </w:rPr>
        <w:t xml:space="preserve"> (</w:t>
      </w:r>
      <w:r w:rsidRPr="00CA793D">
        <w:rPr>
          <w:rFonts w:ascii="Times New Roman" w:hAnsi="Times New Roman"/>
          <w:sz w:val="24"/>
        </w:rPr>
        <w:t xml:space="preserve">Cth), s 57(2) and </w:t>
      </w:r>
      <w:r w:rsidRPr="00CA793D">
        <w:rPr>
          <w:rFonts w:ascii="Times New Roman" w:hAnsi="Times New Roman"/>
          <w:i/>
          <w:iCs/>
          <w:sz w:val="24"/>
        </w:rPr>
        <w:t>Rex on behalf of the Akwerlpe-Waake, Iliyarne, Lyentyawel Ileparranem and Arrawatyen People v Northern Territory</w:t>
      </w:r>
      <w:r w:rsidRPr="00CA793D" w:rsidDel="00EF1C79">
        <w:rPr>
          <w:rFonts w:ascii="Times New Roman" w:hAnsi="Times New Roman"/>
          <w:i/>
          <w:iCs/>
          <w:sz w:val="24"/>
        </w:rPr>
        <w:t xml:space="preserve"> </w:t>
      </w:r>
      <w:r w:rsidRPr="00CA793D">
        <w:rPr>
          <w:rFonts w:ascii="Times New Roman" w:hAnsi="Times New Roman"/>
          <w:sz w:val="24"/>
        </w:rPr>
        <w:t xml:space="preserve">[2010] FCA 911, as varied by Order of Charlesworth J in </w:t>
      </w:r>
      <w:r w:rsidRPr="00CA793D">
        <w:rPr>
          <w:rFonts w:ascii="Times New Roman" w:hAnsi="Times New Roman"/>
          <w:i/>
          <w:iCs/>
          <w:sz w:val="24"/>
        </w:rPr>
        <w:t>Mpwerempwer Aboriginal Corporation RNTBC v Northern Territory</w:t>
      </w:r>
      <w:r w:rsidRPr="00CA793D" w:rsidDel="00605DC5">
        <w:rPr>
          <w:rFonts w:ascii="Times New Roman" w:hAnsi="Times New Roman"/>
          <w:sz w:val="24"/>
        </w:rPr>
        <w:t xml:space="preserve"> </w:t>
      </w:r>
      <w:r w:rsidRPr="00CA793D">
        <w:rPr>
          <w:rFonts w:ascii="Times New Roman" w:hAnsi="Times New Roman"/>
          <w:sz w:val="24"/>
        </w:rPr>
        <w:t>(Federal Court of Australia, NTD42/2018, 19 August 2020).</w:t>
      </w:r>
    </w:p>
  </w:footnote>
  <w:footnote w:id="20">
    <w:p w14:paraId="222F10EC"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Interpretation Act 1978</w:t>
      </w:r>
      <w:r w:rsidRPr="00CA793D">
        <w:rPr>
          <w:rFonts w:ascii="Times New Roman" w:hAnsi="Times New Roman"/>
          <w:sz w:val="24"/>
        </w:rPr>
        <w:t xml:space="preserve"> (NT), ss 19(2)(a)(</w:t>
      </w:r>
      <w:r w:rsidRPr="00CA793D">
        <w:rPr>
          <w:rFonts w:ascii="Times New Roman" w:hAnsi="Times New Roman"/>
          <w:sz w:val="24"/>
        </w:rPr>
        <w:t>i) and 19(4). The </w:t>
      </w:r>
      <w:r w:rsidRPr="00CA793D">
        <w:rPr>
          <w:rFonts w:ascii="Times New Roman" w:hAnsi="Times New Roman"/>
          <w:i/>
          <w:iCs/>
          <w:sz w:val="24"/>
        </w:rPr>
        <w:t xml:space="preserve">Administrative Arrangements Order 2025 </w:t>
      </w:r>
      <w:r w:rsidRPr="00CA793D">
        <w:rPr>
          <w:rFonts w:ascii="Times New Roman" w:hAnsi="Times New Roman"/>
          <w:sz w:val="24"/>
        </w:rPr>
        <w:t xml:space="preserve">(NT) which commenced on 24 October 2025 allocates the administration of the </w:t>
      </w:r>
      <w:r w:rsidRPr="00CA793D">
        <w:rPr>
          <w:rFonts w:ascii="Times New Roman" w:hAnsi="Times New Roman"/>
          <w:i/>
          <w:iCs/>
          <w:sz w:val="24"/>
        </w:rPr>
        <w:t xml:space="preserve">Water Act 1992 </w:t>
      </w:r>
      <w:r w:rsidRPr="00CA793D">
        <w:rPr>
          <w:rFonts w:ascii="Times New Roman" w:hAnsi="Times New Roman"/>
          <w:sz w:val="24"/>
        </w:rPr>
        <w:t>(NT) to the Minister for Water Resources: Sch 2.</w:t>
      </w:r>
    </w:p>
  </w:footnote>
  <w:footnote w:id="21">
    <w:p w14:paraId="02A8E137"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 xml:space="preserve">Water Act 1992 </w:t>
      </w:r>
      <w:r w:rsidRPr="00CA793D">
        <w:rPr>
          <w:rFonts w:ascii="Times New Roman" w:hAnsi="Times New Roman"/>
          <w:sz w:val="24"/>
        </w:rPr>
        <w:t>(NT)</w:t>
      </w:r>
      <w:r w:rsidRPr="00CA793D">
        <w:rPr>
          <w:rFonts w:ascii="Times New Roman" w:hAnsi="Times New Roman"/>
          <w:i/>
          <w:iCs/>
          <w:sz w:val="24"/>
        </w:rPr>
        <w:t xml:space="preserve">, </w:t>
      </w:r>
      <w:r w:rsidRPr="00CA793D">
        <w:rPr>
          <w:rFonts w:ascii="Times New Roman" w:hAnsi="Times New Roman"/>
          <w:sz w:val="24"/>
        </w:rPr>
        <w:t xml:space="preserve">long title. </w:t>
      </w:r>
    </w:p>
  </w:footnote>
  <w:footnote w:id="22">
    <w:p w14:paraId="23D4A64B"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9.</w:t>
      </w:r>
    </w:p>
  </w:footnote>
  <w:footnote w:id="23">
    <w:p w14:paraId="2FFC3E47"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10.</w:t>
      </w:r>
    </w:p>
  </w:footnote>
  <w:footnote w:id="24">
    <w:p w14:paraId="7AEDE8A8"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59.</w:t>
      </w:r>
    </w:p>
  </w:footnote>
  <w:footnote w:id="25">
    <w:p w14:paraId="14035E15"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18.</w:t>
      </w:r>
    </w:p>
  </w:footnote>
  <w:footnote w:id="26">
    <w:p w14:paraId="603D1894"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 xml:space="preserve">There was no suggestion that the Minister had issued a Gazette notice under s 60(4)(a). </w:t>
      </w:r>
    </w:p>
  </w:footnote>
  <w:footnote w:id="27">
    <w:p w14:paraId="22E4D483"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60(1).</w:t>
      </w:r>
    </w:p>
  </w:footnote>
  <w:footnote w:id="28">
    <w:p w14:paraId="3FB96AE6"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xml:space="preserve">, </w:t>
      </w:r>
      <w:r w:rsidRPr="00CA793D" w:rsidDel="007C57D7">
        <w:rPr>
          <w:rFonts w:ascii="Times New Roman" w:hAnsi="Times New Roman"/>
          <w:sz w:val="24"/>
        </w:rPr>
        <w:t>s</w:t>
      </w:r>
      <w:r w:rsidRPr="00CA793D">
        <w:rPr>
          <w:rFonts w:ascii="Times New Roman" w:hAnsi="Times New Roman"/>
          <w:sz w:val="24"/>
        </w:rPr>
        <w:t xml:space="preserve"> 71A(1)-(2)(a). A licence to take water from a bore granted under s 60 is a "water extraction licence": s 4(1). </w:t>
      </w:r>
    </w:p>
  </w:footnote>
  <w:footnote w:id="29">
    <w:p w14:paraId="4746D411"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ss 71A(2) and 71B(2), (3</w:t>
      </w:r>
      <w:r w:rsidRPr="00CA793D" w:rsidDel="00F7775B">
        <w:rPr>
          <w:rFonts w:ascii="Times New Roman" w:hAnsi="Times New Roman"/>
          <w:sz w:val="24"/>
        </w:rPr>
        <w:t>)</w:t>
      </w:r>
      <w:r w:rsidRPr="00CA793D">
        <w:rPr>
          <w:rFonts w:ascii="Times New Roman" w:hAnsi="Times New Roman"/>
          <w:sz w:val="24"/>
        </w:rPr>
        <w:t>.</w:t>
      </w:r>
    </w:p>
  </w:footnote>
  <w:footnote w:id="30">
    <w:p w14:paraId="03427A34"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71B(6), (7).</w:t>
      </w:r>
    </w:p>
  </w:footnote>
  <w:footnote w:id="31">
    <w:p w14:paraId="2856D131"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71B(4).</w:t>
      </w:r>
    </w:p>
  </w:footnote>
  <w:footnote w:id="32">
    <w:p w14:paraId="25A41667"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90(1)(ab).</w:t>
      </w:r>
    </w:p>
  </w:footnote>
  <w:footnote w:id="33">
    <w:p w14:paraId="22FC307B"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90(1)(k).</w:t>
      </w:r>
    </w:p>
  </w:footnote>
  <w:footnote w:id="34">
    <w:p w14:paraId="3FDCA7F7"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71C(1).</w:t>
      </w:r>
    </w:p>
  </w:footnote>
  <w:footnote w:id="35">
    <w:p w14:paraId="0F247AF0"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71C(2).</w:t>
      </w:r>
    </w:p>
  </w:footnote>
  <w:footnote w:id="36">
    <w:p w14:paraId="058CF241"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71C(3).</w:t>
      </w:r>
    </w:p>
  </w:footnote>
  <w:footnote w:id="37">
    <w:p w14:paraId="0B364969"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30(1).</w:t>
      </w:r>
    </w:p>
  </w:footnote>
  <w:footnote w:id="38">
    <w:p w14:paraId="3CAAF18C"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30(3)(a)(</w:t>
      </w:r>
      <w:r w:rsidRPr="00CA793D">
        <w:rPr>
          <w:rFonts w:ascii="Times New Roman" w:hAnsi="Times New Roman"/>
          <w:sz w:val="24"/>
        </w:rPr>
        <w:t>i) and (ii).</w:t>
      </w:r>
    </w:p>
  </w:footnote>
  <w:footnote w:id="39">
    <w:p w14:paraId="05016EBD"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30(3)(b).</w:t>
      </w:r>
    </w:p>
  </w:footnote>
  <w:footnote w:id="40">
    <w:p w14:paraId="23020B33"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30(4).</w:t>
      </w:r>
    </w:p>
  </w:footnote>
  <w:footnote w:id="41">
    <w:p w14:paraId="20746265"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71E(2).</w:t>
      </w:r>
    </w:p>
  </w:footnote>
  <w:footnote w:id="42">
    <w:p w14:paraId="2BEF7F61"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71E(3).</w:t>
      </w:r>
    </w:p>
  </w:footnote>
  <w:footnote w:id="43">
    <w:p w14:paraId="1DF6790B"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71E(4).</w:t>
      </w:r>
    </w:p>
  </w:footnote>
  <w:footnote w:id="44">
    <w:p w14:paraId="138E5571"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 xml:space="preserve">One gigalitre of water is equivalent to 400 Olympic-sized swimming pools. </w:t>
      </w:r>
    </w:p>
  </w:footnote>
  <w:footnote w:id="45">
    <w:p w14:paraId="56709D9A" w14:textId="77777777" w:rsidR="00B5218C" w:rsidRPr="00CA793D" w:rsidRDefault="00B5218C" w:rsidP="00CA793D">
      <w:pPr>
        <w:pStyle w:val="FootnoteText"/>
        <w:spacing w:line="280" w:lineRule="exact"/>
        <w:ind w:right="0"/>
        <w:jc w:val="both"/>
        <w:rPr>
          <w:rFonts w:ascii="Times New Roman" w:hAnsi="Times New Roman"/>
          <w:i/>
          <w:iCs/>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 xml:space="preserve">See the native title determination at </w:t>
      </w:r>
      <w:r w:rsidRPr="00CA793D">
        <w:rPr>
          <w:rFonts w:ascii="Times New Roman" w:hAnsi="Times New Roman"/>
          <w:i/>
          <w:iCs/>
          <w:sz w:val="24"/>
        </w:rPr>
        <w:t xml:space="preserve">Rex on behalf of the </w:t>
      </w:r>
      <w:r w:rsidRPr="00CA793D">
        <w:rPr>
          <w:rFonts w:ascii="Times New Roman" w:hAnsi="Times New Roman"/>
          <w:i/>
          <w:iCs/>
          <w:sz w:val="24"/>
        </w:rPr>
        <w:t xml:space="preserve">Akwerlpe-Waake, Iliyarne, Lyentyawel Ileparranem and Arrawatyen People v Northern Territory </w:t>
      </w:r>
      <w:r w:rsidRPr="00CA793D">
        <w:rPr>
          <w:rFonts w:ascii="Times New Roman" w:hAnsi="Times New Roman"/>
          <w:sz w:val="24"/>
        </w:rPr>
        <w:t xml:space="preserve">[2010] FCA 911, as varied by Order of Charlesworth J in </w:t>
      </w:r>
      <w:r w:rsidRPr="00CA793D">
        <w:rPr>
          <w:rFonts w:ascii="Times New Roman" w:hAnsi="Times New Roman"/>
          <w:i/>
          <w:iCs/>
          <w:sz w:val="24"/>
        </w:rPr>
        <w:t xml:space="preserve">Mpwerempwer Aboriginal Corporation RNTBC v Northern Territory </w:t>
      </w:r>
      <w:r w:rsidRPr="00CA793D">
        <w:rPr>
          <w:rFonts w:ascii="Times New Roman" w:hAnsi="Times New Roman"/>
          <w:sz w:val="24"/>
        </w:rPr>
        <w:t>(Federal Court of Australia, NTD42/2018, 19 August 2020).</w:t>
      </w:r>
    </w:p>
  </w:footnote>
  <w:footnote w:id="46">
    <w:p w14:paraId="395AF6B6"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Pr>
          <w:rFonts w:ascii="Times New Roman" w:hAnsi="Times New Roman"/>
          <w:sz w:val="24"/>
        </w:rPr>
        <w:tab/>
      </w:r>
      <w:r w:rsidRPr="00CA793D">
        <w:rPr>
          <w:rFonts w:ascii="Times New Roman" w:hAnsi="Times New Roman"/>
          <w:i/>
          <w:iCs/>
          <w:sz w:val="24"/>
        </w:rPr>
        <w:t>Water Act</w:t>
      </w:r>
      <w:r w:rsidRPr="00CA793D">
        <w:rPr>
          <w:rFonts w:ascii="Times New Roman" w:hAnsi="Times New Roman"/>
          <w:sz w:val="24"/>
        </w:rPr>
        <w:t>, s 30(1).</w:t>
      </w:r>
    </w:p>
  </w:footnote>
  <w:footnote w:id="47">
    <w:p w14:paraId="71B76ED1"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 xml:space="preserve">Water Resources Review Panel, </w:t>
      </w:r>
      <w:r w:rsidRPr="00CA793D">
        <w:rPr>
          <w:rFonts w:ascii="Times New Roman" w:hAnsi="Times New Roman"/>
          <w:i/>
          <w:iCs/>
          <w:sz w:val="24"/>
        </w:rPr>
        <w:t>Re: Controller's Decision to Grant Groundwater Extraction Licence WDPCC10000</w:t>
      </w:r>
      <w:r w:rsidRPr="00CA793D">
        <w:rPr>
          <w:rFonts w:ascii="Times New Roman" w:hAnsi="Times New Roman"/>
          <w:sz w:val="24"/>
        </w:rPr>
        <w:t xml:space="preserve"> (Advice to the Minister, 14 October 2021) at 17-18 [81]-[85] (footnote omitted).</w:t>
      </w:r>
    </w:p>
  </w:footnote>
  <w:footnote w:id="48">
    <w:p w14:paraId="25234BCD"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See above at [</w:t>
      </w:r>
      <w:r>
        <w:rPr>
          <w:rFonts w:ascii="Times New Roman" w:hAnsi="Times New Roman"/>
          <w:sz w:val="24"/>
        </w:rPr>
        <w:t>37</w:t>
      </w:r>
      <w:r w:rsidRPr="00CA793D">
        <w:rPr>
          <w:rFonts w:ascii="Times New Roman" w:hAnsi="Times New Roman"/>
          <w:sz w:val="24"/>
        </w:rPr>
        <w:t>].</w:t>
      </w:r>
    </w:p>
  </w:footnote>
  <w:footnote w:id="49">
    <w:p w14:paraId="561FC552"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Pr>
          <w:rFonts w:ascii="Times New Roman" w:hAnsi="Times New Roman"/>
          <w:sz w:val="24"/>
        </w:rPr>
        <w:tab/>
      </w:r>
      <w:r w:rsidRPr="00CA793D">
        <w:rPr>
          <w:rFonts w:ascii="Times New Roman" w:hAnsi="Times New Roman"/>
          <w:sz w:val="24"/>
        </w:rPr>
        <w:t>See above at [</w:t>
      </w:r>
      <w:r>
        <w:rPr>
          <w:rFonts w:ascii="Times New Roman" w:hAnsi="Times New Roman"/>
          <w:sz w:val="24"/>
        </w:rPr>
        <w:t>40</w:t>
      </w:r>
      <w:r w:rsidRPr="00CA793D">
        <w:rPr>
          <w:rFonts w:ascii="Times New Roman" w:hAnsi="Times New Roman"/>
          <w:sz w:val="24"/>
        </w:rPr>
        <w:t>].</w:t>
      </w:r>
    </w:p>
  </w:footnote>
  <w:footnote w:id="50">
    <w:p w14:paraId="1BE1D06E"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Mpwerempwer Aboriginal Corporation RNTBC v Minister for Territory Families and Urban Housing</w:t>
      </w:r>
      <w:r w:rsidRPr="00CA793D" w:rsidDel="00DF144E">
        <w:rPr>
          <w:rFonts w:ascii="Times New Roman" w:hAnsi="Times New Roman"/>
          <w:sz w:val="24"/>
        </w:rPr>
        <w:t xml:space="preserve"> </w:t>
      </w:r>
      <w:r w:rsidRPr="00CA793D">
        <w:rPr>
          <w:rFonts w:ascii="Times New Roman" w:hAnsi="Times New Roman"/>
          <w:sz w:val="24"/>
        </w:rPr>
        <w:t>(2024) 384 FLR 234 at 301 [236].</w:t>
      </w:r>
    </w:p>
  </w:footnote>
  <w:footnote w:id="51">
    <w:p w14:paraId="4105C62E"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 xml:space="preserve">Mpwerempwer Aboriginal Corporation RNTBC v Minister for Territory Families and Urban Housing as delegate of the Minister for the Environment </w:t>
      </w:r>
      <w:r w:rsidRPr="00CA793D">
        <w:rPr>
          <w:rFonts w:ascii="Times New Roman" w:hAnsi="Times New Roman"/>
          <w:sz w:val="24"/>
        </w:rPr>
        <w:t>(2025) 395 FLR 125 at 144 [64].</w:t>
      </w:r>
    </w:p>
  </w:footnote>
  <w:footnote w:id="52">
    <w:p w14:paraId="1590B1B9"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 xml:space="preserve">Mpwerempwer Aboriginal Corporation RNTBC v Minister for Territory Families and Urban Housing as delegate of the Minister for the Environment </w:t>
      </w:r>
      <w:r w:rsidRPr="00CA793D">
        <w:rPr>
          <w:rFonts w:ascii="Times New Roman" w:hAnsi="Times New Roman"/>
          <w:sz w:val="24"/>
        </w:rPr>
        <w:t>(2025) 395 FLR 125</w:t>
      </w:r>
      <w:r w:rsidRPr="00CA793D" w:rsidDel="00DE29C2">
        <w:rPr>
          <w:rFonts w:ascii="Times New Roman" w:hAnsi="Times New Roman"/>
          <w:sz w:val="24"/>
        </w:rPr>
        <w:t xml:space="preserve"> </w:t>
      </w:r>
      <w:r w:rsidRPr="00CA793D">
        <w:rPr>
          <w:rFonts w:ascii="Times New Roman" w:hAnsi="Times New Roman"/>
          <w:sz w:val="24"/>
        </w:rPr>
        <w:t>at 151 [94]-[95].</w:t>
      </w:r>
    </w:p>
  </w:footnote>
  <w:footnote w:id="53">
    <w:p w14:paraId="6AFEC5F8"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(2021) 273 CLR 506 at 524 [38] (footnote omitted).</w:t>
      </w:r>
    </w:p>
  </w:footnote>
  <w:footnote w:id="54">
    <w:p w14:paraId="4AFDAB09"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(2024) 280 CLR 321 at 333 [29] (footnotes omitted).</w:t>
      </w:r>
    </w:p>
  </w:footnote>
  <w:footnote w:id="55">
    <w:p w14:paraId="00976080"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(1981) 35 ALR 388 at 392.</w:t>
      </w:r>
    </w:p>
  </w:footnote>
  <w:footnote w:id="56">
    <w:p w14:paraId="4A5DB503"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Minister for Immigration and Multicultural Affairs v Yusuf</w:t>
      </w:r>
      <w:r w:rsidRPr="00CA793D">
        <w:rPr>
          <w:rFonts w:ascii="Times New Roman" w:hAnsi="Times New Roman"/>
          <w:sz w:val="24"/>
        </w:rPr>
        <w:t xml:space="preserve"> (2001) 206 CLR 323 at 346 [69].</w:t>
      </w:r>
    </w:p>
  </w:footnote>
  <w:footnote w:id="57">
    <w:p w14:paraId="07F61BDF"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FTZK v Minister for Immigration and Border Protection</w:t>
      </w:r>
      <w:r w:rsidRPr="00CA793D">
        <w:rPr>
          <w:rFonts w:ascii="Times New Roman" w:hAnsi="Times New Roman"/>
          <w:sz w:val="24"/>
        </w:rPr>
        <w:t xml:space="preserve"> (2014) 88 ALJR 754 at 767-768 [67]; 310 ALR 1 at 18; </w:t>
      </w:r>
      <w:r w:rsidRPr="00CA793D">
        <w:rPr>
          <w:rFonts w:ascii="Times New Roman" w:hAnsi="Times New Roman"/>
          <w:i/>
          <w:iCs/>
          <w:sz w:val="24"/>
        </w:rPr>
        <w:t>Acting Minister for Immigration, Citizenship, Migrant Services and Multicultural Affairs v CWY20</w:t>
      </w:r>
      <w:r w:rsidRPr="00CA793D">
        <w:rPr>
          <w:rFonts w:ascii="Times New Roman" w:hAnsi="Times New Roman"/>
          <w:sz w:val="24"/>
        </w:rPr>
        <w:t xml:space="preserve"> (2021) 288 FCR 565 at 595 [130].</w:t>
      </w:r>
    </w:p>
  </w:footnote>
  <w:footnote w:id="58">
    <w:p w14:paraId="0797E88C"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Attorney-General (NSW) v Quin</w:t>
      </w:r>
      <w:r w:rsidRPr="00CA793D">
        <w:rPr>
          <w:rFonts w:ascii="Times New Roman" w:hAnsi="Times New Roman"/>
          <w:sz w:val="24"/>
        </w:rPr>
        <w:t xml:space="preserve"> (1990) 170 CLR 1 at 35-36.</w:t>
      </w:r>
    </w:p>
  </w:footnote>
  <w:footnote w:id="59">
    <w:p w14:paraId="69C0EE9E"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SZTMD v Minister for Immigration and Border Protection</w:t>
      </w:r>
      <w:r w:rsidRPr="00CA793D">
        <w:rPr>
          <w:rFonts w:ascii="Times New Roman" w:hAnsi="Times New Roman"/>
          <w:sz w:val="24"/>
        </w:rPr>
        <w:t xml:space="preserve"> (2015) 150 ALD 34 at 38 [19].</w:t>
      </w:r>
    </w:p>
  </w:footnote>
  <w:footnote w:id="60">
    <w:p w14:paraId="298F003C"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Applicant WAEE v Minister for Immigration and Multicultural and Indigenous Affairs</w:t>
      </w:r>
      <w:r w:rsidRPr="00CA793D">
        <w:rPr>
          <w:rFonts w:ascii="Times New Roman" w:hAnsi="Times New Roman"/>
          <w:sz w:val="24"/>
        </w:rPr>
        <w:t xml:space="preserve"> (2003) 236 FCR 593 at 604 [46]; </w:t>
      </w:r>
      <w:r w:rsidRPr="00CA793D">
        <w:rPr>
          <w:rFonts w:ascii="Times New Roman" w:hAnsi="Times New Roman"/>
          <w:i/>
          <w:iCs/>
          <w:sz w:val="24"/>
        </w:rPr>
        <w:t>Minister for Home Affairs v Ogawa</w:t>
      </w:r>
      <w:r w:rsidRPr="00CA793D">
        <w:rPr>
          <w:rFonts w:ascii="Times New Roman" w:hAnsi="Times New Roman"/>
          <w:sz w:val="24"/>
        </w:rPr>
        <w:t xml:space="preserve"> (2019) 269 FCR 536 at 558 [103].</w:t>
      </w:r>
    </w:p>
  </w:footnote>
  <w:footnote w:id="61">
    <w:p w14:paraId="6E08D9A8"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(1949) 78 CLR 353 at 360.</w:t>
      </w:r>
    </w:p>
  </w:footnote>
  <w:footnote w:id="62">
    <w:p w14:paraId="6492F665" w14:textId="77777777" w:rsidR="00B5218C" w:rsidRPr="00CA793D" w:rsidRDefault="00B5218C" w:rsidP="00CA793D">
      <w:pPr>
        <w:pStyle w:val="FootnoteText"/>
        <w:spacing w:line="280" w:lineRule="exact"/>
        <w:ind w:right="0"/>
        <w:jc w:val="both"/>
        <w:rPr>
          <w:rFonts w:ascii="Times New Roman" w:hAnsi="Times New Roman"/>
          <w:i/>
          <w:iCs/>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sz w:val="24"/>
        </w:rPr>
        <w:t xml:space="preserve">LPDT v Minister for Immigration, Citizenship, Migrant Services and Multicultural Affairs </w:t>
      </w:r>
      <w:r w:rsidRPr="00CA793D">
        <w:rPr>
          <w:rFonts w:ascii="Times New Roman" w:hAnsi="Times New Roman"/>
          <w:sz w:val="24"/>
        </w:rPr>
        <w:t>(2024) 280 CLR 321 at 327-328 [9]-[10], [13].</w:t>
      </w:r>
    </w:p>
  </w:footnote>
  <w:footnote w:id="63">
    <w:p w14:paraId="75035DF9"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Avon Downs</w:t>
      </w:r>
      <w:r w:rsidRPr="00CA793D">
        <w:rPr>
          <w:rFonts w:ascii="Times New Roman" w:hAnsi="Times New Roman"/>
          <w:sz w:val="24"/>
        </w:rPr>
        <w:t xml:space="preserve"> </w:t>
      </w:r>
      <w:r w:rsidRPr="00CA793D">
        <w:rPr>
          <w:rFonts w:ascii="Times New Roman" w:hAnsi="Times New Roman"/>
          <w:i/>
          <w:iCs/>
          <w:sz w:val="24"/>
        </w:rPr>
        <w:t>Pty Ltd v Federal Commissioner of Taxation</w:t>
      </w:r>
      <w:r w:rsidRPr="00CA793D">
        <w:rPr>
          <w:rFonts w:ascii="Times New Roman" w:hAnsi="Times New Roman"/>
          <w:sz w:val="24"/>
        </w:rPr>
        <w:t xml:space="preserve"> (1949) 78 CLR 353 at 360.</w:t>
      </w:r>
    </w:p>
  </w:footnote>
  <w:footnote w:id="64">
    <w:p w14:paraId="1D391F22"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sz w:val="24"/>
        </w:rPr>
        <w:t>Collector of Customs v Pozzolanic Enterprises Pty Ltd</w:t>
      </w:r>
      <w:r w:rsidRPr="00CA793D">
        <w:rPr>
          <w:rFonts w:ascii="Times New Roman" w:hAnsi="Times New Roman"/>
          <w:sz w:val="24"/>
        </w:rPr>
        <w:t xml:space="preserve"> (1993) 43 FCR 280 at 287; </w:t>
      </w:r>
      <w:r w:rsidRPr="00CA793D">
        <w:rPr>
          <w:rFonts w:ascii="Times New Roman" w:hAnsi="Times New Roman"/>
          <w:i/>
          <w:iCs/>
          <w:sz w:val="24"/>
        </w:rPr>
        <w:t>Minister for Immigration and Ethnic Affairs v Wu Shan Liang</w:t>
      </w:r>
      <w:r w:rsidRPr="00CA793D">
        <w:rPr>
          <w:rFonts w:ascii="Times New Roman" w:hAnsi="Times New Roman"/>
          <w:sz w:val="24"/>
        </w:rPr>
        <w:t xml:space="preserve"> (1996) 185 CLR 259 at 272.</w:t>
      </w:r>
    </w:p>
  </w:footnote>
  <w:footnote w:id="65">
    <w:p w14:paraId="336C10A0"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See above at [</w:t>
      </w:r>
      <w:r>
        <w:rPr>
          <w:rFonts w:ascii="Times New Roman" w:hAnsi="Times New Roman"/>
          <w:sz w:val="24"/>
        </w:rPr>
        <w:t>35</w:t>
      </w:r>
      <w:r w:rsidRPr="00CA793D">
        <w:rPr>
          <w:rFonts w:ascii="Times New Roman" w:hAnsi="Times New Roman"/>
          <w:sz w:val="24"/>
        </w:rPr>
        <w:t>].</w:t>
      </w:r>
    </w:p>
  </w:footnote>
  <w:footnote w:id="66">
    <w:p w14:paraId="53C6A995"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See above at [</w:t>
      </w:r>
      <w:r>
        <w:rPr>
          <w:rFonts w:ascii="Times New Roman" w:hAnsi="Times New Roman"/>
          <w:sz w:val="24"/>
        </w:rPr>
        <w:t>41</w:t>
      </w:r>
      <w:r w:rsidRPr="00CA793D">
        <w:rPr>
          <w:rFonts w:ascii="Times New Roman" w:hAnsi="Times New Roman"/>
          <w:sz w:val="24"/>
        </w:rPr>
        <w:t>].</w:t>
      </w:r>
    </w:p>
  </w:footnote>
  <w:footnote w:id="67">
    <w:p w14:paraId="0764A2B5"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The Minister had not issued a Gazette notice under s 60(4)(a).</w:t>
      </w:r>
    </w:p>
  </w:footnote>
  <w:footnote w:id="68">
    <w:p w14:paraId="3AC2AA9C"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Minister for Aboriginal Affairs v Peko-Wallsend Ltd</w:t>
      </w:r>
      <w:r w:rsidRPr="00CA793D">
        <w:rPr>
          <w:rFonts w:ascii="Times New Roman" w:hAnsi="Times New Roman"/>
          <w:sz w:val="24"/>
        </w:rPr>
        <w:t xml:space="preserve"> (1986) 162 CLR 24 at 41, 64-65; </w:t>
      </w:r>
      <w:r w:rsidRPr="00CA793D">
        <w:rPr>
          <w:rFonts w:ascii="Times New Roman" w:hAnsi="Times New Roman"/>
          <w:i/>
          <w:iCs/>
          <w:sz w:val="24"/>
        </w:rPr>
        <w:t xml:space="preserve">Sean Investments Pty Ltd v </w:t>
      </w:r>
      <w:r w:rsidRPr="00CA793D">
        <w:rPr>
          <w:rFonts w:ascii="Times New Roman" w:hAnsi="Times New Roman"/>
          <w:i/>
          <w:iCs/>
          <w:sz w:val="24"/>
        </w:rPr>
        <w:t>MacKellar</w:t>
      </w:r>
      <w:r w:rsidRPr="00CA793D">
        <w:rPr>
          <w:rFonts w:ascii="Times New Roman" w:hAnsi="Times New Roman"/>
          <w:sz w:val="24"/>
        </w:rPr>
        <w:t xml:space="preserve"> (1981) 38 ALR 363 at 375.</w:t>
      </w:r>
    </w:p>
  </w:footnote>
  <w:footnote w:id="69">
    <w:p w14:paraId="5917E6A1"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i/>
          <w:iCs/>
          <w:sz w:val="24"/>
        </w:rPr>
        <w:tab/>
        <w:t>DVO16 v Minister for Immigration and Border Protection</w:t>
      </w:r>
      <w:r w:rsidRPr="00CA793D">
        <w:rPr>
          <w:rFonts w:ascii="Times New Roman" w:hAnsi="Times New Roman"/>
          <w:sz w:val="24"/>
        </w:rPr>
        <w:t xml:space="preserve"> (2021) 273 CLR 177 at 189 [12].</w:t>
      </w:r>
    </w:p>
  </w:footnote>
  <w:footnote w:id="70">
    <w:p w14:paraId="04F7A507"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(2022) 275 CLR 582 at 599-600 [26] (footnotes omitted).</w:t>
      </w:r>
    </w:p>
  </w:footnote>
  <w:footnote w:id="71">
    <w:p w14:paraId="2B82BEA8"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(1986) 162 CLR 24 at 55.</w:t>
      </w:r>
    </w:p>
  </w:footnote>
  <w:footnote w:id="72">
    <w:p w14:paraId="51D906F3"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(2000) 200 CLR 442 at 452 [23].</w:t>
      </w:r>
    </w:p>
  </w:footnote>
  <w:footnote w:id="73">
    <w:p w14:paraId="0DEC82E7"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(2023) 280 CLR 515.</w:t>
      </w:r>
    </w:p>
  </w:footnote>
  <w:footnote w:id="74">
    <w:p w14:paraId="45669D9A"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(2025) 100 ALJR 30; 426 ALR 212.</w:t>
      </w:r>
    </w:p>
  </w:footnote>
  <w:footnote w:id="75">
    <w:p w14:paraId="0CB8F3F1"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(2025) 100 ALJR 30 at 36 [17]; 426 ALR 212 at 218-219 (footnotes omitted).</w:t>
      </w:r>
    </w:p>
  </w:footnote>
  <w:footnote w:id="76">
    <w:p w14:paraId="2E73139B"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r>
      <w:r w:rsidRPr="00CA793D">
        <w:rPr>
          <w:rFonts w:ascii="Times New Roman" w:hAnsi="Times New Roman"/>
          <w:i/>
          <w:iCs/>
          <w:sz w:val="24"/>
        </w:rPr>
        <w:t>AB (a pseudonym) v Independent Broad-based Anti-</w:t>
      </w:r>
      <w:r w:rsidRPr="00CA793D">
        <w:rPr>
          <w:rFonts w:ascii="Times New Roman" w:hAnsi="Times New Roman"/>
          <w:i/>
          <w:iCs/>
          <w:sz w:val="24"/>
        </w:rPr>
        <w:t>corruption Commission</w:t>
      </w:r>
      <w:r w:rsidRPr="00CA793D">
        <w:rPr>
          <w:rFonts w:ascii="Times New Roman" w:hAnsi="Times New Roman"/>
          <w:sz w:val="24"/>
        </w:rPr>
        <w:t xml:space="preserve"> (2024) 278 CLR 300 at 314 [26].</w:t>
      </w:r>
    </w:p>
  </w:footnote>
  <w:footnote w:id="77">
    <w:p w14:paraId="0FC3FDD9"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 xml:space="preserve">[1975] AC 295 at 369, cited in </w:t>
      </w:r>
      <w:r w:rsidRPr="00CA793D">
        <w:rPr>
          <w:rFonts w:ascii="Times New Roman" w:hAnsi="Times New Roman"/>
          <w:i/>
          <w:iCs/>
          <w:sz w:val="24"/>
        </w:rPr>
        <w:t xml:space="preserve">SZBEL v Minister for Immigration and Multicultural and Indigenous Affairs </w:t>
      </w:r>
      <w:r w:rsidRPr="00CA793D">
        <w:rPr>
          <w:rFonts w:ascii="Times New Roman" w:hAnsi="Times New Roman"/>
          <w:sz w:val="24"/>
        </w:rPr>
        <w:t>(2006) 228 CLR 152 at 166 [48].</w:t>
      </w:r>
    </w:p>
  </w:footnote>
  <w:footnote w:id="78">
    <w:p w14:paraId="6CEE2DD2"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(1991) 31 FCR 100 at 108-109.</w:t>
      </w:r>
    </w:p>
  </w:footnote>
  <w:footnote w:id="79">
    <w:p w14:paraId="0860AFC7" w14:textId="77777777" w:rsidR="00B5218C" w:rsidRPr="00CA793D" w:rsidRDefault="00B5218C" w:rsidP="00CA793D">
      <w:pPr>
        <w:pStyle w:val="FootnoteText"/>
        <w:spacing w:line="280" w:lineRule="exact"/>
        <w:ind w:right="0"/>
        <w:jc w:val="both"/>
        <w:rPr>
          <w:rFonts w:ascii="Times New Roman" w:hAnsi="Times New Roman"/>
          <w:sz w:val="24"/>
        </w:rPr>
      </w:pPr>
      <w:r w:rsidRPr="00CA793D">
        <w:rPr>
          <w:rStyle w:val="FootnoteReference"/>
          <w:rFonts w:ascii="Times New Roman" w:hAnsi="Times New Roman"/>
          <w:sz w:val="22"/>
          <w:vertAlign w:val="baseline"/>
        </w:rPr>
        <w:footnoteRef/>
      </w:r>
      <w:r w:rsidRPr="00CA793D">
        <w:rPr>
          <w:rFonts w:ascii="Times New Roman" w:hAnsi="Times New Roman"/>
          <w:sz w:val="24"/>
        </w:rPr>
        <w:t xml:space="preserve"> </w:t>
      </w:r>
      <w:r w:rsidRPr="00CA793D">
        <w:rPr>
          <w:rFonts w:ascii="Times New Roman" w:hAnsi="Times New Roman"/>
          <w:sz w:val="24"/>
        </w:rPr>
        <w:tab/>
        <w:t>(1994) 49 FCR 576 at 591.</w:t>
      </w:r>
    </w:p>
  </w:footnote>
  <w:footnote w:id="80">
    <w:p w14:paraId="571AB9C5"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Water Act</w:t>
      </w:r>
      <w:r w:rsidRPr="003531AB">
        <w:rPr>
          <w:rFonts w:ascii="Times New Roman" w:hAnsi="Times New Roman"/>
          <w:sz w:val="24"/>
        </w:rPr>
        <w:t xml:space="preserve">, s 71E(4)(b). </w:t>
      </w:r>
    </w:p>
  </w:footnote>
  <w:footnote w:id="81">
    <w:p w14:paraId="3755A38B"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Water Act</w:t>
      </w:r>
      <w:r w:rsidRPr="003531AB">
        <w:rPr>
          <w:rFonts w:ascii="Times New Roman" w:hAnsi="Times New Roman"/>
          <w:sz w:val="24"/>
        </w:rPr>
        <w:t>, ss 71</w:t>
      </w:r>
      <w:r w:rsidRPr="003531AB">
        <w:rPr>
          <w:rFonts w:ascii="Times New Roman" w:hAnsi="Times New Roman"/>
          <w:sz w:val="24"/>
        </w:rPr>
        <w:t>E(2), 71E(3).</w:t>
      </w:r>
    </w:p>
  </w:footnote>
  <w:footnote w:id="82">
    <w:p w14:paraId="6B6FD154"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Water Act</w:t>
      </w:r>
      <w:r w:rsidRPr="003531AB">
        <w:rPr>
          <w:rFonts w:ascii="Times New Roman" w:hAnsi="Times New Roman"/>
          <w:sz w:val="24"/>
        </w:rPr>
        <w:t xml:space="preserve">, s 19. </w:t>
      </w:r>
    </w:p>
  </w:footnote>
  <w:footnote w:id="83">
    <w:p w14:paraId="3BBE6872"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Water Act</w:t>
      </w:r>
      <w:r w:rsidRPr="003531AB">
        <w:rPr>
          <w:rFonts w:ascii="Times New Roman" w:hAnsi="Times New Roman"/>
          <w:sz w:val="24"/>
        </w:rPr>
        <w:t xml:space="preserve">, s 30(3)(a)(ii). </w:t>
      </w:r>
    </w:p>
  </w:footnote>
  <w:footnote w:id="84">
    <w:p w14:paraId="12B9AAAB"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Edgington v Fitzmaurice</w:t>
      </w:r>
      <w:r w:rsidRPr="003531AB">
        <w:rPr>
          <w:rFonts w:ascii="Times New Roman" w:hAnsi="Times New Roman"/>
          <w:sz w:val="24"/>
        </w:rPr>
        <w:t xml:space="preserve"> (1885) 29 Ch D 459 at 483. See also </w:t>
      </w:r>
      <w:r w:rsidRPr="003531AB">
        <w:rPr>
          <w:rFonts w:ascii="Times New Roman" w:hAnsi="Times New Roman"/>
          <w:i/>
          <w:iCs/>
          <w:sz w:val="24"/>
        </w:rPr>
        <w:t xml:space="preserve">Automotive Invest Pty Ltd v Federal Commissioner of Taxation </w:t>
      </w:r>
      <w:r w:rsidRPr="003531AB">
        <w:rPr>
          <w:rFonts w:ascii="Times New Roman" w:hAnsi="Times New Roman"/>
          <w:sz w:val="24"/>
        </w:rPr>
        <w:t>(2024) 98 ALJR 1245 at 1266 [113]; 419 ALR 324 at 352.</w:t>
      </w:r>
    </w:p>
  </w:footnote>
  <w:footnote w:id="85">
    <w:p w14:paraId="77D52002"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 xml:space="preserve">MZAPC v Minister for Immigration and Border Protection </w:t>
      </w:r>
      <w:r w:rsidRPr="003531AB">
        <w:rPr>
          <w:rFonts w:ascii="Times New Roman" w:hAnsi="Times New Roman"/>
          <w:sz w:val="24"/>
        </w:rPr>
        <w:t xml:space="preserve">(2021) 273 CLR 506 at 524 [38]. </w:t>
      </w:r>
    </w:p>
  </w:footnote>
  <w:footnote w:id="86">
    <w:p w14:paraId="4639EE47"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Minister for Immigration and Multicultural Affairs v Eshetu</w:t>
      </w:r>
      <w:r w:rsidRPr="003531AB">
        <w:rPr>
          <w:rFonts w:ascii="Times New Roman" w:hAnsi="Times New Roman"/>
          <w:sz w:val="24"/>
        </w:rPr>
        <w:t xml:space="preserve"> (1999) 197 CLR 611 at 651 [130]. </w:t>
      </w:r>
    </w:p>
  </w:footnote>
  <w:footnote w:id="87">
    <w:p w14:paraId="3776F5E1"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 xml:space="preserve">Avon Downs Pty Ltd v Federal Commissioner of Taxation </w:t>
      </w:r>
      <w:r w:rsidRPr="003531AB">
        <w:rPr>
          <w:rFonts w:ascii="Times New Roman" w:hAnsi="Times New Roman"/>
          <w:sz w:val="24"/>
        </w:rPr>
        <w:t xml:space="preserve">(1949) 78 CLR 353 at 360; </w:t>
      </w:r>
      <w:r w:rsidRPr="003531AB">
        <w:rPr>
          <w:rFonts w:ascii="Times New Roman" w:hAnsi="Times New Roman"/>
          <w:i/>
          <w:iCs/>
          <w:sz w:val="24"/>
        </w:rPr>
        <w:t xml:space="preserve">Minister for Immigration and Multicultural and Indigenous Affairs v SGLB </w:t>
      </w:r>
      <w:r w:rsidRPr="003531AB">
        <w:rPr>
          <w:rFonts w:ascii="Times New Roman" w:hAnsi="Times New Roman"/>
          <w:sz w:val="24"/>
        </w:rPr>
        <w:t xml:space="preserve">(2004) 78 ALJR 992 at 998 [38]; 207 ALR 12 at 20-21. </w:t>
      </w:r>
    </w:p>
  </w:footnote>
  <w:footnote w:id="88">
    <w:p w14:paraId="69C39BA4"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t xml:space="preserve">Compare </w:t>
      </w:r>
      <w:r w:rsidRPr="003531AB">
        <w:rPr>
          <w:rFonts w:ascii="Times New Roman" w:hAnsi="Times New Roman"/>
          <w:i/>
          <w:iCs/>
          <w:sz w:val="24"/>
        </w:rPr>
        <w:t xml:space="preserve">Westfield Management Ltd v Perpetual Trustee Co Ltd </w:t>
      </w:r>
      <w:r w:rsidRPr="003531AB">
        <w:rPr>
          <w:rFonts w:ascii="Times New Roman" w:hAnsi="Times New Roman"/>
          <w:sz w:val="24"/>
        </w:rPr>
        <w:t>(2007) 233 CLR 528 at 538-541 [35]-[45]. See Weir, "</w:t>
      </w:r>
      <w:r w:rsidRPr="003531AB">
        <w:rPr>
          <w:rFonts w:ascii="Times New Roman" w:hAnsi="Times New Roman"/>
          <w:i/>
          <w:iCs/>
          <w:sz w:val="24"/>
        </w:rPr>
        <w:t xml:space="preserve">Westfield </w:t>
      </w:r>
      <w:r w:rsidRPr="003531AB">
        <w:rPr>
          <w:rFonts w:ascii="Times New Roman" w:hAnsi="Times New Roman"/>
          <w:sz w:val="24"/>
        </w:rPr>
        <w:t xml:space="preserve">5 years on" (2012) 21 </w:t>
      </w:r>
      <w:r w:rsidRPr="003531AB">
        <w:rPr>
          <w:rFonts w:ascii="Times New Roman" w:hAnsi="Times New Roman"/>
          <w:i/>
          <w:iCs/>
          <w:sz w:val="24"/>
        </w:rPr>
        <w:t xml:space="preserve">Australian Property Law Journal </w:t>
      </w:r>
      <w:r w:rsidRPr="003531AB">
        <w:rPr>
          <w:rFonts w:ascii="Times New Roman" w:hAnsi="Times New Roman"/>
          <w:sz w:val="24"/>
        </w:rPr>
        <w:t>166.</w:t>
      </w:r>
    </w:p>
  </w:footnote>
  <w:footnote w:id="89">
    <w:p w14:paraId="1036D9CB"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Water Act</w:t>
      </w:r>
      <w:r w:rsidRPr="003531AB">
        <w:rPr>
          <w:rFonts w:ascii="Times New Roman" w:hAnsi="Times New Roman"/>
          <w:sz w:val="24"/>
        </w:rPr>
        <w:t xml:space="preserve">, s 71E(4)(b). </w:t>
      </w:r>
    </w:p>
  </w:footnote>
  <w:footnote w:id="90">
    <w:p w14:paraId="234DF3D9"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 xml:space="preserve">Collector of Customs v Agfa-Gevaert Ltd </w:t>
      </w:r>
      <w:r w:rsidRPr="003531AB">
        <w:rPr>
          <w:rFonts w:ascii="Times New Roman" w:hAnsi="Times New Roman"/>
          <w:sz w:val="24"/>
        </w:rPr>
        <w:t xml:space="preserve">(1996) 186 CLR 389 at 395-396. </w:t>
      </w:r>
    </w:p>
  </w:footnote>
  <w:footnote w:id="91">
    <w:p w14:paraId="0090A108"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t xml:space="preserve">Reasons at </w:t>
      </w:r>
      <w:r w:rsidRPr="00D25822">
        <w:rPr>
          <w:rFonts w:ascii="Times New Roman" w:hAnsi="Times New Roman"/>
          <w:sz w:val="24"/>
        </w:rPr>
        <w:t>[63].</w:t>
      </w:r>
    </w:p>
  </w:footnote>
  <w:footnote w:id="92">
    <w:p w14:paraId="477E512D"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t xml:space="preserve">See Tobia, "Testing Ordinary Meaning" (2020) 134 </w:t>
      </w:r>
      <w:r w:rsidRPr="003531AB">
        <w:rPr>
          <w:rFonts w:ascii="Times New Roman" w:hAnsi="Times New Roman"/>
          <w:i/>
          <w:iCs/>
          <w:sz w:val="24"/>
        </w:rPr>
        <w:t>Harvard Law Review</w:t>
      </w:r>
      <w:r w:rsidRPr="003531AB">
        <w:rPr>
          <w:rFonts w:ascii="Times New Roman" w:hAnsi="Times New Roman"/>
          <w:sz w:val="24"/>
        </w:rPr>
        <w:t xml:space="preserve"> 726.</w:t>
      </w:r>
    </w:p>
  </w:footnote>
  <w:footnote w:id="93">
    <w:p w14:paraId="53FCF7B3"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t xml:space="preserve">See </w:t>
      </w:r>
      <w:r w:rsidRPr="003531AB">
        <w:rPr>
          <w:rFonts w:ascii="Times New Roman" w:hAnsi="Times New Roman"/>
          <w:i/>
          <w:iCs/>
          <w:sz w:val="24"/>
        </w:rPr>
        <w:t>Minister for Immigration and Multicultural Affairs v Eshetu</w:t>
      </w:r>
      <w:r w:rsidRPr="003531AB">
        <w:rPr>
          <w:rFonts w:ascii="Times New Roman" w:hAnsi="Times New Roman"/>
          <w:sz w:val="24"/>
        </w:rPr>
        <w:t xml:space="preserve"> (1999) 197 CLR 611 at 651 [130].</w:t>
      </w:r>
    </w:p>
  </w:footnote>
  <w:footnote w:id="94">
    <w:p w14:paraId="2AB776DB"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 xml:space="preserve">Bankstown Municipal Council v Fripp </w:t>
      </w:r>
      <w:r w:rsidRPr="003531AB">
        <w:rPr>
          <w:rFonts w:ascii="Times New Roman" w:hAnsi="Times New Roman"/>
          <w:sz w:val="24"/>
        </w:rPr>
        <w:t xml:space="preserve">(1919) 26 CLR 385 at 403. </w:t>
      </w:r>
    </w:p>
  </w:footnote>
  <w:footnote w:id="95">
    <w:p w14:paraId="5B576774"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Kindimindi Investments Pty Ltd v Lane Cove Council</w:t>
      </w:r>
      <w:r w:rsidRPr="003531AB">
        <w:rPr>
          <w:rFonts w:ascii="Times New Roman" w:hAnsi="Times New Roman"/>
          <w:sz w:val="24"/>
        </w:rPr>
        <w:t xml:space="preserve"> (2006) 143 LGERA 277 at 294-296 [64]-[70]. </w:t>
      </w:r>
    </w:p>
  </w:footnote>
  <w:footnote w:id="96">
    <w:p w14:paraId="4328BA50"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t xml:space="preserve">Northern Territory, Legislative Assembly, </w:t>
      </w:r>
      <w:r w:rsidRPr="003531AB">
        <w:rPr>
          <w:rFonts w:ascii="Times New Roman" w:hAnsi="Times New Roman"/>
          <w:i/>
          <w:sz w:val="24"/>
        </w:rPr>
        <w:t>Statute Law Amendment (Territory Economic Reconstruction) Bill 2021</w:t>
      </w:r>
      <w:r w:rsidRPr="003531AB">
        <w:rPr>
          <w:rFonts w:ascii="Times New Roman" w:hAnsi="Times New Roman"/>
          <w:sz w:val="24"/>
        </w:rPr>
        <w:t>, Explanatory Statement</w:t>
      </w:r>
      <w:r w:rsidRPr="003531AB">
        <w:rPr>
          <w:rFonts w:ascii="Times New Roman" w:hAnsi="Times New Roman"/>
          <w:i/>
          <w:iCs/>
          <w:sz w:val="24"/>
        </w:rPr>
        <w:t xml:space="preserve"> </w:t>
      </w:r>
      <w:r w:rsidRPr="003531AB">
        <w:rPr>
          <w:rFonts w:ascii="Times New Roman" w:hAnsi="Times New Roman"/>
          <w:sz w:val="24"/>
        </w:rPr>
        <w:t xml:space="preserve">at 45. </w:t>
      </w:r>
    </w:p>
  </w:footnote>
  <w:footnote w:id="97">
    <w:p w14:paraId="0C805B7E"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t xml:space="preserve">Reasons at </w:t>
      </w:r>
      <w:r w:rsidRPr="00695F9B">
        <w:rPr>
          <w:rFonts w:ascii="Times New Roman" w:hAnsi="Times New Roman"/>
          <w:sz w:val="24"/>
        </w:rPr>
        <w:t>[67]-[73].</w:t>
      </w:r>
    </w:p>
  </w:footnote>
  <w:footnote w:id="98">
    <w:p w14:paraId="3342AEBE" w14:textId="77777777" w:rsidR="00B5218C" w:rsidRPr="003531AB" w:rsidRDefault="00B5218C" w:rsidP="003531AB">
      <w:pPr>
        <w:pStyle w:val="FootnoteText"/>
        <w:spacing w:line="280" w:lineRule="exact"/>
        <w:ind w:right="0"/>
        <w:jc w:val="both"/>
        <w:rPr>
          <w:rFonts w:ascii="Times New Roman" w:hAnsi="Times New Roman"/>
          <w:sz w:val="24"/>
        </w:rPr>
      </w:pPr>
      <w:r w:rsidRPr="003531AB">
        <w:rPr>
          <w:rStyle w:val="FootnoteReference"/>
          <w:rFonts w:ascii="Times New Roman" w:hAnsi="Times New Roman"/>
          <w:sz w:val="22"/>
          <w:vertAlign w:val="baseline"/>
        </w:rPr>
        <w:footnoteRef/>
      </w:r>
      <w:r w:rsidRPr="003531AB">
        <w:rPr>
          <w:rFonts w:ascii="Times New Roman" w:hAnsi="Times New Roman"/>
          <w:sz w:val="24"/>
        </w:rPr>
        <w:t xml:space="preserve"> </w:t>
      </w:r>
      <w:r w:rsidRPr="003531AB">
        <w:rPr>
          <w:rFonts w:ascii="Times New Roman" w:hAnsi="Times New Roman"/>
          <w:sz w:val="24"/>
        </w:rPr>
        <w:tab/>
      </w:r>
      <w:r w:rsidRPr="003531AB">
        <w:rPr>
          <w:rFonts w:ascii="Times New Roman" w:hAnsi="Times New Roman"/>
          <w:i/>
          <w:iCs/>
          <w:sz w:val="24"/>
        </w:rPr>
        <w:t>Water Act</w:t>
      </w:r>
      <w:r w:rsidRPr="003531AB">
        <w:rPr>
          <w:rFonts w:ascii="Times New Roman" w:hAnsi="Times New Roman"/>
          <w:sz w:val="24"/>
        </w:rPr>
        <w:t xml:space="preserve">, s 71E(4)(b). </w:t>
      </w:r>
    </w:p>
  </w:footnote>
  <w:footnote w:id="99">
    <w:p w14:paraId="029E2A2A"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r>
      <w:r w:rsidRPr="00F559DC">
        <w:rPr>
          <w:rFonts w:ascii="Times New Roman" w:hAnsi="Times New Roman"/>
          <w:i/>
          <w:iCs/>
          <w:sz w:val="24"/>
        </w:rPr>
        <w:t>Native Title Act 1993</w:t>
      </w:r>
      <w:r w:rsidRPr="00F559DC">
        <w:rPr>
          <w:rFonts w:ascii="Times New Roman" w:hAnsi="Times New Roman"/>
          <w:sz w:val="24"/>
        </w:rPr>
        <w:t xml:space="preserve"> (</w:t>
      </w:r>
      <w:r w:rsidRPr="00F559DC">
        <w:rPr>
          <w:rFonts w:ascii="Times New Roman" w:hAnsi="Times New Roman"/>
          <w:sz w:val="24"/>
        </w:rPr>
        <w:t>Cth), ss 55, 57(2)-(3), 58, 193, 223-225, 253.</w:t>
      </w:r>
    </w:p>
  </w:footnote>
  <w:footnote w:id="100">
    <w:p w14:paraId="08C43E7D"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t xml:space="preserve">The CLC is the "representative body" under the </w:t>
      </w:r>
      <w:r w:rsidRPr="00F559DC">
        <w:rPr>
          <w:rFonts w:ascii="Times New Roman" w:hAnsi="Times New Roman"/>
          <w:i/>
          <w:iCs/>
          <w:sz w:val="24"/>
        </w:rPr>
        <w:t>Native Title Act</w:t>
      </w:r>
      <w:r w:rsidRPr="00F559DC">
        <w:rPr>
          <w:rFonts w:ascii="Times New Roman" w:hAnsi="Times New Roman"/>
          <w:sz w:val="24"/>
        </w:rPr>
        <w:t xml:space="preserve"> (s 203AD) for the area which includes the land comprising Singleton Station.</w:t>
      </w:r>
    </w:p>
  </w:footnote>
  <w:footnote w:id="101">
    <w:p w14:paraId="6B9E01D9"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t xml:space="preserve">Separate applications were also made by other parties, which were determined together with the CLC's application. </w:t>
      </w:r>
    </w:p>
  </w:footnote>
  <w:footnote w:id="102">
    <w:p w14:paraId="27B9DAC2"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r>
      <w:r w:rsidRPr="00F559DC">
        <w:rPr>
          <w:rFonts w:ascii="Times New Roman" w:hAnsi="Times New Roman"/>
          <w:i/>
          <w:iCs/>
          <w:sz w:val="24"/>
        </w:rPr>
        <w:t>Mpwerempwer Aboriginal Corporation RNTBC v Minister for Territory Families and Urban Housing</w:t>
      </w:r>
      <w:r w:rsidRPr="00F559DC">
        <w:rPr>
          <w:rFonts w:ascii="Times New Roman" w:hAnsi="Times New Roman"/>
          <w:sz w:val="24"/>
        </w:rPr>
        <w:t xml:space="preserve"> (2024) 384 FLR 234.</w:t>
      </w:r>
    </w:p>
  </w:footnote>
  <w:footnote w:id="103">
    <w:p w14:paraId="200A15A0"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r>
      <w:r w:rsidRPr="00F559DC">
        <w:rPr>
          <w:rFonts w:ascii="Times New Roman" w:hAnsi="Times New Roman"/>
          <w:i/>
          <w:iCs/>
          <w:sz w:val="24"/>
        </w:rPr>
        <w:t>Mpwerempwer Aboriginal Corporation RNTBC v Minister for Territory Families and Urban Housing as delegate of the Minister for the Environment</w:t>
      </w:r>
      <w:r w:rsidRPr="00F559DC">
        <w:rPr>
          <w:rFonts w:ascii="Times New Roman" w:hAnsi="Times New Roman"/>
          <w:sz w:val="24"/>
        </w:rPr>
        <w:t xml:space="preserve"> (2025) 395 FLR 125.</w:t>
      </w:r>
    </w:p>
  </w:footnote>
  <w:footnote w:id="104">
    <w:p w14:paraId="3DEC6A1A"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t>(2021) 273 CLR 506 at 524 [38].</w:t>
      </w:r>
    </w:p>
  </w:footnote>
  <w:footnote w:id="105">
    <w:p w14:paraId="31AF2C28"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t>(2024) 280 CLR 321 at 333 [29].</w:t>
      </w:r>
    </w:p>
  </w:footnote>
  <w:footnote w:id="106">
    <w:p w14:paraId="283DC3AA"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t>(2021) 273 CLR 506 at 524 [38].</w:t>
      </w:r>
    </w:p>
  </w:footnote>
  <w:footnote w:id="107">
    <w:p w14:paraId="64880F05"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t>(2024) 280 CLR 321 at 333 [29].</w:t>
      </w:r>
    </w:p>
  </w:footnote>
  <w:footnote w:id="108">
    <w:p w14:paraId="52B530D8"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r>
      <w:r w:rsidRPr="00F559DC">
        <w:rPr>
          <w:rFonts w:ascii="Times New Roman" w:hAnsi="Times New Roman"/>
          <w:i/>
          <w:iCs/>
          <w:sz w:val="24"/>
        </w:rPr>
        <w:t xml:space="preserve">MZAPC </w:t>
      </w:r>
      <w:r w:rsidRPr="00F559DC">
        <w:rPr>
          <w:rFonts w:ascii="Times New Roman" w:hAnsi="Times New Roman"/>
          <w:sz w:val="24"/>
        </w:rPr>
        <w:t>(2021) 273 CLR 506 at 523 [35].</w:t>
      </w:r>
    </w:p>
  </w:footnote>
  <w:footnote w:id="109">
    <w:p w14:paraId="0C1FBC3E"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r>
      <w:r w:rsidRPr="00F559DC">
        <w:rPr>
          <w:rFonts w:ascii="Times New Roman" w:hAnsi="Times New Roman"/>
          <w:i/>
          <w:iCs/>
          <w:sz w:val="24"/>
        </w:rPr>
        <w:t xml:space="preserve">MZAPC </w:t>
      </w:r>
      <w:r w:rsidRPr="00F559DC">
        <w:rPr>
          <w:rFonts w:ascii="Times New Roman" w:hAnsi="Times New Roman"/>
          <w:sz w:val="24"/>
        </w:rPr>
        <w:t>(2021) 273 CLR 506 at 524 [38].</w:t>
      </w:r>
    </w:p>
  </w:footnote>
  <w:footnote w:id="110">
    <w:p w14:paraId="38854DF9"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r>
      <w:r w:rsidRPr="00F559DC">
        <w:rPr>
          <w:rFonts w:ascii="Times New Roman" w:hAnsi="Times New Roman"/>
          <w:i/>
          <w:iCs/>
          <w:sz w:val="24"/>
        </w:rPr>
        <w:t xml:space="preserve">MZAPC </w:t>
      </w:r>
      <w:r w:rsidRPr="00F559DC">
        <w:rPr>
          <w:rFonts w:ascii="Times New Roman" w:hAnsi="Times New Roman"/>
          <w:sz w:val="24"/>
        </w:rPr>
        <w:t>(2021) 273 CLR 506 at 524 [38] (footnote omitted).</w:t>
      </w:r>
    </w:p>
  </w:footnote>
  <w:footnote w:id="111">
    <w:p w14:paraId="6D0D0CD1"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r>
      <w:r w:rsidRPr="00F559DC">
        <w:rPr>
          <w:rFonts w:ascii="Times New Roman" w:hAnsi="Times New Roman"/>
          <w:i/>
          <w:iCs/>
          <w:sz w:val="24"/>
        </w:rPr>
        <w:t xml:space="preserve">LPDT </w:t>
      </w:r>
      <w:r w:rsidRPr="00F559DC">
        <w:rPr>
          <w:rFonts w:ascii="Times New Roman" w:hAnsi="Times New Roman"/>
          <w:sz w:val="24"/>
        </w:rPr>
        <w:t>(2024) 280 CLR 321 at 333 [29] (footnote omitted).</w:t>
      </w:r>
    </w:p>
  </w:footnote>
  <w:footnote w:id="112">
    <w:p w14:paraId="28B19315"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t xml:space="preserve">See </w:t>
      </w:r>
      <w:r w:rsidRPr="00F559DC">
        <w:rPr>
          <w:rFonts w:ascii="Times New Roman" w:hAnsi="Times New Roman"/>
          <w:i/>
          <w:iCs/>
          <w:sz w:val="24"/>
        </w:rPr>
        <w:t>Khalil v Minister for Immigration, Citizenship, Migrant Services and Multicultural Affairs</w:t>
      </w:r>
      <w:r w:rsidRPr="00F559DC">
        <w:rPr>
          <w:rFonts w:ascii="Times New Roman" w:hAnsi="Times New Roman"/>
          <w:sz w:val="24"/>
        </w:rPr>
        <w:t xml:space="preserve"> (2025) 281 CLR 327 at 334-336 [15]-[20].</w:t>
      </w:r>
    </w:p>
  </w:footnote>
  <w:footnote w:id="113">
    <w:p w14:paraId="3F64487F"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r>
      <w:r w:rsidRPr="00F559DC">
        <w:rPr>
          <w:rFonts w:ascii="Times New Roman" w:hAnsi="Times New Roman"/>
          <w:sz w:val="24"/>
        </w:rPr>
        <w:t xml:space="preserve">eg, </w:t>
      </w:r>
      <w:r w:rsidRPr="00F559DC">
        <w:rPr>
          <w:rFonts w:ascii="Times New Roman" w:hAnsi="Times New Roman"/>
          <w:i/>
          <w:iCs/>
          <w:sz w:val="24"/>
        </w:rPr>
        <w:t>Minister for Immigration and Multicultural Affairs v Eshetu</w:t>
      </w:r>
      <w:r w:rsidRPr="00F559DC">
        <w:rPr>
          <w:rFonts w:ascii="Times New Roman" w:hAnsi="Times New Roman"/>
          <w:sz w:val="24"/>
        </w:rPr>
        <w:t xml:space="preserve"> (1999) 197 CLR 611 at 651-654 [130]-[137].</w:t>
      </w:r>
    </w:p>
  </w:footnote>
  <w:footnote w:id="114">
    <w:p w14:paraId="053E0F00"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r>
      <w:r w:rsidRPr="00F559DC">
        <w:rPr>
          <w:rFonts w:ascii="Times New Roman" w:hAnsi="Times New Roman"/>
          <w:i/>
          <w:iCs/>
          <w:sz w:val="24"/>
        </w:rPr>
        <w:t>Mpwerempwer Aboriginal Corporation RNTBC v Minister for Territory Families and Urban Housing as delegate of the Minister for the Environment</w:t>
      </w:r>
      <w:r w:rsidRPr="00F559DC">
        <w:rPr>
          <w:rFonts w:ascii="Times New Roman" w:hAnsi="Times New Roman"/>
          <w:sz w:val="24"/>
        </w:rPr>
        <w:t xml:space="preserve"> (2025) 395 FLR 125 at 150 [93].</w:t>
      </w:r>
    </w:p>
  </w:footnote>
  <w:footnote w:id="115">
    <w:p w14:paraId="38D224D4"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t>Emphasis in original.</w:t>
      </w:r>
    </w:p>
  </w:footnote>
  <w:footnote w:id="116">
    <w:p w14:paraId="70DBAAD6"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t>Emphasis in original.</w:t>
      </w:r>
    </w:p>
  </w:footnote>
  <w:footnote w:id="117">
    <w:p w14:paraId="3635BB12"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t xml:space="preserve">See </w:t>
      </w:r>
      <w:r w:rsidRPr="00F559DC">
        <w:rPr>
          <w:rFonts w:ascii="Times New Roman" w:hAnsi="Times New Roman"/>
          <w:i/>
          <w:iCs/>
          <w:sz w:val="24"/>
        </w:rPr>
        <w:t>Native Title Act</w:t>
      </w:r>
      <w:r w:rsidRPr="00F559DC">
        <w:rPr>
          <w:rFonts w:ascii="Times New Roman" w:hAnsi="Times New Roman"/>
          <w:sz w:val="24"/>
        </w:rPr>
        <w:t xml:space="preserve">, s 57(2) and </w:t>
      </w:r>
      <w:r w:rsidRPr="00F559DC">
        <w:rPr>
          <w:rFonts w:ascii="Times New Roman" w:hAnsi="Times New Roman"/>
          <w:i/>
          <w:iCs/>
          <w:sz w:val="24"/>
        </w:rPr>
        <w:t xml:space="preserve">Rex on behalf of the </w:t>
      </w:r>
      <w:r w:rsidRPr="00F559DC">
        <w:rPr>
          <w:rFonts w:ascii="Times New Roman" w:hAnsi="Times New Roman"/>
          <w:i/>
          <w:iCs/>
          <w:sz w:val="24"/>
        </w:rPr>
        <w:t xml:space="preserve">Akwerlpe-Waake, Iliyarne, Lyentyawel Ileparranem and Arrawatyen People v Northern Territory </w:t>
      </w:r>
      <w:r w:rsidRPr="00F559DC">
        <w:rPr>
          <w:rFonts w:ascii="Times New Roman" w:hAnsi="Times New Roman"/>
          <w:sz w:val="24"/>
        </w:rPr>
        <w:t xml:space="preserve">[2010] FCA 911, as varied by the Order of Charlesworth J in </w:t>
      </w:r>
      <w:r w:rsidRPr="00F559DC">
        <w:rPr>
          <w:rFonts w:ascii="Times New Roman" w:hAnsi="Times New Roman"/>
          <w:i/>
          <w:iCs/>
          <w:sz w:val="24"/>
        </w:rPr>
        <w:t xml:space="preserve">Mpwerempwer Aboriginal Corporation RNTBC v Northern Territory </w:t>
      </w:r>
      <w:r w:rsidRPr="00F559DC">
        <w:rPr>
          <w:rFonts w:ascii="Times New Roman" w:hAnsi="Times New Roman"/>
          <w:sz w:val="24"/>
        </w:rPr>
        <w:t>(Federal Court of Australia, NTD42/2018, 19 August 2020) at Annexure 1 [4].</w:t>
      </w:r>
    </w:p>
  </w:footnote>
  <w:footnote w:id="118">
    <w:p w14:paraId="46566799"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r>
      <w:r w:rsidRPr="00F559DC">
        <w:rPr>
          <w:rFonts w:ascii="Times New Roman" w:hAnsi="Times New Roman"/>
          <w:i/>
          <w:iCs/>
          <w:sz w:val="24"/>
        </w:rPr>
        <w:t>The Commonwealth v Yunupingu</w:t>
      </w:r>
      <w:r w:rsidRPr="00F559DC">
        <w:rPr>
          <w:rFonts w:ascii="Times New Roman" w:hAnsi="Times New Roman"/>
          <w:sz w:val="24"/>
        </w:rPr>
        <w:t xml:space="preserve"> (2025) 99 ALJR 519 at 539-540 [61]; 421 ALR 604 at 621-622.</w:t>
      </w:r>
    </w:p>
  </w:footnote>
  <w:footnote w:id="119">
    <w:p w14:paraId="7BD12C0C"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r>
      <w:r w:rsidRPr="00F559DC">
        <w:rPr>
          <w:rFonts w:ascii="Times New Roman" w:hAnsi="Times New Roman"/>
          <w:sz w:val="24"/>
        </w:rPr>
        <w:t xml:space="preserve">eg, </w:t>
      </w:r>
      <w:r w:rsidRPr="00F559DC">
        <w:rPr>
          <w:rFonts w:ascii="Times New Roman" w:hAnsi="Times New Roman"/>
          <w:i/>
          <w:iCs/>
          <w:sz w:val="24"/>
        </w:rPr>
        <w:t>Disorganized Developments Pty Ltd v South Australia</w:t>
      </w:r>
      <w:r w:rsidRPr="00F559DC">
        <w:rPr>
          <w:rFonts w:ascii="Times New Roman" w:hAnsi="Times New Roman"/>
          <w:sz w:val="24"/>
        </w:rPr>
        <w:t xml:space="preserve"> (2023) 280 CLR 515 at 535-537 [28]-[33]; </w:t>
      </w:r>
      <w:r w:rsidRPr="00F559DC">
        <w:rPr>
          <w:rFonts w:ascii="Times New Roman" w:hAnsi="Times New Roman"/>
          <w:i/>
          <w:iCs/>
          <w:sz w:val="24"/>
        </w:rPr>
        <w:t>Badari v Minister for Territory Families and Urban Housing</w:t>
      </w:r>
      <w:r w:rsidRPr="00F559DC">
        <w:rPr>
          <w:rFonts w:ascii="Times New Roman" w:hAnsi="Times New Roman"/>
          <w:sz w:val="24"/>
        </w:rPr>
        <w:t xml:space="preserve"> (2025) 100 ALJR 30 at 36 [17]; 426 ALR 212 at 218-219.</w:t>
      </w:r>
    </w:p>
  </w:footnote>
  <w:footnote w:id="120">
    <w:p w14:paraId="2293D5E7"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r>
      <w:r w:rsidRPr="00F559DC">
        <w:rPr>
          <w:rFonts w:ascii="Times New Roman" w:hAnsi="Times New Roman"/>
          <w:sz w:val="24"/>
        </w:rPr>
        <w:t xml:space="preserve">eg, </w:t>
      </w:r>
      <w:r w:rsidRPr="00F559DC">
        <w:rPr>
          <w:rFonts w:ascii="Times New Roman" w:hAnsi="Times New Roman"/>
          <w:i/>
          <w:iCs/>
          <w:sz w:val="24"/>
        </w:rPr>
        <w:t>F Hoffmann-La Roche &amp; Co AG v Secretary of State for Trade and Industry</w:t>
      </w:r>
      <w:r w:rsidRPr="00F559DC">
        <w:rPr>
          <w:rFonts w:ascii="Times New Roman" w:hAnsi="Times New Roman"/>
          <w:sz w:val="24"/>
        </w:rPr>
        <w:t xml:space="preserve"> [1975] AC 295 at 369, cited in </w:t>
      </w:r>
      <w:r w:rsidRPr="00F559DC">
        <w:rPr>
          <w:rFonts w:ascii="Times New Roman" w:hAnsi="Times New Roman"/>
          <w:i/>
          <w:iCs/>
          <w:sz w:val="24"/>
        </w:rPr>
        <w:t>SZBEL v Minister for Immigration and Multicultural and Indigenous Affairs</w:t>
      </w:r>
      <w:r w:rsidRPr="00F559DC">
        <w:rPr>
          <w:rFonts w:ascii="Times New Roman" w:hAnsi="Times New Roman"/>
          <w:sz w:val="24"/>
        </w:rPr>
        <w:t xml:space="preserve"> (2006) 228 CLR 152 at 166 [48].</w:t>
      </w:r>
    </w:p>
  </w:footnote>
  <w:footnote w:id="121">
    <w:p w14:paraId="1C81B70B"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t>(1994) 49 FCR 576.</w:t>
      </w:r>
    </w:p>
  </w:footnote>
  <w:footnote w:id="122">
    <w:p w14:paraId="3757D659" w14:textId="77777777" w:rsidR="00B5218C" w:rsidRPr="00F559DC" w:rsidRDefault="00B5218C" w:rsidP="00F559DC">
      <w:pPr>
        <w:pStyle w:val="FootnoteText"/>
        <w:spacing w:line="280" w:lineRule="exact"/>
        <w:ind w:right="0"/>
        <w:jc w:val="both"/>
        <w:rPr>
          <w:rFonts w:ascii="Times New Roman" w:hAnsi="Times New Roman"/>
          <w:sz w:val="24"/>
        </w:rPr>
      </w:pPr>
      <w:r w:rsidRPr="00F559DC">
        <w:rPr>
          <w:rStyle w:val="FootnoteReference"/>
          <w:rFonts w:ascii="Times New Roman" w:hAnsi="Times New Roman"/>
          <w:sz w:val="22"/>
          <w:vertAlign w:val="baseline"/>
        </w:rPr>
        <w:footnoteRef/>
      </w:r>
      <w:r w:rsidRPr="00F559DC">
        <w:rPr>
          <w:rFonts w:ascii="Times New Roman" w:hAnsi="Times New Roman"/>
          <w:sz w:val="24"/>
        </w:rPr>
        <w:t xml:space="preserve"> </w:t>
      </w:r>
      <w:r w:rsidRPr="00F559DC">
        <w:rPr>
          <w:rFonts w:ascii="Times New Roman" w:hAnsi="Times New Roman"/>
          <w:sz w:val="24"/>
        </w:rPr>
        <w:tab/>
        <w:t>(1994) 49 FCR 576 at 591.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CC9A6" w14:textId="77777777" w:rsidR="007E042A" w:rsidRPr="00985AA9" w:rsidRDefault="007E042A" w:rsidP="00985AA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6AD2" w14:textId="77777777" w:rsidR="00B5218C" w:rsidRDefault="00B5218C" w:rsidP="003531AB">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Edelman</w:t>
    </w:r>
    <w:r>
      <w:rPr>
        <w:rFonts w:ascii="Times New Roman" w:hAnsi="Times New Roman"/>
        <w:i/>
        <w:sz w:val="22"/>
      </w:rPr>
      <w:tab/>
      <w:t>J</w:t>
    </w:r>
  </w:p>
  <w:p w14:paraId="62ACABD1" w14:textId="77777777" w:rsidR="00B5218C" w:rsidRDefault="00B5218C" w:rsidP="003531AB">
    <w:pPr>
      <w:pStyle w:val="Header"/>
      <w:tabs>
        <w:tab w:val="clear" w:pos="4153"/>
        <w:tab w:val="clear" w:pos="8306"/>
        <w:tab w:val="right" w:pos="1304"/>
      </w:tabs>
      <w:spacing w:line="280" w:lineRule="exact"/>
      <w:ind w:firstLine="0"/>
      <w:rPr>
        <w:rFonts w:ascii="Times New Roman" w:hAnsi="Times New Roman"/>
        <w:i/>
        <w:sz w:val="22"/>
      </w:rPr>
    </w:pPr>
  </w:p>
  <w:p w14:paraId="15484D3E" w14:textId="77777777" w:rsidR="00B5218C" w:rsidRDefault="00B5218C" w:rsidP="003531AB">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11C7EE9C" w14:textId="77777777" w:rsidR="00B5218C" w:rsidRPr="003531AB" w:rsidRDefault="00B5218C" w:rsidP="003531AB">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2281E" w14:textId="77777777" w:rsidR="00B5218C" w:rsidRDefault="00B5218C" w:rsidP="003531AB">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Edelman</w:t>
    </w:r>
    <w:r>
      <w:rPr>
        <w:rFonts w:ascii="Times New Roman" w:hAnsi="Times New Roman"/>
        <w:i/>
        <w:sz w:val="22"/>
      </w:rPr>
      <w:tab/>
      <w:t>J</w:t>
    </w:r>
  </w:p>
  <w:p w14:paraId="0BA9F7E5" w14:textId="77777777" w:rsidR="00B5218C" w:rsidRDefault="00B5218C" w:rsidP="003531AB">
    <w:pPr>
      <w:pStyle w:val="Header"/>
      <w:tabs>
        <w:tab w:val="clear" w:pos="4153"/>
        <w:tab w:val="clear" w:pos="8306"/>
        <w:tab w:val="left" w:pos="7200"/>
        <w:tab w:val="right" w:pos="8504"/>
      </w:tabs>
      <w:spacing w:line="280" w:lineRule="exact"/>
      <w:jc w:val="right"/>
      <w:rPr>
        <w:rFonts w:ascii="Times New Roman" w:hAnsi="Times New Roman"/>
        <w:i/>
        <w:sz w:val="22"/>
      </w:rPr>
    </w:pPr>
  </w:p>
  <w:p w14:paraId="1297BC60" w14:textId="77777777" w:rsidR="00B5218C" w:rsidRDefault="00B5218C" w:rsidP="003531AB">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62225A7B" w14:textId="77777777" w:rsidR="00B5218C" w:rsidRPr="003531AB" w:rsidRDefault="00B5218C" w:rsidP="003531AB">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F2D2" w14:textId="77777777" w:rsidR="00B5218C" w:rsidRDefault="00B5218C" w:rsidP="003531AB">
    <w:pPr>
      <w:pStyle w:val="Header"/>
      <w:tabs>
        <w:tab w:val="clear" w:pos="4153"/>
        <w:tab w:val="clear" w:pos="8306"/>
        <w:tab w:val="center" w:pos="1134"/>
      </w:tabs>
      <w:spacing w:line="280" w:lineRule="exact"/>
      <w:ind w:firstLine="0"/>
      <w:rPr>
        <w:rFonts w:ascii="Times New Roman" w:hAnsi="Times New Roman"/>
        <w:i/>
        <w:sz w:val="22"/>
      </w:rPr>
    </w:pPr>
  </w:p>
  <w:p w14:paraId="50AE17DD" w14:textId="77777777" w:rsidR="00B5218C" w:rsidRDefault="00B5218C" w:rsidP="003531AB">
    <w:pPr>
      <w:pStyle w:val="Header"/>
      <w:tabs>
        <w:tab w:val="clear" w:pos="4153"/>
        <w:tab w:val="clear" w:pos="8306"/>
        <w:tab w:val="center" w:pos="1134"/>
      </w:tabs>
      <w:spacing w:line="280" w:lineRule="exact"/>
      <w:ind w:firstLine="0"/>
      <w:rPr>
        <w:rFonts w:ascii="Times New Roman" w:hAnsi="Times New Roman"/>
        <w:i/>
        <w:sz w:val="22"/>
      </w:rPr>
    </w:pPr>
  </w:p>
  <w:p w14:paraId="41D64E41" w14:textId="77777777" w:rsidR="00B5218C" w:rsidRDefault="00B5218C" w:rsidP="003531AB">
    <w:pPr>
      <w:pStyle w:val="Header"/>
      <w:tabs>
        <w:tab w:val="clear" w:pos="4153"/>
        <w:tab w:val="clear" w:pos="8306"/>
        <w:tab w:val="center" w:pos="1134"/>
      </w:tabs>
      <w:spacing w:line="280" w:lineRule="exact"/>
      <w:ind w:firstLine="0"/>
      <w:rPr>
        <w:rFonts w:ascii="Times New Roman" w:hAnsi="Times New Roman"/>
        <w:i/>
        <w:sz w:val="22"/>
      </w:rPr>
    </w:pPr>
  </w:p>
  <w:p w14:paraId="5584ECB4" w14:textId="77777777" w:rsidR="00B5218C" w:rsidRPr="003531AB" w:rsidRDefault="00B5218C" w:rsidP="003531AB">
    <w:pPr>
      <w:pStyle w:val="Header"/>
      <w:tabs>
        <w:tab w:val="clear" w:pos="4153"/>
        <w:tab w:val="clear" w:pos="8306"/>
        <w:tab w:val="center" w:pos="1134"/>
      </w:tabs>
      <w:spacing w:line="280" w:lineRule="exact"/>
      <w:ind w:firstLine="0"/>
      <w:rPr>
        <w:rFonts w:ascii="Times New Roman" w:hAnsi="Times New Roman"/>
        <w: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D465" w14:textId="77777777" w:rsidR="00B5218C" w:rsidRDefault="00B5218C" w:rsidP="00F559DC">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Jagot</w:t>
    </w:r>
    <w:r>
      <w:rPr>
        <w:rFonts w:ascii="Times New Roman" w:hAnsi="Times New Roman"/>
        <w:i/>
        <w:sz w:val="22"/>
      </w:rPr>
      <w:tab/>
      <w:t>J</w:t>
    </w:r>
  </w:p>
  <w:p w14:paraId="49CF0C25" w14:textId="77777777" w:rsidR="00B5218C" w:rsidRDefault="00B5218C" w:rsidP="00F559DC">
    <w:pPr>
      <w:pStyle w:val="Header"/>
      <w:tabs>
        <w:tab w:val="clear" w:pos="4153"/>
        <w:tab w:val="clear" w:pos="8306"/>
        <w:tab w:val="right" w:pos="1304"/>
      </w:tabs>
      <w:spacing w:line="280" w:lineRule="exact"/>
      <w:ind w:firstLine="0"/>
      <w:rPr>
        <w:rFonts w:ascii="Times New Roman" w:hAnsi="Times New Roman"/>
        <w:i/>
        <w:sz w:val="22"/>
      </w:rPr>
    </w:pPr>
  </w:p>
  <w:p w14:paraId="2711BF09" w14:textId="77777777" w:rsidR="00B5218C" w:rsidRDefault="00B5218C" w:rsidP="00F559DC">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6EDA7CB5" w14:textId="77777777" w:rsidR="00B5218C" w:rsidRPr="00F559DC" w:rsidRDefault="00B5218C" w:rsidP="00F559DC">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CDC00" w14:textId="77777777" w:rsidR="00B5218C" w:rsidRDefault="00B5218C" w:rsidP="00F559DC">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Jagot</w:t>
    </w:r>
    <w:r>
      <w:rPr>
        <w:rFonts w:ascii="Times New Roman" w:hAnsi="Times New Roman"/>
        <w:i/>
        <w:sz w:val="22"/>
      </w:rPr>
      <w:tab/>
      <w:t>J</w:t>
    </w:r>
  </w:p>
  <w:p w14:paraId="70C0B547" w14:textId="77777777" w:rsidR="00B5218C" w:rsidRDefault="00B5218C" w:rsidP="00F559DC">
    <w:pPr>
      <w:pStyle w:val="Header"/>
      <w:tabs>
        <w:tab w:val="clear" w:pos="4153"/>
        <w:tab w:val="clear" w:pos="8306"/>
        <w:tab w:val="left" w:pos="7200"/>
        <w:tab w:val="right" w:pos="8504"/>
      </w:tabs>
      <w:spacing w:line="280" w:lineRule="exact"/>
      <w:jc w:val="right"/>
      <w:rPr>
        <w:rFonts w:ascii="Times New Roman" w:hAnsi="Times New Roman"/>
        <w:i/>
        <w:sz w:val="22"/>
      </w:rPr>
    </w:pPr>
  </w:p>
  <w:p w14:paraId="2BF7575C" w14:textId="77777777" w:rsidR="00B5218C" w:rsidRDefault="00B5218C" w:rsidP="00F559DC">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4ADF33EC" w14:textId="77777777" w:rsidR="00B5218C" w:rsidRPr="00F559DC" w:rsidRDefault="00B5218C" w:rsidP="00F559DC">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BD191" w14:textId="77777777" w:rsidR="00B5218C" w:rsidRDefault="00B5218C" w:rsidP="00F559DC">
    <w:pPr>
      <w:pStyle w:val="Header"/>
      <w:tabs>
        <w:tab w:val="clear" w:pos="4153"/>
        <w:tab w:val="clear" w:pos="8306"/>
        <w:tab w:val="center" w:pos="1134"/>
      </w:tabs>
      <w:spacing w:line="280" w:lineRule="exact"/>
      <w:ind w:firstLine="0"/>
      <w:rPr>
        <w:rFonts w:ascii="Times New Roman" w:hAnsi="Times New Roman"/>
        <w:i/>
        <w:sz w:val="22"/>
      </w:rPr>
    </w:pPr>
  </w:p>
  <w:p w14:paraId="63438F00" w14:textId="77777777" w:rsidR="00B5218C" w:rsidRDefault="00B5218C" w:rsidP="00F559DC">
    <w:pPr>
      <w:pStyle w:val="Header"/>
      <w:tabs>
        <w:tab w:val="clear" w:pos="4153"/>
        <w:tab w:val="clear" w:pos="8306"/>
        <w:tab w:val="center" w:pos="1134"/>
      </w:tabs>
      <w:spacing w:line="280" w:lineRule="exact"/>
      <w:ind w:firstLine="0"/>
      <w:rPr>
        <w:rFonts w:ascii="Times New Roman" w:hAnsi="Times New Roman"/>
        <w:i/>
        <w:sz w:val="22"/>
      </w:rPr>
    </w:pPr>
  </w:p>
  <w:p w14:paraId="31D1DF59" w14:textId="77777777" w:rsidR="00B5218C" w:rsidRDefault="00B5218C" w:rsidP="00F559DC">
    <w:pPr>
      <w:pStyle w:val="Header"/>
      <w:tabs>
        <w:tab w:val="clear" w:pos="4153"/>
        <w:tab w:val="clear" w:pos="8306"/>
        <w:tab w:val="center" w:pos="1134"/>
      </w:tabs>
      <w:spacing w:line="280" w:lineRule="exact"/>
      <w:ind w:firstLine="0"/>
      <w:rPr>
        <w:rFonts w:ascii="Times New Roman" w:hAnsi="Times New Roman"/>
        <w:i/>
        <w:sz w:val="22"/>
      </w:rPr>
    </w:pPr>
  </w:p>
  <w:p w14:paraId="5B7225D5" w14:textId="77777777" w:rsidR="00B5218C" w:rsidRPr="00F559DC" w:rsidRDefault="00B5218C" w:rsidP="00F559DC">
    <w:pPr>
      <w:pStyle w:val="Header"/>
      <w:tabs>
        <w:tab w:val="clear" w:pos="4153"/>
        <w:tab w:val="clear" w:pos="8306"/>
        <w:tab w:val="center" w:pos="1134"/>
      </w:tabs>
      <w:spacing w:line="280" w:lineRule="exact"/>
      <w:ind w:firstLine="0"/>
      <w:rPr>
        <w:rFonts w:ascii="Times New Roman" w:hAnsi="Times New Roman"/>
        <w:i/>
        <w:sz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D74F" w14:textId="77777777" w:rsidR="00B5218C" w:rsidRPr="00B5218C" w:rsidRDefault="00B5218C" w:rsidP="00B521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86AF" w14:textId="46BEB24C" w:rsidR="007E042A" w:rsidRPr="00985AA9" w:rsidRDefault="00985AA9" w:rsidP="00985AA9">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Pr>
        <w:rFonts w:ascii="Times New Roman" w:hAnsi="Times New Roman"/>
        <w:noProof/>
        <w:sz w:val="22"/>
      </w:rPr>
      <w:instrText>3</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Pr>
        <w:rFonts w:ascii="Times New Roman" w:hAnsi="Times New Roman"/>
        <w:noProof/>
        <w:sz w:val="22"/>
      </w:rPr>
      <w:t>2</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9C89" w14:textId="160A5552" w:rsidR="00BB25B0" w:rsidRPr="00985AA9" w:rsidRDefault="00BB25B0" w:rsidP="00985A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60C0" w14:textId="77777777" w:rsidR="00985AA9" w:rsidRDefault="00985AA9" w:rsidP="007E042A">
    <w:pPr>
      <w:pStyle w:val="Header"/>
      <w:tabs>
        <w:tab w:val="clear" w:pos="4153"/>
        <w:tab w:val="clear" w:pos="8306"/>
        <w:tab w:val="right" w:pos="1304"/>
      </w:tabs>
      <w:spacing w:line="280" w:lineRule="exact"/>
      <w:ind w:firstLine="0"/>
      <w:rPr>
        <w:rFonts w:ascii="Times New Roman" w:hAnsi="Times New Roman"/>
        <w:i/>
        <w:sz w:val="22"/>
      </w:rPr>
    </w:pPr>
    <w:proofErr w:type="spellStart"/>
    <w:r>
      <w:rPr>
        <w:rFonts w:ascii="Times New Roman" w:hAnsi="Times New Roman"/>
        <w:i/>
        <w:sz w:val="22"/>
      </w:rPr>
      <w:t>Gageler</w:t>
    </w:r>
    <w:proofErr w:type="spellEnd"/>
    <w:r>
      <w:rPr>
        <w:rFonts w:ascii="Times New Roman" w:hAnsi="Times New Roman"/>
        <w:i/>
        <w:sz w:val="22"/>
      </w:rPr>
      <w:tab/>
      <w:t>CJ</w:t>
    </w:r>
  </w:p>
  <w:p w14:paraId="300B9C37" w14:textId="77777777" w:rsidR="00985AA9" w:rsidRDefault="00985AA9" w:rsidP="007E042A">
    <w:pPr>
      <w:pStyle w:val="Header"/>
      <w:tabs>
        <w:tab w:val="clear" w:pos="4153"/>
        <w:tab w:val="clear" w:pos="8306"/>
        <w:tab w:val="right" w:pos="1304"/>
      </w:tabs>
      <w:spacing w:line="280" w:lineRule="exact"/>
      <w:ind w:firstLine="0"/>
      <w:rPr>
        <w:rFonts w:ascii="Times New Roman" w:hAnsi="Times New Roman"/>
        <w:i/>
        <w:sz w:val="22"/>
      </w:rPr>
    </w:pPr>
  </w:p>
  <w:p w14:paraId="4874A420" w14:textId="77777777" w:rsidR="00985AA9" w:rsidRDefault="00985AA9" w:rsidP="007E042A">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3DC937AB" w14:textId="77777777" w:rsidR="00985AA9" w:rsidRPr="007E042A" w:rsidRDefault="00985AA9" w:rsidP="007E042A">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A170" w14:textId="77777777" w:rsidR="00985AA9" w:rsidRDefault="00985AA9" w:rsidP="007E042A">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r>
    <w:proofErr w:type="spellStart"/>
    <w:r>
      <w:rPr>
        <w:rFonts w:ascii="Times New Roman" w:hAnsi="Times New Roman"/>
        <w:i/>
        <w:sz w:val="22"/>
      </w:rPr>
      <w:t>Gageler</w:t>
    </w:r>
    <w:proofErr w:type="spellEnd"/>
    <w:r>
      <w:rPr>
        <w:rFonts w:ascii="Times New Roman" w:hAnsi="Times New Roman"/>
        <w:i/>
        <w:sz w:val="22"/>
      </w:rPr>
      <w:tab/>
      <w:t>CJ</w:t>
    </w:r>
  </w:p>
  <w:p w14:paraId="4BD91E41" w14:textId="77777777" w:rsidR="00985AA9" w:rsidRDefault="00985AA9" w:rsidP="007E042A">
    <w:pPr>
      <w:pStyle w:val="Header"/>
      <w:tabs>
        <w:tab w:val="clear" w:pos="4153"/>
        <w:tab w:val="clear" w:pos="8306"/>
        <w:tab w:val="left" w:pos="7200"/>
        <w:tab w:val="right" w:pos="8504"/>
      </w:tabs>
      <w:spacing w:line="280" w:lineRule="exact"/>
      <w:jc w:val="right"/>
      <w:rPr>
        <w:rFonts w:ascii="Times New Roman" w:hAnsi="Times New Roman"/>
        <w:i/>
        <w:sz w:val="22"/>
      </w:rPr>
    </w:pPr>
  </w:p>
  <w:p w14:paraId="636A71E9" w14:textId="77777777" w:rsidR="00985AA9" w:rsidRDefault="00985AA9" w:rsidP="007E042A">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05A0F0BC" w14:textId="77777777" w:rsidR="00985AA9" w:rsidRPr="007E042A" w:rsidRDefault="00985AA9" w:rsidP="007E042A">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53DC4" w14:textId="77777777" w:rsidR="00985AA9" w:rsidRDefault="00985AA9" w:rsidP="007E042A">
    <w:pPr>
      <w:pStyle w:val="Header"/>
      <w:tabs>
        <w:tab w:val="clear" w:pos="4153"/>
        <w:tab w:val="clear" w:pos="8306"/>
        <w:tab w:val="center" w:pos="1134"/>
      </w:tabs>
      <w:spacing w:line="280" w:lineRule="exact"/>
      <w:ind w:firstLine="0"/>
      <w:rPr>
        <w:rFonts w:ascii="Times New Roman" w:hAnsi="Times New Roman"/>
        <w:i/>
        <w:sz w:val="22"/>
      </w:rPr>
    </w:pPr>
  </w:p>
  <w:p w14:paraId="4F4F4DA9" w14:textId="77777777" w:rsidR="00985AA9" w:rsidRDefault="00985AA9" w:rsidP="007E042A">
    <w:pPr>
      <w:pStyle w:val="Header"/>
      <w:tabs>
        <w:tab w:val="clear" w:pos="4153"/>
        <w:tab w:val="clear" w:pos="8306"/>
        <w:tab w:val="center" w:pos="1134"/>
      </w:tabs>
      <w:spacing w:line="280" w:lineRule="exact"/>
      <w:ind w:firstLine="0"/>
      <w:rPr>
        <w:rFonts w:ascii="Times New Roman" w:hAnsi="Times New Roman"/>
        <w:i/>
        <w:sz w:val="22"/>
      </w:rPr>
    </w:pPr>
  </w:p>
  <w:p w14:paraId="306334D9" w14:textId="77777777" w:rsidR="00985AA9" w:rsidRDefault="00985AA9" w:rsidP="007E042A">
    <w:pPr>
      <w:pStyle w:val="Header"/>
      <w:tabs>
        <w:tab w:val="clear" w:pos="4153"/>
        <w:tab w:val="clear" w:pos="8306"/>
        <w:tab w:val="center" w:pos="1134"/>
      </w:tabs>
      <w:spacing w:line="280" w:lineRule="exact"/>
      <w:ind w:firstLine="0"/>
      <w:rPr>
        <w:rFonts w:ascii="Times New Roman" w:hAnsi="Times New Roman"/>
        <w:i/>
        <w:sz w:val="22"/>
      </w:rPr>
    </w:pPr>
  </w:p>
  <w:p w14:paraId="68EF243F" w14:textId="77777777" w:rsidR="00985AA9" w:rsidRPr="007E042A" w:rsidRDefault="00985AA9" w:rsidP="007E042A">
    <w:pPr>
      <w:pStyle w:val="Header"/>
      <w:tabs>
        <w:tab w:val="clear" w:pos="4153"/>
        <w:tab w:val="clear" w:pos="8306"/>
        <w:tab w:val="center" w:pos="1134"/>
      </w:tabs>
      <w:spacing w:line="280" w:lineRule="exact"/>
      <w:ind w:firstLine="0"/>
      <w:rPr>
        <w:rFonts w:ascii="Times New Roman" w:hAnsi="Times New Roman"/>
        <w: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1AB9" w14:textId="77777777" w:rsidR="00B5218C" w:rsidRPr="00CA793D" w:rsidRDefault="00B5218C" w:rsidP="00CA793D">
    <w:pPr>
      <w:pStyle w:val="Header"/>
      <w:tabs>
        <w:tab w:val="clear" w:pos="4153"/>
        <w:tab w:val="clear" w:pos="8306"/>
        <w:tab w:val="right" w:pos="1304"/>
      </w:tabs>
      <w:spacing w:line="280" w:lineRule="exact"/>
      <w:ind w:firstLine="0"/>
      <w:rPr>
        <w:rFonts w:ascii="Times New Roman" w:hAnsi="Times New Roman"/>
        <w:i/>
        <w:sz w:val="22"/>
      </w:rPr>
    </w:pPr>
    <w:r w:rsidRPr="00CA793D">
      <w:rPr>
        <w:rFonts w:ascii="Times New Roman" w:hAnsi="Times New Roman"/>
        <w:i/>
        <w:sz w:val="22"/>
      </w:rPr>
      <w:t>Gordon</w:t>
    </w:r>
    <w:r w:rsidRPr="00CA793D">
      <w:rPr>
        <w:rFonts w:ascii="Times New Roman" w:hAnsi="Times New Roman"/>
        <w:i/>
        <w:sz w:val="22"/>
      </w:rPr>
      <w:tab/>
      <w:t>J</w:t>
    </w:r>
  </w:p>
  <w:p w14:paraId="4FC1CBE0" w14:textId="77777777" w:rsidR="00B5218C" w:rsidRPr="00CA793D" w:rsidRDefault="00B5218C" w:rsidP="00CA793D">
    <w:pPr>
      <w:pStyle w:val="Header"/>
      <w:tabs>
        <w:tab w:val="clear" w:pos="4153"/>
        <w:tab w:val="clear" w:pos="8306"/>
        <w:tab w:val="right" w:pos="1304"/>
      </w:tabs>
      <w:spacing w:line="280" w:lineRule="exact"/>
      <w:ind w:firstLine="0"/>
      <w:rPr>
        <w:rFonts w:ascii="Times New Roman" w:hAnsi="Times New Roman"/>
        <w:i/>
        <w:sz w:val="22"/>
      </w:rPr>
    </w:pPr>
    <w:r w:rsidRPr="00CA793D">
      <w:rPr>
        <w:rFonts w:ascii="Times New Roman" w:hAnsi="Times New Roman"/>
        <w:i/>
        <w:sz w:val="22"/>
      </w:rPr>
      <w:t>Steward</w:t>
    </w:r>
    <w:r w:rsidRPr="00CA793D">
      <w:rPr>
        <w:rFonts w:ascii="Times New Roman" w:hAnsi="Times New Roman"/>
        <w:i/>
        <w:sz w:val="22"/>
      </w:rPr>
      <w:tab/>
      <w:t>J</w:t>
    </w:r>
  </w:p>
  <w:p w14:paraId="58B731B5" w14:textId="77777777" w:rsidR="00B5218C" w:rsidRPr="00CA793D" w:rsidRDefault="00B5218C" w:rsidP="00CA793D">
    <w:pPr>
      <w:pStyle w:val="Header"/>
      <w:tabs>
        <w:tab w:val="clear" w:pos="4153"/>
        <w:tab w:val="clear" w:pos="8306"/>
        <w:tab w:val="right" w:pos="1304"/>
      </w:tabs>
      <w:spacing w:line="280" w:lineRule="exact"/>
      <w:ind w:firstLine="0"/>
      <w:rPr>
        <w:rFonts w:ascii="Times New Roman" w:hAnsi="Times New Roman"/>
        <w:i/>
        <w:sz w:val="22"/>
      </w:rPr>
    </w:pPr>
    <w:r w:rsidRPr="00CA793D">
      <w:rPr>
        <w:rFonts w:ascii="Times New Roman" w:hAnsi="Times New Roman"/>
        <w:i/>
        <w:sz w:val="22"/>
      </w:rPr>
      <w:t>Gleeson</w:t>
    </w:r>
    <w:r w:rsidRPr="00CA793D">
      <w:rPr>
        <w:rFonts w:ascii="Times New Roman" w:hAnsi="Times New Roman"/>
        <w:i/>
        <w:sz w:val="22"/>
      </w:rPr>
      <w:tab/>
      <w:t>J</w:t>
    </w:r>
  </w:p>
  <w:p w14:paraId="06FAD31C" w14:textId="77777777" w:rsidR="00B5218C" w:rsidRDefault="00B5218C" w:rsidP="00CA793D">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5F81914B" w14:textId="77777777" w:rsidR="00B5218C" w:rsidRDefault="00B5218C" w:rsidP="00CA793D">
    <w:pPr>
      <w:pStyle w:val="Header"/>
      <w:tabs>
        <w:tab w:val="clear" w:pos="4153"/>
        <w:tab w:val="clear" w:pos="8306"/>
        <w:tab w:val="right" w:pos="1304"/>
      </w:tabs>
      <w:spacing w:line="280" w:lineRule="exact"/>
      <w:ind w:firstLine="0"/>
      <w:rPr>
        <w:rFonts w:ascii="Times New Roman" w:hAnsi="Times New Roman"/>
        <w:i/>
        <w:sz w:val="22"/>
      </w:rPr>
    </w:pPr>
  </w:p>
  <w:p w14:paraId="08AFC5F6" w14:textId="77777777" w:rsidR="00B5218C" w:rsidRDefault="00B5218C" w:rsidP="00CA793D">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5A4A2E6E" w14:textId="77777777" w:rsidR="00B5218C" w:rsidRPr="00CA793D" w:rsidRDefault="00B5218C" w:rsidP="00CA793D">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31519" w14:textId="77777777" w:rsidR="00B5218C" w:rsidRPr="00CA793D" w:rsidRDefault="00B5218C" w:rsidP="00CA793D">
    <w:pPr>
      <w:pStyle w:val="Header"/>
      <w:tabs>
        <w:tab w:val="clear" w:pos="4153"/>
        <w:tab w:val="clear" w:pos="8306"/>
        <w:tab w:val="left" w:pos="7200"/>
        <w:tab w:val="right" w:pos="8504"/>
      </w:tabs>
      <w:spacing w:line="280" w:lineRule="exact"/>
      <w:jc w:val="right"/>
      <w:rPr>
        <w:rFonts w:ascii="Times New Roman" w:hAnsi="Times New Roman"/>
        <w:i/>
        <w:sz w:val="22"/>
      </w:rPr>
    </w:pPr>
    <w:r w:rsidRPr="00CA793D">
      <w:rPr>
        <w:rFonts w:ascii="Times New Roman" w:hAnsi="Times New Roman"/>
        <w:i/>
        <w:sz w:val="22"/>
      </w:rPr>
      <w:tab/>
      <w:t>Gordon</w:t>
    </w:r>
    <w:r w:rsidRPr="00CA793D">
      <w:rPr>
        <w:rFonts w:ascii="Times New Roman" w:hAnsi="Times New Roman"/>
        <w:i/>
        <w:sz w:val="22"/>
      </w:rPr>
      <w:tab/>
      <w:t>J</w:t>
    </w:r>
  </w:p>
  <w:p w14:paraId="332D46F6" w14:textId="77777777" w:rsidR="00B5218C" w:rsidRPr="00CA793D" w:rsidRDefault="00B5218C" w:rsidP="00CA793D">
    <w:pPr>
      <w:pStyle w:val="Header"/>
      <w:tabs>
        <w:tab w:val="clear" w:pos="4153"/>
        <w:tab w:val="clear" w:pos="8306"/>
        <w:tab w:val="left" w:pos="7200"/>
        <w:tab w:val="right" w:pos="8504"/>
      </w:tabs>
      <w:spacing w:line="280" w:lineRule="exact"/>
      <w:jc w:val="right"/>
      <w:rPr>
        <w:rFonts w:ascii="Times New Roman" w:hAnsi="Times New Roman"/>
        <w:i/>
        <w:sz w:val="22"/>
      </w:rPr>
    </w:pPr>
    <w:r w:rsidRPr="00CA793D">
      <w:rPr>
        <w:rFonts w:ascii="Times New Roman" w:hAnsi="Times New Roman"/>
        <w:i/>
        <w:sz w:val="22"/>
      </w:rPr>
      <w:tab/>
      <w:t>Steward</w:t>
    </w:r>
    <w:r w:rsidRPr="00CA793D">
      <w:rPr>
        <w:rFonts w:ascii="Times New Roman" w:hAnsi="Times New Roman"/>
        <w:i/>
        <w:sz w:val="22"/>
      </w:rPr>
      <w:tab/>
      <w:t>J</w:t>
    </w:r>
  </w:p>
  <w:p w14:paraId="6B080DE7" w14:textId="77777777" w:rsidR="00B5218C" w:rsidRPr="00CA793D" w:rsidRDefault="00B5218C" w:rsidP="00CA793D">
    <w:pPr>
      <w:pStyle w:val="Header"/>
      <w:tabs>
        <w:tab w:val="clear" w:pos="4153"/>
        <w:tab w:val="clear" w:pos="8306"/>
        <w:tab w:val="left" w:pos="7200"/>
        <w:tab w:val="right" w:pos="8504"/>
      </w:tabs>
      <w:spacing w:line="280" w:lineRule="exact"/>
      <w:jc w:val="right"/>
      <w:rPr>
        <w:rFonts w:ascii="Times New Roman" w:hAnsi="Times New Roman"/>
        <w:i/>
        <w:sz w:val="22"/>
      </w:rPr>
    </w:pPr>
    <w:r w:rsidRPr="00CA793D">
      <w:rPr>
        <w:rFonts w:ascii="Times New Roman" w:hAnsi="Times New Roman"/>
        <w:i/>
        <w:sz w:val="22"/>
      </w:rPr>
      <w:tab/>
      <w:t>Gleeson</w:t>
    </w:r>
    <w:r w:rsidRPr="00CA793D">
      <w:rPr>
        <w:rFonts w:ascii="Times New Roman" w:hAnsi="Times New Roman"/>
        <w:i/>
        <w:sz w:val="22"/>
      </w:rPr>
      <w:tab/>
      <w:t>J</w:t>
    </w:r>
  </w:p>
  <w:p w14:paraId="2F0A3C26" w14:textId="77777777" w:rsidR="00B5218C" w:rsidRDefault="00B5218C" w:rsidP="00CA793D">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36B24091" w14:textId="77777777" w:rsidR="00B5218C" w:rsidRDefault="00B5218C" w:rsidP="00CA793D">
    <w:pPr>
      <w:pStyle w:val="Header"/>
      <w:tabs>
        <w:tab w:val="clear" w:pos="4153"/>
        <w:tab w:val="clear" w:pos="8306"/>
        <w:tab w:val="left" w:pos="7200"/>
        <w:tab w:val="right" w:pos="8504"/>
      </w:tabs>
      <w:spacing w:line="280" w:lineRule="exact"/>
      <w:jc w:val="right"/>
      <w:rPr>
        <w:rFonts w:ascii="Times New Roman" w:hAnsi="Times New Roman"/>
        <w:i/>
        <w:sz w:val="22"/>
      </w:rPr>
    </w:pPr>
  </w:p>
  <w:p w14:paraId="6F63CE71" w14:textId="77777777" w:rsidR="00B5218C" w:rsidRDefault="00B5218C" w:rsidP="00CA793D">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62F3C819" w14:textId="77777777" w:rsidR="00B5218C" w:rsidRPr="00CA793D" w:rsidRDefault="00B5218C" w:rsidP="00CA793D">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01A0" w14:textId="77777777" w:rsidR="00B5218C" w:rsidRDefault="00B5218C" w:rsidP="00CA793D">
    <w:pPr>
      <w:pStyle w:val="Header"/>
      <w:tabs>
        <w:tab w:val="clear" w:pos="4153"/>
        <w:tab w:val="clear" w:pos="8306"/>
        <w:tab w:val="center" w:pos="1134"/>
      </w:tabs>
      <w:spacing w:line="280" w:lineRule="exact"/>
      <w:ind w:firstLine="0"/>
      <w:rPr>
        <w:rFonts w:ascii="Times New Roman" w:hAnsi="Times New Roman"/>
        <w:i/>
        <w:sz w:val="22"/>
      </w:rPr>
    </w:pPr>
  </w:p>
  <w:p w14:paraId="43382F77" w14:textId="77777777" w:rsidR="00B5218C" w:rsidRDefault="00B5218C" w:rsidP="00CA793D">
    <w:pPr>
      <w:pStyle w:val="Header"/>
      <w:tabs>
        <w:tab w:val="clear" w:pos="4153"/>
        <w:tab w:val="clear" w:pos="8306"/>
        <w:tab w:val="center" w:pos="1134"/>
      </w:tabs>
      <w:spacing w:line="280" w:lineRule="exact"/>
      <w:ind w:firstLine="0"/>
      <w:rPr>
        <w:rFonts w:ascii="Times New Roman" w:hAnsi="Times New Roman"/>
        <w:i/>
        <w:sz w:val="22"/>
      </w:rPr>
    </w:pPr>
  </w:p>
  <w:p w14:paraId="5D81C7FD" w14:textId="77777777" w:rsidR="00B5218C" w:rsidRDefault="00B5218C" w:rsidP="00CA793D">
    <w:pPr>
      <w:pStyle w:val="Header"/>
      <w:tabs>
        <w:tab w:val="clear" w:pos="4153"/>
        <w:tab w:val="clear" w:pos="8306"/>
        <w:tab w:val="center" w:pos="1134"/>
      </w:tabs>
      <w:spacing w:line="280" w:lineRule="exact"/>
      <w:ind w:firstLine="0"/>
      <w:rPr>
        <w:rFonts w:ascii="Times New Roman" w:hAnsi="Times New Roman"/>
        <w:i/>
        <w:sz w:val="22"/>
      </w:rPr>
    </w:pPr>
  </w:p>
  <w:p w14:paraId="56E213FE" w14:textId="77777777" w:rsidR="00B5218C" w:rsidRDefault="00B5218C" w:rsidP="00CA793D">
    <w:pPr>
      <w:pStyle w:val="Header"/>
      <w:tabs>
        <w:tab w:val="clear" w:pos="4153"/>
        <w:tab w:val="clear" w:pos="8306"/>
        <w:tab w:val="center" w:pos="1134"/>
      </w:tabs>
      <w:spacing w:line="280" w:lineRule="exact"/>
      <w:ind w:firstLine="0"/>
      <w:rPr>
        <w:rFonts w:ascii="Times New Roman" w:hAnsi="Times New Roman"/>
        <w:i/>
        <w:sz w:val="22"/>
      </w:rPr>
    </w:pPr>
  </w:p>
  <w:p w14:paraId="3A25E45F" w14:textId="77777777" w:rsidR="00B5218C" w:rsidRDefault="00B5218C" w:rsidP="00CA793D">
    <w:pPr>
      <w:pStyle w:val="Header"/>
      <w:tabs>
        <w:tab w:val="clear" w:pos="4153"/>
        <w:tab w:val="clear" w:pos="8306"/>
        <w:tab w:val="center" w:pos="1134"/>
      </w:tabs>
      <w:spacing w:line="280" w:lineRule="exact"/>
      <w:ind w:firstLine="0"/>
      <w:rPr>
        <w:rFonts w:ascii="Times New Roman" w:hAnsi="Times New Roman"/>
        <w:i/>
        <w:sz w:val="22"/>
      </w:rPr>
    </w:pPr>
  </w:p>
  <w:p w14:paraId="5AB6D5F8" w14:textId="77777777" w:rsidR="00B5218C" w:rsidRDefault="00B5218C" w:rsidP="00CA793D">
    <w:pPr>
      <w:pStyle w:val="Header"/>
      <w:tabs>
        <w:tab w:val="clear" w:pos="4153"/>
        <w:tab w:val="clear" w:pos="8306"/>
        <w:tab w:val="center" w:pos="1134"/>
      </w:tabs>
      <w:spacing w:line="280" w:lineRule="exact"/>
      <w:ind w:firstLine="0"/>
      <w:rPr>
        <w:rFonts w:ascii="Times New Roman" w:hAnsi="Times New Roman"/>
        <w:i/>
        <w:sz w:val="22"/>
      </w:rPr>
    </w:pPr>
  </w:p>
  <w:p w14:paraId="333B738B" w14:textId="77777777" w:rsidR="00B5218C" w:rsidRPr="00CA793D" w:rsidRDefault="00B5218C" w:rsidP="00CA793D">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5"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B83409A"/>
    <w:multiLevelType w:val="hybridMultilevel"/>
    <w:tmpl w:val="317CDAAC"/>
    <w:lvl w:ilvl="0" w:tplc="9A52BBDA">
      <w:start w:val="1"/>
      <w:numFmt w:val="decimal"/>
      <w:lvlText w:val="%1)"/>
      <w:lvlJc w:val="left"/>
      <w:pPr>
        <w:ind w:left="1020" w:hanging="360"/>
      </w:pPr>
    </w:lvl>
    <w:lvl w:ilvl="1" w:tplc="2E30574E">
      <w:start w:val="1"/>
      <w:numFmt w:val="decimal"/>
      <w:lvlText w:val="%2)"/>
      <w:lvlJc w:val="left"/>
      <w:pPr>
        <w:ind w:left="1020" w:hanging="360"/>
      </w:pPr>
    </w:lvl>
    <w:lvl w:ilvl="2" w:tplc="DBB2EA70">
      <w:start w:val="1"/>
      <w:numFmt w:val="decimal"/>
      <w:lvlText w:val="%3)"/>
      <w:lvlJc w:val="left"/>
      <w:pPr>
        <w:ind w:left="1020" w:hanging="360"/>
      </w:pPr>
    </w:lvl>
    <w:lvl w:ilvl="3" w:tplc="55201BAC">
      <w:start w:val="1"/>
      <w:numFmt w:val="decimal"/>
      <w:lvlText w:val="%4)"/>
      <w:lvlJc w:val="left"/>
      <w:pPr>
        <w:ind w:left="1020" w:hanging="360"/>
      </w:pPr>
    </w:lvl>
    <w:lvl w:ilvl="4" w:tplc="EF12448E">
      <w:start w:val="1"/>
      <w:numFmt w:val="decimal"/>
      <w:lvlText w:val="%5)"/>
      <w:lvlJc w:val="left"/>
      <w:pPr>
        <w:ind w:left="1020" w:hanging="360"/>
      </w:pPr>
    </w:lvl>
    <w:lvl w:ilvl="5" w:tplc="5338247A">
      <w:start w:val="1"/>
      <w:numFmt w:val="decimal"/>
      <w:lvlText w:val="%6)"/>
      <w:lvlJc w:val="left"/>
      <w:pPr>
        <w:ind w:left="1020" w:hanging="360"/>
      </w:pPr>
    </w:lvl>
    <w:lvl w:ilvl="6" w:tplc="B21E9CFE">
      <w:start w:val="1"/>
      <w:numFmt w:val="decimal"/>
      <w:lvlText w:val="%7)"/>
      <w:lvlJc w:val="left"/>
      <w:pPr>
        <w:ind w:left="1020" w:hanging="360"/>
      </w:pPr>
    </w:lvl>
    <w:lvl w:ilvl="7" w:tplc="6D8605E6">
      <w:start w:val="1"/>
      <w:numFmt w:val="decimal"/>
      <w:lvlText w:val="%8)"/>
      <w:lvlJc w:val="left"/>
      <w:pPr>
        <w:ind w:left="1020" w:hanging="360"/>
      </w:pPr>
    </w:lvl>
    <w:lvl w:ilvl="8" w:tplc="A390736A">
      <w:start w:val="1"/>
      <w:numFmt w:val="decimal"/>
      <w:lvlText w:val="%9)"/>
      <w:lvlJc w:val="left"/>
      <w:pPr>
        <w:ind w:left="1020" w:hanging="360"/>
      </w:pPr>
    </w:lvl>
  </w:abstractNum>
  <w:abstractNum w:abstractNumId="18"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0"/>
  </w:num>
  <w:num w:numId="2" w16cid:durableId="375815310">
    <w:abstractNumId w:val="14"/>
  </w:num>
  <w:num w:numId="3" w16cid:durableId="1375159326">
    <w:abstractNumId w:val="18"/>
  </w:num>
  <w:num w:numId="4" w16cid:durableId="1020468450">
    <w:abstractNumId w:val="13"/>
  </w:num>
  <w:num w:numId="5" w16cid:durableId="298609604">
    <w:abstractNumId w:val="16"/>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2"/>
  </w:num>
  <w:num w:numId="17" w16cid:durableId="952325839">
    <w:abstractNumId w:val="15"/>
  </w:num>
  <w:num w:numId="18" w16cid:durableId="586305847">
    <w:abstractNumId w:val="11"/>
  </w:num>
  <w:num w:numId="19" w16cid:durableId="650985869">
    <w:abstractNumId w:val="11"/>
  </w:num>
  <w:num w:numId="20" w16cid:durableId="1765059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B0"/>
    <w:rsid w:val="00000A6E"/>
    <w:rsid w:val="000011A7"/>
    <w:rsid w:val="00002069"/>
    <w:rsid w:val="00002CE6"/>
    <w:rsid w:val="0000316A"/>
    <w:rsid w:val="000035E5"/>
    <w:rsid w:val="000042E9"/>
    <w:rsid w:val="0000441A"/>
    <w:rsid w:val="000049B7"/>
    <w:rsid w:val="00004D46"/>
    <w:rsid w:val="0001048E"/>
    <w:rsid w:val="00011C88"/>
    <w:rsid w:val="00012954"/>
    <w:rsid w:val="00012D81"/>
    <w:rsid w:val="000137CE"/>
    <w:rsid w:val="000141CA"/>
    <w:rsid w:val="00014B34"/>
    <w:rsid w:val="000161D3"/>
    <w:rsid w:val="00016677"/>
    <w:rsid w:val="000168C9"/>
    <w:rsid w:val="00016C20"/>
    <w:rsid w:val="00016DBB"/>
    <w:rsid w:val="00017144"/>
    <w:rsid w:val="00017D19"/>
    <w:rsid w:val="000228D2"/>
    <w:rsid w:val="00022A53"/>
    <w:rsid w:val="0002436F"/>
    <w:rsid w:val="00024377"/>
    <w:rsid w:val="000250AF"/>
    <w:rsid w:val="00025490"/>
    <w:rsid w:val="0002561E"/>
    <w:rsid w:val="00025643"/>
    <w:rsid w:val="000268E1"/>
    <w:rsid w:val="000270C6"/>
    <w:rsid w:val="00030462"/>
    <w:rsid w:val="00031F1F"/>
    <w:rsid w:val="0003330A"/>
    <w:rsid w:val="0003575A"/>
    <w:rsid w:val="000360EB"/>
    <w:rsid w:val="00037A5F"/>
    <w:rsid w:val="00037D87"/>
    <w:rsid w:val="000413AD"/>
    <w:rsid w:val="0004185C"/>
    <w:rsid w:val="00042EF3"/>
    <w:rsid w:val="00043D2C"/>
    <w:rsid w:val="00044701"/>
    <w:rsid w:val="00045B68"/>
    <w:rsid w:val="00046812"/>
    <w:rsid w:val="00050CC0"/>
    <w:rsid w:val="00050D01"/>
    <w:rsid w:val="000510F2"/>
    <w:rsid w:val="000511A6"/>
    <w:rsid w:val="0005176E"/>
    <w:rsid w:val="00052C78"/>
    <w:rsid w:val="00054AA0"/>
    <w:rsid w:val="00055ACD"/>
    <w:rsid w:val="00056F27"/>
    <w:rsid w:val="0005732C"/>
    <w:rsid w:val="000573AF"/>
    <w:rsid w:val="000574C8"/>
    <w:rsid w:val="0006169E"/>
    <w:rsid w:val="000626FD"/>
    <w:rsid w:val="0006432B"/>
    <w:rsid w:val="000653D4"/>
    <w:rsid w:val="000672FD"/>
    <w:rsid w:val="00071C35"/>
    <w:rsid w:val="000748AE"/>
    <w:rsid w:val="00075F50"/>
    <w:rsid w:val="00080D77"/>
    <w:rsid w:val="0008139D"/>
    <w:rsid w:val="0008435D"/>
    <w:rsid w:val="0008445B"/>
    <w:rsid w:val="00084B3A"/>
    <w:rsid w:val="00084D4D"/>
    <w:rsid w:val="00085192"/>
    <w:rsid w:val="00085479"/>
    <w:rsid w:val="0008558C"/>
    <w:rsid w:val="00085F13"/>
    <w:rsid w:val="00086258"/>
    <w:rsid w:val="00093D10"/>
    <w:rsid w:val="0009539D"/>
    <w:rsid w:val="00095A9C"/>
    <w:rsid w:val="00097188"/>
    <w:rsid w:val="000A02CA"/>
    <w:rsid w:val="000A12FA"/>
    <w:rsid w:val="000A18FA"/>
    <w:rsid w:val="000A28D4"/>
    <w:rsid w:val="000A2B58"/>
    <w:rsid w:val="000A2EB4"/>
    <w:rsid w:val="000A34C6"/>
    <w:rsid w:val="000A3DA3"/>
    <w:rsid w:val="000A63C6"/>
    <w:rsid w:val="000B0340"/>
    <w:rsid w:val="000B20EE"/>
    <w:rsid w:val="000B3B1F"/>
    <w:rsid w:val="000B3DB6"/>
    <w:rsid w:val="000B3F54"/>
    <w:rsid w:val="000B4630"/>
    <w:rsid w:val="000B497F"/>
    <w:rsid w:val="000B5055"/>
    <w:rsid w:val="000B706A"/>
    <w:rsid w:val="000B710D"/>
    <w:rsid w:val="000B7558"/>
    <w:rsid w:val="000C0017"/>
    <w:rsid w:val="000C04DC"/>
    <w:rsid w:val="000C0D98"/>
    <w:rsid w:val="000C2A38"/>
    <w:rsid w:val="000C2E63"/>
    <w:rsid w:val="000D25E6"/>
    <w:rsid w:val="000D3B50"/>
    <w:rsid w:val="000D4A0F"/>
    <w:rsid w:val="000D4DC9"/>
    <w:rsid w:val="000D53C8"/>
    <w:rsid w:val="000D6066"/>
    <w:rsid w:val="000D78EB"/>
    <w:rsid w:val="000E0ABA"/>
    <w:rsid w:val="000E2B33"/>
    <w:rsid w:val="000E3862"/>
    <w:rsid w:val="000E4DF5"/>
    <w:rsid w:val="000E5012"/>
    <w:rsid w:val="000E5B59"/>
    <w:rsid w:val="000E65F7"/>
    <w:rsid w:val="000F07AA"/>
    <w:rsid w:val="000F08D9"/>
    <w:rsid w:val="000F1345"/>
    <w:rsid w:val="000F3BB3"/>
    <w:rsid w:val="000F6D28"/>
    <w:rsid w:val="000F73CB"/>
    <w:rsid w:val="000F7DDF"/>
    <w:rsid w:val="001001B9"/>
    <w:rsid w:val="00100EC4"/>
    <w:rsid w:val="00102254"/>
    <w:rsid w:val="0010702C"/>
    <w:rsid w:val="0010733C"/>
    <w:rsid w:val="00110970"/>
    <w:rsid w:val="00111568"/>
    <w:rsid w:val="001120C0"/>
    <w:rsid w:val="001131B2"/>
    <w:rsid w:val="00114F05"/>
    <w:rsid w:val="001150BF"/>
    <w:rsid w:val="001159AD"/>
    <w:rsid w:val="00115EB0"/>
    <w:rsid w:val="0011648B"/>
    <w:rsid w:val="001168F2"/>
    <w:rsid w:val="00120207"/>
    <w:rsid w:val="0012086B"/>
    <w:rsid w:val="00120E35"/>
    <w:rsid w:val="0012320C"/>
    <w:rsid w:val="00123B31"/>
    <w:rsid w:val="00123C1B"/>
    <w:rsid w:val="00123D6B"/>
    <w:rsid w:val="00125E3C"/>
    <w:rsid w:val="00127E30"/>
    <w:rsid w:val="00127EFA"/>
    <w:rsid w:val="00131522"/>
    <w:rsid w:val="00132CDD"/>
    <w:rsid w:val="00133E7E"/>
    <w:rsid w:val="0013456F"/>
    <w:rsid w:val="0014196C"/>
    <w:rsid w:val="00142072"/>
    <w:rsid w:val="00143B4A"/>
    <w:rsid w:val="00143FCB"/>
    <w:rsid w:val="00144B10"/>
    <w:rsid w:val="00144FEF"/>
    <w:rsid w:val="00145627"/>
    <w:rsid w:val="001464DD"/>
    <w:rsid w:val="00146A41"/>
    <w:rsid w:val="00146BC9"/>
    <w:rsid w:val="0015031C"/>
    <w:rsid w:val="001504F8"/>
    <w:rsid w:val="00151679"/>
    <w:rsid w:val="00151DC5"/>
    <w:rsid w:val="00152342"/>
    <w:rsid w:val="0015318E"/>
    <w:rsid w:val="00156503"/>
    <w:rsid w:val="00161F93"/>
    <w:rsid w:val="00163D92"/>
    <w:rsid w:val="00164144"/>
    <w:rsid w:val="001708DE"/>
    <w:rsid w:val="001719C9"/>
    <w:rsid w:val="001721A8"/>
    <w:rsid w:val="00172ADE"/>
    <w:rsid w:val="00174D9D"/>
    <w:rsid w:val="00175703"/>
    <w:rsid w:val="001758DE"/>
    <w:rsid w:val="00176276"/>
    <w:rsid w:val="0017653D"/>
    <w:rsid w:val="001765CB"/>
    <w:rsid w:val="00176D25"/>
    <w:rsid w:val="00177F7B"/>
    <w:rsid w:val="00180D49"/>
    <w:rsid w:val="0018342E"/>
    <w:rsid w:val="0018355E"/>
    <w:rsid w:val="001840C2"/>
    <w:rsid w:val="00184A26"/>
    <w:rsid w:val="00184B46"/>
    <w:rsid w:val="00185939"/>
    <w:rsid w:val="00185E80"/>
    <w:rsid w:val="00186DEA"/>
    <w:rsid w:val="001876F6"/>
    <w:rsid w:val="00190378"/>
    <w:rsid w:val="00190750"/>
    <w:rsid w:val="00191CF2"/>
    <w:rsid w:val="00191E23"/>
    <w:rsid w:val="00192757"/>
    <w:rsid w:val="00193F72"/>
    <w:rsid w:val="001953B1"/>
    <w:rsid w:val="001963C0"/>
    <w:rsid w:val="00197956"/>
    <w:rsid w:val="001A2031"/>
    <w:rsid w:val="001A39F1"/>
    <w:rsid w:val="001A409D"/>
    <w:rsid w:val="001A446E"/>
    <w:rsid w:val="001A5383"/>
    <w:rsid w:val="001A6AC7"/>
    <w:rsid w:val="001B0928"/>
    <w:rsid w:val="001B1676"/>
    <w:rsid w:val="001B17A8"/>
    <w:rsid w:val="001B1AD3"/>
    <w:rsid w:val="001B1E7A"/>
    <w:rsid w:val="001B3AB3"/>
    <w:rsid w:val="001B3D3D"/>
    <w:rsid w:val="001B48E5"/>
    <w:rsid w:val="001B55C8"/>
    <w:rsid w:val="001B63C6"/>
    <w:rsid w:val="001C0B7E"/>
    <w:rsid w:val="001C14AE"/>
    <w:rsid w:val="001C14DA"/>
    <w:rsid w:val="001C2250"/>
    <w:rsid w:val="001C23CC"/>
    <w:rsid w:val="001C36FC"/>
    <w:rsid w:val="001C4207"/>
    <w:rsid w:val="001C479E"/>
    <w:rsid w:val="001C48D4"/>
    <w:rsid w:val="001C7A61"/>
    <w:rsid w:val="001C7C93"/>
    <w:rsid w:val="001D0CC7"/>
    <w:rsid w:val="001D1F23"/>
    <w:rsid w:val="001D28D8"/>
    <w:rsid w:val="001D36CD"/>
    <w:rsid w:val="001D4253"/>
    <w:rsid w:val="001D4BF2"/>
    <w:rsid w:val="001D4F49"/>
    <w:rsid w:val="001D535C"/>
    <w:rsid w:val="001D5B08"/>
    <w:rsid w:val="001D66EB"/>
    <w:rsid w:val="001D6CFC"/>
    <w:rsid w:val="001D6FDD"/>
    <w:rsid w:val="001D7982"/>
    <w:rsid w:val="001D7DC1"/>
    <w:rsid w:val="001E0DC3"/>
    <w:rsid w:val="001E1D3D"/>
    <w:rsid w:val="001E34E8"/>
    <w:rsid w:val="001E47D1"/>
    <w:rsid w:val="001E49DE"/>
    <w:rsid w:val="001E6772"/>
    <w:rsid w:val="001E6A64"/>
    <w:rsid w:val="001E75C5"/>
    <w:rsid w:val="001F1B5F"/>
    <w:rsid w:val="001F3F2A"/>
    <w:rsid w:val="001F69C2"/>
    <w:rsid w:val="001F7E15"/>
    <w:rsid w:val="0020017E"/>
    <w:rsid w:val="0020342F"/>
    <w:rsid w:val="002048D1"/>
    <w:rsid w:val="00204B4D"/>
    <w:rsid w:val="00205796"/>
    <w:rsid w:val="002057E2"/>
    <w:rsid w:val="002079CB"/>
    <w:rsid w:val="002100BE"/>
    <w:rsid w:val="0021096E"/>
    <w:rsid w:val="00210BF2"/>
    <w:rsid w:val="00210DE8"/>
    <w:rsid w:val="00210FBB"/>
    <w:rsid w:val="00211214"/>
    <w:rsid w:val="00211222"/>
    <w:rsid w:val="0021129E"/>
    <w:rsid w:val="00211D73"/>
    <w:rsid w:val="00212A3E"/>
    <w:rsid w:val="0021382C"/>
    <w:rsid w:val="00213CC7"/>
    <w:rsid w:val="00214BF2"/>
    <w:rsid w:val="00215A7F"/>
    <w:rsid w:val="0021651B"/>
    <w:rsid w:val="00216522"/>
    <w:rsid w:val="002178BF"/>
    <w:rsid w:val="002200C7"/>
    <w:rsid w:val="002208B2"/>
    <w:rsid w:val="00221D19"/>
    <w:rsid w:val="00224F28"/>
    <w:rsid w:val="00225586"/>
    <w:rsid w:val="0022666B"/>
    <w:rsid w:val="0022734D"/>
    <w:rsid w:val="002301B0"/>
    <w:rsid w:val="002308DD"/>
    <w:rsid w:val="002311A0"/>
    <w:rsid w:val="00233493"/>
    <w:rsid w:val="00233541"/>
    <w:rsid w:val="0023447F"/>
    <w:rsid w:val="002350B3"/>
    <w:rsid w:val="00235DBD"/>
    <w:rsid w:val="002370AF"/>
    <w:rsid w:val="0023798E"/>
    <w:rsid w:val="00242EE4"/>
    <w:rsid w:val="002434A5"/>
    <w:rsid w:val="00243EAF"/>
    <w:rsid w:val="0024462E"/>
    <w:rsid w:val="002474FA"/>
    <w:rsid w:val="00247C5F"/>
    <w:rsid w:val="00250530"/>
    <w:rsid w:val="00251CA9"/>
    <w:rsid w:val="00253317"/>
    <w:rsid w:val="00253493"/>
    <w:rsid w:val="00253DE9"/>
    <w:rsid w:val="0025657A"/>
    <w:rsid w:val="00257AFB"/>
    <w:rsid w:val="00261886"/>
    <w:rsid w:val="0026293D"/>
    <w:rsid w:val="00265982"/>
    <w:rsid w:val="002664F2"/>
    <w:rsid w:val="00270154"/>
    <w:rsid w:val="00270744"/>
    <w:rsid w:val="00271F70"/>
    <w:rsid w:val="00273B36"/>
    <w:rsid w:val="0027408B"/>
    <w:rsid w:val="00276B56"/>
    <w:rsid w:val="00280528"/>
    <w:rsid w:val="00280EC2"/>
    <w:rsid w:val="00280F46"/>
    <w:rsid w:val="002819FD"/>
    <w:rsid w:val="002827D0"/>
    <w:rsid w:val="0028583A"/>
    <w:rsid w:val="00287368"/>
    <w:rsid w:val="00287873"/>
    <w:rsid w:val="002901A0"/>
    <w:rsid w:val="002916CC"/>
    <w:rsid w:val="0029278C"/>
    <w:rsid w:val="00292E65"/>
    <w:rsid w:val="002939C6"/>
    <w:rsid w:val="0029697C"/>
    <w:rsid w:val="002979F1"/>
    <w:rsid w:val="00297BF9"/>
    <w:rsid w:val="002A0559"/>
    <w:rsid w:val="002A13E1"/>
    <w:rsid w:val="002A21BE"/>
    <w:rsid w:val="002A2812"/>
    <w:rsid w:val="002A2C85"/>
    <w:rsid w:val="002A3248"/>
    <w:rsid w:val="002A544E"/>
    <w:rsid w:val="002B0846"/>
    <w:rsid w:val="002B1304"/>
    <w:rsid w:val="002B14A9"/>
    <w:rsid w:val="002B30E0"/>
    <w:rsid w:val="002B6830"/>
    <w:rsid w:val="002B766C"/>
    <w:rsid w:val="002C04EB"/>
    <w:rsid w:val="002C1EDE"/>
    <w:rsid w:val="002C3FB0"/>
    <w:rsid w:val="002C4028"/>
    <w:rsid w:val="002C5981"/>
    <w:rsid w:val="002C71BB"/>
    <w:rsid w:val="002C7307"/>
    <w:rsid w:val="002C76E0"/>
    <w:rsid w:val="002C79D9"/>
    <w:rsid w:val="002D0410"/>
    <w:rsid w:val="002D0899"/>
    <w:rsid w:val="002D0CD4"/>
    <w:rsid w:val="002D1707"/>
    <w:rsid w:val="002D17E2"/>
    <w:rsid w:val="002D1B32"/>
    <w:rsid w:val="002D26BC"/>
    <w:rsid w:val="002D35E5"/>
    <w:rsid w:val="002D3D62"/>
    <w:rsid w:val="002D3F5B"/>
    <w:rsid w:val="002D4A4D"/>
    <w:rsid w:val="002D5B81"/>
    <w:rsid w:val="002D5BD9"/>
    <w:rsid w:val="002D5E79"/>
    <w:rsid w:val="002D661D"/>
    <w:rsid w:val="002D6EFB"/>
    <w:rsid w:val="002D715E"/>
    <w:rsid w:val="002D77E2"/>
    <w:rsid w:val="002E0EC8"/>
    <w:rsid w:val="002E1B39"/>
    <w:rsid w:val="002E278F"/>
    <w:rsid w:val="002E3B4D"/>
    <w:rsid w:val="002E5A0A"/>
    <w:rsid w:val="002F0522"/>
    <w:rsid w:val="002F0734"/>
    <w:rsid w:val="002F198E"/>
    <w:rsid w:val="002F366D"/>
    <w:rsid w:val="002F5FC5"/>
    <w:rsid w:val="002F639C"/>
    <w:rsid w:val="002F6DB6"/>
    <w:rsid w:val="002F7933"/>
    <w:rsid w:val="002F7CB0"/>
    <w:rsid w:val="0030026A"/>
    <w:rsid w:val="00300B21"/>
    <w:rsid w:val="00301975"/>
    <w:rsid w:val="003036E7"/>
    <w:rsid w:val="003037D4"/>
    <w:rsid w:val="0030542C"/>
    <w:rsid w:val="0030665F"/>
    <w:rsid w:val="00306DD6"/>
    <w:rsid w:val="00310418"/>
    <w:rsid w:val="00310985"/>
    <w:rsid w:val="00312449"/>
    <w:rsid w:val="00312FFC"/>
    <w:rsid w:val="003150BF"/>
    <w:rsid w:val="003150CE"/>
    <w:rsid w:val="003157AF"/>
    <w:rsid w:val="00315E92"/>
    <w:rsid w:val="00317357"/>
    <w:rsid w:val="00321C21"/>
    <w:rsid w:val="00323134"/>
    <w:rsid w:val="003239B0"/>
    <w:rsid w:val="00323B9E"/>
    <w:rsid w:val="00324BD9"/>
    <w:rsid w:val="00324ECE"/>
    <w:rsid w:val="00325860"/>
    <w:rsid w:val="003276FD"/>
    <w:rsid w:val="00330804"/>
    <w:rsid w:val="00331D66"/>
    <w:rsid w:val="003335A0"/>
    <w:rsid w:val="00334082"/>
    <w:rsid w:val="00334A6B"/>
    <w:rsid w:val="00336227"/>
    <w:rsid w:val="003366B2"/>
    <w:rsid w:val="00340066"/>
    <w:rsid w:val="0034065C"/>
    <w:rsid w:val="0034122D"/>
    <w:rsid w:val="0034288B"/>
    <w:rsid w:val="00342F93"/>
    <w:rsid w:val="0034332B"/>
    <w:rsid w:val="00343642"/>
    <w:rsid w:val="003439FF"/>
    <w:rsid w:val="003455ED"/>
    <w:rsid w:val="0034681C"/>
    <w:rsid w:val="00347695"/>
    <w:rsid w:val="003476A9"/>
    <w:rsid w:val="00351330"/>
    <w:rsid w:val="003527CE"/>
    <w:rsid w:val="00353155"/>
    <w:rsid w:val="00354C05"/>
    <w:rsid w:val="00356678"/>
    <w:rsid w:val="00356B60"/>
    <w:rsid w:val="003600A8"/>
    <w:rsid w:val="0036025E"/>
    <w:rsid w:val="0036083B"/>
    <w:rsid w:val="00360F7C"/>
    <w:rsid w:val="00361AB9"/>
    <w:rsid w:val="0036284D"/>
    <w:rsid w:val="003662B7"/>
    <w:rsid w:val="00366524"/>
    <w:rsid w:val="003673F6"/>
    <w:rsid w:val="003703D5"/>
    <w:rsid w:val="00373E58"/>
    <w:rsid w:val="003744F0"/>
    <w:rsid w:val="00376073"/>
    <w:rsid w:val="00377452"/>
    <w:rsid w:val="00381223"/>
    <w:rsid w:val="00381849"/>
    <w:rsid w:val="003823A0"/>
    <w:rsid w:val="00383399"/>
    <w:rsid w:val="00384F36"/>
    <w:rsid w:val="00385271"/>
    <w:rsid w:val="003863F8"/>
    <w:rsid w:val="00386A58"/>
    <w:rsid w:val="003903C5"/>
    <w:rsid w:val="00391E2C"/>
    <w:rsid w:val="0039226E"/>
    <w:rsid w:val="00392CC8"/>
    <w:rsid w:val="00394AC2"/>
    <w:rsid w:val="00396BD2"/>
    <w:rsid w:val="00397384"/>
    <w:rsid w:val="00397708"/>
    <w:rsid w:val="00397E69"/>
    <w:rsid w:val="003A18B2"/>
    <w:rsid w:val="003A1926"/>
    <w:rsid w:val="003A2017"/>
    <w:rsid w:val="003A2AA5"/>
    <w:rsid w:val="003A3334"/>
    <w:rsid w:val="003A3CC3"/>
    <w:rsid w:val="003A48CC"/>
    <w:rsid w:val="003A603E"/>
    <w:rsid w:val="003A72EF"/>
    <w:rsid w:val="003A76CC"/>
    <w:rsid w:val="003A7E21"/>
    <w:rsid w:val="003B1080"/>
    <w:rsid w:val="003B1A12"/>
    <w:rsid w:val="003B2B54"/>
    <w:rsid w:val="003B406B"/>
    <w:rsid w:val="003B47B6"/>
    <w:rsid w:val="003B4EED"/>
    <w:rsid w:val="003B6B2C"/>
    <w:rsid w:val="003C0E02"/>
    <w:rsid w:val="003C2372"/>
    <w:rsid w:val="003C266A"/>
    <w:rsid w:val="003C35FD"/>
    <w:rsid w:val="003C3AA8"/>
    <w:rsid w:val="003C3AD9"/>
    <w:rsid w:val="003C3CF3"/>
    <w:rsid w:val="003C483C"/>
    <w:rsid w:val="003C5994"/>
    <w:rsid w:val="003C5B5C"/>
    <w:rsid w:val="003C602A"/>
    <w:rsid w:val="003C769E"/>
    <w:rsid w:val="003C7B57"/>
    <w:rsid w:val="003D0026"/>
    <w:rsid w:val="003D1759"/>
    <w:rsid w:val="003D1896"/>
    <w:rsid w:val="003D30AA"/>
    <w:rsid w:val="003D3B14"/>
    <w:rsid w:val="003D62F7"/>
    <w:rsid w:val="003E1035"/>
    <w:rsid w:val="003E17F2"/>
    <w:rsid w:val="003E19F7"/>
    <w:rsid w:val="003E1EB2"/>
    <w:rsid w:val="003E256E"/>
    <w:rsid w:val="003E2629"/>
    <w:rsid w:val="003E492C"/>
    <w:rsid w:val="003E710D"/>
    <w:rsid w:val="003E7A9C"/>
    <w:rsid w:val="003F064F"/>
    <w:rsid w:val="003F077B"/>
    <w:rsid w:val="003F1756"/>
    <w:rsid w:val="003F328F"/>
    <w:rsid w:val="003F3B0C"/>
    <w:rsid w:val="003F3E30"/>
    <w:rsid w:val="003F3E9B"/>
    <w:rsid w:val="003F531A"/>
    <w:rsid w:val="003F670D"/>
    <w:rsid w:val="003F7C9E"/>
    <w:rsid w:val="004025E8"/>
    <w:rsid w:val="00402768"/>
    <w:rsid w:val="00403950"/>
    <w:rsid w:val="00403FC6"/>
    <w:rsid w:val="00404C36"/>
    <w:rsid w:val="00406F38"/>
    <w:rsid w:val="00407497"/>
    <w:rsid w:val="004107CA"/>
    <w:rsid w:val="004111BC"/>
    <w:rsid w:val="004114CB"/>
    <w:rsid w:val="004125F4"/>
    <w:rsid w:val="004126D4"/>
    <w:rsid w:val="00414703"/>
    <w:rsid w:val="00414BE0"/>
    <w:rsid w:val="00415D2B"/>
    <w:rsid w:val="00416C0A"/>
    <w:rsid w:val="00416C8B"/>
    <w:rsid w:val="00421941"/>
    <w:rsid w:val="0042203F"/>
    <w:rsid w:val="004222CA"/>
    <w:rsid w:val="00424DE2"/>
    <w:rsid w:val="004252AF"/>
    <w:rsid w:val="004307C6"/>
    <w:rsid w:val="0043161E"/>
    <w:rsid w:val="00432511"/>
    <w:rsid w:val="00432528"/>
    <w:rsid w:val="00432836"/>
    <w:rsid w:val="00434239"/>
    <w:rsid w:val="004361FA"/>
    <w:rsid w:val="004365BF"/>
    <w:rsid w:val="004366FD"/>
    <w:rsid w:val="00436DB6"/>
    <w:rsid w:val="004373D1"/>
    <w:rsid w:val="0043778D"/>
    <w:rsid w:val="00437D88"/>
    <w:rsid w:val="00437DF6"/>
    <w:rsid w:val="00444CEF"/>
    <w:rsid w:val="004454C2"/>
    <w:rsid w:val="00447347"/>
    <w:rsid w:val="00447F33"/>
    <w:rsid w:val="00450768"/>
    <w:rsid w:val="0045076F"/>
    <w:rsid w:val="00450A27"/>
    <w:rsid w:val="00450B6A"/>
    <w:rsid w:val="00451EC2"/>
    <w:rsid w:val="00452612"/>
    <w:rsid w:val="0045361E"/>
    <w:rsid w:val="00455F4C"/>
    <w:rsid w:val="00456060"/>
    <w:rsid w:val="00456B89"/>
    <w:rsid w:val="00457052"/>
    <w:rsid w:val="00463357"/>
    <w:rsid w:val="00463493"/>
    <w:rsid w:val="004636C5"/>
    <w:rsid w:val="00463A04"/>
    <w:rsid w:val="00465255"/>
    <w:rsid w:val="00466A01"/>
    <w:rsid w:val="004672CC"/>
    <w:rsid w:val="00471881"/>
    <w:rsid w:val="004721E0"/>
    <w:rsid w:val="004730F1"/>
    <w:rsid w:val="00473718"/>
    <w:rsid w:val="00473869"/>
    <w:rsid w:val="0047410E"/>
    <w:rsid w:val="00476C28"/>
    <w:rsid w:val="0048054A"/>
    <w:rsid w:val="004818E8"/>
    <w:rsid w:val="004819FB"/>
    <w:rsid w:val="00482F67"/>
    <w:rsid w:val="00483006"/>
    <w:rsid w:val="004847DD"/>
    <w:rsid w:val="00484915"/>
    <w:rsid w:val="00484B9B"/>
    <w:rsid w:val="00485961"/>
    <w:rsid w:val="00485D73"/>
    <w:rsid w:val="0048725D"/>
    <w:rsid w:val="00487387"/>
    <w:rsid w:val="00490E50"/>
    <w:rsid w:val="004919FD"/>
    <w:rsid w:val="004921AA"/>
    <w:rsid w:val="004962A9"/>
    <w:rsid w:val="00496B04"/>
    <w:rsid w:val="00497368"/>
    <w:rsid w:val="004A03D8"/>
    <w:rsid w:val="004A06FC"/>
    <w:rsid w:val="004A0B8A"/>
    <w:rsid w:val="004A132C"/>
    <w:rsid w:val="004A18D9"/>
    <w:rsid w:val="004B1588"/>
    <w:rsid w:val="004B224B"/>
    <w:rsid w:val="004B257C"/>
    <w:rsid w:val="004B26D9"/>
    <w:rsid w:val="004B2C5E"/>
    <w:rsid w:val="004B43DF"/>
    <w:rsid w:val="004B774B"/>
    <w:rsid w:val="004C3834"/>
    <w:rsid w:val="004C4629"/>
    <w:rsid w:val="004C4B71"/>
    <w:rsid w:val="004D087E"/>
    <w:rsid w:val="004D12CB"/>
    <w:rsid w:val="004D1600"/>
    <w:rsid w:val="004D19DB"/>
    <w:rsid w:val="004D1E88"/>
    <w:rsid w:val="004D3CD7"/>
    <w:rsid w:val="004D3D36"/>
    <w:rsid w:val="004D58C8"/>
    <w:rsid w:val="004D58DE"/>
    <w:rsid w:val="004D63E2"/>
    <w:rsid w:val="004D6410"/>
    <w:rsid w:val="004E2882"/>
    <w:rsid w:val="004E3D5B"/>
    <w:rsid w:val="004E3F30"/>
    <w:rsid w:val="004E46F8"/>
    <w:rsid w:val="004E50C8"/>
    <w:rsid w:val="004E653E"/>
    <w:rsid w:val="004E65F5"/>
    <w:rsid w:val="004E67E5"/>
    <w:rsid w:val="004E7438"/>
    <w:rsid w:val="004E7906"/>
    <w:rsid w:val="004F0910"/>
    <w:rsid w:val="004F1AB6"/>
    <w:rsid w:val="004F1B17"/>
    <w:rsid w:val="004F2D77"/>
    <w:rsid w:val="004F3C00"/>
    <w:rsid w:val="004F3E28"/>
    <w:rsid w:val="004F528D"/>
    <w:rsid w:val="004F621F"/>
    <w:rsid w:val="004F66EB"/>
    <w:rsid w:val="004F690F"/>
    <w:rsid w:val="00502EAE"/>
    <w:rsid w:val="00503A1B"/>
    <w:rsid w:val="00503A2F"/>
    <w:rsid w:val="0050500F"/>
    <w:rsid w:val="005051EB"/>
    <w:rsid w:val="00505279"/>
    <w:rsid w:val="005063E1"/>
    <w:rsid w:val="0050697F"/>
    <w:rsid w:val="00506C5D"/>
    <w:rsid w:val="00507CC5"/>
    <w:rsid w:val="0051033B"/>
    <w:rsid w:val="0051239B"/>
    <w:rsid w:val="0051326B"/>
    <w:rsid w:val="00513E19"/>
    <w:rsid w:val="0051602F"/>
    <w:rsid w:val="005165DD"/>
    <w:rsid w:val="00516BBB"/>
    <w:rsid w:val="00520CC1"/>
    <w:rsid w:val="005218BD"/>
    <w:rsid w:val="00521C79"/>
    <w:rsid w:val="0052395E"/>
    <w:rsid w:val="00523E83"/>
    <w:rsid w:val="005248BB"/>
    <w:rsid w:val="00524B67"/>
    <w:rsid w:val="00526B31"/>
    <w:rsid w:val="005270CC"/>
    <w:rsid w:val="00527786"/>
    <w:rsid w:val="005308A5"/>
    <w:rsid w:val="00531080"/>
    <w:rsid w:val="005314E9"/>
    <w:rsid w:val="00531723"/>
    <w:rsid w:val="005319F3"/>
    <w:rsid w:val="0053275E"/>
    <w:rsid w:val="00532E46"/>
    <w:rsid w:val="0053324F"/>
    <w:rsid w:val="005340B6"/>
    <w:rsid w:val="005348BF"/>
    <w:rsid w:val="00534E45"/>
    <w:rsid w:val="00536A81"/>
    <w:rsid w:val="00540EC4"/>
    <w:rsid w:val="00541E10"/>
    <w:rsid w:val="00541EF9"/>
    <w:rsid w:val="00542ED4"/>
    <w:rsid w:val="005431CF"/>
    <w:rsid w:val="00543D0A"/>
    <w:rsid w:val="00544EFB"/>
    <w:rsid w:val="005454F3"/>
    <w:rsid w:val="005455E5"/>
    <w:rsid w:val="0054681B"/>
    <w:rsid w:val="00546BED"/>
    <w:rsid w:val="0054779A"/>
    <w:rsid w:val="00547BA1"/>
    <w:rsid w:val="005545EB"/>
    <w:rsid w:val="00555BAE"/>
    <w:rsid w:val="00555E6E"/>
    <w:rsid w:val="00556101"/>
    <w:rsid w:val="0055610B"/>
    <w:rsid w:val="005578BD"/>
    <w:rsid w:val="00557CB1"/>
    <w:rsid w:val="00557EC2"/>
    <w:rsid w:val="0056072C"/>
    <w:rsid w:val="0056091E"/>
    <w:rsid w:val="00561371"/>
    <w:rsid w:val="0056172D"/>
    <w:rsid w:val="005635F3"/>
    <w:rsid w:val="0056411C"/>
    <w:rsid w:val="005655F0"/>
    <w:rsid w:val="005657B8"/>
    <w:rsid w:val="00565B4C"/>
    <w:rsid w:val="00565FA3"/>
    <w:rsid w:val="00566013"/>
    <w:rsid w:val="00566042"/>
    <w:rsid w:val="005663FF"/>
    <w:rsid w:val="005677E5"/>
    <w:rsid w:val="005708CD"/>
    <w:rsid w:val="00570D24"/>
    <w:rsid w:val="00574C1A"/>
    <w:rsid w:val="00575AFE"/>
    <w:rsid w:val="00577D44"/>
    <w:rsid w:val="00577E4E"/>
    <w:rsid w:val="00580EEB"/>
    <w:rsid w:val="00580FCF"/>
    <w:rsid w:val="00583673"/>
    <w:rsid w:val="00583D08"/>
    <w:rsid w:val="005858EA"/>
    <w:rsid w:val="00586395"/>
    <w:rsid w:val="00587BE7"/>
    <w:rsid w:val="00587CBC"/>
    <w:rsid w:val="00590367"/>
    <w:rsid w:val="005922EF"/>
    <w:rsid w:val="00592AC7"/>
    <w:rsid w:val="0059526F"/>
    <w:rsid w:val="00595DF1"/>
    <w:rsid w:val="00596524"/>
    <w:rsid w:val="005972BB"/>
    <w:rsid w:val="00597780"/>
    <w:rsid w:val="00597D35"/>
    <w:rsid w:val="005A110C"/>
    <w:rsid w:val="005A11CB"/>
    <w:rsid w:val="005A3B13"/>
    <w:rsid w:val="005A4A36"/>
    <w:rsid w:val="005A6D6D"/>
    <w:rsid w:val="005A7264"/>
    <w:rsid w:val="005B1601"/>
    <w:rsid w:val="005B4CFC"/>
    <w:rsid w:val="005B58B0"/>
    <w:rsid w:val="005B65D6"/>
    <w:rsid w:val="005B6E0D"/>
    <w:rsid w:val="005C0298"/>
    <w:rsid w:val="005C0769"/>
    <w:rsid w:val="005C086C"/>
    <w:rsid w:val="005C360A"/>
    <w:rsid w:val="005C529D"/>
    <w:rsid w:val="005C5BFF"/>
    <w:rsid w:val="005C7EE9"/>
    <w:rsid w:val="005D011A"/>
    <w:rsid w:val="005D121B"/>
    <w:rsid w:val="005D1FA8"/>
    <w:rsid w:val="005D221C"/>
    <w:rsid w:val="005D2598"/>
    <w:rsid w:val="005D2A43"/>
    <w:rsid w:val="005D3953"/>
    <w:rsid w:val="005D4C11"/>
    <w:rsid w:val="005D4F6E"/>
    <w:rsid w:val="005D6EA0"/>
    <w:rsid w:val="005E0267"/>
    <w:rsid w:val="005E2D44"/>
    <w:rsid w:val="005E2EA4"/>
    <w:rsid w:val="005E3188"/>
    <w:rsid w:val="005E3A44"/>
    <w:rsid w:val="005E4C35"/>
    <w:rsid w:val="005E517C"/>
    <w:rsid w:val="005E6E66"/>
    <w:rsid w:val="005E7105"/>
    <w:rsid w:val="005E76E2"/>
    <w:rsid w:val="005E7B36"/>
    <w:rsid w:val="005F02E6"/>
    <w:rsid w:val="005F0569"/>
    <w:rsid w:val="005F10F1"/>
    <w:rsid w:val="005F1911"/>
    <w:rsid w:val="005F2CBA"/>
    <w:rsid w:val="005F3216"/>
    <w:rsid w:val="005F3571"/>
    <w:rsid w:val="005F4DFE"/>
    <w:rsid w:val="005F4EF9"/>
    <w:rsid w:val="005F6C72"/>
    <w:rsid w:val="005F71CD"/>
    <w:rsid w:val="0060118C"/>
    <w:rsid w:val="006015AE"/>
    <w:rsid w:val="006017B1"/>
    <w:rsid w:val="0060685F"/>
    <w:rsid w:val="00607066"/>
    <w:rsid w:val="00607197"/>
    <w:rsid w:val="006074FD"/>
    <w:rsid w:val="00607A16"/>
    <w:rsid w:val="006109F8"/>
    <w:rsid w:val="00610E6C"/>
    <w:rsid w:val="006147EA"/>
    <w:rsid w:val="00615F15"/>
    <w:rsid w:val="00616990"/>
    <w:rsid w:val="006210E6"/>
    <w:rsid w:val="00622287"/>
    <w:rsid w:val="00623075"/>
    <w:rsid w:val="006237D6"/>
    <w:rsid w:val="00623910"/>
    <w:rsid w:val="00624A27"/>
    <w:rsid w:val="00624D74"/>
    <w:rsid w:val="00626098"/>
    <w:rsid w:val="006268EA"/>
    <w:rsid w:val="0062716D"/>
    <w:rsid w:val="00627AF2"/>
    <w:rsid w:val="0063068F"/>
    <w:rsid w:val="00632AA9"/>
    <w:rsid w:val="00632F94"/>
    <w:rsid w:val="00635210"/>
    <w:rsid w:val="0063632F"/>
    <w:rsid w:val="00640E38"/>
    <w:rsid w:val="00640F4F"/>
    <w:rsid w:val="00641159"/>
    <w:rsid w:val="006416A5"/>
    <w:rsid w:val="00646A6D"/>
    <w:rsid w:val="00650C56"/>
    <w:rsid w:val="00652858"/>
    <w:rsid w:val="00652FAB"/>
    <w:rsid w:val="006539E9"/>
    <w:rsid w:val="006558DC"/>
    <w:rsid w:val="00656B27"/>
    <w:rsid w:val="00657F8B"/>
    <w:rsid w:val="00660401"/>
    <w:rsid w:val="006618FC"/>
    <w:rsid w:val="00663D00"/>
    <w:rsid w:val="00663E86"/>
    <w:rsid w:val="006642FC"/>
    <w:rsid w:val="00665225"/>
    <w:rsid w:val="006661C6"/>
    <w:rsid w:val="00670638"/>
    <w:rsid w:val="00670BF9"/>
    <w:rsid w:val="00671B7E"/>
    <w:rsid w:val="006767BC"/>
    <w:rsid w:val="006818AC"/>
    <w:rsid w:val="00681B2F"/>
    <w:rsid w:val="00681D75"/>
    <w:rsid w:val="00681E25"/>
    <w:rsid w:val="0068242E"/>
    <w:rsid w:val="00684BAF"/>
    <w:rsid w:val="00684D4D"/>
    <w:rsid w:val="00685A5B"/>
    <w:rsid w:val="006860CD"/>
    <w:rsid w:val="00687A4C"/>
    <w:rsid w:val="00687ED1"/>
    <w:rsid w:val="006901F6"/>
    <w:rsid w:val="006905F4"/>
    <w:rsid w:val="0069091D"/>
    <w:rsid w:val="006911F2"/>
    <w:rsid w:val="006917DB"/>
    <w:rsid w:val="00692B34"/>
    <w:rsid w:val="00692E01"/>
    <w:rsid w:val="00694152"/>
    <w:rsid w:val="00696010"/>
    <w:rsid w:val="00696EBB"/>
    <w:rsid w:val="006A1F10"/>
    <w:rsid w:val="006A41F8"/>
    <w:rsid w:val="006A4D4E"/>
    <w:rsid w:val="006A5B9C"/>
    <w:rsid w:val="006A5CD4"/>
    <w:rsid w:val="006B002C"/>
    <w:rsid w:val="006B0086"/>
    <w:rsid w:val="006B359B"/>
    <w:rsid w:val="006B4DF4"/>
    <w:rsid w:val="006B559A"/>
    <w:rsid w:val="006B630A"/>
    <w:rsid w:val="006B7C24"/>
    <w:rsid w:val="006C1577"/>
    <w:rsid w:val="006C1A37"/>
    <w:rsid w:val="006C28C8"/>
    <w:rsid w:val="006C3D13"/>
    <w:rsid w:val="006C46B4"/>
    <w:rsid w:val="006C5526"/>
    <w:rsid w:val="006C5ACD"/>
    <w:rsid w:val="006C6300"/>
    <w:rsid w:val="006C7541"/>
    <w:rsid w:val="006C7715"/>
    <w:rsid w:val="006C7A17"/>
    <w:rsid w:val="006D0485"/>
    <w:rsid w:val="006D0E8C"/>
    <w:rsid w:val="006D1544"/>
    <w:rsid w:val="006D1FBE"/>
    <w:rsid w:val="006D36B7"/>
    <w:rsid w:val="006D3A49"/>
    <w:rsid w:val="006D5F02"/>
    <w:rsid w:val="006D686D"/>
    <w:rsid w:val="006D7D70"/>
    <w:rsid w:val="006E16F1"/>
    <w:rsid w:val="006E1C27"/>
    <w:rsid w:val="006E359B"/>
    <w:rsid w:val="006E59D4"/>
    <w:rsid w:val="006E75BF"/>
    <w:rsid w:val="006E7770"/>
    <w:rsid w:val="006F09B5"/>
    <w:rsid w:val="006F1349"/>
    <w:rsid w:val="006F201F"/>
    <w:rsid w:val="006F2C03"/>
    <w:rsid w:val="006F4489"/>
    <w:rsid w:val="006F48B3"/>
    <w:rsid w:val="006F48B8"/>
    <w:rsid w:val="006F4ACE"/>
    <w:rsid w:val="006F553C"/>
    <w:rsid w:val="006F57EA"/>
    <w:rsid w:val="006F5924"/>
    <w:rsid w:val="006F6258"/>
    <w:rsid w:val="006F65E1"/>
    <w:rsid w:val="006F7F8E"/>
    <w:rsid w:val="00700026"/>
    <w:rsid w:val="0070030C"/>
    <w:rsid w:val="00701552"/>
    <w:rsid w:val="0070262F"/>
    <w:rsid w:val="00702A35"/>
    <w:rsid w:val="00702D16"/>
    <w:rsid w:val="00704FDE"/>
    <w:rsid w:val="00705448"/>
    <w:rsid w:val="0070588F"/>
    <w:rsid w:val="007060D3"/>
    <w:rsid w:val="007061FF"/>
    <w:rsid w:val="00706F28"/>
    <w:rsid w:val="0071167E"/>
    <w:rsid w:val="007122EC"/>
    <w:rsid w:val="00714504"/>
    <w:rsid w:val="007152EB"/>
    <w:rsid w:val="00715527"/>
    <w:rsid w:val="00715732"/>
    <w:rsid w:val="007161CC"/>
    <w:rsid w:val="0071742A"/>
    <w:rsid w:val="00722241"/>
    <w:rsid w:val="00723597"/>
    <w:rsid w:val="00725C75"/>
    <w:rsid w:val="00730E8F"/>
    <w:rsid w:val="00731D48"/>
    <w:rsid w:val="007333FE"/>
    <w:rsid w:val="00733CB1"/>
    <w:rsid w:val="00733D9F"/>
    <w:rsid w:val="00734484"/>
    <w:rsid w:val="00742076"/>
    <w:rsid w:val="00742313"/>
    <w:rsid w:val="007423E5"/>
    <w:rsid w:val="00742FF8"/>
    <w:rsid w:val="00745136"/>
    <w:rsid w:val="00745A15"/>
    <w:rsid w:val="00745DD2"/>
    <w:rsid w:val="00747748"/>
    <w:rsid w:val="00747CF2"/>
    <w:rsid w:val="00747F0D"/>
    <w:rsid w:val="00751354"/>
    <w:rsid w:val="007514D2"/>
    <w:rsid w:val="00751C82"/>
    <w:rsid w:val="007553C3"/>
    <w:rsid w:val="0075540E"/>
    <w:rsid w:val="00756909"/>
    <w:rsid w:val="00760D10"/>
    <w:rsid w:val="00761B41"/>
    <w:rsid w:val="00762108"/>
    <w:rsid w:val="00765470"/>
    <w:rsid w:val="00766B42"/>
    <w:rsid w:val="00767E57"/>
    <w:rsid w:val="007705CC"/>
    <w:rsid w:val="00770E38"/>
    <w:rsid w:val="00770F40"/>
    <w:rsid w:val="00771B51"/>
    <w:rsid w:val="00771EC3"/>
    <w:rsid w:val="00772860"/>
    <w:rsid w:val="007751DE"/>
    <w:rsid w:val="00775C6C"/>
    <w:rsid w:val="00776961"/>
    <w:rsid w:val="00776AF1"/>
    <w:rsid w:val="007803FA"/>
    <w:rsid w:val="0078133D"/>
    <w:rsid w:val="00781E34"/>
    <w:rsid w:val="00783C60"/>
    <w:rsid w:val="00785106"/>
    <w:rsid w:val="00785785"/>
    <w:rsid w:val="00785C60"/>
    <w:rsid w:val="00786A88"/>
    <w:rsid w:val="007904AD"/>
    <w:rsid w:val="007905AC"/>
    <w:rsid w:val="00790617"/>
    <w:rsid w:val="00790F10"/>
    <w:rsid w:val="00790FC5"/>
    <w:rsid w:val="007914C5"/>
    <w:rsid w:val="00791DED"/>
    <w:rsid w:val="00792AA8"/>
    <w:rsid w:val="00793AAE"/>
    <w:rsid w:val="0079446C"/>
    <w:rsid w:val="00794972"/>
    <w:rsid w:val="00795D2A"/>
    <w:rsid w:val="007961B1"/>
    <w:rsid w:val="0079637E"/>
    <w:rsid w:val="00796EE7"/>
    <w:rsid w:val="00797022"/>
    <w:rsid w:val="007A3ABE"/>
    <w:rsid w:val="007A3D34"/>
    <w:rsid w:val="007A4CB0"/>
    <w:rsid w:val="007A5B52"/>
    <w:rsid w:val="007A60F8"/>
    <w:rsid w:val="007A62C3"/>
    <w:rsid w:val="007A745D"/>
    <w:rsid w:val="007A7BDA"/>
    <w:rsid w:val="007B0688"/>
    <w:rsid w:val="007B18C4"/>
    <w:rsid w:val="007B341B"/>
    <w:rsid w:val="007B4102"/>
    <w:rsid w:val="007B4493"/>
    <w:rsid w:val="007B6252"/>
    <w:rsid w:val="007B651A"/>
    <w:rsid w:val="007B6648"/>
    <w:rsid w:val="007B6669"/>
    <w:rsid w:val="007B76B3"/>
    <w:rsid w:val="007C311B"/>
    <w:rsid w:val="007C3830"/>
    <w:rsid w:val="007C462E"/>
    <w:rsid w:val="007C506B"/>
    <w:rsid w:val="007C71F6"/>
    <w:rsid w:val="007D0986"/>
    <w:rsid w:val="007D1A73"/>
    <w:rsid w:val="007D2092"/>
    <w:rsid w:val="007D38CF"/>
    <w:rsid w:val="007D3980"/>
    <w:rsid w:val="007D59A7"/>
    <w:rsid w:val="007D698B"/>
    <w:rsid w:val="007D6A21"/>
    <w:rsid w:val="007D71F8"/>
    <w:rsid w:val="007D7BB6"/>
    <w:rsid w:val="007E042A"/>
    <w:rsid w:val="007E0670"/>
    <w:rsid w:val="007E19B6"/>
    <w:rsid w:val="007E3616"/>
    <w:rsid w:val="007E5D35"/>
    <w:rsid w:val="007E5E73"/>
    <w:rsid w:val="007E655A"/>
    <w:rsid w:val="007E6B14"/>
    <w:rsid w:val="007F0060"/>
    <w:rsid w:val="007F2F56"/>
    <w:rsid w:val="007F2FB6"/>
    <w:rsid w:val="007F52A6"/>
    <w:rsid w:val="007F5789"/>
    <w:rsid w:val="007F68DA"/>
    <w:rsid w:val="007F7FFE"/>
    <w:rsid w:val="0080002E"/>
    <w:rsid w:val="008004E7"/>
    <w:rsid w:val="00802106"/>
    <w:rsid w:val="0080276C"/>
    <w:rsid w:val="00803605"/>
    <w:rsid w:val="00805BE0"/>
    <w:rsid w:val="008060C8"/>
    <w:rsid w:val="00810F5C"/>
    <w:rsid w:val="008116EB"/>
    <w:rsid w:val="00812723"/>
    <w:rsid w:val="00814743"/>
    <w:rsid w:val="00814A6A"/>
    <w:rsid w:val="00814ED4"/>
    <w:rsid w:val="008152E3"/>
    <w:rsid w:val="0081557C"/>
    <w:rsid w:val="008159B1"/>
    <w:rsid w:val="00815F71"/>
    <w:rsid w:val="00817153"/>
    <w:rsid w:val="00820282"/>
    <w:rsid w:val="00820651"/>
    <w:rsid w:val="0082117F"/>
    <w:rsid w:val="008217EB"/>
    <w:rsid w:val="008239F8"/>
    <w:rsid w:val="00823B06"/>
    <w:rsid w:val="00824821"/>
    <w:rsid w:val="00824D74"/>
    <w:rsid w:val="0082619C"/>
    <w:rsid w:val="00831A0D"/>
    <w:rsid w:val="00833573"/>
    <w:rsid w:val="00835804"/>
    <w:rsid w:val="00835986"/>
    <w:rsid w:val="00836AD2"/>
    <w:rsid w:val="008375CC"/>
    <w:rsid w:val="00841303"/>
    <w:rsid w:val="008415CC"/>
    <w:rsid w:val="00842862"/>
    <w:rsid w:val="00844A64"/>
    <w:rsid w:val="00845199"/>
    <w:rsid w:val="00847DFE"/>
    <w:rsid w:val="00851111"/>
    <w:rsid w:val="008525CF"/>
    <w:rsid w:val="008542CC"/>
    <w:rsid w:val="0085681F"/>
    <w:rsid w:val="0085781E"/>
    <w:rsid w:val="00860973"/>
    <w:rsid w:val="00860B77"/>
    <w:rsid w:val="0086183E"/>
    <w:rsid w:val="008621CC"/>
    <w:rsid w:val="008640C9"/>
    <w:rsid w:val="008648B5"/>
    <w:rsid w:val="00864DB7"/>
    <w:rsid w:val="00865A78"/>
    <w:rsid w:val="0086641A"/>
    <w:rsid w:val="00867F68"/>
    <w:rsid w:val="00870AAA"/>
    <w:rsid w:val="00870FFC"/>
    <w:rsid w:val="0087118C"/>
    <w:rsid w:val="008737D3"/>
    <w:rsid w:val="00873E0E"/>
    <w:rsid w:val="008755A9"/>
    <w:rsid w:val="00877CBF"/>
    <w:rsid w:val="008808AB"/>
    <w:rsid w:val="00880C88"/>
    <w:rsid w:val="00881BC2"/>
    <w:rsid w:val="00882D53"/>
    <w:rsid w:val="00883437"/>
    <w:rsid w:val="008834C5"/>
    <w:rsid w:val="00883C24"/>
    <w:rsid w:val="00884C22"/>
    <w:rsid w:val="008853F8"/>
    <w:rsid w:val="008855B0"/>
    <w:rsid w:val="00886078"/>
    <w:rsid w:val="0088779B"/>
    <w:rsid w:val="0089138B"/>
    <w:rsid w:val="00892862"/>
    <w:rsid w:val="008952B1"/>
    <w:rsid w:val="008953BD"/>
    <w:rsid w:val="0089563E"/>
    <w:rsid w:val="00895BE1"/>
    <w:rsid w:val="0089630A"/>
    <w:rsid w:val="008964A3"/>
    <w:rsid w:val="008968A0"/>
    <w:rsid w:val="008A05BC"/>
    <w:rsid w:val="008A18D6"/>
    <w:rsid w:val="008A292D"/>
    <w:rsid w:val="008A32E5"/>
    <w:rsid w:val="008A3627"/>
    <w:rsid w:val="008A3A30"/>
    <w:rsid w:val="008A4628"/>
    <w:rsid w:val="008A494C"/>
    <w:rsid w:val="008A6E15"/>
    <w:rsid w:val="008A7DE6"/>
    <w:rsid w:val="008B1218"/>
    <w:rsid w:val="008B1906"/>
    <w:rsid w:val="008B21EE"/>
    <w:rsid w:val="008B2BD9"/>
    <w:rsid w:val="008B3D03"/>
    <w:rsid w:val="008B47CB"/>
    <w:rsid w:val="008B51C2"/>
    <w:rsid w:val="008B6A6C"/>
    <w:rsid w:val="008B7DA1"/>
    <w:rsid w:val="008C1420"/>
    <w:rsid w:val="008C15BB"/>
    <w:rsid w:val="008C2370"/>
    <w:rsid w:val="008C28E5"/>
    <w:rsid w:val="008C4E5F"/>
    <w:rsid w:val="008C6886"/>
    <w:rsid w:val="008C6C82"/>
    <w:rsid w:val="008C745A"/>
    <w:rsid w:val="008D0A04"/>
    <w:rsid w:val="008D1181"/>
    <w:rsid w:val="008D15F7"/>
    <w:rsid w:val="008D1920"/>
    <w:rsid w:val="008D1FDE"/>
    <w:rsid w:val="008D351D"/>
    <w:rsid w:val="008D4252"/>
    <w:rsid w:val="008D44E1"/>
    <w:rsid w:val="008E1C45"/>
    <w:rsid w:val="008E242E"/>
    <w:rsid w:val="008E4089"/>
    <w:rsid w:val="008E4989"/>
    <w:rsid w:val="008E4B7F"/>
    <w:rsid w:val="008E5C13"/>
    <w:rsid w:val="008E647B"/>
    <w:rsid w:val="008E768F"/>
    <w:rsid w:val="008E7B61"/>
    <w:rsid w:val="008F0A46"/>
    <w:rsid w:val="008F1D5B"/>
    <w:rsid w:val="008F1F6C"/>
    <w:rsid w:val="008F3AE2"/>
    <w:rsid w:val="008F3E3C"/>
    <w:rsid w:val="008F5BC4"/>
    <w:rsid w:val="008F6221"/>
    <w:rsid w:val="008F722B"/>
    <w:rsid w:val="008F777B"/>
    <w:rsid w:val="008F7CCE"/>
    <w:rsid w:val="00903F6D"/>
    <w:rsid w:val="00905674"/>
    <w:rsid w:val="009064E2"/>
    <w:rsid w:val="00906DD9"/>
    <w:rsid w:val="009073C0"/>
    <w:rsid w:val="009077C7"/>
    <w:rsid w:val="00910625"/>
    <w:rsid w:val="0091220E"/>
    <w:rsid w:val="0091465A"/>
    <w:rsid w:val="00915766"/>
    <w:rsid w:val="00915DE1"/>
    <w:rsid w:val="00920216"/>
    <w:rsid w:val="00920463"/>
    <w:rsid w:val="009231E5"/>
    <w:rsid w:val="009238C7"/>
    <w:rsid w:val="00923D68"/>
    <w:rsid w:val="0092403A"/>
    <w:rsid w:val="00924287"/>
    <w:rsid w:val="009243F4"/>
    <w:rsid w:val="009245CA"/>
    <w:rsid w:val="00925D6E"/>
    <w:rsid w:val="00926365"/>
    <w:rsid w:val="00926E4D"/>
    <w:rsid w:val="009300AC"/>
    <w:rsid w:val="00930A30"/>
    <w:rsid w:val="0093352D"/>
    <w:rsid w:val="009376FF"/>
    <w:rsid w:val="00937C3A"/>
    <w:rsid w:val="00940185"/>
    <w:rsid w:val="009401B4"/>
    <w:rsid w:val="00940BCD"/>
    <w:rsid w:val="00941279"/>
    <w:rsid w:val="00946055"/>
    <w:rsid w:val="009461D9"/>
    <w:rsid w:val="00946209"/>
    <w:rsid w:val="009462D5"/>
    <w:rsid w:val="00947181"/>
    <w:rsid w:val="009518BA"/>
    <w:rsid w:val="009527F0"/>
    <w:rsid w:val="00952F68"/>
    <w:rsid w:val="00953EB6"/>
    <w:rsid w:val="0095456C"/>
    <w:rsid w:val="009546FD"/>
    <w:rsid w:val="009547B3"/>
    <w:rsid w:val="00956905"/>
    <w:rsid w:val="009603F3"/>
    <w:rsid w:val="009611B4"/>
    <w:rsid w:val="009614C6"/>
    <w:rsid w:val="00962BFB"/>
    <w:rsid w:val="00962E1C"/>
    <w:rsid w:val="0096349D"/>
    <w:rsid w:val="00964954"/>
    <w:rsid w:val="00965DA8"/>
    <w:rsid w:val="009662A3"/>
    <w:rsid w:val="00966DEC"/>
    <w:rsid w:val="00967B55"/>
    <w:rsid w:val="00967EFC"/>
    <w:rsid w:val="009703B1"/>
    <w:rsid w:val="00970542"/>
    <w:rsid w:val="009707B4"/>
    <w:rsid w:val="00970B2F"/>
    <w:rsid w:val="0097673B"/>
    <w:rsid w:val="00977076"/>
    <w:rsid w:val="00977D07"/>
    <w:rsid w:val="00980643"/>
    <w:rsid w:val="00982233"/>
    <w:rsid w:val="009852E4"/>
    <w:rsid w:val="00985AA9"/>
    <w:rsid w:val="00987786"/>
    <w:rsid w:val="00987C7D"/>
    <w:rsid w:val="00990380"/>
    <w:rsid w:val="00990F60"/>
    <w:rsid w:val="0099102F"/>
    <w:rsid w:val="009921DB"/>
    <w:rsid w:val="00993DFB"/>
    <w:rsid w:val="00993E2A"/>
    <w:rsid w:val="009940EF"/>
    <w:rsid w:val="00994A8D"/>
    <w:rsid w:val="00994D06"/>
    <w:rsid w:val="00996668"/>
    <w:rsid w:val="00997CF0"/>
    <w:rsid w:val="009A0BBC"/>
    <w:rsid w:val="009A1F6E"/>
    <w:rsid w:val="009A5334"/>
    <w:rsid w:val="009A5AFD"/>
    <w:rsid w:val="009A6EFD"/>
    <w:rsid w:val="009B07E3"/>
    <w:rsid w:val="009B39DC"/>
    <w:rsid w:val="009B4449"/>
    <w:rsid w:val="009B57F5"/>
    <w:rsid w:val="009B61E7"/>
    <w:rsid w:val="009B6F89"/>
    <w:rsid w:val="009B7038"/>
    <w:rsid w:val="009C0087"/>
    <w:rsid w:val="009C4598"/>
    <w:rsid w:val="009C52F5"/>
    <w:rsid w:val="009C5D93"/>
    <w:rsid w:val="009C5E11"/>
    <w:rsid w:val="009C6D97"/>
    <w:rsid w:val="009C6DC9"/>
    <w:rsid w:val="009C6E72"/>
    <w:rsid w:val="009C7374"/>
    <w:rsid w:val="009D0481"/>
    <w:rsid w:val="009D3C3F"/>
    <w:rsid w:val="009D3FA2"/>
    <w:rsid w:val="009D4D67"/>
    <w:rsid w:val="009D635B"/>
    <w:rsid w:val="009D66DC"/>
    <w:rsid w:val="009D7D8E"/>
    <w:rsid w:val="009D7F6F"/>
    <w:rsid w:val="009E0393"/>
    <w:rsid w:val="009E07D3"/>
    <w:rsid w:val="009E7B12"/>
    <w:rsid w:val="009F06F2"/>
    <w:rsid w:val="009F2F54"/>
    <w:rsid w:val="009F3C23"/>
    <w:rsid w:val="009F4160"/>
    <w:rsid w:val="009F4765"/>
    <w:rsid w:val="009F5601"/>
    <w:rsid w:val="009F635E"/>
    <w:rsid w:val="00A020DB"/>
    <w:rsid w:val="00A02C5D"/>
    <w:rsid w:val="00A04681"/>
    <w:rsid w:val="00A06F50"/>
    <w:rsid w:val="00A11A66"/>
    <w:rsid w:val="00A11D0D"/>
    <w:rsid w:val="00A127B5"/>
    <w:rsid w:val="00A12B80"/>
    <w:rsid w:val="00A140D3"/>
    <w:rsid w:val="00A1433D"/>
    <w:rsid w:val="00A1446B"/>
    <w:rsid w:val="00A14A87"/>
    <w:rsid w:val="00A14B60"/>
    <w:rsid w:val="00A167F2"/>
    <w:rsid w:val="00A16EB7"/>
    <w:rsid w:val="00A17EFE"/>
    <w:rsid w:val="00A20C78"/>
    <w:rsid w:val="00A217F3"/>
    <w:rsid w:val="00A229F7"/>
    <w:rsid w:val="00A2312E"/>
    <w:rsid w:val="00A24323"/>
    <w:rsid w:val="00A2512C"/>
    <w:rsid w:val="00A2515B"/>
    <w:rsid w:val="00A2588E"/>
    <w:rsid w:val="00A26492"/>
    <w:rsid w:val="00A26EDF"/>
    <w:rsid w:val="00A303BF"/>
    <w:rsid w:val="00A34789"/>
    <w:rsid w:val="00A3630E"/>
    <w:rsid w:val="00A3649A"/>
    <w:rsid w:val="00A37967"/>
    <w:rsid w:val="00A37B59"/>
    <w:rsid w:val="00A37BB8"/>
    <w:rsid w:val="00A37D74"/>
    <w:rsid w:val="00A414FF"/>
    <w:rsid w:val="00A41FF8"/>
    <w:rsid w:val="00A42D87"/>
    <w:rsid w:val="00A43B9B"/>
    <w:rsid w:val="00A44A8F"/>
    <w:rsid w:val="00A44AF4"/>
    <w:rsid w:val="00A44BD3"/>
    <w:rsid w:val="00A4521D"/>
    <w:rsid w:val="00A46D6F"/>
    <w:rsid w:val="00A46FDB"/>
    <w:rsid w:val="00A475B5"/>
    <w:rsid w:val="00A47E3F"/>
    <w:rsid w:val="00A51390"/>
    <w:rsid w:val="00A5194C"/>
    <w:rsid w:val="00A51F0A"/>
    <w:rsid w:val="00A53076"/>
    <w:rsid w:val="00A54EF2"/>
    <w:rsid w:val="00A55D48"/>
    <w:rsid w:val="00A57BEB"/>
    <w:rsid w:val="00A60B2B"/>
    <w:rsid w:val="00A61673"/>
    <w:rsid w:val="00A61E0B"/>
    <w:rsid w:val="00A64926"/>
    <w:rsid w:val="00A656B0"/>
    <w:rsid w:val="00A665CF"/>
    <w:rsid w:val="00A66F20"/>
    <w:rsid w:val="00A672B7"/>
    <w:rsid w:val="00A67CA7"/>
    <w:rsid w:val="00A71A4C"/>
    <w:rsid w:val="00A72084"/>
    <w:rsid w:val="00A73989"/>
    <w:rsid w:val="00A743CB"/>
    <w:rsid w:val="00A75530"/>
    <w:rsid w:val="00A756D3"/>
    <w:rsid w:val="00A767A5"/>
    <w:rsid w:val="00A7752F"/>
    <w:rsid w:val="00A80780"/>
    <w:rsid w:val="00A82AE9"/>
    <w:rsid w:val="00A83BC9"/>
    <w:rsid w:val="00A85198"/>
    <w:rsid w:val="00A8530F"/>
    <w:rsid w:val="00A85C35"/>
    <w:rsid w:val="00A8673D"/>
    <w:rsid w:val="00A92061"/>
    <w:rsid w:val="00A928AE"/>
    <w:rsid w:val="00A939A7"/>
    <w:rsid w:val="00A94249"/>
    <w:rsid w:val="00A9474C"/>
    <w:rsid w:val="00A94BC9"/>
    <w:rsid w:val="00A951E9"/>
    <w:rsid w:val="00A959BC"/>
    <w:rsid w:val="00A96815"/>
    <w:rsid w:val="00AA0B2A"/>
    <w:rsid w:val="00AA1044"/>
    <w:rsid w:val="00AA2562"/>
    <w:rsid w:val="00AA3C60"/>
    <w:rsid w:val="00AA684D"/>
    <w:rsid w:val="00AA6A8C"/>
    <w:rsid w:val="00AA7000"/>
    <w:rsid w:val="00AB08CD"/>
    <w:rsid w:val="00AB0F43"/>
    <w:rsid w:val="00AB2FF4"/>
    <w:rsid w:val="00AB5A96"/>
    <w:rsid w:val="00AB5F9C"/>
    <w:rsid w:val="00AB62F6"/>
    <w:rsid w:val="00AB6DD6"/>
    <w:rsid w:val="00AB7783"/>
    <w:rsid w:val="00AC1AD6"/>
    <w:rsid w:val="00AC1F15"/>
    <w:rsid w:val="00AC31A1"/>
    <w:rsid w:val="00AC4E7B"/>
    <w:rsid w:val="00AD243B"/>
    <w:rsid w:val="00AD4CF6"/>
    <w:rsid w:val="00AD5A13"/>
    <w:rsid w:val="00AD622E"/>
    <w:rsid w:val="00AD64DF"/>
    <w:rsid w:val="00AE1025"/>
    <w:rsid w:val="00AE3F03"/>
    <w:rsid w:val="00AE4FF5"/>
    <w:rsid w:val="00AE64F0"/>
    <w:rsid w:val="00AE7738"/>
    <w:rsid w:val="00AF23C8"/>
    <w:rsid w:val="00AF264A"/>
    <w:rsid w:val="00AF2ACB"/>
    <w:rsid w:val="00AF2AE2"/>
    <w:rsid w:val="00AF317B"/>
    <w:rsid w:val="00AF327A"/>
    <w:rsid w:val="00AF4E8C"/>
    <w:rsid w:val="00AF517B"/>
    <w:rsid w:val="00B00D70"/>
    <w:rsid w:val="00B01372"/>
    <w:rsid w:val="00B018C0"/>
    <w:rsid w:val="00B02D48"/>
    <w:rsid w:val="00B0344B"/>
    <w:rsid w:val="00B0377E"/>
    <w:rsid w:val="00B071B0"/>
    <w:rsid w:val="00B07BA9"/>
    <w:rsid w:val="00B10055"/>
    <w:rsid w:val="00B1141E"/>
    <w:rsid w:val="00B1278B"/>
    <w:rsid w:val="00B12E3F"/>
    <w:rsid w:val="00B16D5E"/>
    <w:rsid w:val="00B17295"/>
    <w:rsid w:val="00B178AF"/>
    <w:rsid w:val="00B21491"/>
    <w:rsid w:val="00B215F5"/>
    <w:rsid w:val="00B22E5D"/>
    <w:rsid w:val="00B230B5"/>
    <w:rsid w:val="00B23EAD"/>
    <w:rsid w:val="00B241C2"/>
    <w:rsid w:val="00B26B62"/>
    <w:rsid w:val="00B274D6"/>
    <w:rsid w:val="00B27A54"/>
    <w:rsid w:val="00B304FE"/>
    <w:rsid w:val="00B30783"/>
    <w:rsid w:val="00B31318"/>
    <w:rsid w:val="00B33DA5"/>
    <w:rsid w:val="00B34650"/>
    <w:rsid w:val="00B35139"/>
    <w:rsid w:val="00B41CB3"/>
    <w:rsid w:val="00B41F0F"/>
    <w:rsid w:val="00B42560"/>
    <w:rsid w:val="00B455AA"/>
    <w:rsid w:val="00B45632"/>
    <w:rsid w:val="00B45778"/>
    <w:rsid w:val="00B457A1"/>
    <w:rsid w:val="00B4630F"/>
    <w:rsid w:val="00B464A8"/>
    <w:rsid w:val="00B464B1"/>
    <w:rsid w:val="00B47606"/>
    <w:rsid w:val="00B47A4A"/>
    <w:rsid w:val="00B47B99"/>
    <w:rsid w:val="00B506F2"/>
    <w:rsid w:val="00B510E3"/>
    <w:rsid w:val="00B5118C"/>
    <w:rsid w:val="00B5218C"/>
    <w:rsid w:val="00B521AC"/>
    <w:rsid w:val="00B52702"/>
    <w:rsid w:val="00B533D0"/>
    <w:rsid w:val="00B5498D"/>
    <w:rsid w:val="00B5501D"/>
    <w:rsid w:val="00B56488"/>
    <w:rsid w:val="00B56AB0"/>
    <w:rsid w:val="00B574A5"/>
    <w:rsid w:val="00B6151E"/>
    <w:rsid w:val="00B63065"/>
    <w:rsid w:val="00B63125"/>
    <w:rsid w:val="00B63915"/>
    <w:rsid w:val="00B64962"/>
    <w:rsid w:val="00B676EC"/>
    <w:rsid w:val="00B7016C"/>
    <w:rsid w:val="00B7039B"/>
    <w:rsid w:val="00B70C5B"/>
    <w:rsid w:val="00B720D5"/>
    <w:rsid w:val="00B73232"/>
    <w:rsid w:val="00B736C2"/>
    <w:rsid w:val="00B744AE"/>
    <w:rsid w:val="00B748A9"/>
    <w:rsid w:val="00B74D1E"/>
    <w:rsid w:val="00B75D8B"/>
    <w:rsid w:val="00B7661D"/>
    <w:rsid w:val="00B76A18"/>
    <w:rsid w:val="00B80FEE"/>
    <w:rsid w:val="00B83188"/>
    <w:rsid w:val="00B831DA"/>
    <w:rsid w:val="00B84652"/>
    <w:rsid w:val="00B84C6C"/>
    <w:rsid w:val="00B85772"/>
    <w:rsid w:val="00B872E9"/>
    <w:rsid w:val="00B925F9"/>
    <w:rsid w:val="00B92687"/>
    <w:rsid w:val="00B941DD"/>
    <w:rsid w:val="00B94248"/>
    <w:rsid w:val="00B942A1"/>
    <w:rsid w:val="00B94B4F"/>
    <w:rsid w:val="00B95F13"/>
    <w:rsid w:val="00B963DE"/>
    <w:rsid w:val="00B976F6"/>
    <w:rsid w:val="00BA141C"/>
    <w:rsid w:val="00BA15F0"/>
    <w:rsid w:val="00BA205F"/>
    <w:rsid w:val="00BA23B3"/>
    <w:rsid w:val="00BA25A4"/>
    <w:rsid w:val="00BA2C90"/>
    <w:rsid w:val="00BA5F41"/>
    <w:rsid w:val="00BA7385"/>
    <w:rsid w:val="00BB187C"/>
    <w:rsid w:val="00BB25B0"/>
    <w:rsid w:val="00BB2736"/>
    <w:rsid w:val="00BB296B"/>
    <w:rsid w:val="00BB2A9C"/>
    <w:rsid w:val="00BB35FB"/>
    <w:rsid w:val="00BB3622"/>
    <w:rsid w:val="00BB4755"/>
    <w:rsid w:val="00BB682C"/>
    <w:rsid w:val="00BB71CF"/>
    <w:rsid w:val="00BB7CA9"/>
    <w:rsid w:val="00BC236B"/>
    <w:rsid w:val="00BC2BB4"/>
    <w:rsid w:val="00BC2D19"/>
    <w:rsid w:val="00BC37A7"/>
    <w:rsid w:val="00BC65D9"/>
    <w:rsid w:val="00BC6BAC"/>
    <w:rsid w:val="00BC7C52"/>
    <w:rsid w:val="00BD0CF6"/>
    <w:rsid w:val="00BD1471"/>
    <w:rsid w:val="00BD14C5"/>
    <w:rsid w:val="00BD196A"/>
    <w:rsid w:val="00BD2081"/>
    <w:rsid w:val="00BD2311"/>
    <w:rsid w:val="00BD6262"/>
    <w:rsid w:val="00BD7639"/>
    <w:rsid w:val="00BD77C9"/>
    <w:rsid w:val="00BD7EED"/>
    <w:rsid w:val="00BE1065"/>
    <w:rsid w:val="00BE1B0D"/>
    <w:rsid w:val="00BE1EAA"/>
    <w:rsid w:val="00BE3138"/>
    <w:rsid w:val="00BE4C48"/>
    <w:rsid w:val="00BE61C1"/>
    <w:rsid w:val="00BE64AF"/>
    <w:rsid w:val="00BE6717"/>
    <w:rsid w:val="00BF0381"/>
    <w:rsid w:val="00BF18BE"/>
    <w:rsid w:val="00BF2BC6"/>
    <w:rsid w:val="00BF2F8C"/>
    <w:rsid w:val="00BF3D32"/>
    <w:rsid w:val="00BF3D33"/>
    <w:rsid w:val="00BF446E"/>
    <w:rsid w:val="00BF4812"/>
    <w:rsid w:val="00BF6E7B"/>
    <w:rsid w:val="00C01021"/>
    <w:rsid w:val="00C013C2"/>
    <w:rsid w:val="00C0141F"/>
    <w:rsid w:val="00C048AF"/>
    <w:rsid w:val="00C077E0"/>
    <w:rsid w:val="00C07DE6"/>
    <w:rsid w:val="00C10A7D"/>
    <w:rsid w:val="00C116C1"/>
    <w:rsid w:val="00C124A8"/>
    <w:rsid w:val="00C13E71"/>
    <w:rsid w:val="00C154B5"/>
    <w:rsid w:val="00C17268"/>
    <w:rsid w:val="00C17872"/>
    <w:rsid w:val="00C205E9"/>
    <w:rsid w:val="00C212FC"/>
    <w:rsid w:val="00C2291E"/>
    <w:rsid w:val="00C2351D"/>
    <w:rsid w:val="00C23561"/>
    <w:rsid w:val="00C23F48"/>
    <w:rsid w:val="00C23F54"/>
    <w:rsid w:val="00C25AD3"/>
    <w:rsid w:val="00C262BD"/>
    <w:rsid w:val="00C26E38"/>
    <w:rsid w:val="00C309AB"/>
    <w:rsid w:val="00C30E04"/>
    <w:rsid w:val="00C310C2"/>
    <w:rsid w:val="00C31C62"/>
    <w:rsid w:val="00C33A7E"/>
    <w:rsid w:val="00C36525"/>
    <w:rsid w:val="00C400B6"/>
    <w:rsid w:val="00C40EB3"/>
    <w:rsid w:val="00C41BD9"/>
    <w:rsid w:val="00C41E12"/>
    <w:rsid w:val="00C434FD"/>
    <w:rsid w:val="00C4350E"/>
    <w:rsid w:val="00C43DA0"/>
    <w:rsid w:val="00C43F11"/>
    <w:rsid w:val="00C44315"/>
    <w:rsid w:val="00C4444B"/>
    <w:rsid w:val="00C45965"/>
    <w:rsid w:val="00C46556"/>
    <w:rsid w:val="00C476F2"/>
    <w:rsid w:val="00C47AC7"/>
    <w:rsid w:val="00C47C0C"/>
    <w:rsid w:val="00C5101F"/>
    <w:rsid w:val="00C51151"/>
    <w:rsid w:val="00C5192E"/>
    <w:rsid w:val="00C52DE6"/>
    <w:rsid w:val="00C54CBD"/>
    <w:rsid w:val="00C568A8"/>
    <w:rsid w:val="00C6016B"/>
    <w:rsid w:val="00C6148B"/>
    <w:rsid w:val="00C61DAF"/>
    <w:rsid w:val="00C634A7"/>
    <w:rsid w:val="00C638D7"/>
    <w:rsid w:val="00C638DF"/>
    <w:rsid w:val="00C64720"/>
    <w:rsid w:val="00C64974"/>
    <w:rsid w:val="00C6517F"/>
    <w:rsid w:val="00C66DA0"/>
    <w:rsid w:val="00C66ECD"/>
    <w:rsid w:val="00C67AA6"/>
    <w:rsid w:val="00C67BA6"/>
    <w:rsid w:val="00C67C8F"/>
    <w:rsid w:val="00C70DA3"/>
    <w:rsid w:val="00C71920"/>
    <w:rsid w:val="00C72A63"/>
    <w:rsid w:val="00C73990"/>
    <w:rsid w:val="00C73ECB"/>
    <w:rsid w:val="00C76196"/>
    <w:rsid w:val="00C77A6A"/>
    <w:rsid w:val="00C77A70"/>
    <w:rsid w:val="00C80AE4"/>
    <w:rsid w:val="00C81013"/>
    <w:rsid w:val="00C82D71"/>
    <w:rsid w:val="00C82EC0"/>
    <w:rsid w:val="00C85411"/>
    <w:rsid w:val="00C857F1"/>
    <w:rsid w:val="00C86F7B"/>
    <w:rsid w:val="00C871C4"/>
    <w:rsid w:val="00C904D5"/>
    <w:rsid w:val="00C9153C"/>
    <w:rsid w:val="00C955EB"/>
    <w:rsid w:val="00C95AC1"/>
    <w:rsid w:val="00C97301"/>
    <w:rsid w:val="00CA1130"/>
    <w:rsid w:val="00CA1C12"/>
    <w:rsid w:val="00CA415F"/>
    <w:rsid w:val="00CA529D"/>
    <w:rsid w:val="00CA5EA7"/>
    <w:rsid w:val="00CB026C"/>
    <w:rsid w:val="00CB05D5"/>
    <w:rsid w:val="00CB155B"/>
    <w:rsid w:val="00CB174F"/>
    <w:rsid w:val="00CB2AC1"/>
    <w:rsid w:val="00CB2C14"/>
    <w:rsid w:val="00CB3AEB"/>
    <w:rsid w:val="00CB5A49"/>
    <w:rsid w:val="00CB5C15"/>
    <w:rsid w:val="00CB62B3"/>
    <w:rsid w:val="00CB678B"/>
    <w:rsid w:val="00CC1228"/>
    <w:rsid w:val="00CC1A21"/>
    <w:rsid w:val="00CC3E0D"/>
    <w:rsid w:val="00CC5523"/>
    <w:rsid w:val="00CC5FCB"/>
    <w:rsid w:val="00CC622F"/>
    <w:rsid w:val="00CC66DE"/>
    <w:rsid w:val="00CC7C0C"/>
    <w:rsid w:val="00CD0A9C"/>
    <w:rsid w:val="00CD5694"/>
    <w:rsid w:val="00CD68D8"/>
    <w:rsid w:val="00CD75E3"/>
    <w:rsid w:val="00CD7854"/>
    <w:rsid w:val="00CE0DF3"/>
    <w:rsid w:val="00CE184D"/>
    <w:rsid w:val="00CE2627"/>
    <w:rsid w:val="00CE2EB2"/>
    <w:rsid w:val="00CE525D"/>
    <w:rsid w:val="00CE5C99"/>
    <w:rsid w:val="00CE632D"/>
    <w:rsid w:val="00CF1619"/>
    <w:rsid w:val="00CF23EE"/>
    <w:rsid w:val="00CF2506"/>
    <w:rsid w:val="00CF41D3"/>
    <w:rsid w:val="00D00851"/>
    <w:rsid w:val="00D0264D"/>
    <w:rsid w:val="00D050E5"/>
    <w:rsid w:val="00D05227"/>
    <w:rsid w:val="00D05C3D"/>
    <w:rsid w:val="00D077B3"/>
    <w:rsid w:val="00D11357"/>
    <w:rsid w:val="00D11C81"/>
    <w:rsid w:val="00D126F7"/>
    <w:rsid w:val="00D129F5"/>
    <w:rsid w:val="00D12ED9"/>
    <w:rsid w:val="00D141DD"/>
    <w:rsid w:val="00D1494A"/>
    <w:rsid w:val="00D14BC6"/>
    <w:rsid w:val="00D21887"/>
    <w:rsid w:val="00D23436"/>
    <w:rsid w:val="00D23750"/>
    <w:rsid w:val="00D266DE"/>
    <w:rsid w:val="00D268F4"/>
    <w:rsid w:val="00D274B1"/>
    <w:rsid w:val="00D31689"/>
    <w:rsid w:val="00D325D3"/>
    <w:rsid w:val="00D343E6"/>
    <w:rsid w:val="00D34828"/>
    <w:rsid w:val="00D35564"/>
    <w:rsid w:val="00D355E8"/>
    <w:rsid w:val="00D4059D"/>
    <w:rsid w:val="00D41CCE"/>
    <w:rsid w:val="00D42AB4"/>
    <w:rsid w:val="00D42EBE"/>
    <w:rsid w:val="00D43A55"/>
    <w:rsid w:val="00D43DD6"/>
    <w:rsid w:val="00D43EF5"/>
    <w:rsid w:val="00D454EC"/>
    <w:rsid w:val="00D51C2C"/>
    <w:rsid w:val="00D53B6F"/>
    <w:rsid w:val="00D540F4"/>
    <w:rsid w:val="00D54E91"/>
    <w:rsid w:val="00D55A36"/>
    <w:rsid w:val="00D5689A"/>
    <w:rsid w:val="00D57072"/>
    <w:rsid w:val="00D61249"/>
    <w:rsid w:val="00D61AE5"/>
    <w:rsid w:val="00D63D38"/>
    <w:rsid w:val="00D6433B"/>
    <w:rsid w:val="00D64636"/>
    <w:rsid w:val="00D66606"/>
    <w:rsid w:val="00D668E4"/>
    <w:rsid w:val="00D67466"/>
    <w:rsid w:val="00D701BC"/>
    <w:rsid w:val="00D7047B"/>
    <w:rsid w:val="00D70735"/>
    <w:rsid w:val="00D72460"/>
    <w:rsid w:val="00D72711"/>
    <w:rsid w:val="00D729A9"/>
    <w:rsid w:val="00D72E9E"/>
    <w:rsid w:val="00D741F4"/>
    <w:rsid w:val="00D74FEC"/>
    <w:rsid w:val="00D75505"/>
    <w:rsid w:val="00D76695"/>
    <w:rsid w:val="00D767E9"/>
    <w:rsid w:val="00D77969"/>
    <w:rsid w:val="00D77C40"/>
    <w:rsid w:val="00D77DAB"/>
    <w:rsid w:val="00D80998"/>
    <w:rsid w:val="00D8228F"/>
    <w:rsid w:val="00D836D9"/>
    <w:rsid w:val="00D83CB1"/>
    <w:rsid w:val="00D862DA"/>
    <w:rsid w:val="00D8640C"/>
    <w:rsid w:val="00D86456"/>
    <w:rsid w:val="00D870BD"/>
    <w:rsid w:val="00D87814"/>
    <w:rsid w:val="00D8799E"/>
    <w:rsid w:val="00D90ED8"/>
    <w:rsid w:val="00D91EAC"/>
    <w:rsid w:val="00D936C9"/>
    <w:rsid w:val="00DA272F"/>
    <w:rsid w:val="00DA29E3"/>
    <w:rsid w:val="00DA3D7B"/>
    <w:rsid w:val="00DA508F"/>
    <w:rsid w:val="00DA6721"/>
    <w:rsid w:val="00DA6F89"/>
    <w:rsid w:val="00DA7189"/>
    <w:rsid w:val="00DA72B2"/>
    <w:rsid w:val="00DA7370"/>
    <w:rsid w:val="00DB1190"/>
    <w:rsid w:val="00DB296A"/>
    <w:rsid w:val="00DB2C92"/>
    <w:rsid w:val="00DB4448"/>
    <w:rsid w:val="00DB4594"/>
    <w:rsid w:val="00DB4AA3"/>
    <w:rsid w:val="00DB68FF"/>
    <w:rsid w:val="00DB7230"/>
    <w:rsid w:val="00DB7E07"/>
    <w:rsid w:val="00DC2379"/>
    <w:rsid w:val="00DC32BA"/>
    <w:rsid w:val="00DC34C9"/>
    <w:rsid w:val="00DC5D3E"/>
    <w:rsid w:val="00DC5FD8"/>
    <w:rsid w:val="00DC7AD6"/>
    <w:rsid w:val="00DD009A"/>
    <w:rsid w:val="00DD0427"/>
    <w:rsid w:val="00DD4183"/>
    <w:rsid w:val="00DD4695"/>
    <w:rsid w:val="00DD6518"/>
    <w:rsid w:val="00DD6537"/>
    <w:rsid w:val="00DD6667"/>
    <w:rsid w:val="00DD71BF"/>
    <w:rsid w:val="00DD74A2"/>
    <w:rsid w:val="00DE1932"/>
    <w:rsid w:val="00DE2996"/>
    <w:rsid w:val="00DE3758"/>
    <w:rsid w:val="00DE383B"/>
    <w:rsid w:val="00DE3E48"/>
    <w:rsid w:val="00DE49BE"/>
    <w:rsid w:val="00DE6576"/>
    <w:rsid w:val="00DE716E"/>
    <w:rsid w:val="00DE7F61"/>
    <w:rsid w:val="00DF4614"/>
    <w:rsid w:val="00DF693D"/>
    <w:rsid w:val="00DF6D10"/>
    <w:rsid w:val="00DF6D27"/>
    <w:rsid w:val="00DF7B25"/>
    <w:rsid w:val="00E00B67"/>
    <w:rsid w:val="00E039A5"/>
    <w:rsid w:val="00E04840"/>
    <w:rsid w:val="00E04B1A"/>
    <w:rsid w:val="00E05883"/>
    <w:rsid w:val="00E07099"/>
    <w:rsid w:val="00E11884"/>
    <w:rsid w:val="00E11FE9"/>
    <w:rsid w:val="00E13025"/>
    <w:rsid w:val="00E135A1"/>
    <w:rsid w:val="00E1496E"/>
    <w:rsid w:val="00E15C17"/>
    <w:rsid w:val="00E16954"/>
    <w:rsid w:val="00E16EF1"/>
    <w:rsid w:val="00E17153"/>
    <w:rsid w:val="00E17364"/>
    <w:rsid w:val="00E177A0"/>
    <w:rsid w:val="00E17F63"/>
    <w:rsid w:val="00E2538E"/>
    <w:rsid w:val="00E262EE"/>
    <w:rsid w:val="00E26792"/>
    <w:rsid w:val="00E268AD"/>
    <w:rsid w:val="00E26DFA"/>
    <w:rsid w:val="00E31825"/>
    <w:rsid w:val="00E347F7"/>
    <w:rsid w:val="00E368C3"/>
    <w:rsid w:val="00E3764A"/>
    <w:rsid w:val="00E43C06"/>
    <w:rsid w:val="00E43EEE"/>
    <w:rsid w:val="00E449B1"/>
    <w:rsid w:val="00E44E09"/>
    <w:rsid w:val="00E455E3"/>
    <w:rsid w:val="00E47574"/>
    <w:rsid w:val="00E47B31"/>
    <w:rsid w:val="00E501F7"/>
    <w:rsid w:val="00E5082D"/>
    <w:rsid w:val="00E53555"/>
    <w:rsid w:val="00E53E2A"/>
    <w:rsid w:val="00E53F93"/>
    <w:rsid w:val="00E54A88"/>
    <w:rsid w:val="00E54E65"/>
    <w:rsid w:val="00E555EA"/>
    <w:rsid w:val="00E571A3"/>
    <w:rsid w:val="00E574A9"/>
    <w:rsid w:val="00E61355"/>
    <w:rsid w:val="00E613BC"/>
    <w:rsid w:val="00E61F1E"/>
    <w:rsid w:val="00E62A01"/>
    <w:rsid w:val="00E638EE"/>
    <w:rsid w:val="00E63C95"/>
    <w:rsid w:val="00E646AC"/>
    <w:rsid w:val="00E66861"/>
    <w:rsid w:val="00E66E21"/>
    <w:rsid w:val="00E66F10"/>
    <w:rsid w:val="00E66F45"/>
    <w:rsid w:val="00E67025"/>
    <w:rsid w:val="00E67063"/>
    <w:rsid w:val="00E67280"/>
    <w:rsid w:val="00E702D0"/>
    <w:rsid w:val="00E70F38"/>
    <w:rsid w:val="00E710FC"/>
    <w:rsid w:val="00E7127D"/>
    <w:rsid w:val="00E71915"/>
    <w:rsid w:val="00E73B17"/>
    <w:rsid w:val="00E73C8D"/>
    <w:rsid w:val="00E80916"/>
    <w:rsid w:val="00E81B72"/>
    <w:rsid w:val="00E840DF"/>
    <w:rsid w:val="00E8452A"/>
    <w:rsid w:val="00E8560F"/>
    <w:rsid w:val="00E8666D"/>
    <w:rsid w:val="00E86C2C"/>
    <w:rsid w:val="00E8780A"/>
    <w:rsid w:val="00E9116C"/>
    <w:rsid w:val="00E91D5B"/>
    <w:rsid w:val="00E957FC"/>
    <w:rsid w:val="00E958E6"/>
    <w:rsid w:val="00E96BD6"/>
    <w:rsid w:val="00EA0289"/>
    <w:rsid w:val="00EA2259"/>
    <w:rsid w:val="00EA2BBD"/>
    <w:rsid w:val="00EA413A"/>
    <w:rsid w:val="00EA5260"/>
    <w:rsid w:val="00EB03F1"/>
    <w:rsid w:val="00EB0644"/>
    <w:rsid w:val="00EB11D1"/>
    <w:rsid w:val="00EB1707"/>
    <w:rsid w:val="00EB181B"/>
    <w:rsid w:val="00EB1CA4"/>
    <w:rsid w:val="00EB1DE7"/>
    <w:rsid w:val="00EB2DEA"/>
    <w:rsid w:val="00EB3916"/>
    <w:rsid w:val="00EB41EC"/>
    <w:rsid w:val="00EB6AAE"/>
    <w:rsid w:val="00EC123B"/>
    <w:rsid w:val="00EC341C"/>
    <w:rsid w:val="00EC47C9"/>
    <w:rsid w:val="00EC4B05"/>
    <w:rsid w:val="00EC52E8"/>
    <w:rsid w:val="00ED0CA6"/>
    <w:rsid w:val="00ED1657"/>
    <w:rsid w:val="00ED48A6"/>
    <w:rsid w:val="00ED4A78"/>
    <w:rsid w:val="00ED4E49"/>
    <w:rsid w:val="00ED5057"/>
    <w:rsid w:val="00ED5637"/>
    <w:rsid w:val="00ED6618"/>
    <w:rsid w:val="00ED70CA"/>
    <w:rsid w:val="00EE0CF9"/>
    <w:rsid w:val="00EE0E06"/>
    <w:rsid w:val="00EE26C0"/>
    <w:rsid w:val="00EE44B1"/>
    <w:rsid w:val="00EE652D"/>
    <w:rsid w:val="00EE6C05"/>
    <w:rsid w:val="00EE71C9"/>
    <w:rsid w:val="00EE7890"/>
    <w:rsid w:val="00EF0BF0"/>
    <w:rsid w:val="00EF268F"/>
    <w:rsid w:val="00EF3516"/>
    <w:rsid w:val="00EF352D"/>
    <w:rsid w:val="00EF3727"/>
    <w:rsid w:val="00EF46C1"/>
    <w:rsid w:val="00EF4AEE"/>
    <w:rsid w:val="00EF508D"/>
    <w:rsid w:val="00EF5555"/>
    <w:rsid w:val="00EF59AF"/>
    <w:rsid w:val="00EF6E41"/>
    <w:rsid w:val="00F00301"/>
    <w:rsid w:val="00F03654"/>
    <w:rsid w:val="00F03BF4"/>
    <w:rsid w:val="00F03F3B"/>
    <w:rsid w:val="00F04379"/>
    <w:rsid w:val="00F06D41"/>
    <w:rsid w:val="00F07468"/>
    <w:rsid w:val="00F11DDC"/>
    <w:rsid w:val="00F1302B"/>
    <w:rsid w:val="00F13F76"/>
    <w:rsid w:val="00F153C1"/>
    <w:rsid w:val="00F15AC7"/>
    <w:rsid w:val="00F2176B"/>
    <w:rsid w:val="00F217E8"/>
    <w:rsid w:val="00F22D82"/>
    <w:rsid w:val="00F22FE8"/>
    <w:rsid w:val="00F23A8E"/>
    <w:rsid w:val="00F24946"/>
    <w:rsid w:val="00F25901"/>
    <w:rsid w:val="00F2595C"/>
    <w:rsid w:val="00F26144"/>
    <w:rsid w:val="00F26D40"/>
    <w:rsid w:val="00F340B6"/>
    <w:rsid w:val="00F35134"/>
    <w:rsid w:val="00F361B7"/>
    <w:rsid w:val="00F40A2E"/>
    <w:rsid w:val="00F40BAE"/>
    <w:rsid w:val="00F428A6"/>
    <w:rsid w:val="00F45979"/>
    <w:rsid w:val="00F519A1"/>
    <w:rsid w:val="00F52ADB"/>
    <w:rsid w:val="00F52F93"/>
    <w:rsid w:val="00F531ED"/>
    <w:rsid w:val="00F53A7F"/>
    <w:rsid w:val="00F54608"/>
    <w:rsid w:val="00F54AD3"/>
    <w:rsid w:val="00F5516F"/>
    <w:rsid w:val="00F552F2"/>
    <w:rsid w:val="00F55E52"/>
    <w:rsid w:val="00F57EF0"/>
    <w:rsid w:val="00F601AE"/>
    <w:rsid w:val="00F62332"/>
    <w:rsid w:val="00F627E2"/>
    <w:rsid w:val="00F63CCA"/>
    <w:rsid w:val="00F66DFC"/>
    <w:rsid w:val="00F67404"/>
    <w:rsid w:val="00F67BA6"/>
    <w:rsid w:val="00F67F0F"/>
    <w:rsid w:val="00F70A65"/>
    <w:rsid w:val="00F711ED"/>
    <w:rsid w:val="00F71520"/>
    <w:rsid w:val="00F721BC"/>
    <w:rsid w:val="00F730AD"/>
    <w:rsid w:val="00F75398"/>
    <w:rsid w:val="00F7590F"/>
    <w:rsid w:val="00F75FE2"/>
    <w:rsid w:val="00F772CC"/>
    <w:rsid w:val="00F83BB9"/>
    <w:rsid w:val="00F84674"/>
    <w:rsid w:val="00F8569E"/>
    <w:rsid w:val="00F85A14"/>
    <w:rsid w:val="00F87B08"/>
    <w:rsid w:val="00F90EB0"/>
    <w:rsid w:val="00F913C6"/>
    <w:rsid w:val="00F944BC"/>
    <w:rsid w:val="00F94864"/>
    <w:rsid w:val="00F95BDD"/>
    <w:rsid w:val="00F97808"/>
    <w:rsid w:val="00FA02EE"/>
    <w:rsid w:val="00FA11F0"/>
    <w:rsid w:val="00FA14C1"/>
    <w:rsid w:val="00FA33A6"/>
    <w:rsid w:val="00FA34D4"/>
    <w:rsid w:val="00FA3F42"/>
    <w:rsid w:val="00FA621F"/>
    <w:rsid w:val="00FA6E50"/>
    <w:rsid w:val="00FA7B80"/>
    <w:rsid w:val="00FA7D0F"/>
    <w:rsid w:val="00FB0B18"/>
    <w:rsid w:val="00FB12D0"/>
    <w:rsid w:val="00FB1486"/>
    <w:rsid w:val="00FB18EA"/>
    <w:rsid w:val="00FB2ACA"/>
    <w:rsid w:val="00FB673E"/>
    <w:rsid w:val="00FB753B"/>
    <w:rsid w:val="00FC074F"/>
    <w:rsid w:val="00FC0C67"/>
    <w:rsid w:val="00FC1396"/>
    <w:rsid w:val="00FC2026"/>
    <w:rsid w:val="00FC2ABF"/>
    <w:rsid w:val="00FC356F"/>
    <w:rsid w:val="00FC3D57"/>
    <w:rsid w:val="00FC3EB4"/>
    <w:rsid w:val="00FC51B8"/>
    <w:rsid w:val="00FC5FD1"/>
    <w:rsid w:val="00FC6796"/>
    <w:rsid w:val="00FC6C2D"/>
    <w:rsid w:val="00FC70BB"/>
    <w:rsid w:val="00FC74A3"/>
    <w:rsid w:val="00FD16AB"/>
    <w:rsid w:val="00FD2E3A"/>
    <w:rsid w:val="00FD38DC"/>
    <w:rsid w:val="00FD4CF2"/>
    <w:rsid w:val="00FD60EA"/>
    <w:rsid w:val="00FD6457"/>
    <w:rsid w:val="00FD755E"/>
    <w:rsid w:val="00FD7CD3"/>
    <w:rsid w:val="00FE1BE5"/>
    <w:rsid w:val="00FE2CB2"/>
    <w:rsid w:val="00FE410C"/>
    <w:rsid w:val="00FE44C5"/>
    <w:rsid w:val="00FE4B27"/>
    <w:rsid w:val="00FE6C86"/>
    <w:rsid w:val="00FE79D5"/>
    <w:rsid w:val="00FF1021"/>
    <w:rsid w:val="00FF141F"/>
    <w:rsid w:val="00FF38A0"/>
    <w:rsid w:val="00FF406D"/>
    <w:rsid w:val="00FF5CE3"/>
    <w:rsid w:val="00FF6DCC"/>
    <w:rsid w:val="00FF7A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E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1E47D1"/>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F75FE2"/>
    <w:pPr>
      <w:keepNext/>
      <w:numPr>
        <w:numId w:val="5"/>
      </w:numPr>
      <w:ind w:right="1296"/>
      <w:outlineLvl w:val="0"/>
    </w:pPr>
    <w:rPr>
      <w:u w:val="single"/>
    </w:rPr>
  </w:style>
  <w:style w:type="paragraph" w:styleId="Heading2">
    <w:name w:val="heading 2"/>
    <w:basedOn w:val="Normal"/>
    <w:next w:val="Normal"/>
    <w:uiPriority w:val="99"/>
    <w:semiHidden/>
    <w:qFormat/>
    <w:locked/>
    <w:rsid w:val="00F75FE2"/>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F75FE2"/>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43"/>
    <w:locked/>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B976F6"/>
    <w:pPr>
      <w:spacing w:before="240" w:line="240" w:lineRule="exact"/>
      <w:ind w:left="720" w:right="794" w:firstLine="0"/>
    </w:pPr>
  </w:style>
  <w:style w:type="paragraph" w:styleId="FootnoteText">
    <w:name w:val="footnote text"/>
    <w:basedOn w:val="Normal"/>
    <w:link w:val="FootnoteTextChar"/>
    <w:uiPriority w:val="53"/>
    <w:locked/>
    <w:pPr>
      <w:spacing w:after="240" w:line="240" w:lineRule="exact"/>
      <w:ind w:left="510" w:hanging="510"/>
    </w:pPr>
  </w:style>
  <w:style w:type="character" w:styleId="FootnoteReference">
    <w:name w:val="footnote reference"/>
    <w:uiPriority w:val="51"/>
    <w:locked/>
    <w:rsid w:val="00C40EB3"/>
    <w:rPr>
      <w:b/>
      <w:sz w:val="28"/>
      <w:vertAlign w:val="superscript"/>
    </w:rPr>
  </w:style>
  <w:style w:type="paragraph" w:customStyle="1" w:styleId="FootIndAgain">
    <w:name w:val="FootIndAgain"/>
    <w:basedOn w:val="FootnoteText"/>
    <w:uiPriority w:val="47"/>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570D24"/>
    <w:pPr>
      <w:ind w:firstLine="0"/>
    </w:pPr>
  </w:style>
  <w:style w:type="character" w:customStyle="1" w:styleId="Heading1Char">
    <w:name w:val="Heading 1 Char"/>
    <w:uiPriority w:val="99"/>
    <w:semiHidden/>
    <w:locked/>
    <w:rPr>
      <w:rFonts w:ascii="Univers" w:hAnsi="Univers"/>
      <w:sz w:val="26"/>
      <w:u w:val="single"/>
      <w:lang w:val="en-AU"/>
    </w:rPr>
  </w:style>
  <w:style w:type="character" w:customStyle="1" w:styleId="Heading2Char">
    <w:name w:val="Heading 2 Char"/>
    <w:uiPriority w:val="99"/>
    <w:semiHidden/>
    <w:locked/>
    <w:rPr>
      <w:rFonts w:ascii="Arial" w:hAnsi="Arial"/>
      <w:b/>
      <w:i/>
      <w:sz w:val="24"/>
      <w:lang w:val="en-AU"/>
    </w:rPr>
  </w:style>
  <w:style w:type="character" w:customStyle="1" w:styleId="Heading3Char">
    <w:name w:val="Heading 3 Char"/>
    <w:uiPriority w:val="99"/>
    <w:semiHidden/>
    <w:locked/>
    <w:rPr>
      <w:rFonts w:ascii="Arial" w:hAnsi="Arial"/>
      <w:sz w:val="24"/>
      <w:lang w:val="en-AU"/>
    </w:rPr>
  </w:style>
  <w:style w:type="paragraph" w:customStyle="1" w:styleId="NormalHC">
    <w:name w:val="Normal HC"/>
    <w:basedOn w:val="Normal"/>
    <w:uiPriority w:val="27"/>
    <w:qFormat/>
    <w:locked/>
    <w:rsid w:val="006E359B"/>
    <w:pPr>
      <w:numPr>
        <w:numId w:val="16"/>
      </w:numPr>
      <w:spacing w:after="480"/>
      <w:ind w:left="0" w:hanging="720"/>
    </w:pPr>
  </w:style>
  <w:style w:type="paragraph" w:customStyle="1" w:styleId="HeadingFirst">
    <w:name w:val="Heading First"/>
    <w:basedOn w:val="NormalHC"/>
    <w:next w:val="HeadingV"/>
    <w:uiPriority w:val="15"/>
    <w:qFormat/>
    <w:locked/>
    <w:rsid w:val="005F3216"/>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5F3216"/>
    <w:pPr>
      <w:keepNext/>
      <w:numPr>
        <w:numId w:val="0"/>
      </w:numPr>
      <w:outlineLvl w:val="2"/>
    </w:pPr>
    <w:rPr>
      <w:b/>
      <w:szCs w:val="20"/>
    </w:rPr>
  </w:style>
  <w:style w:type="paragraph" w:customStyle="1" w:styleId="HeadingL2">
    <w:name w:val="Heading L2"/>
    <w:basedOn w:val="HeadingL1"/>
    <w:next w:val="NormalHC"/>
    <w:uiPriority w:val="23"/>
    <w:qFormat/>
    <w:locked/>
    <w:rsid w:val="00745DD2"/>
    <w:pPr>
      <w:outlineLvl w:val="3"/>
    </w:pPr>
    <w:rPr>
      <w:b w:val="0"/>
      <w:i/>
    </w:rPr>
  </w:style>
  <w:style w:type="paragraph" w:customStyle="1" w:styleId="HeadingMatter">
    <w:name w:val="Heading Matter"/>
    <w:basedOn w:val="NormalHC"/>
    <w:next w:val="HeadingFirst"/>
    <w:uiPriority w:val="13"/>
    <w:qFormat/>
    <w:locked/>
    <w:rsid w:val="005F3216"/>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0E65F7"/>
    <w:pPr>
      <w:keepNext w:val="0"/>
    </w:pPr>
  </w:style>
  <w:style w:type="paragraph" w:customStyle="1" w:styleId="HeadingV">
    <w:name w:val="Heading V"/>
    <w:basedOn w:val="HeadingFirst"/>
    <w:next w:val="HeadingSecond"/>
    <w:uiPriority w:val="17"/>
    <w:qFormat/>
    <w:locked/>
    <w:rsid w:val="000E65F7"/>
    <w:rPr>
      <w:caps w:val="0"/>
      <w:u w:val="none"/>
    </w:rPr>
  </w:style>
  <w:style w:type="paragraph" w:customStyle="1" w:styleId="LeftrightafterHC">
    <w:name w:val="Leftright after HC"/>
    <w:basedOn w:val="Normal"/>
    <w:next w:val="leftright"/>
    <w:uiPriority w:val="31"/>
    <w:qFormat/>
    <w:locked/>
    <w:rsid w:val="00B976F6"/>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E66E21"/>
    <w:pPr>
      <w:ind w:firstLine="720"/>
    </w:pPr>
  </w:style>
  <w:style w:type="paragraph" w:customStyle="1" w:styleId="LeftrightHanging">
    <w:name w:val="LeftrightHanging"/>
    <w:basedOn w:val="NormalHC"/>
    <w:uiPriority w:val="35"/>
    <w:qFormat/>
    <w:locked/>
    <w:rsid w:val="00E66E21"/>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E66E21"/>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E66E21"/>
    <w:pPr>
      <w:spacing w:before="200"/>
      <w:ind w:left="2160"/>
    </w:pPr>
  </w:style>
  <w:style w:type="paragraph" w:customStyle="1" w:styleId="NormalafterHd2nd">
    <w:name w:val="Normal after Hd2nd"/>
    <w:basedOn w:val="NormalHC"/>
    <w:next w:val="NormalHC"/>
    <w:uiPriority w:val="29"/>
    <w:locked/>
    <w:rsid w:val="005F3216"/>
    <w:pPr>
      <w:numPr>
        <w:numId w:val="0"/>
      </w:numPr>
      <w:spacing w:before="1000"/>
    </w:pPr>
  </w:style>
  <w:style w:type="character" w:customStyle="1" w:styleId="NormalHCChar">
    <w:name w:val="Normal HC Char"/>
    <w:uiPriority w:val="99"/>
    <w:semiHidden/>
    <w:locked/>
    <w:rPr>
      <w:rFonts w:ascii="Univers" w:hAnsi="Univers"/>
      <w:sz w:val="26"/>
      <w:szCs w:val="26"/>
    </w:rPr>
  </w:style>
  <w:style w:type="character" w:customStyle="1" w:styleId="StyleFootnoteReferenceChar">
    <w:name w:val="Style Footnote Reference Char"/>
    <w:uiPriority w:val="99"/>
    <w:semiHidden/>
    <w:locked/>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663E86"/>
  </w:style>
  <w:style w:type="paragraph" w:customStyle="1" w:styleId="HeadingJudgment">
    <w:name w:val="Heading Judgment"/>
    <w:basedOn w:val="Normal"/>
    <w:uiPriority w:val="59"/>
    <w:qFormat/>
    <w:locked/>
    <w:rsid w:val="00F90EB0"/>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F75FE2"/>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CE2EB2"/>
    <w:pPr>
      <w:outlineLvl w:val="4"/>
    </w:pPr>
    <w:rPr>
      <w:b w:val="0"/>
    </w:rPr>
  </w:style>
  <w:style w:type="character" w:styleId="PageNumber">
    <w:name w:val="page number"/>
    <w:basedOn w:val="DefaultParagraphFont"/>
    <w:uiPriority w:val="57"/>
    <w:locked/>
    <w:rsid w:val="00A2312E"/>
  </w:style>
  <w:style w:type="paragraph" w:styleId="BalloonText">
    <w:name w:val="Balloon Text"/>
    <w:basedOn w:val="Normal"/>
    <w:link w:val="BalloonTextChar"/>
    <w:semiHidden/>
    <w:locked/>
    <w:rsid w:val="005F4DFE"/>
    <w:rPr>
      <w:rFonts w:ascii="Tahoma" w:hAnsi="Tahoma" w:cs="Tahoma"/>
      <w:sz w:val="16"/>
      <w:szCs w:val="16"/>
      <w:lang w:eastAsia="en-US"/>
    </w:rPr>
  </w:style>
  <w:style w:type="character" w:customStyle="1" w:styleId="BalloonTextChar">
    <w:name w:val="Balloon Text Char"/>
    <w:basedOn w:val="DefaultParagraphFont"/>
    <w:link w:val="BalloonText"/>
    <w:semiHidden/>
    <w:rsid w:val="005F4DFE"/>
    <w:rPr>
      <w:rFonts w:ascii="Tahoma" w:hAnsi="Tahoma" w:cs="Tahoma"/>
      <w:sz w:val="16"/>
      <w:szCs w:val="16"/>
      <w:lang w:eastAsia="en-US"/>
    </w:rPr>
  </w:style>
  <w:style w:type="paragraph" w:customStyle="1" w:styleId="ClosingText">
    <w:name w:val="Closing Text"/>
    <w:basedOn w:val="Normal"/>
    <w:uiPriority w:val="98"/>
    <w:semiHidden/>
    <w:qFormat/>
    <w:locked/>
    <w:rsid w:val="005F4DFE"/>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5F4DFE"/>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5F4DFE"/>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5F4DFE"/>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037A5F"/>
    <w:rPr>
      <w:szCs w:val="20"/>
      <w:lang w:eastAsia="en-US"/>
    </w:rPr>
  </w:style>
  <w:style w:type="paragraph" w:customStyle="1" w:styleId="NormalBody">
    <w:name w:val="Normal Body"/>
    <w:basedOn w:val="NormalHC"/>
    <w:uiPriority w:val="28"/>
    <w:qFormat/>
    <w:locked/>
    <w:rsid w:val="005F3216"/>
    <w:pPr>
      <w:numPr>
        <w:numId w:val="0"/>
      </w:numPr>
    </w:pPr>
    <w:rPr>
      <w:lang w:eastAsia="en-US"/>
    </w:rPr>
  </w:style>
  <w:style w:type="paragraph" w:customStyle="1" w:styleId="StyleFootnoteReference">
    <w:name w:val="Style Footnote Reference"/>
    <w:basedOn w:val="Normal"/>
    <w:next w:val="Normal"/>
    <w:semiHidden/>
    <w:rsid w:val="005F4DFE"/>
    <w:rPr>
      <w:vertAlign w:val="superscript"/>
      <w:lang w:eastAsia="en-US"/>
    </w:rPr>
  </w:style>
  <w:style w:type="paragraph" w:styleId="ListNumber">
    <w:name w:val="List Number"/>
    <w:basedOn w:val="Normal"/>
    <w:uiPriority w:val="56"/>
    <w:locked/>
    <w:rsid w:val="00473869"/>
    <w:pPr>
      <w:numPr>
        <w:numId w:val="11"/>
      </w:numPr>
      <w:contextualSpacing/>
    </w:pPr>
  </w:style>
  <w:style w:type="paragraph" w:customStyle="1" w:styleId="FixListStyle">
    <w:name w:val="FixListStyle"/>
    <w:basedOn w:val="Normal"/>
    <w:uiPriority w:val="99"/>
    <w:qFormat/>
    <w:rsid w:val="00583673"/>
    <w:pPr>
      <w:numPr>
        <w:numId w:val="19"/>
      </w:numPr>
      <w:spacing w:after="480"/>
      <w:ind w:left="0" w:hanging="720"/>
    </w:pPr>
  </w:style>
  <w:style w:type="paragraph" w:customStyle="1" w:styleId="CatchwordsBold">
    <w:name w:val="Catchwords Bold"/>
    <w:basedOn w:val="Normal"/>
    <w:link w:val="CatchwordsBoldChar"/>
    <w:qFormat/>
    <w:rsid w:val="0095456C"/>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95456C"/>
    <w:rPr>
      <w:rFonts w:ascii="Times New Roman" w:hAnsi="Times New Roman"/>
      <w:b/>
      <w:szCs w:val="20"/>
    </w:rPr>
  </w:style>
  <w:style w:type="paragraph" w:customStyle="1" w:styleId="CatchwordsRight">
    <w:name w:val="Catchwords Right"/>
    <w:basedOn w:val="Normal"/>
    <w:link w:val="CatchwordsRightChar"/>
    <w:qFormat/>
    <w:rsid w:val="0095456C"/>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95456C"/>
    <w:rPr>
      <w:rFonts w:ascii="Times New Roman" w:hAnsi="Times New Roman"/>
      <w:szCs w:val="20"/>
    </w:rPr>
  </w:style>
  <w:style w:type="paragraph" w:customStyle="1" w:styleId="CatchwordsText">
    <w:name w:val="Catchwords Text"/>
    <w:basedOn w:val="Normal"/>
    <w:link w:val="CatchwordsTextChar"/>
    <w:qFormat/>
    <w:rsid w:val="0095456C"/>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95456C"/>
    <w:rPr>
      <w:rFonts w:ascii="Times New Roman" w:hAnsi="Times New Roman"/>
      <w:szCs w:val="20"/>
    </w:rPr>
  </w:style>
  <w:style w:type="paragraph" w:customStyle="1" w:styleId="CenteredBorder">
    <w:name w:val="Centered Border"/>
    <w:qFormat/>
    <w:rsid w:val="0095456C"/>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95456C"/>
    <w:pPr>
      <w:jc w:val="center"/>
    </w:pPr>
    <w:rPr>
      <w:rFonts w:ascii="Times New Roman" w:hAnsi="Times New Roman"/>
      <w:b/>
      <w:bCs/>
      <w:szCs w:val="20"/>
      <w:lang w:val="en-GB"/>
    </w:rPr>
  </w:style>
  <w:style w:type="character" w:customStyle="1" w:styleId="OrderCentred">
    <w:name w:val="Order Centred"/>
    <w:semiHidden/>
    <w:rsid w:val="0095456C"/>
    <w:rPr>
      <w:b/>
      <w:bCs/>
      <w:sz w:val="26"/>
    </w:rPr>
  </w:style>
  <w:style w:type="paragraph" w:customStyle="1" w:styleId="OrdersTopLine">
    <w:name w:val="Orders TopLine"/>
    <w:qFormat/>
    <w:rsid w:val="0095456C"/>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95456C"/>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95456C"/>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95456C"/>
    <w:rPr>
      <w:rFonts w:ascii="Times New Roman" w:hAnsi="Times New Roman"/>
      <w:i/>
      <w:lang w:eastAsia="en-US"/>
    </w:rPr>
  </w:style>
  <w:style w:type="paragraph" w:customStyle="1" w:styleId="OrdersIndentLevel2i">
    <w:name w:val="Orders Indent Level 2 (i)"/>
    <w:basedOn w:val="Normal"/>
    <w:link w:val="OrdersIndentLevel2iChar"/>
    <w:qFormat/>
    <w:rsid w:val="0095456C"/>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95456C"/>
    <w:rPr>
      <w:rFonts w:ascii="Times New Roman" w:hAnsi="Times New Roman"/>
      <w:i/>
      <w:lang w:eastAsia="en-US"/>
    </w:rPr>
  </w:style>
  <w:style w:type="paragraph" w:customStyle="1" w:styleId="OrdersMatter">
    <w:name w:val="Orders Matter"/>
    <w:basedOn w:val="OrderCentreBold"/>
    <w:link w:val="OrdersMatterChar"/>
    <w:qFormat/>
    <w:rsid w:val="0095456C"/>
  </w:style>
  <w:style w:type="character" w:customStyle="1" w:styleId="OrdersMatterChar">
    <w:name w:val="Orders Matter Char"/>
    <w:link w:val="OrdersMatter"/>
    <w:rsid w:val="0095456C"/>
    <w:rPr>
      <w:rFonts w:ascii="Times New Roman" w:hAnsi="Times New Roman"/>
      <w:b/>
      <w:bCs/>
      <w:szCs w:val="20"/>
      <w:lang w:val="en-GB"/>
    </w:rPr>
  </w:style>
  <w:style w:type="paragraph" w:customStyle="1" w:styleId="OrdersNotice">
    <w:name w:val="Orders Notice"/>
    <w:rsid w:val="0095456C"/>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95456C"/>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95456C"/>
    <w:rPr>
      <w:rFonts w:ascii="Times New Roman" w:hAnsi="Times New Roman"/>
      <w:szCs w:val="20"/>
      <w:lang w:eastAsia="en-US"/>
    </w:rPr>
  </w:style>
  <w:style w:type="paragraph" w:customStyle="1" w:styleId="OrdersText">
    <w:name w:val="Orders Text"/>
    <w:basedOn w:val="Normal"/>
    <w:link w:val="OrdersTextChar"/>
    <w:qFormat/>
    <w:rsid w:val="0095456C"/>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95456C"/>
    <w:rPr>
      <w:rFonts w:ascii="Times New Roman" w:hAnsi="Times New Roman"/>
      <w:i/>
      <w:lang w:eastAsia="en-US"/>
    </w:rPr>
  </w:style>
  <w:style w:type="paragraph" w:customStyle="1" w:styleId="OrdersCenteredBorder">
    <w:name w:val="Orders Centered Border"/>
    <w:qFormat/>
    <w:rsid w:val="004B26D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B94B4F"/>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B94B4F"/>
    <w:rPr>
      <w:rFonts w:ascii="Times New Roman" w:hAnsi="Times New Roman"/>
      <w:szCs w:val="20"/>
    </w:rPr>
  </w:style>
  <w:style w:type="paragraph" w:customStyle="1" w:styleId="LRHangingafterHC">
    <w:name w:val="LR Hanging after HC"/>
    <w:basedOn w:val="Normal"/>
    <w:next w:val="LeftrightHanging"/>
    <w:uiPriority w:val="99"/>
    <w:qFormat/>
    <w:rsid w:val="0053324F"/>
    <w:pPr>
      <w:spacing w:before="720" w:line="240" w:lineRule="exact"/>
      <w:ind w:left="1440" w:right="794" w:hanging="720"/>
    </w:pPr>
  </w:style>
  <w:style w:type="paragraph" w:styleId="Revision">
    <w:name w:val="Revision"/>
    <w:hidden/>
    <w:uiPriority w:val="99"/>
    <w:semiHidden/>
    <w:rsid w:val="00EF3516"/>
  </w:style>
  <w:style w:type="character" w:styleId="CommentReference">
    <w:name w:val="annotation reference"/>
    <w:basedOn w:val="DefaultParagraphFont"/>
    <w:uiPriority w:val="99"/>
    <w:semiHidden/>
    <w:unhideWhenUsed/>
    <w:locked/>
    <w:rsid w:val="002F5FC5"/>
    <w:rPr>
      <w:sz w:val="16"/>
      <w:szCs w:val="16"/>
    </w:rPr>
  </w:style>
  <w:style w:type="paragraph" w:styleId="CommentText">
    <w:name w:val="annotation text"/>
    <w:basedOn w:val="Normal"/>
    <w:link w:val="CommentTextChar"/>
    <w:uiPriority w:val="99"/>
    <w:unhideWhenUsed/>
    <w:locked/>
    <w:rsid w:val="002F5FC5"/>
    <w:pPr>
      <w:spacing w:line="240" w:lineRule="auto"/>
    </w:pPr>
    <w:rPr>
      <w:sz w:val="20"/>
      <w:szCs w:val="20"/>
    </w:rPr>
  </w:style>
  <w:style w:type="character" w:customStyle="1" w:styleId="CommentTextChar">
    <w:name w:val="Comment Text Char"/>
    <w:basedOn w:val="DefaultParagraphFont"/>
    <w:link w:val="CommentText"/>
    <w:uiPriority w:val="99"/>
    <w:rsid w:val="002F5FC5"/>
    <w:rPr>
      <w:sz w:val="20"/>
      <w:szCs w:val="20"/>
    </w:rPr>
  </w:style>
  <w:style w:type="paragraph" w:styleId="CommentSubject">
    <w:name w:val="annotation subject"/>
    <w:basedOn w:val="CommentText"/>
    <w:next w:val="CommentText"/>
    <w:link w:val="CommentSubjectChar"/>
    <w:uiPriority w:val="99"/>
    <w:semiHidden/>
    <w:unhideWhenUsed/>
    <w:locked/>
    <w:rsid w:val="002F5FC5"/>
    <w:rPr>
      <w:b/>
      <w:bCs/>
    </w:rPr>
  </w:style>
  <w:style w:type="character" w:customStyle="1" w:styleId="CommentSubjectChar">
    <w:name w:val="Comment Subject Char"/>
    <w:basedOn w:val="CommentTextChar"/>
    <w:link w:val="CommentSubject"/>
    <w:uiPriority w:val="99"/>
    <w:semiHidden/>
    <w:rsid w:val="002F5FC5"/>
    <w:rPr>
      <w:b/>
      <w:bCs/>
      <w:sz w:val="20"/>
      <w:szCs w:val="20"/>
    </w:rPr>
  </w:style>
  <w:style w:type="character" w:styleId="Hyperlink">
    <w:name w:val="Hyperlink"/>
    <w:basedOn w:val="DefaultParagraphFont"/>
    <w:uiPriority w:val="99"/>
    <w:unhideWhenUsed/>
    <w:locked/>
    <w:rsid w:val="00B5218C"/>
    <w:rPr>
      <w:color w:val="0000FF" w:themeColor="hyperlink"/>
      <w:u w:val="single"/>
    </w:rPr>
  </w:style>
  <w:style w:type="character" w:styleId="UnresolvedMention">
    <w:name w:val="Unresolved Mention"/>
    <w:basedOn w:val="DefaultParagraphFont"/>
    <w:uiPriority w:val="99"/>
    <w:semiHidden/>
    <w:unhideWhenUsed/>
    <w:rsid w:val="00B5218C"/>
    <w:rPr>
      <w:color w:val="605E5C"/>
      <w:shd w:val="clear" w:color="auto" w:fill="E1DFDD"/>
    </w:rPr>
  </w:style>
  <w:style w:type="character" w:customStyle="1" w:styleId="FootnoteTextChar">
    <w:name w:val="Footnote Text Char"/>
    <w:basedOn w:val="DefaultParagraphFont"/>
    <w:link w:val="FootnoteText"/>
    <w:uiPriority w:val="53"/>
    <w:rsid w:val="00B5218C"/>
  </w:style>
  <w:style w:type="paragraph" w:customStyle="1" w:styleId="Body">
    <w:name w:val="Body"/>
    <w:basedOn w:val="Normal"/>
    <w:qFormat/>
    <w:rsid w:val="00985AA9"/>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985AA9"/>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985AA9"/>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985AA9"/>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985AA9"/>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985AA9"/>
    <w:pPr>
      <w:jc w:val="center"/>
    </w:pPr>
    <w:rPr>
      <w:rFonts w:ascii="Times New Roman" w:hAnsi="Times New Roman"/>
      <w:bCs/>
      <w:szCs w:val="20"/>
      <w:lang w:val="en-GB"/>
    </w:rPr>
  </w:style>
  <w:style w:type="paragraph" w:customStyle="1" w:styleId="Default">
    <w:name w:val="Default"/>
    <w:rsid w:val="00985AA9"/>
    <w:pPr>
      <w:autoSpaceDE w:val="0"/>
      <w:autoSpaceDN w:val="0"/>
      <w:adjustRightInd w:val="0"/>
    </w:pPr>
    <w:rPr>
      <w:rFonts w:ascii="Times New Roman" w:eastAsia="Calibr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7.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6.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customXml/itemProps2.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customXml/itemProps3.xml><?xml version="1.0" encoding="utf-8"?>
<ds:datastoreItem xmlns:ds="http://schemas.openxmlformats.org/officeDocument/2006/customXml" ds:itemID="{9A37BE24-CD5B-42BC-AF85-5D5F3347F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51E2A-5120-49B8-B8A9-580B46FA2A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65</Pages>
  <Words>19689</Words>
  <Characters>112233</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2026-07-31T04:57:00Z</dcterms:created>
  <dcterms:modified xsi:type="dcterms:W3CDTF">2026-07-31T04:57:00Z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0x0101001F32D2EC4F8DE44A8C0C478B82839881</vt:lpwstr>
  </property>
  <property fmtid="{D5CDD505-2E9C-101B-9397-08002B2CF9AE}" pid="3" name="MediaServiceImageTags">
    <vt:lpwstr/>
  </property>
</Properties>
</file>