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C5099" w14:textId="77777777" w:rsidR="00F66ECC" w:rsidRPr="00704FF8" w:rsidRDefault="00F66ECC" w:rsidP="00704FF8">
      <w:pPr>
        <w:pStyle w:val="OrdersTopLine"/>
      </w:pPr>
      <w:r w:rsidRPr="00704FF8">
        <w:t>HIGH COURT OF AUSTRALIA</w:t>
      </w:r>
    </w:p>
    <w:p w14:paraId="329CBF72" w14:textId="77777777" w:rsidR="00F66ECC" w:rsidRPr="00704FF8" w:rsidRDefault="00F66ECC" w:rsidP="00704FF8">
      <w:pPr>
        <w:pStyle w:val="OrderCentre"/>
      </w:pPr>
    </w:p>
    <w:p w14:paraId="4269454A" w14:textId="77777777" w:rsidR="00F66ECC" w:rsidRPr="00C46004" w:rsidRDefault="00F66ECC" w:rsidP="00704FF8">
      <w:pPr>
        <w:pStyle w:val="OrderCentre"/>
        <w:rPr>
          <w:spacing w:val="-4"/>
          <w:sz w:val="24"/>
          <w:szCs w:val="24"/>
        </w:rPr>
      </w:pPr>
      <w:r w:rsidRPr="00C46004">
        <w:rPr>
          <w:spacing w:val="-4"/>
          <w:sz w:val="24"/>
          <w:szCs w:val="24"/>
        </w:rPr>
        <w:t>GAGELER CJ,</w:t>
      </w:r>
    </w:p>
    <w:p w14:paraId="5B940FA8" w14:textId="77777777" w:rsidR="00F66ECC" w:rsidRPr="00704FF8" w:rsidRDefault="00F66ECC" w:rsidP="00704FF8">
      <w:pPr>
        <w:pStyle w:val="OrderCentre"/>
      </w:pPr>
      <w:r w:rsidRPr="00C46004">
        <w:rPr>
          <w:spacing w:val="-4"/>
          <w:sz w:val="24"/>
          <w:szCs w:val="24"/>
        </w:rPr>
        <w:t>GORDON, EDELMAN, STEWARD, GLEESON, JAGOT AND BEECH</w:t>
      </w:r>
      <w:r w:rsidRPr="00C46004">
        <w:rPr>
          <w:spacing w:val="-4"/>
          <w:sz w:val="24"/>
          <w:szCs w:val="24"/>
        </w:rPr>
        <w:noBreakHyphen/>
        <w:t>JONES JJ</w:t>
      </w:r>
    </w:p>
    <w:p w14:paraId="5A298FD3" w14:textId="77777777" w:rsidR="00F66ECC" w:rsidRPr="00427F3A" w:rsidRDefault="00F66ECC" w:rsidP="00EE5374">
      <w:pPr>
        <w:pStyle w:val="Centre"/>
        <w:rPr>
          <w:lang w:val="en-AU"/>
        </w:rPr>
      </w:pPr>
    </w:p>
    <w:p w14:paraId="077F6BCB" w14:textId="77777777" w:rsidR="00F66ECC" w:rsidRPr="00704FF8" w:rsidRDefault="00F66ECC" w:rsidP="00704FF8">
      <w:pPr>
        <w:pStyle w:val="OrdersCenteredBorder"/>
      </w:pPr>
    </w:p>
    <w:p w14:paraId="3E5711EE" w14:textId="77777777" w:rsidR="00F66ECC" w:rsidRPr="00704FF8" w:rsidRDefault="00F66ECC" w:rsidP="0032341F">
      <w:pPr>
        <w:pStyle w:val="OrdersBodyHeading"/>
      </w:pPr>
    </w:p>
    <w:p w14:paraId="2D57A05E" w14:textId="77777777" w:rsidR="00F66ECC" w:rsidRPr="0032341F" w:rsidRDefault="00F66ECC" w:rsidP="009362E8">
      <w:pPr>
        <w:pStyle w:val="OrdersPartyName"/>
        <w:ind w:right="-1"/>
      </w:pPr>
      <w:r w:rsidRPr="00C725B9">
        <w:t>FRANK SAMUEL FARRUGIA</w:t>
      </w:r>
      <w:r w:rsidRPr="0032341F">
        <w:tab/>
        <w:t>APPELLANT</w:t>
      </w:r>
    </w:p>
    <w:p w14:paraId="15B005E0" w14:textId="77777777" w:rsidR="00F66ECC" w:rsidRPr="0032341F" w:rsidRDefault="00F66ECC" w:rsidP="009362E8">
      <w:pPr>
        <w:pStyle w:val="OrdersPartyName"/>
        <w:ind w:right="-1"/>
      </w:pPr>
    </w:p>
    <w:p w14:paraId="1CDE200B" w14:textId="77777777" w:rsidR="00F66ECC" w:rsidRPr="0032341F" w:rsidRDefault="00F66ECC" w:rsidP="009362E8">
      <w:pPr>
        <w:pStyle w:val="OrdersPartyName"/>
        <w:ind w:right="-1"/>
      </w:pPr>
      <w:r w:rsidRPr="0032341F">
        <w:t>AND</w:t>
      </w:r>
    </w:p>
    <w:p w14:paraId="10800C48" w14:textId="77777777" w:rsidR="00F66ECC" w:rsidRPr="0032341F" w:rsidRDefault="00F66ECC" w:rsidP="009362E8">
      <w:pPr>
        <w:pStyle w:val="OrdersPartyName"/>
        <w:ind w:right="-1"/>
      </w:pPr>
    </w:p>
    <w:p w14:paraId="1B63E82C" w14:textId="77777777" w:rsidR="00F66ECC" w:rsidRPr="0032341F" w:rsidRDefault="00F66ECC" w:rsidP="009362E8">
      <w:pPr>
        <w:pStyle w:val="OrdersPartyName"/>
        <w:ind w:right="-1"/>
      </w:pPr>
      <w:r w:rsidRPr="00C725B9">
        <w:t>THE KING</w:t>
      </w:r>
      <w:r w:rsidRPr="0032341F">
        <w:tab/>
        <w:t>RESPONDENT</w:t>
      </w:r>
    </w:p>
    <w:p w14:paraId="62CE946F" w14:textId="77777777" w:rsidR="00F66ECC" w:rsidRPr="00427F3A" w:rsidRDefault="00F66ECC" w:rsidP="00AF0A5E">
      <w:pPr>
        <w:pStyle w:val="BodyHeading"/>
      </w:pPr>
    </w:p>
    <w:p w14:paraId="2A2145DC" w14:textId="77777777" w:rsidR="00F66ECC" w:rsidRPr="00427F3A" w:rsidRDefault="00F66ECC" w:rsidP="00BE0A6C">
      <w:pPr>
        <w:pStyle w:val="BodyHeading"/>
      </w:pPr>
    </w:p>
    <w:p w14:paraId="5981D31A" w14:textId="77777777" w:rsidR="00F66ECC" w:rsidRPr="00427F3A" w:rsidRDefault="00F66ECC" w:rsidP="00EE5374">
      <w:pPr>
        <w:pStyle w:val="CentreItalics"/>
      </w:pPr>
      <w:r w:rsidRPr="00C725B9">
        <w:t>Farrugia v The King</w:t>
      </w:r>
    </w:p>
    <w:p w14:paraId="648C5F8A" w14:textId="77777777" w:rsidR="00F66ECC" w:rsidRPr="00427F3A" w:rsidRDefault="00F66ECC" w:rsidP="00E90E4F">
      <w:pPr>
        <w:pStyle w:val="OrdersCentre"/>
      </w:pPr>
      <w:r>
        <w:t>[2026</w:t>
      </w:r>
      <w:r w:rsidRPr="00427F3A">
        <w:t xml:space="preserve">] HCA </w:t>
      </w:r>
      <w:r>
        <w:t>28</w:t>
      </w:r>
    </w:p>
    <w:p w14:paraId="783A1BD4" w14:textId="77777777" w:rsidR="00F66ECC" w:rsidRDefault="00F66ECC" w:rsidP="00E90E4F">
      <w:pPr>
        <w:pStyle w:val="OrdersCentreItalics"/>
      </w:pPr>
      <w:r>
        <w:t xml:space="preserve">Date of Hearing: </w:t>
      </w:r>
      <w:r w:rsidRPr="00C725B9">
        <w:t>11 February 2026</w:t>
      </w:r>
    </w:p>
    <w:p w14:paraId="684A8707" w14:textId="77777777" w:rsidR="00F66ECC" w:rsidRPr="00427F3A" w:rsidRDefault="00F66ECC" w:rsidP="00E90E4F">
      <w:pPr>
        <w:pStyle w:val="OrdersCentreItalics"/>
      </w:pPr>
      <w:r>
        <w:t>Date of Judgment: 12 August 2026</w:t>
      </w:r>
    </w:p>
    <w:p w14:paraId="0E2B10DB" w14:textId="77777777" w:rsidR="00F66ECC" w:rsidRDefault="00F66ECC" w:rsidP="00E90E4F">
      <w:pPr>
        <w:pStyle w:val="OrdersCentre"/>
      </w:pPr>
      <w:r w:rsidRPr="00C725B9">
        <w:t>S139/2025</w:t>
      </w:r>
    </w:p>
    <w:p w14:paraId="253257F5" w14:textId="77777777" w:rsidR="00F66ECC" w:rsidRPr="00427F3A" w:rsidRDefault="00F66ECC" w:rsidP="00E90E4F">
      <w:pPr>
        <w:pStyle w:val="OrdersCentre"/>
      </w:pPr>
    </w:p>
    <w:p w14:paraId="176526E7" w14:textId="77777777" w:rsidR="00F66ECC" w:rsidRPr="00BE0A6C" w:rsidRDefault="00F66ECC" w:rsidP="00E90E4F">
      <w:pPr>
        <w:pStyle w:val="OrderCentreBold"/>
      </w:pPr>
      <w:r w:rsidRPr="00BE0A6C">
        <w:t>ORDER</w:t>
      </w:r>
    </w:p>
    <w:p w14:paraId="1E9217AE" w14:textId="77777777" w:rsidR="00F66ECC" w:rsidRPr="00427F3A" w:rsidRDefault="00F66ECC" w:rsidP="00736C52">
      <w:pPr>
        <w:pStyle w:val="Centre"/>
        <w:rPr>
          <w:lang w:val="en-AU"/>
        </w:rPr>
      </w:pPr>
    </w:p>
    <w:p w14:paraId="65A324AF" w14:textId="77777777" w:rsidR="00F66ECC" w:rsidRDefault="00F66ECC" w:rsidP="00ED0476">
      <w:pPr>
        <w:pStyle w:val="OrdersText"/>
      </w:pPr>
      <w:r>
        <w:t>Appeal dismissed.</w:t>
      </w:r>
    </w:p>
    <w:p w14:paraId="3EC32970" w14:textId="77777777" w:rsidR="00F66ECC" w:rsidRDefault="00F66ECC" w:rsidP="00EE5374">
      <w:pPr>
        <w:pStyle w:val="Body"/>
      </w:pPr>
    </w:p>
    <w:p w14:paraId="60197BB0" w14:textId="77777777" w:rsidR="00F66ECC" w:rsidRPr="00427F3A" w:rsidRDefault="00F66ECC" w:rsidP="00EE5374">
      <w:pPr>
        <w:pStyle w:val="Body"/>
      </w:pPr>
    </w:p>
    <w:p w14:paraId="4CAAEC26" w14:textId="77777777" w:rsidR="00F66ECC" w:rsidRPr="00427F3A" w:rsidRDefault="00F66ECC" w:rsidP="0032341F">
      <w:pPr>
        <w:pStyle w:val="OrdersBody"/>
      </w:pPr>
      <w:r w:rsidRPr="00427F3A">
        <w:t xml:space="preserve">On appeal from the </w:t>
      </w:r>
      <w:r w:rsidRPr="00C725B9">
        <w:t>Supreme Court of New South Wales</w:t>
      </w:r>
    </w:p>
    <w:p w14:paraId="54324625" w14:textId="77777777" w:rsidR="00F66ECC" w:rsidRDefault="00F66ECC" w:rsidP="00EE5374">
      <w:pPr>
        <w:pStyle w:val="Body"/>
      </w:pPr>
    </w:p>
    <w:p w14:paraId="27B9D934" w14:textId="77777777" w:rsidR="00F66ECC" w:rsidRPr="00427F3A" w:rsidRDefault="00F66ECC" w:rsidP="00EE5374">
      <w:pPr>
        <w:pStyle w:val="Body"/>
      </w:pPr>
    </w:p>
    <w:p w14:paraId="1FCE589D" w14:textId="77777777" w:rsidR="00F66ECC" w:rsidRPr="00427F3A" w:rsidRDefault="00F66ECC" w:rsidP="00E90E4F">
      <w:pPr>
        <w:pStyle w:val="OrdersBodyHeading"/>
      </w:pPr>
      <w:r w:rsidRPr="00427F3A">
        <w:t>Representation</w:t>
      </w:r>
    </w:p>
    <w:p w14:paraId="4A2A45C4" w14:textId="77777777" w:rsidR="00F66ECC" w:rsidRDefault="00F66ECC" w:rsidP="00EE5374">
      <w:pPr>
        <w:pStyle w:val="Body"/>
      </w:pPr>
    </w:p>
    <w:p w14:paraId="52C35C06" w14:textId="77777777" w:rsidR="00F66ECC" w:rsidRPr="00D6121A" w:rsidRDefault="00F66ECC" w:rsidP="00E90E4F">
      <w:pPr>
        <w:pStyle w:val="OrdersBody"/>
      </w:pPr>
      <w:r w:rsidRPr="00D6121A">
        <w:t>B W Walker SC with T F Woods and T Liu for the appellant (instructed by Gregory J Goold Solicitors)</w:t>
      </w:r>
    </w:p>
    <w:p w14:paraId="2BAE3AA2" w14:textId="77777777" w:rsidR="00F66ECC" w:rsidRPr="00D6121A" w:rsidRDefault="00F66ECC" w:rsidP="001B3C97">
      <w:pPr>
        <w:pStyle w:val="Body"/>
      </w:pPr>
    </w:p>
    <w:p w14:paraId="560C1445" w14:textId="77777777" w:rsidR="00F66ECC" w:rsidRPr="00D6121A" w:rsidRDefault="00F66ECC" w:rsidP="00E90E4F">
      <w:pPr>
        <w:pStyle w:val="OrdersBody"/>
      </w:pPr>
      <w:r w:rsidRPr="00D6121A">
        <w:t>R J Sharp KC with T M Wood and E B McGinness for the respondent (instructed by Office of the Director of Public Prosecutions (</w:t>
      </w:r>
      <w:proofErr w:type="spellStart"/>
      <w:r w:rsidRPr="00D6121A">
        <w:t>Cth</w:t>
      </w:r>
      <w:proofErr w:type="spellEnd"/>
      <w:r w:rsidRPr="00D6121A">
        <w:t>))</w:t>
      </w:r>
    </w:p>
    <w:p w14:paraId="2872767B" w14:textId="77777777" w:rsidR="00F66ECC" w:rsidRPr="00D6121A" w:rsidRDefault="00F66ECC" w:rsidP="00A01277">
      <w:pPr>
        <w:pStyle w:val="Body"/>
      </w:pPr>
    </w:p>
    <w:p w14:paraId="4A38173D" w14:textId="77777777" w:rsidR="00F66ECC" w:rsidRPr="001F45A1" w:rsidRDefault="00F66ECC" w:rsidP="00EB2770">
      <w:pPr>
        <w:pStyle w:val="OrdersBody"/>
      </w:pPr>
      <w:r w:rsidRPr="001F45A1">
        <w:t xml:space="preserve">S C Dowling SC with E R Nicholson SC and E S Jones for the Director of Public Prosecutions (NSW), intervening (instructed by </w:t>
      </w:r>
      <w:r>
        <w:t>Solicitor</w:t>
      </w:r>
      <w:r w:rsidRPr="001F45A1">
        <w:t xml:space="preserve"> </w:t>
      </w:r>
      <w:r>
        <w:t>for</w:t>
      </w:r>
      <w:r w:rsidRPr="001F45A1">
        <w:t xml:space="preserve"> Public Prosecutions (NSW))</w:t>
      </w:r>
    </w:p>
    <w:p w14:paraId="0C395865" w14:textId="77777777" w:rsidR="00F66ECC" w:rsidRDefault="00F66ECC" w:rsidP="00EE5374">
      <w:pPr>
        <w:pStyle w:val="Body"/>
      </w:pPr>
    </w:p>
    <w:p w14:paraId="0F00C2DB" w14:textId="77777777" w:rsidR="00F66ECC" w:rsidRPr="00427F3A" w:rsidRDefault="00F66ECC" w:rsidP="00F9713B">
      <w:pPr>
        <w:pStyle w:val="Notice"/>
        <w:rPr>
          <w:lang w:val="en-AU"/>
        </w:rPr>
      </w:pPr>
      <w:r w:rsidRPr="00427F3A">
        <w:rPr>
          <w:lang w:val="en-AU"/>
        </w:rPr>
        <w:t>Notice:  This copy of the Court's Reasons for Judgment is subject to formal revision prior to publication in the Commonwealth Law Reports.</w:t>
      </w:r>
    </w:p>
    <w:p w14:paraId="327FB532" w14:textId="589CFACF" w:rsidR="00F66ECC" w:rsidRDefault="00F66ECC">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47480FCF" w14:textId="77777777" w:rsidR="007617DE" w:rsidRDefault="00F66ECC">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7617DE" w:rsidSect="00F66ECC">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lastRenderedPageBreak/>
        <w:br w:type="page"/>
      </w:r>
    </w:p>
    <w:p w14:paraId="5AD95E4F" w14:textId="77777777" w:rsidR="007617DE" w:rsidRPr="007617DE" w:rsidRDefault="007617DE" w:rsidP="007617DE">
      <w:pPr>
        <w:pStyle w:val="CatchwordsBold"/>
      </w:pPr>
      <w:r w:rsidRPr="007617DE">
        <w:lastRenderedPageBreak/>
        <w:t>CATCHWORDS</w:t>
      </w:r>
    </w:p>
    <w:p w14:paraId="6003F050" w14:textId="77777777" w:rsidR="007617DE" w:rsidRPr="007617DE" w:rsidRDefault="007617DE" w:rsidP="007617DE">
      <w:pPr>
        <w:pStyle w:val="CatchwordsBold"/>
      </w:pPr>
    </w:p>
    <w:p w14:paraId="12271152" w14:textId="77777777" w:rsidR="007617DE" w:rsidRPr="007617DE" w:rsidRDefault="007617DE" w:rsidP="007617DE">
      <w:pPr>
        <w:pStyle w:val="CatchwordsBold"/>
      </w:pPr>
      <w:r w:rsidRPr="007617DE">
        <w:t>Farrugia v The King</w:t>
      </w:r>
    </w:p>
    <w:p w14:paraId="7FD02B9C" w14:textId="77777777" w:rsidR="007617DE" w:rsidRPr="007617DE" w:rsidRDefault="007617DE" w:rsidP="007617DE">
      <w:pPr>
        <w:pStyle w:val="CatchwordsBold"/>
      </w:pPr>
    </w:p>
    <w:p w14:paraId="7026020B" w14:textId="09A41F46" w:rsidR="007617DE" w:rsidRDefault="007617DE" w:rsidP="007617DE">
      <w:pPr>
        <w:pStyle w:val="CatchwordsText"/>
      </w:pPr>
      <w:r w:rsidRPr="007617DE">
        <w:t>Criminal</w:t>
      </w:r>
      <w:r>
        <w:t xml:space="preserve"> law – Sentencing – Where Senior Counsel appeared at sentencing hearing for both appellant and co-offender – Where Senior Counsel submitted, contrary to Crown submissions, that appellant's offending more serious than co-offender's offending – Where Senior Counsel submitted that both appellant's offending and co-offender's offending less serious than Crown's characterisation of offending – Where no evidence of advice or instructions between appellant and Senior Counsel – </w:t>
      </w:r>
      <w:r w:rsidRPr="00B43897">
        <w:t xml:space="preserve">Whether threshold of materiality </w:t>
      </w:r>
      <w:r>
        <w:t>must be satisfied</w:t>
      </w:r>
      <w:r w:rsidRPr="008529CB">
        <w:t xml:space="preserve"> </w:t>
      </w:r>
      <w:r w:rsidRPr="00B43897">
        <w:t xml:space="preserve">before court concludes that specific error or procedural irregularity vitiates </w:t>
      </w:r>
      <w:r>
        <w:t xml:space="preserve">exercise of </w:t>
      </w:r>
      <w:r w:rsidRPr="00B43897">
        <w:t>sentenc</w:t>
      </w:r>
      <w:r>
        <w:t>ing discretion</w:t>
      </w:r>
      <w:r w:rsidRPr="00B43897">
        <w:t xml:space="preserve"> – Whether procedural irregularity</w:t>
      </w:r>
      <w:r>
        <w:t xml:space="preserve"> established – Whether Senior Counsel placed in position of conflict between duty to appellant and duty to co-offender – Whether appellant should have been separately represented – Whether submission should have been made on appellant's behalf that his offending similar to or less than co-offender's offending. </w:t>
      </w:r>
    </w:p>
    <w:p w14:paraId="5844E7FC" w14:textId="77777777" w:rsidR="007617DE" w:rsidRDefault="007617DE" w:rsidP="007617DE">
      <w:pPr>
        <w:pStyle w:val="CatchwordsText"/>
      </w:pPr>
    </w:p>
    <w:p w14:paraId="7D29624B" w14:textId="77777777" w:rsidR="007617DE" w:rsidRDefault="007617DE" w:rsidP="007617DE">
      <w:pPr>
        <w:pStyle w:val="CatchwordsText"/>
      </w:pPr>
      <w:r>
        <w:t xml:space="preserve">Words and phrases </w:t>
      </w:r>
      <w:bookmarkStart w:id="0" w:name="_Hlk161737022"/>
      <w:r>
        <w:t xml:space="preserve">– </w:t>
      </w:r>
      <w:bookmarkEnd w:id="0"/>
      <w:r>
        <w:t>"actual conflict", "apparent conflict", "assumed obligations", "best interests", "client's instructions", "co-offender", "conflict", "conflicting duties", "demonstration of error", "duty of loyalty", "imposed obligations", "legal professional privilege", "materiality", "objective seriousness", "parity", "position of conflict", "potential conflict", "practical injustice", "procedural fairness", "procedural irregularity", "real or substantial possibility of a conflict", "remittal", "scope of duties", "sentence", "sentencing discretion", "separately represented", "specific error", "standard of competency".</w:t>
      </w:r>
    </w:p>
    <w:p w14:paraId="7BF91497" w14:textId="77777777" w:rsidR="007617DE" w:rsidRDefault="007617DE" w:rsidP="007617DE">
      <w:pPr>
        <w:pStyle w:val="CatchwordsText"/>
      </w:pPr>
    </w:p>
    <w:p w14:paraId="37ACD2A7" w14:textId="77777777" w:rsidR="007617DE" w:rsidRPr="003B0097" w:rsidRDefault="007617DE" w:rsidP="007617DE">
      <w:pPr>
        <w:pStyle w:val="CatchwordsText"/>
      </w:pPr>
      <w:r w:rsidRPr="007617DE">
        <w:rPr>
          <w:i/>
          <w:iCs/>
        </w:rPr>
        <w:t>Crimes Act 1914</w:t>
      </w:r>
      <w:r w:rsidRPr="008E3665">
        <w:t xml:space="preserve"> (</w:t>
      </w:r>
      <w:proofErr w:type="spellStart"/>
      <w:r w:rsidRPr="008E3665">
        <w:t>Cth</w:t>
      </w:r>
      <w:proofErr w:type="spellEnd"/>
      <w:r w:rsidRPr="008E3665">
        <w:t>), s 16BA.</w:t>
      </w:r>
    </w:p>
    <w:p w14:paraId="7C1A30CC" w14:textId="77777777" w:rsidR="007617DE" w:rsidRPr="009D7333" w:rsidRDefault="007617DE" w:rsidP="007617DE">
      <w:pPr>
        <w:pStyle w:val="CatchwordsText"/>
      </w:pPr>
      <w:r>
        <w:rPr>
          <w:i/>
          <w:iCs/>
        </w:rPr>
        <w:t xml:space="preserve">Criminal Code </w:t>
      </w:r>
      <w:r>
        <w:t>(</w:t>
      </w:r>
      <w:proofErr w:type="spellStart"/>
      <w:r>
        <w:t>Cth</w:t>
      </w:r>
      <w:proofErr w:type="spellEnd"/>
      <w:r>
        <w:t>), ss 11.5, 302.2, 400.3, 400.4.</w:t>
      </w:r>
    </w:p>
    <w:p w14:paraId="13CF040A" w14:textId="77777777" w:rsidR="007617DE" w:rsidRPr="007F326C" w:rsidRDefault="007617DE" w:rsidP="007617DE">
      <w:pPr>
        <w:pStyle w:val="CatchwordsText"/>
      </w:pPr>
      <w:r w:rsidRPr="2D02F51D">
        <w:rPr>
          <w:i/>
          <w:iCs/>
        </w:rPr>
        <w:t xml:space="preserve">Criminal Appeal Act 1912 </w:t>
      </w:r>
      <w:r>
        <w:t>(NSW), ss 2, 5, 5D, 6, 12.</w:t>
      </w:r>
    </w:p>
    <w:p w14:paraId="07DAA5EA" w14:textId="77777777" w:rsidR="007617DE" w:rsidRPr="00F8044A" w:rsidRDefault="007617DE" w:rsidP="007617DE">
      <w:pPr>
        <w:pStyle w:val="CatchwordsText"/>
        <w:rPr>
          <w:bCs/>
        </w:rPr>
      </w:pPr>
      <w:r w:rsidRPr="007617DE">
        <w:rPr>
          <w:i/>
          <w:iCs/>
        </w:rPr>
        <w:t>Legal Profession Uniform Law</w:t>
      </w:r>
      <w:r w:rsidRPr="000179FC">
        <w:t xml:space="preserve"> (NSW), ss 419, 423</w:t>
      </w:r>
      <w:r>
        <w:t>.</w:t>
      </w:r>
    </w:p>
    <w:p w14:paraId="194EBB15" w14:textId="567067E2" w:rsidR="00F66ECC" w:rsidRDefault="007617DE" w:rsidP="007617DE">
      <w:pPr>
        <w:pStyle w:val="CatchwordsText"/>
      </w:pPr>
      <w:r w:rsidRPr="007617DE">
        <w:rPr>
          <w:i/>
          <w:iCs/>
        </w:rPr>
        <w:t>Legal Profession Uniform Conduct (Barristers) Rules 2015</w:t>
      </w:r>
      <w:r>
        <w:t xml:space="preserve"> (NSW)</w:t>
      </w:r>
      <w:r w:rsidRPr="00134063">
        <w:t>,</w:t>
      </w:r>
      <w:r w:rsidRPr="000179FC">
        <w:t xml:space="preserve"> </w:t>
      </w:r>
      <w:proofErr w:type="spellStart"/>
      <w:r w:rsidRPr="000179FC">
        <w:t>r</w:t>
      </w:r>
      <w:r>
        <w:t>r</w:t>
      </w:r>
      <w:proofErr w:type="spellEnd"/>
      <w:r w:rsidRPr="000179FC">
        <w:t xml:space="preserve"> </w:t>
      </w:r>
      <w:r>
        <w:t xml:space="preserve">4, </w:t>
      </w:r>
      <w:r w:rsidRPr="000179FC">
        <w:t>7</w:t>
      </w:r>
      <w:r>
        <w:t>, 23, 35, 42, 119</w:t>
      </w:r>
      <w:r w:rsidRPr="000179FC">
        <w:t>.</w:t>
      </w:r>
    </w:p>
    <w:p w14:paraId="4EA35D13" w14:textId="17FA9933" w:rsidR="007617DE" w:rsidRDefault="007617DE">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03D3FF11" w14:textId="76ECD1DD" w:rsidR="007617DE" w:rsidRDefault="007617DE">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lastRenderedPageBreak/>
        <w:br w:type="page"/>
      </w:r>
    </w:p>
    <w:p w14:paraId="763C0F4E" w14:textId="77777777" w:rsidR="00F66ECC" w:rsidRDefault="00F66ECC" w:rsidP="00F117EB">
      <w:pPr>
        <w:pStyle w:val="FixListStyle"/>
        <w:tabs>
          <w:tab w:val="clear" w:pos="720"/>
          <w:tab w:val="left" w:pos="0"/>
        </w:tabs>
        <w:spacing w:after="260" w:line="280" w:lineRule="exact"/>
        <w:ind w:right="0"/>
        <w:jc w:val="both"/>
        <w:rPr>
          <w:rFonts w:ascii="Times New Roman" w:hAnsi="Times New Roman"/>
        </w:rPr>
        <w:sectPr w:rsidR="00F66ECC" w:rsidSect="007617DE">
          <w:pgSz w:w="11907" w:h="16839" w:code="9"/>
          <w:pgMar w:top="1440" w:right="1701" w:bottom="1984" w:left="1701" w:header="720" w:footer="720" w:gutter="0"/>
          <w:pgNumType w:start="1"/>
          <w:cols w:space="720"/>
          <w:titlePg/>
          <w:docGrid w:linePitch="354"/>
        </w:sectPr>
      </w:pPr>
    </w:p>
    <w:p w14:paraId="2463CB5D" w14:textId="6B87EF29" w:rsidR="003A1E42" w:rsidRPr="00F117EB" w:rsidRDefault="00F117EB" w:rsidP="00F117EB">
      <w:pPr>
        <w:pStyle w:val="FixListStyle"/>
        <w:tabs>
          <w:tab w:val="clear" w:pos="720"/>
          <w:tab w:val="left" w:pos="0"/>
        </w:tabs>
        <w:spacing w:after="260" w:line="280" w:lineRule="exact"/>
        <w:ind w:right="0"/>
        <w:jc w:val="both"/>
        <w:rPr>
          <w:rFonts w:ascii="Times New Roman" w:hAnsi="Times New Roman"/>
        </w:rPr>
      </w:pPr>
      <w:r w:rsidRPr="00F117EB">
        <w:rPr>
          <w:rFonts w:ascii="Times New Roman" w:hAnsi="Times New Roman"/>
        </w:rPr>
        <w:lastRenderedPageBreak/>
        <w:t xml:space="preserve">GAGELER CJ, GORDON, STEWARD, GLEESON AND BEECH-JONES JJ.   </w:t>
      </w:r>
      <w:r w:rsidR="003A1E42" w:rsidRPr="00F117EB">
        <w:rPr>
          <w:rFonts w:ascii="Times New Roman" w:hAnsi="Times New Roman"/>
        </w:rPr>
        <w:t xml:space="preserve">Senior Counsel appeared at a sentencing hearing in the District Court of New South Wales for the appellant and </w:t>
      </w:r>
      <w:r w:rsidR="000D47D7" w:rsidRPr="00F117EB">
        <w:rPr>
          <w:rFonts w:ascii="Times New Roman" w:hAnsi="Times New Roman"/>
        </w:rPr>
        <w:t>one of his</w:t>
      </w:r>
      <w:r w:rsidR="00AA7B13" w:rsidRPr="00F117EB">
        <w:rPr>
          <w:rFonts w:ascii="Times New Roman" w:hAnsi="Times New Roman"/>
        </w:rPr>
        <w:t xml:space="preserve"> co-offender</w:t>
      </w:r>
      <w:r w:rsidR="000D47D7" w:rsidRPr="00F117EB">
        <w:rPr>
          <w:rFonts w:ascii="Times New Roman" w:hAnsi="Times New Roman"/>
        </w:rPr>
        <w:t>s</w:t>
      </w:r>
      <w:r w:rsidR="00AA7B13" w:rsidRPr="00F117EB">
        <w:rPr>
          <w:rFonts w:ascii="Times New Roman" w:hAnsi="Times New Roman"/>
        </w:rPr>
        <w:t xml:space="preserve">, Deniz Kanmaz. </w:t>
      </w:r>
      <w:r w:rsidR="000E6F1E" w:rsidRPr="00F117EB">
        <w:rPr>
          <w:rFonts w:ascii="Times New Roman" w:hAnsi="Times New Roman"/>
        </w:rPr>
        <w:t>Both offenders</w:t>
      </w:r>
      <w:r w:rsidR="002864CA" w:rsidRPr="00F117EB">
        <w:rPr>
          <w:rFonts w:ascii="Times New Roman" w:hAnsi="Times New Roman"/>
        </w:rPr>
        <w:t xml:space="preserve"> had entered </w:t>
      </w:r>
      <w:r w:rsidR="006A01A4" w:rsidRPr="00F117EB">
        <w:rPr>
          <w:rFonts w:ascii="Times New Roman" w:hAnsi="Times New Roman"/>
        </w:rPr>
        <w:t xml:space="preserve">a </w:t>
      </w:r>
      <w:r w:rsidR="002864CA" w:rsidRPr="00F117EB">
        <w:rPr>
          <w:rFonts w:ascii="Times New Roman" w:hAnsi="Times New Roman"/>
        </w:rPr>
        <w:t>plea of guilty to the offence of</w:t>
      </w:r>
      <w:r w:rsidR="003A1E42" w:rsidRPr="00F117EB">
        <w:rPr>
          <w:rFonts w:ascii="Times New Roman" w:hAnsi="Times New Roman"/>
        </w:rPr>
        <w:t xml:space="preserve"> conspir</w:t>
      </w:r>
      <w:r w:rsidR="00AA12AB" w:rsidRPr="00F117EB">
        <w:rPr>
          <w:rFonts w:ascii="Times New Roman" w:hAnsi="Times New Roman"/>
        </w:rPr>
        <w:t>ing</w:t>
      </w:r>
      <w:r w:rsidR="003A1E42" w:rsidRPr="00F117EB">
        <w:rPr>
          <w:rFonts w:ascii="Times New Roman" w:hAnsi="Times New Roman"/>
        </w:rPr>
        <w:t xml:space="preserve"> to traffic a commercial quantity of a </w:t>
      </w:r>
      <w:r w:rsidR="00D91C25" w:rsidRPr="00F117EB">
        <w:rPr>
          <w:rFonts w:ascii="Times New Roman" w:hAnsi="Times New Roman"/>
        </w:rPr>
        <w:t xml:space="preserve">controlled </w:t>
      </w:r>
      <w:r w:rsidR="003A1E42" w:rsidRPr="00F117EB">
        <w:rPr>
          <w:rFonts w:ascii="Times New Roman" w:hAnsi="Times New Roman"/>
        </w:rPr>
        <w:t>drug</w:t>
      </w:r>
      <w:r w:rsidR="00252713" w:rsidRPr="00F117EB">
        <w:rPr>
          <w:rFonts w:ascii="Times New Roman" w:hAnsi="Times New Roman"/>
        </w:rPr>
        <w:t xml:space="preserve"> (the "conspiracy offence")</w:t>
      </w:r>
      <w:r w:rsidR="0062394E" w:rsidRPr="00F117EB">
        <w:rPr>
          <w:rFonts w:ascii="Times New Roman" w:hAnsi="Times New Roman"/>
        </w:rPr>
        <w:t>.</w:t>
      </w:r>
      <w:r w:rsidR="00261677" w:rsidRPr="00F117EB">
        <w:rPr>
          <w:rStyle w:val="FootnoteReference"/>
          <w:rFonts w:ascii="Times New Roman" w:hAnsi="Times New Roman"/>
          <w:sz w:val="24"/>
        </w:rPr>
        <w:footnoteReference w:id="2"/>
      </w:r>
      <w:r w:rsidR="003A1E42" w:rsidRPr="00F117EB">
        <w:rPr>
          <w:rFonts w:ascii="Times New Roman" w:hAnsi="Times New Roman"/>
        </w:rPr>
        <w:t xml:space="preserve"> Senior Counsel submitted, contrary to the submission</w:t>
      </w:r>
      <w:r w:rsidR="009C3307" w:rsidRPr="00F117EB">
        <w:rPr>
          <w:rFonts w:ascii="Times New Roman" w:hAnsi="Times New Roman"/>
        </w:rPr>
        <w:t xml:space="preserve"> of the Crown, represented by the Director of Public Prosecutions (</w:t>
      </w:r>
      <w:proofErr w:type="spellStart"/>
      <w:r w:rsidR="009C3307" w:rsidRPr="00F117EB">
        <w:rPr>
          <w:rFonts w:ascii="Times New Roman" w:hAnsi="Times New Roman"/>
        </w:rPr>
        <w:t>Cth</w:t>
      </w:r>
      <w:proofErr w:type="spellEnd"/>
      <w:r w:rsidR="009C3307" w:rsidRPr="00F117EB">
        <w:rPr>
          <w:rFonts w:ascii="Times New Roman" w:hAnsi="Times New Roman"/>
        </w:rPr>
        <w:t>)</w:t>
      </w:r>
      <w:r w:rsidR="003A1E42" w:rsidRPr="00F117EB">
        <w:rPr>
          <w:rFonts w:ascii="Times New Roman" w:hAnsi="Times New Roman"/>
        </w:rPr>
        <w:t xml:space="preserve">, </w:t>
      </w:r>
      <w:r w:rsidR="005C53C8" w:rsidRPr="00F117EB">
        <w:rPr>
          <w:rFonts w:ascii="Times New Roman" w:hAnsi="Times New Roman"/>
        </w:rPr>
        <w:t xml:space="preserve">that </w:t>
      </w:r>
      <w:r w:rsidR="003A1E42" w:rsidRPr="00F117EB">
        <w:rPr>
          <w:rFonts w:ascii="Times New Roman" w:hAnsi="Times New Roman"/>
        </w:rPr>
        <w:t xml:space="preserve">the </w:t>
      </w:r>
      <w:r w:rsidR="00E606F4" w:rsidRPr="00F117EB">
        <w:rPr>
          <w:rFonts w:ascii="Times New Roman" w:hAnsi="Times New Roman"/>
        </w:rPr>
        <w:t>gravity</w:t>
      </w:r>
      <w:r w:rsidR="001D2D97" w:rsidRPr="00F117EB">
        <w:rPr>
          <w:rStyle w:val="FootnoteReference"/>
          <w:rFonts w:ascii="Times New Roman" w:hAnsi="Times New Roman"/>
          <w:sz w:val="24"/>
        </w:rPr>
        <w:footnoteReference w:id="3"/>
      </w:r>
      <w:r w:rsidR="00E606F4" w:rsidRPr="00F117EB">
        <w:rPr>
          <w:rFonts w:ascii="Times New Roman" w:hAnsi="Times New Roman"/>
        </w:rPr>
        <w:t xml:space="preserve"> or objective serious</w:t>
      </w:r>
      <w:r w:rsidR="00D06811" w:rsidRPr="00F117EB">
        <w:rPr>
          <w:rFonts w:ascii="Times New Roman" w:hAnsi="Times New Roman"/>
        </w:rPr>
        <w:t>ness</w:t>
      </w:r>
      <w:r w:rsidR="00C25151" w:rsidRPr="00F117EB">
        <w:rPr>
          <w:rStyle w:val="FootnoteReference"/>
          <w:rFonts w:ascii="Times New Roman" w:hAnsi="Times New Roman"/>
          <w:sz w:val="24"/>
        </w:rPr>
        <w:footnoteReference w:id="4"/>
      </w:r>
      <w:r w:rsidR="00E606F4" w:rsidRPr="00F117EB">
        <w:rPr>
          <w:rFonts w:ascii="Times New Roman" w:hAnsi="Times New Roman"/>
        </w:rPr>
        <w:t xml:space="preserve"> </w:t>
      </w:r>
      <w:r w:rsidR="001D2D97" w:rsidRPr="00F117EB">
        <w:rPr>
          <w:rFonts w:ascii="Times New Roman" w:hAnsi="Times New Roman"/>
        </w:rPr>
        <w:t xml:space="preserve">of the </w:t>
      </w:r>
      <w:r w:rsidR="003A1E42" w:rsidRPr="00F117EB">
        <w:rPr>
          <w:rFonts w:ascii="Times New Roman" w:hAnsi="Times New Roman"/>
        </w:rPr>
        <w:t>appellant's offending</w:t>
      </w:r>
      <w:r w:rsidR="001D2D97" w:rsidRPr="00F117EB">
        <w:rPr>
          <w:rFonts w:ascii="Times New Roman" w:hAnsi="Times New Roman"/>
        </w:rPr>
        <w:t xml:space="preserve"> was greater</w:t>
      </w:r>
      <w:r w:rsidR="003A1E42" w:rsidRPr="00F117EB" w:rsidDel="001D2D97">
        <w:rPr>
          <w:rFonts w:ascii="Times New Roman" w:hAnsi="Times New Roman"/>
        </w:rPr>
        <w:t xml:space="preserve"> </w:t>
      </w:r>
      <w:r w:rsidR="003A1E42" w:rsidRPr="00F117EB">
        <w:rPr>
          <w:rFonts w:ascii="Times New Roman" w:hAnsi="Times New Roman"/>
        </w:rPr>
        <w:t xml:space="preserve">than that of Mr </w:t>
      </w:r>
      <w:proofErr w:type="spellStart"/>
      <w:r w:rsidR="003A1E42" w:rsidRPr="00F117EB">
        <w:rPr>
          <w:rFonts w:ascii="Times New Roman" w:hAnsi="Times New Roman"/>
        </w:rPr>
        <w:t>Kanmaz</w:t>
      </w:r>
      <w:proofErr w:type="spellEnd"/>
      <w:r w:rsidR="003A1E42" w:rsidRPr="00F117EB">
        <w:rPr>
          <w:rFonts w:ascii="Times New Roman" w:hAnsi="Times New Roman"/>
        </w:rPr>
        <w:t xml:space="preserve"> but also contended that the offen</w:t>
      </w:r>
      <w:r w:rsidR="00952579" w:rsidRPr="00F117EB">
        <w:rPr>
          <w:rFonts w:ascii="Times New Roman" w:hAnsi="Times New Roman"/>
        </w:rPr>
        <w:t>ding</w:t>
      </w:r>
      <w:r w:rsidR="003A1E42" w:rsidRPr="00F117EB">
        <w:rPr>
          <w:rFonts w:ascii="Times New Roman" w:hAnsi="Times New Roman"/>
        </w:rPr>
        <w:t xml:space="preserve"> </w:t>
      </w:r>
      <w:r w:rsidR="006673E9" w:rsidRPr="00F117EB">
        <w:rPr>
          <w:rFonts w:ascii="Times New Roman" w:hAnsi="Times New Roman"/>
        </w:rPr>
        <w:t xml:space="preserve">of each offender </w:t>
      </w:r>
      <w:r w:rsidR="003A1E42" w:rsidRPr="00F117EB">
        <w:rPr>
          <w:rFonts w:ascii="Times New Roman" w:hAnsi="Times New Roman"/>
        </w:rPr>
        <w:t xml:space="preserve">should be characterised as less serious than that contended for by the </w:t>
      </w:r>
      <w:r w:rsidR="00125EC2" w:rsidRPr="00F117EB">
        <w:rPr>
          <w:rFonts w:ascii="Times New Roman" w:hAnsi="Times New Roman"/>
        </w:rPr>
        <w:t>Crown</w:t>
      </w:r>
      <w:r w:rsidR="003A1E42" w:rsidRPr="00F117EB">
        <w:rPr>
          <w:rFonts w:ascii="Times New Roman" w:hAnsi="Times New Roman"/>
        </w:rPr>
        <w:t>.</w:t>
      </w:r>
      <w:r w:rsidR="00CC26CA" w:rsidRPr="00F117EB">
        <w:rPr>
          <w:rFonts w:ascii="Times New Roman" w:hAnsi="Times New Roman"/>
        </w:rPr>
        <w:t xml:space="preserve"> </w:t>
      </w:r>
      <w:r w:rsidR="003A1E42" w:rsidRPr="00F117EB">
        <w:rPr>
          <w:rFonts w:ascii="Times New Roman" w:hAnsi="Times New Roman"/>
        </w:rPr>
        <w:t>The sentencing judge found that the appellant was more "deeply involved" than Mr </w:t>
      </w:r>
      <w:proofErr w:type="spellStart"/>
      <w:r w:rsidR="003A1E42" w:rsidRPr="00F117EB">
        <w:rPr>
          <w:rFonts w:ascii="Times New Roman" w:hAnsi="Times New Roman"/>
        </w:rPr>
        <w:t>Kanmaz</w:t>
      </w:r>
      <w:proofErr w:type="spellEnd"/>
      <w:r w:rsidR="003A1E42" w:rsidRPr="00F117EB">
        <w:rPr>
          <w:rFonts w:ascii="Times New Roman" w:hAnsi="Times New Roman"/>
        </w:rPr>
        <w:t xml:space="preserve"> in the criminal enterprise. The appellant received a longer custodial sentence than Mr Kanmaz.</w:t>
      </w:r>
      <w:r w:rsidR="00A604AE" w:rsidRPr="00F117EB">
        <w:rPr>
          <w:rFonts w:ascii="Times New Roman" w:hAnsi="Times New Roman"/>
        </w:rPr>
        <w:t xml:space="preserve"> </w:t>
      </w:r>
    </w:p>
    <w:p w14:paraId="7F4916F2" w14:textId="5787FD3A" w:rsidR="000F4E12" w:rsidRPr="00F117EB" w:rsidRDefault="00C85A0A"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The appellant</w:t>
      </w:r>
      <w:r w:rsidR="004B5460" w:rsidRPr="00F117EB">
        <w:rPr>
          <w:rFonts w:ascii="Times New Roman" w:hAnsi="Times New Roman"/>
        </w:rPr>
        <w:t xml:space="preserve"> </w:t>
      </w:r>
      <w:r w:rsidR="00EA5EAF" w:rsidRPr="00F117EB">
        <w:rPr>
          <w:rFonts w:ascii="Times New Roman" w:hAnsi="Times New Roman"/>
        </w:rPr>
        <w:t xml:space="preserve">applied to the Court of Criminal Appeal </w:t>
      </w:r>
      <w:r w:rsidR="006974A3" w:rsidRPr="00F117EB">
        <w:rPr>
          <w:rFonts w:ascii="Times New Roman" w:hAnsi="Times New Roman"/>
        </w:rPr>
        <w:t xml:space="preserve">of the Supreme Court of New South Wales </w:t>
      </w:r>
      <w:r w:rsidR="00EA5EAF" w:rsidRPr="00F117EB">
        <w:rPr>
          <w:rFonts w:ascii="Times New Roman" w:hAnsi="Times New Roman"/>
        </w:rPr>
        <w:t>for leave to appeal against his sentence.</w:t>
      </w:r>
      <w:r w:rsidRPr="00F117EB">
        <w:rPr>
          <w:rStyle w:val="FootnoteReference"/>
          <w:rFonts w:ascii="Times New Roman" w:hAnsi="Times New Roman"/>
          <w:sz w:val="24"/>
        </w:rPr>
        <w:footnoteReference w:id="5"/>
      </w:r>
      <w:r w:rsidR="00EA5EAF" w:rsidRPr="00F117EB">
        <w:rPr>
          <w:rFonts w:ascii="Times New Roman" w:hAnsi="Times New Roman"/>
        </w:rPr>
        <w:t xml:space="preserve"> </w:t>
      </w:r>
      <w:r w:rsidR="002A203B" w:rsidRPr="00F117EB">
        <w:rPr>
          <w:rFonts w:ascii="Times New Roman" w:hAnsi="Times New Roman"/>
        </w:rPr>
        <w:t xml:space="preserve">The appellant </w:t>
      </w:r>
      <w:r w:rsidR="00EA5EAF" w:rsidRPr="00F117EB">
        <w:rPr>
          <w:rFonts w:ascii="Times New Roman" w:hAnsi="Times New Roman"/>
        </w:rPr>
        <w:t>contended that the sentenc</w:t>
      </w:r>
      <w:r w:rsidR="00EF61A5" w:rsidRPr="00F117EB">
        <w:rPr>
          <w:rFonts w:ascii="Times New Roman" w:hAnsi="Times New Roman"/>
        </w:rPr>
        <w:t>ing</w:t>
      </w:r>
      <w:r w:rsidR="00EA5EAF" w:rsidRPr="00F117EB">
        <w:rPr>
          <w:rFonts w:ascii="Times New Roman" w:hAnsi="Times New Roman"/>
        </w:rPr>
        <w:t xml:space="preserve"> proceedings </w:t>
      </w:r>
      <w:r w:rsidR="004A4F16" w:rsidRPr="00F117EB">
        <w:rPr>
          <w:rFonts w:ascii="Times New Roman" w:hAnsi="Times New Roman"/>
        </w:rPr>
        <w:t>"</w:t>
      </w:r>
      <w:r w:rsidR="00EA5EAF" w:rsidRPr="00F117EB">
        <w:rPr>
          <w:rFonts w:ascii="Times New Roman" w:hAnsi="Times New Roman"/>
        </w:rPr>
        <w:t>miscarried</w:t>
      </w:r>
      <w:r w:rsidR="004A4F16" w:rsidRPr="00F117EB">
        <w:rPr>
          <w:rFonts w:ascii="Times New Roman" w:hAnsi="Times New Roman"/>
        </w:rPr>
        <w:t>"</w:t>
      </w:r>
      <w:r w:rsidR="00EA5EAF" w:rsidRPr="00F117EB">
        <w:rPr>
          <w:rFonts w:ascii="Times New Roman" w:hAnsi="Times New Roman"/>
        </w:rPr>
        <w:t xml:space="preserve"> because </w:t>
      </w:r>
      <w:r w:rsidR="006368D1" w:rsidRPr="00F117EB">
        <w:rPr>
          <w:rFonts w:ascii="Times New Roman" w:hAnsi="Times New Roman"/>
        </w:rPr>
        <w:t>of a procedural irregularit</w:t>
      </w:r>
      <w:r w:rsidR="00E03712" w:rsidRPr="00F117EB">
        <w:rPr>
          <w:rFonts w:ascii="Times New Roman" w:hAnsi="Times New Roman"/>
        </w:rPr>
        <w:t xml:space="preserve">y in that </w:t>
      </w:r>
      <w:r w:rsidR="00EA5EAF" w:rsidRPr="00F117EB">
        <w:rPr>
          <w:rFonts w:ascii="Times New Roman" w:hAnsi="Times New Roman"/>
        </w:rPr>
        <w:t xml:space="preserve">Senior Counsel was placed in a position of conflict between his duty to </w:t>
      </w:r>
      <w:r w:rsidR="00EA5EAF" w:rsidRPr="00F117EB" w:rsidDel="002A203B">
        <w:rPr>
          <w:rFonts w:ascii="Times New Roman" w:hAnsi="Times New Roman"/>
        </w:rPr>
        <w:t>the appellant</w:t>
      </w:r>
      <w:r w:rsidR="00EA5EAF" w:rsidRPr="00F117EB">
        <w:rPr>
          <w:rFonts w:ascii="Times New Roman" w:hAnsi="Times New Roman"/>
        </w:rPr>
        <w:t xml:space="preserve"> and</w:t>
      </w:r>
      <w:r w:rsidR="007549E6" w:rsidRPr="00F117EB">
        <w:rPr>
          <w:rFonts w:ascii="Times New Roman" w:hAnsi="Times New Roman"/>
        </w:rPr>
        <w:t xml:space="preserve"> his duty to</w:t>
      </w:r>
      <w:r w:rsidR="00EA5EAF" w:rsidRPr="00F117EB">
        <w:rPr>
          <w:rFonts w:ascii="Times New Roman" w:hAnsi="Times New Roman"/>
        </w:rPr>
        <w:t xml:space="preserve"> Mr</w:t>
      </w:r>
      <w:r w:rsidR="00B31DA2" w:rsidRPr="00F117EB">
        <w:rPr>
          <w:rFonts w:ascii="Times New Roman" w:hAnsi="Times New Roman"/>
        </w:rPr>
        <w:t> </w:t>
      </w:r>
      <w:r w:rsidR="00EA5EAF" w:rsidRPr="00F117EB">
        <w:rPr>
          <w:rFonts w:ascii="Times New Roman" w:hAnsi="Times New Roman"/>
        </w:rPr>
        <w:t>Kanmaz</w:t>
      </w:r>
      <w:r w:rsidR="00740A0F" w:rsidRPr="00F117EB">
        <w:rPr>
          <w:rFonts w:ascii="Times New Roman" w:hAnsi="Times New Roman"/>
        </w:rPr>
        <w:t>.</w:t>
      </w:r>
      <w:r w:rsidR="003740BD" w:rsidRPr="00F117EB">
        <w:rPr>
          <w:rFonts w:ascii="Times New Roman" w:hAnsi="Times New Roman"/>
        </w:rPr>
        <w:t xml:space="preserve"> </w:t>
      </w:r>
      <w:r w:rsidR="00126C6C" w:rsidRPr="00F117EB">
        <w:rPr>
          <w:rFonts w:ascii="Times New Roman" w:hAnsi="Times New Roman"/>
        </w:rPr>
        <w:t xml:space="preserve">The appellant contended </w:t>
      </w:r>
      <w:r w:rsidR="00923974" w:rsidRPr="00F117EB">
        <w:rPr>
          <w:rFonts w:ascii="Times New Roman" w:hAnsi="Times New Roman"/>
        </w:rPr>
        <w:t xml:space="preserve">that </w:t>
      </w:r>
      <w:r w:rsidR="00740A0F" w:rsidRPr="00F117EB">
        <w:rPr>
          <w:rFonts w:ascii="Times New Roman" w:hAnsi="Times New Roman"/>
        </w:rPr>
        <w:t>he</w:t>
      </w:r>
      <w:r w:rsidR="003740BD" w:rsidRPr="00F117EB">
        <w:rPr>
          <w:rFonts w:ascii="Times New Roman" w:hAnsi="Times New Roman"/>
        </w:rPr>
        <w:t xml:space="preserve"> should have been separately represented</w:t>
      </w:r>
      <w:r w:rsidR="00073AB3" w:rsidRPr="00F117EB">
        <w:rPr>
          <w:rFonts w:ascii="Times New Roman" w:hAnsi="Times New Roman"/>
          <w:b/>
          <w:bCs/>
        </w:rPr>
        <w:t xml:space="preserve"> </w:t>
      </w:r>
      <w:r w:rsidR="00073AB3" w:rsidRPr="00F117EB">
        <w:rPr>
          <w:rFonts w:ascii="Times New Roman" w:hAnsi="Times New Roman"/>
        </w:rPr>
        <w:t xml:space="preserve">and </w:t>
      </w:r>
      <w:r w:rsidR="00923974" w:rsidRPr="00F117EB">
        <w:rPr>
          <w:rFonts w:ascii="Times New Roman" w:hAnsi="Times New Roman"/>
        </w:rPr>
        <w:t xml:space="preserve">a </w:t>
      </w:r>
      <w:r w:rsidR="00E1140B" w:rsidRPr="00F117EB">
        <w:rPr>
          <w:rFonts w:ascii="Times New Roman" w:hAnsi="Times New Roman"/>
        </w:rPr>
        <w:t xml:space="preserve">submission </w:t>
      </w:r>
      <w:r w:rsidR="00073AB3" w:rsidRPr="00F117EB">
        <w:rPr>
          <w:rFonts w:ascii="Times New Roman" w:hAnsi="Times New Roman"/>
        </w:rPr>
        <w:t xml:space="preserve">made on his behalf </w:t>
      </w:r>
      <w:r w:rsidR="00753799" w:rsidRPr="00F117EB">
        <w:rPr>
          <w:rFonts w:ascii="Times New Roman" w:hAnsi="Times New Roman"/>
        </w:rPr>
        <w:t xml:space="preserve">that the objective seriousness of his offending was </w:t>
      </w:r>
      <w:proofErr w:type="gramStart"/>
      <w:r w:rsidR="00753799" w:rsidRPr="00F117EB">
        <w:rPr>
          <w:rFonts w:ascii="Times New Roman" w:hAnsi="Times New Roman"/>
        </w:rPr>
        <w:t>similar to</w:t>
      </w:r>
      <w:proofErr w:type="gramEnd"/>
      <w:r w:rsidR="00753799" w:rsidRPr="00F117EB">
        <w:rPr>
          <w:rFonts w:ascii="Times New Roman" w:hAnsi="Times New Roman"/>
        </w:rPr>
        <w:t xml:space="preserve"> or less than </w:t>
      </w:r>
      <w:r w:rsidR="007C75BB" w:rsidRPr="00F117EB">
        <w:rPr>
          <w:rFonts w:ascii="Times New Roman" w:hAnsi="Times New Roman"/>
        </w:rPr>
        <w:t>Mr Kanmaz's offen</w:t>
      </w:r>
      <w:r w:rsidR="00753799" w:rsidRPr="00F117EB">
        <w:rPr>
          <w:rFonts w:ascii="Times New Roman" w:hAnsi="Times New Roman"/>
        </w:rPr>
        <w:t>ding</w:t>
      </w:r>
      <w:r w:rsidR="00225857" w:rsidRPr="00F117EB">
        <w:rPr>
          <w:rFonts w:ascii="Times New Roman" w:hAnsi="Times New Roman"/>
        </w:rPr>
        <w:t>.</w:t>
      </w:r>
      <w:r w:rsidR="00E1140B" w:rsidRPr="00F117EB">
        <w:rPr>
          <w:rFonts w:ascii="Times New Roman" w:hAnsi="Times New Roman"/>
        </w:rPr>
        <w:t xml:space="preserve"> </w:t>
      </w:r>
      <w:r w:rsidR="00EA5EAF" w:rsidRPr="00F117EB">
        <w:rPr>
          <w:rFonts w:ascii="Times New Roman" w:hAnsi="Times New Roman"/>
        </w:rPr>
        <w:t xml:space="preserve">The appellant did not adduce evidence </w:t>
      </w:r>
      <w:r w:rsidR="00DA5A51" w:rsidRPr="00F117EB">
        <w:rPr>
          <w:rFonts w:ascii="Times New Roman" w:hAnsi="Times New Roman"/>
        </w:rPr>
        <w:t xml:space="preserve">before the Court of Criminal Appeal </w:t>
      </w:r>
      <w:r w:rsidR="00EA5EAF" w:rsidRPr="00F117EB">
        <w:rPr>
          <w:rFonts w:ascii="Times New Roman" w:hAnsi="Times New Roman"/>
        </w:rPr>
        <w:t>as to any advice he received from</w:t>
      </w:r>
      <w:r w:rsidR="003D0EAE" w:rsidRPr="00F117EB">
        <w:rPr>
          <w:rFonts w:ascii="Times New Roman" w:hAnsi="Times New Roman"/>
        </w:rPr>
        <w:t>,</w:t>
      </w:r>
      <w:r w:rsidR="00EA5EAF" w:rsidRPr="00F117EB">
        <w:rPr>
          <w:rFonts w:ascii="Times New Roman" w:hAnsi="Times New Roman"/>
        </w:rPr>
        <w:t xml:space="preserve"> or the instructions he gave to</w:t>
      </w:r>
      <w:r w:rsidR="003D0EAE" w:rsidRPr="00F117EB">
        <w:rPr>
          <w:rFonts w:ascii="Times New Roman" w:hAnsi="Times New Roman"/>
        </w:rPr>
        <w:t>,</w:t>
      </w:r>
      <w:r w:rsidR="00EA5EAF" w:rsidRPr="00F117EB">
        <w:rPr>
          <w:rFonts w:ascii="Times New Roman" w:hAnsi="Times New Roman"/>
        </w:rPr>
        <w:t xml:space="preserve"> Senior Counsel. </w:t>
      </w:r>
      <w:r w:rsidR="000F4E12" w:rsidRPr="00F117EB">
        <w:rPr>
          <w:rFonts w:ascii="Times New Roman" w:hAnsi="Times New Roman"/>
        </w:rPr>
        <w:t>The appellant sought an order that the sentence be quashed and remitted to the District Court and</w:t>
      </w:r>
      <w:r w:rsidR="005F4F67" w:rsidRPr="00F117EB">
        <w:rPr>
          <w:rFonts w:ascii="Times New Roman" w:hAnsi="Times New Roman"/>
        </w:rPr>
        <w:t>,</w:t>
      </w:r>
      <w:r w:rsidR="000F4E12" w:rsidRPr="00F117EB">
        <w:rPr>
          <w:rFonts w:ascii="Times New Roman" w:hAnsi="Times New Roman"/>
        </w:rPr>
        <w:t xml:space="preserve"> in the alternative</w:t>
      </w:r>
      <w:r w:rsidR="005F4F67" w:rsidRPr="00F117EB">
        <w:rPr>
          <w:rFonts w:ascii="Times New Roman" w:hAnsi="Times New Roman"/>
        </w:rPr>
        <w:t>,</w:t>
      </w:r>
      <w:r w:rsidR="000F4E12" w:rsidRPr="00F117EB">
        <w:rPr>
          <w:rFonts w:ascii="Times New Roman" w:hAnsi="Times New Roman"/>
        </w:rPr>
        <w:t xml:space="preserve"> that a lesser sentence be imposed. </w:t>
      </w:r>
    </w:p>
    <w:p w14:paraId="0C9F2391" w14:textId="49E00CD9" w:rsidR="00EA5EAF" w:rsidRPr="00F117EB" w:rsidRDefault="0044739A"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The Court of Criminal Appeal granted </w:t>
      </w:r>
      <w:r w:rsidR="00116E34" w:rsidRPr="00F117EB">
        <w:rPr>
          <w:rFonts w:ascii="Times New Roman" w:hAnsi="Times New Roman"/>
        </w:rPr>
        <w:t xml:space="preserve">the appellant </w:t>
      </w:r>
      <w:r w:rsidR="00EA5EAF" w:rsidRPr="00F117EB">
        <w:rPr>
          <w:rFonts w:ascii="Times New Roman" w:hAnsi="Times New Roman"/>
        </w:rPr>
        <w:t xml:space="preserve">leave to appeal but dismissed the appeal. The Court found that the evidence did not establish that Senior Counsel </w:t>
      </w:r>
      <w:r w:rsidR="00116E34" w:rsidRPr="00F117EB">
        <w:rPr>
          <w:rFonts w:ascii="Times New Roman" w:hAnsi="Times New Roman"/>
        </w:rPr>
        <w:t xml:space="preserve">was so </w:t>
      </w:r>
      <w:r w:rsidR="00EA5EAF" w:rsidRPr="00F117EB">
        <w:rPr>
          <w:rFonts w:ascii="Times New Roman" w:hAnsi="Times New Roman"/>
        </w:rPr>
        <w:t>conflict</w:t>
      </w:r>
      <w:r w:rsidR="00284972" w:rsidRPr="00F117EB">
        <w:rPr>
          <w:rFonts w:ascii="Times New Roman" w:hAnsi="Times New Roman"/>
        </w:rPr>
        <w:t>ed</w:t>
      </w:r>
      <w:r w:rsidR="00EA5EAF" w:rsidRPr="00F117EB">
        <w:rPr>
          <w:rFonts w:ascii="Times New Roman" w:hAnsi="Times New Roman"/>
        </w:rPr>
        <w:t xml:space="preserve">.  </w:t>
      </w:r>
    </w:p>
    <w:p w14:paraId="1942EF60" w14:textId="4940C0D4" w:rsidR="000E2CD0" w:rsidRPr="00F117EB" w:rsidRDefault="004D4C24"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The appellant was granted special leave to appeal</w:t>
      </w:r>
      <w:r w:rsidR="00116E34" w:rsidRPr="00F117EB">
        <w:rPr>
          <w:rFonts w:ascii="Times New Roman" w:hAnsi="Times New Roman"/>
        </w:rPr>
        <w:t xml:space="preserve"> to this Court</w:t>
      </w:r>
      <w:r w:rsidR="00EA5EAF" w:rsidRPr="00F117EB">
        <w:rPr>
          <w:rFonts w:ascii="Times New Roman" w:hAnsi="Times New Roman"/>
        </w:rPr>
        <w:t xml:space="preserve">. The Director of Public Prosecutions (NSW) </w:t>
      </w:r>
      <w:r w:rsidR="0006609F" w:rsidRPr="00F117EB">
        <w:rPr>
          <w:rFonts w:ascii="Times New Roman" w:hAnsi="Times New Roman"/>
        </w:rPr>
        <w:t>("</w:t>
      </w:r>
      <w:r w:rsidR="004B1A9D" w:rsidRPr="00F117EB">
        <w:rPr>
          <w:rFonts w:ascii="Times New Roman" w:hAnsi="Times New Roman"/>
        </w:rPr>
        <w:t xml:space="preserve">the </w:t>
      </w:r>
      <w:r w:rsidR="0006609F" w:rsidRPr="00F117EB">
        <w:rPr>
          <w:rFonts w:ascii="Times New Roman" w:hAnsi="Times New Roman"/>
        </w:rPr>
        <w:t>NSW</w:t>
      </w:r>
      <w:r w:rsidR="00485FDC" w:rsidRPr="00F117EB">
        <w:rPr>
          <w:rFonts w:ascii="Times New Roman" w:hAnsi="Times New Roman"/>
        </w:rPr>
        <w:t xml:space="preserve"> DPP</w:t>
      </w:r>
      <w:r w:rsidR="0006609F" w:rsidRPr="00F117EB">
        <w:rPr>
          <w:rFonts w:ascii="Times New Roman" w:hAnsi="Times New Roman"/>
        </w:rPr>
        <w:t xml:space="preserve">") </w:t>
      </w:r>
      <w:r w:rsidR="00EA5EAF" w:rsidRPr="00F117EB">
        <w:rPr>
          <w:rFonts w:ascii="Times New Roman" w:hAnsi="Times New Roman"/>
        </w:rPr>
        <w:t xml:space="preserve">was granted leave to intervene </w:t>
      </w:r>
      <w:r w:rsidR="00EA5EAF" w:rsidRPr="00F117EB">
        <w:rPr>
          <w:rFonts w:ascii="Times New Roman" w:hAnsi="Times New Roman"/>
        </w:rPr>
        <w:lastRenderedPageBreak/>
        <w:t xml:space="preserve">on the appeal to address issues of principle affecting applications by offenders under </w:t>
      </w:r>
      <w:r w:rsidR="00290568" w:rsidRPr="00F117EB">
        <w:rPr>
          <w:rFonts w:ascii="Times New Roman" w:hAnsi="Times New Roman"/>
        </w:rPr>
        <w:t>s</w:t>
      </w:r>
      <w:r w:rsidR="00CB4743" w:rsidRPr="00F117EB">
        <w:rPr>
          <w:rFonts w:ascii="Times New Roman" w:hAnsi="Times New Roman"/>
        </w:rPr>
        <w:t>s</w:t>
      </w:r>
      <w:r w:rsidR="00290568" w:rsidRPr="00F117EB">
        <w:rPr>
          <w:rFonts w:ascii="Times New Roman" w:hAnsi="Times New Roman"/>
        </w:rPr>
        <w:t> 5(1)(c)</w:t>
      </w:r>
      <w:r w:rsidR="00F8203E" w:rsidRPr="00F117EB">
        <w:rPr>
          <w:rFonts w:ascii="Times New Roman" w:hAnsi="Times New Roman"/>
        </w:rPr>
        <w:t xml:space="preserve"> and</w:t>
      </w:r>
      <w:r w:rsidR="00290568" w:rsidRPr="00F117EB">
        <w:rPr>
          <w:rFonts w:ascii="Times New Roman" w:hAnsi="Times New Roman"/>
        </w:rPr>
        <w:t xml:space="preserve"> </w:t>
      </w:r>
      <w:r w:rsidR="00CB4743" w:rsidRPr="00F117EB">
        <w:rPr>
          <w:rFonts w:ascii="Times New Roman" w:hAnsi="Times New Roman"/>
        </w:rPr>
        <w:t>6(3</w:t>
      </w:r>
      <w:r w:rsidR="00290568" w:rsidRPr="00F117EB">
        <w:rPr>
          <w:rFonts w:ascii="Times New Roman" w:hAnsi="Times New Roman"/>
        </w:rPr>
        <w:t xml:space="preserve">) of </w:t>
      </w:r>
      <w:r w:rsidR="00EA5EAF" w:rsidRPr="00F117EB">
        <w:rPr>
          <w:rFonts w:ascii="Times New Roman" w:hAnsi="Times New Roman"/>
        </w:rPr>
        <w:t xml:space="preserve">the </w:t>
      </w:r>
      <w:r w:rsidR="00EA5EAF" w:rsidRPr="00F117EB">
        <w:rPr>
          <w:rFonts w:ascii="Times New Roman" w:hAnsi="Times New Roman"/>
          <w:i/>
          <w:iCs/>
        </w:rPr>
        <w:t>Criminal Appeal Act 1912</w:t>
      </w:r>
      <w:r w:rsidR="00EA5EAF" w:rsidRPr="00F117EB">
        <w:rPr>
          <w:rFonts w:ascii="Times New Roman" w:hAnsi="Times New Roman"/>
        </w:rPr>
        <w:t xml:space="preserve"> (</w:t>
      </w:r>
      <w:r w:rsidR="00920B8C" w:rsidRPr="00F117EB">
        <w:rPr>
          <w:rFonts w:ascii="Times New Roman" w:hAnsi="Times New Roman"/>
        </w:rPr>
        <w:t>NSW</w:t>
      </w:r>
      <w:r w:rsidR="00EA5EAF" w:rsidRPr="00F117EB">
        <w:rPr>
          <w:rFonts w:ascii="Times New Roman" w:hAnsi="Times New Roman"/>
        </w:rPr>
        <w:t xml:space="preserve">) for leave to appeal against sentence imposed </w:t>
      </w:r>
      <w:r w:rsidR="008954BC" w:rsidRPr="00F117EB">
        <w:rPr>
          <w:rFonts w:ascii="Times New Roman" w:hAnsi="Times New Roman"/>
        </w:rPr>
        <w:t xml:space="preserve">on </w:t>
      </w:r>
      <w:r w:rsidR="00EA5EAF" w:rsidRPr="00F117EB">
        <w:rPr>
          <w:rFonts w:ascii="Times New Roman" w:hAnsi="Times New Roman"/>
        </w:rPr>
        <w:t>their conviction on indictment.</w:t>
      </w:r>
      <w:r w:rsidR="006E2E1B" w:rsidRPr="00F117EB">
        <w:rPr>
          <w:rStyle w:val="FootnoteReference"/>
          <w:rFonts w:ascii="Times New Roman" w:hAnsi="Times New Roman"/>
          <w:sz w:val="24"/>
        </w:rPr>
        <w:footnoteReference w:id="6"/>
      </w:r>
      <w:r w:rsidR="00EA5EAF" w:rsidRPr="00F117EB">
        <w:rPr>
          <w:rFonts w:ascii="Times New Roman" w:hAnsi="Times New Roman"/>
        </w:rPr>
        <w:t xml:space="preserve"> </w:t>
      </w:r>
    </w:p>
    <w:p w14:paraId="50242D9E" w14:textId="6EA00F01" w:rsidR="00EA5EAF" w:rsidRPr="00F117EB" w:rsidRDefault="0044739A"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1140B" w:rsidRPr="00F117EB">
        <w:rPr>
          <w:rFonts w:ascii="Times New Roman" w:hAnsi="Times New Roman"/>
        </w:rPr>
        <w:t>Two issues arise for determination.</w:t>
      </w:r>
      <w:r w:rsidR="00EA5EAF" w:rsidRPr="00F117EB">
        <w:rPr>
          <w:rFonts w:ascii="Times New Roman" w:hAnsi="Times New Roman"/>
        </w:rPr>
        <w:t xml:space="preserve"> </w:t>
      </w:r>
    </w:p>
    <w:p w14:paraId="16F6EC3B" w14:textId="47AD8C02" w:rsidR="00EA5EAF" w:rsidRPr="00F117EB" w:rsidRDefault="005E1DE5"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The first </w:t>
      </w:r>
      <w:r w:rsidR="00E1140B" w:rsidRPr="00F117EB">
        <w:rPr>
          <w:rFonts w:ascii="Times New Roman" w:hAnsi="Times New Roman"/>
        </w:rPr>
        <w:t>issue</w:t>
      </w:r>
      <w:r w:rsidR="00EA5EAF" w:rsidRPr="00F117EB">
        <w:rPr>
          <w:rFonts w:ascii="Times New Roman" w:hAnsi="Times New Roman"/>
        </w:rPr>
        <w:t xml:space="preserve"> </w:t>
      </w:r>
      <w:r w:rsidR="00FB697A" w:rsidRPr="00F117EB">
        <w:rPr>
          <w:rFonts w:ascii="Times New Roman" w:hAnsi="Times New Roman"/>
        </w:rPr>
        <w:t xml:space="preserve">is </w:t>
      </w:r>
      <w:r w:rsidR="00EA5EAF" w:rsidRPr="00F117EB">
        <w:rPr>
          <w:rFonts w:ascii="Times New Roman" w:hAnsi="Times New Roman"/>
        </w:rPr>
        <w:t>whether</w:t>
      </w:r>
      <w:r w:rsidR="0017468D" w:rsidRPr="00F117EB">
        <w:rPr>
          <w:rFonts w:ascii="Times New Roman" w:hAnsi="Times New Roman"/>
        </w:rPr>
        <w:t xml:space="preserve">, when </w:t>
      </w:r>
      <w:r w:rsidR="00FA06A7" w:rsidRPr="00F117EB">
        <w:rPr>
          <w:rFonts w:ascii="Times New Roman" w:hAnsi="Times New Roman"/>
        </w:rPr>
        <w:t xml:space="preserve">determining an appeal against sentence pursuant to </w:t>
      </w:r>
      <w:r w:rsidR="0017468D" w:rsidRPr="00F117EB">
        <w:rPr>
          <w:rFonts w:ascii="Times New Roman" w:hAnsi="Times New Roman"/>
        </w:rPr>
        <w:t>s</w:t>
      </w:r>
      <w:r w:rsidR="006B7F27" w:rsidRPr="00F117EB">
        <w:rPr>
          <w:rFonts w:ascii="Times New Roman" w:hAnsi="Times New Roman"/>
        </w:rPr>
        <w:t>s</w:t>
      </w:r>
      <w:r w:rsidR="0017468D" w:rsidRPr="00F117EB">
        <w:rPr>
          <w:rFonts w:ascii="Times New Roman" w:hAnsi="Times New Roman"/>
        </w:rPr>
        <w:t> </w:t>
      </w:r>
      <w:r w:rsidR="006B7F27" w:rsidRPr="00F117EB">
        <w:rPr>
          <w:rFonts w:ascii="Times New Roman" w:hAnsi="Times New Roman"/>
        </w:rPr>
        <w:t xml:space="preserve">5(1)(c) and </w:t>
      </w:r>
      <w:r w:rsidR="0017468D" w:rsidRPr="00F117EB">
        <w:rPr>
          <w:rFonts w:ascii="Times New Roman" w:hAnsi="Times New Roman"/>
        </w:rPr>
        <w:t xml:space="preserve">6(3) of the </w:t>
      </w:r>
      <w:r w:rsidR="0017468D" w:rsidRPr="00F117EB">
        <w:rPr>
          <w:rFonts w:ascii="Times New Roman" w:hAnsi="Times New Roman"/>
          <w:i/>
          <w:iCs/>
        </w:rPr>
        <w:t>Criminal Appeal Act</w:t>
      </w:r>
      <w:r w:rsidR="0017468D" w:rsidRPr="00F117EB">
        <w:rPr>
          <w:rFonts w:ascii="Times New Roman" w:hAnsi="Times New Roman"/>
        </w:rPr>
        <w:t xml:space="preserve">, </w:t>
      </w:r>
      <w:r w:rsidR="00EA5EAF" w:rsidRPr="00F117EB">
        <w:rPr>
          <w:rFonts w:ascii="Times New Roman" w:hAnsi="Times New Roman"/>
        </w:rPr>
        <w:t>there is a threshold of materiality that must be satisfied before the Court of Criminal Appeal</w:t>
      </w:r>
      <w:r w:rsidR="0017468D" w:rsidRPr="00F117EB">
        <w:rPr>
          <w:rFonts w:ascii="Times New Roman" w:hAnsi="Times New Roman"/>
        </w:rPr>
        <w:t xml:space="preserve"> can conclude</w:t>
      </w:r>
      <w:r w:rsidR="00EA5EAF" w:rsidRPr="00F117EB">
        <w:rPr>
          <w:rFonts w:ascii="Times New Roman" w:hAnsi="Times New Roman"/>
        </w:rPr>
        <w:t xml:space="preserve"> that </w:t>
      </w:r>
      <w:r w:rsidR="0057707C" w:rsidRPr="00F117EB">
        <w:rPr>
          <w:rFonts w:ascii="Times New Roman" w:hAnsi="Times New Roman"/>
        </w:rPr>
        <w:t>a</w:t>
      </w:r>
      <w:r w:rsidR="00075D60" w:rsidRPr="00F117EB">
        <w:rPr>
          <w:rFonts w:ascii="Times New Roman" w:hAnsi="Times New Roman"/>
        </w:rPr>
        <w:t xml:space="preserve"> </w:t>
      </w:r>
      <w:r w:rsidR="00EA5EAF" w:rsidRPr="00F117EB">
        <w:rPr>
          <w:rFonts w:ascii="Times New Roman" w:hAnsi="Times New Roman"/>
        </w:rPr>
        <w:t xml:space="preserve">specific error or procedural irregularity </w:t>
      </w:r>
      <w:r w:rsidR="0017468D" w:rsidRPr="00F117EB">
        <w:rPr>
          <w:rFonts w:ascii="Times New Roman" w:hAnsi="Times New Roman"/>
        </w:rPr>
        <w:t>"</w:t>
      </w:r>
      <w:r w:rsidR="00EA5EAF" w:rsidRPr="00F117EB">
        <w:rPr>
          <w:rFonts w:ascii="Times New Roman" w:hAnsi="Times New Roman"/>
        </w:rPr>
        <w:t>vitiates</w:t>
      </w:r>
      <w:r w:rsidR="0017468D" w:rsidRPr="00F117EB">
        <w:rPr>
          <w:rFonts w:ascii="Times New Roman" w:hAnsi="Times New Roman"/>
        </w:rPr>
        <w:t>"</w:t>
      </w:r>
      <w:r w:rsidR="000E2CD0" w:rsidRPr="00F117EB">
        <w:rPr>
          <w:rStyle w:val="FootnoteReference"/>
          <w:rFonts w:ascii="Times New Roman" w:hAnsi="Times New Roman"/>
          <w:sz w:val="24"/>
        </w:rPr>
        <w:footnoteReference w:id="7"/>
      </w:r>
      <w:r w:rsidR="00EA5EAF" w:rsidRPr="00F117EB">
        <w:rPr>
          <w:rFonts w:ascii="Times New Roman" w:hAnsi="Times New Roman"/>
        </w:rPr>
        <w:t xml:space="preserve"> a sentence</w:t>
      </w:r>
      <w:r w:rsidR="0052054D" w:rsidRPr="00F117EB">
        <w:rPr>
          <w:rFonts w:ascii="Times New Roman" w:hAnsi="Times New Roman"/>
        </w:rPr>
        <w:t xml:space="preserve">. </w:t>
      </w:r>
      <w:r w:rsidR="00EA5EAF" w:rsidRPr="00F117EB">
        <w:rPr>
          <w:rFonts w:ascii="Times New Roman" w:hAnsi="Times New Roman"/>
        </w:rPr>
        <w:t>The answer is that there is a threshold</w:t>
      </w:r>
      <w:r w:rsidR="000A3E07" w:rsidRPr="00F117EB">
        <w:rPr>
          <w:rFonts w:ascii="Times New Roman" w:hAnsi="Times New Roman"/>
        </w:rPr>
        <w:t xml:space="preserve">. </w:t>
      </w:r>
      <w:r w:rsidR="00F25AB1" w:rsidRPr="00F117EB">
        <w:rPr>
          <w:rFonts w:ascii="Times New Roman" w:hAnsi="Times New Roman"/>
        </w:rPr>
        <w:t>T</w:t>
      </w:r>
      <w:r w:rsidR="000A3E07" w:rsidRPr="00F117EB">
        <w:rPr>
          <w:rFonts w:ascii="Times New Roman" w:hAnsi="Times New Roman"/>
        </w:rPr>
        <w:t xml:space="preserve">hat threshold </w:t>
      </w:r>
      <w:r w:rsidR="00EA5EAF" w:rsidRPr="00F117EB">
        <w:rPr>
          <w:rFonts w:ascii="Times New Roman" w:hAnsi="Times New Roman"/>
        </w:rPr>
        <w:t>accords with th</w:t>
      </w:r>
      <w:r w:rsidR="00434290" w:rsidRPr="00F117EB">
        <w:rPr>
          <w:rFonts w:ascii="Times New Roman" w:hAnsi="Times New Roman"/>
        </w:rPr>
        <w:t>e principle</w:t>
      </w:r>
      <w:r w:rsidR="00EA5EAF" w:rsidRPr="00F117EB">
        <w:rPr>
          <w:rFonts w:ascii="Times New Roman" w:hAnsi="Times New Roman"/>
        </w:rPr>
        <w:t xml:space="preserve"> stated in </w:t>
      </w:r>
      <w:r w:rsidR="00EA5EAF" w:rsidRPr="00F117EB">
        <w:rPr>
          <w:rFonts w:ascii="Times New Roman" w:hAnsi="Times New Roman"/>
          <w:i/>
          <w:iCs/>
        </w:rPr>
        <w:t>Brawn v The King</w:t>
      </w:r>
      <w:r w:rsidR="0018663A" w:rsidRPr="00F117EB">
        <w:rPr>
          <w:rStyle w:val="FootnoteReference"/>
          <w:rFonts w:ascii="Times New Roman" w:hAnsi="Times New Roman"/>
          <w:sz w:val="24"/>
        </w:rPr>
        <w:footnoteReference w:id="8"/>
      </w:r>
      <w:r w:rsidR="00EA5EAF" w:rsidRPr="00F117EB">
        <w:rPr>
          <w:rFonts w:ascii="Times New Roman" w:hAnsi="Times New Roman"/>
        </w:rPr>
        <w:t xml:space="preserve"> as to when errors or irregularities in the course of a trial</w:t>
      </w:r>
      <w:r w:rsidR="00F25AB1" w:rsidRPr="00F117EB">
        <w:rPr>
          <w:rFonts w:ascii="Times New Roman" w:hAnsi="Times New Roman"/>
        </w:rPr>
        <w:t xml:space="preserve"> that are not fundamental errors</w:t>
      </w:r>
      <w:r w:rsidR="00EA5EAF" w:rsidRPr="00F117EB">
        <w:rPr>
          <w:rFonts w:ascii="Times New Roman" w:hAnsi="Times New Roman"/>
        </w:rPr>
        <w:t xml:space="preserve"> amount to a miscarriage of justice within the meaning of the third limb of </w:t>
      </w:r>
      <w:r w:rsidR="00140696" w:rsidRPr="00F117EB">
        <w:rPr>
          <w:rFonts w:ascii="Times New Roman" w:hAnsi="Times New Roman"/>
        </w:rPr>
        <w:t>the "common form" criminal appeal provision</w:t>
      </w:r>
      <w:r w:rsidR="00F25AB1" w:rsidRPr="00F117EB">
        <w:rPr>
          <w:rFonts w:ascii="Times New Roman" w:hAnsi="Times New Roman"/>
        </w:rPr>
        <w:t>.</w:t>
      </w:r>
      <w:r w:rsidR="00A14E9E" w:rsidRPr="00F117EB">
        <w:rPr>
          <w:rStyle w:val="FootnoteReference"/>
          <w:rFonts w:ascii="Times New Roman" w:hAnsi="Times New Roman"/>
          <w:sz w:val="24"/>
        </w:rPr>
        <w:footnoteReference w:id="9"/>
      </w:r>
      <w:r w:rsidR="00EA5EAF" w:rsidRPr="00F117EB">
        <w:rPr>
          <w:rFonts w:ascii="Times New Roman" w:hAnsi="Times New Roman"/>
        </w:rPr>
        <w:t xml:space="preserve"> </w:t>
      </w:r>
      <w:r w:rsidR="00F25AB1" w:rsidRPr="00F117EB">
        <w:rPr>
          <w:rFonts w:ascii="Times New Roman" w:hAnsi="Times New Roman"/>
        </w:rPr>
        <w:t xml:space="preserve">Adapted to sentencing appeals, that threshold requires </w:t>
      </w:r>
      <w:r w:rsidR="005D2DC9" w:rsidRPr="00F117EB">
        <w:rPr>
          <w:rFonts w:ascii="Times New Roman" w:hAnsi="Times New Roman"/>
        </w:rPr>
        <w:t>that</w:t>
      </w:r>
      <w:r w:rsidR="00EA5EAF" w:rsidRPr="00F117EB">
        <w:rPr>
          <w:rFonts w:ascii="Times New Roman" w:hAnsi="Times New Roman"/>
        </w:rPr>
        <w:t xml:space="preserve"> the</w:t>
      </w:r>
      <w:r w:rsidR="00F956C1" w:rsidRPr="00F117EB">
        <w:rPr>
          <w:rFonts w:ascii="Times New Roman" w:hAnsi="Times New Roman"/>
        </w:rPr>
        <w:t xml:space="preserve"> </w:t>
      </w:r>
      <w:r w:rsidR="00E62176" w:rsidRPr="00F117EB">
        <w:rPr>
          <w:rFonts w:ascii="Times New Roman" w:hAnsi="Times New Roman"/>
        </w:rPr>
        <w:t xml:space="preserve">specific </w:t>
      </w:r>
      <w:r w:rsidR="00F956C1" w:rsidRPr="00F117EB">
        <w:rPr>
          <w:rFonts w:ascii="Times New Roman" w:hAnsi="Times New Roman"/>
        </w:rPr>
        <w:t xml:space="preserve">error </w:t>
      </w:r>
      <w:r w:rsidR="001E7B15" w:rsidRPr="00F117EB">
        <w:rPr>
          <w:rFonts w:ascii="Times New Roman" w:hAnsi="Times New Roman"/>
        </w:rPr>
        <w:t>or</w:t>
      </w:r>
      <w:r w:rsidR="00667C46" w:rsidRPr="00F117EB">
        <w:rPr>
          <w:rFonts w:ascii="Times New Roman" w:hAnsi="Times New Roman"/>
        </w:rPr>
        <w:t xml:space="preserve"> procedural </w:t>
      </w:r>
      <w:r w:rsidR="00F956C1" w:rsidRPr="00F117EB" w:rsidDel="00E62176">
        <w:rPr>
          <w:rFonts w:ascii="Times New Roman" w:hAnsi="Times New Roman"/>
        </w:rPr>
        <w:t>irregularity</w:t>
      </w:r>
      <w:r w:rsidR="00EA5EAF" w:rsidRPr="00F117EB">
        <w:rPr>
          <w:rFonts w:ascii="Times New Roman" w:hAnsi="Times New Roman"/>
        </w:rPr>
        <w:t xml:space="preserve"> "could realistically have affected"</w:t>
      </w:r>
      <w:r w:rsidR="00E1140B" w:rsidRPr="00F117EB">
        <w:rPr>
          <w:rFonts w:ascii="Times New Roman" w:hAnsi="Times New Roman"/>
        </w:rPr>
        <w:t xml:space="preserve"> the reasoning of the sentencing </w:t>
      </w:r>
      <w:r w:rsidR="0083425C" w:rsidRPr="00F117EB">
        <w:rPr>
          <w:rFonts w:ascii="Times New Roman" w:hAnsi="Times New Roman"/>
        </w:rPr>
        <w:t>judge to the sentence that was imposed.</w:t>
      </w:r>
    </w:p>
    <w:p w14:paraId="0BBCD447" w14:textId="462D3583" w:rsidR="00EA5EAF" w:rsidRPr="00F117EB" w:rsidRDefault="009D5DD0"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The second </w:t>
      </w:r>
      <w:r w:rsidR="00F779B2" w:rsidRPr="00F117EB">
        <w:rPr>
          <w:rFonts w:ascii="Times New Roman" w:hAnsi="Times New Roman"/>
        </w:rPr>
        <w:t>issue</w:t>
      </w:r>
      <w:r w:rsidR="00EA5EAF" w:rsidRPr="00F117EB">
        <w:rPr>
          <w:rFonts w:ascii="Times New Roman" w:hAnsi="Times New Roman"/>
        </w:rPr>
        <w:t xml:space="preserve"> </w:t>
      </w:r>
      <w:r w:rsidR="00FB697A" w:rsidRPr="00F117EB">
        <w:rPr>
          <w:rFonts w:ascii="Times New Roman" w:hAnsi="Times New Roman"/>
        </w:rPr>
        <w:t xml:space="preserve">is </w:t>
      </w:r>
      <w:r w:rsidR="00EA5EAF" w:rsidRPr="00F117EB">
        <w:rPr>
          <w:rFonts w:ascii="Times New Roman" w:hAnsi="Times New Roman"/>
        </w:rPr>
        <w:t xml:space="preserve">whether the appellant established </w:t>
      </w:r>
      <w:r w:rsidR="004D4BBA" w:rsidRPr="00F117EB">
        <w:rPr>
          <w:rFonts w:ascii="Times New Roman" w:hAnsi="Times New Roman"/>
        </w:rPr>
        <w:t>th</w:t>
      </w:r>
      <w:r w:rsidR="005B6B06" w:rsidRPr="00F117EB">
        <w:rPr>
          <w:rFonts w:ascii="Times New Roman" w:hAnsi="Times New Roman"/>
        </w:rPr>
        <w:t>at his sentencing was affected by the alleged</w:t>
      </w:r>
      <w:r w:rsidR="00621128" w:rsidRPr="00F117EB">
        <w:rPr>
          <w:rFonts w:ascii="Times New Roman" w:hAnsi="Times New Roman"/>
        </w:rPr>
        <w:t xml:space="preserve"> </w:t>
      </w:r>
      <w:r w:rsidR="00EA5EAF" w:rsidRPr="00F117EB">
        <w:rPr>
          <w:rFonts w:ascii="Times New Roman" w:hAnsi="Times New Roman"/>
        </w:rPr>
        <w:t>procedural irregularity</w:t>
      </w:r>
      <w:r w:rsidR="005B6B06" w:rsidRPr="00F117EB">
        <w:rPr>
          <w:rFonts w:ascii="Times New Roman" w:hAnsi="Times New Roman"/>
        </w:rPr>
        <w:t>.</w:t>
      </w:r>
      <w:r w:rsidR="00577848" w:rsidRPr="00F117EB">
        <w:rPr>
          <w:rFonts w:ascii="Times New Roman" w:hAnsi="Times New Roman"/>
        </w:rPr>
        <w:t xml:space="preserve"> </w:t>
      </w:r>
      <w:r w:rsidR="00EA5EAF" w:rsidRPr="00F117EB">
        <w:rPr>
          <w:rFonts w:ascii="Times New Roman" w:hAnsi="Times New Roman"/>
        </w:rPr>
        <w:t>The answer is that the Court of Criminal Appeal was correct to conclude</w:t>
      </w:r>
      <w:r w:rsidR="005B6B06" w:rsidRPr="00F117EB">
        <w:rPr>
          <w:rFonts w:ascii="Times New Roman" w:hAnsi="Times New Roman"/>
        </w:rPr>
        <w:t xml:space="preserve"> that</w:t>
      </w:r>
      <w:r w:rsidR="006C695C" w:rsidRPr="00F117EB">
        <w:rPr>
          <w:rFonts w:ascii="Times New Roman" w:hAnsi="Times New Roman"/>
        </w:rPr>
        <w:t xml:space="preserve">, in the absence of </w:t>
      </w:r>
      <w:r w:rsidR="00E62176" w:rsidRPr="00F117EB">
        <w:rPr>
          <w:rFonts w:ascii="Times New Roman" w:hAnsi="Times New Roman"/>
        </w:rPr>
        <w:t xml:space="preserve">any direct </w:t>
      </w:r>
      <w:r w:rsidR="006C695C" w:rsidRPr="00F117EB">
        <w:rPr>
          <w:rFonts w:ascii="Times New Roman" w:hAnsi="Times New Roman"/>
        </w:rPr>
        <w:t>evidence as to any advice the appellant received from or the instructions he gave to Senior Counsel,</w:t>
      </w:r>
      <w:r w:rsidR="00EA5EAF" w:rsidRPr="00F117EB">
        <w:rPr>
          <w:rFonts w:ascii="Times New Roman" w:hAnsi="Times New Roman"/>
        </w:rPr>
        <w:t xml:space="preserve"> the appellant did not establish </w:t>
      </w:r>
      <w:r w:rsidR="00CA167A" w:rsidRPr="00F117EB">
        <w:rPr>
          <w:rFonts w:ascii="Times New Roman" w:hAnsi="Times New Roman"/>
        </w:rPr>
        <w:t xml:space="preserve">that Senior Counsel </w:t>
      </w:r>
      <w:r w:rsidR="00CD6559" w:rsidRPr="00F117EB">
        <w:rPr>
          <w:rFonts w:ascii="Times New Roman" w:hAnsi="Times New Roman"/>
        </w:rPr>
        <w:t xml:space="preserve">had a </w:t>
      </w:r>
      <w:r w:rsidR="00EA5EAF" w:rsidRPr="00F117EB">
        <w:rPr>
          <w:rFonts w:ascii="Times New Roman" w:hAnsi="Times New Roman"/>
        </w:rPr>
        <w:t>conflict</w:t>
      </w:r>
      <w:r w:rsidR="00CD6559" w:rsidRPr="00F117EB">
        <w:rPr>
          <w:rFonts w:ascii="Times New Roman" w:hAnsi="Times New Roman"/>
        </w:rPr>
        <w:t xml:space="preserve"> or a real or substantial possibility of a conflict</w:t>
      </w:r>
      <w:r w:rsidR="00EA5EAF" w:rsidRPr="00F117EB">
        <w:rPr>
          <w:rFonts w:ascii="Times New Roman" w:hAnsi="Times New Roman"/>
        </w:rPr>
        <w:t>.</w:t>
      </w:r>
      <w:r w:rsidR="00015891" w:rsidRPr="00F117EB">
        <w:rPr>
          <w:rFonts w:ascii="Times New Roman" w:hAnsi="Times New Roman"/>
        </w:rPr>
        <w:t xml:space="preserve"> Accordingly, no issue of the materiality of the alleged procedural irregularity arose although, had the alleged irregularity been established, then it would have been material. Ultimately, it was not demonstrated </w:t>
      </w:r>
      <w:r w:rsidR="00015891" w:rsidRPr="00F117EB">
        <w:rPr>
          <w:rFonts w:ascii="Times New Roman" w:hAnsi="Times New Roman"/>
        </w:rPr>
        <w:lastRenderedPageBreak/>
        <w:t>that any practical injustice was occasioned to the appellant in that it was not shown that he was denied a reasonable opportunity to present his case.</w:t>
      </w:r>
      <w:r w:rsidR="004552BD" w:rsidRPr="00F117EB">
        <w:rPr>
          <w:rStyle w:val="FootnoteReference"/>
          <w:rFonts w:ascii="Times New Roman" w:hAnsi="Times New Roman"/>
          <w:sz w:val="24"/>
        </w:rPr>
        <w:footnoteReference w:id="10"/>
      </w:r>
    </w:p>
    <w:p w14:paraId="6628653B" w14:textId="7B15702D" w:rsidR="00EA5EAF" w:rsidRPr="00F117EB" w:rsidRDefault="00EA1B2F"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The </w:t>
      </w:r>
      <w:r w:rsidR="006C695C" w:rsidRPr="00F117EB">
        <w:rPr>
          <w:rFonts w:ascii="Times New Roman" w:hAnsi="Times New Roman"/>
        </w:rPr>
        <w:t xml:space="preserve">parties and the intervenor also debated </w:t>
      </w:r>
      <w:r w:rsidR="00EA5EAF" w:rsidRPr="00F117EB">
        <w:rPr>
          <w:rFonts w:ascii="Times New Roman" w:hAnsi="Times New Roman"/>
        </w:rPr>
        <w:t>whether</w:t>
      </w:r>
      <w:r w:rsidR="00857213" w:rsidRPr="00F117EB">
        <w:rPr>
          <w:rFonts w:ascii="Times New Roman" w:hAnsi="Times New Roman"/>
        </w:rPr>
        <w:t>,</w:t>
      </w:r>
      <w:r w:rsidR="00195F55" w:rsidRPr="00F117EB">
        <w:rPr>
          <w:rFonts w:ascii="Times New Roman" w:hAnsi="Times New Roman"/>
        </w:rPr>
        <w:t xml:space="preserve"> </w:t>
      </w:r>
      <w:r w:rsidR="0043595D" w:rsidRPr="00F117EB">
        <w:rPr>
          <w:rFonts w:ascii="Times New Roman" w:hAnsi="Times New Roman"/>
        </w:rPr>
        <w:t>upon the establishment of a material specific error</w:t>
      </w:r>
      <w:r w:rsidR="0043595D" w:rsidRPr="00F117EB" w:rsidDel="0043595D">
        <w:rPr>
          <w:rFonts w:ascii="Times New Roman" w:hAnsi="Times New Roman"/>
        </w:rPr>
        <w:t xml:space="preserve"> </w:t>
      </w:r>
      <w:r w:rsidR="0043595D" w:rsidRPr="00F117EB">
        <w:rPr>
          <w:rFonts w:ascii="Times New Roman" w:hAnsi="Times New Roman"/>
        </w:rPr>
        <w:t xml:space="preserve">in </w:t>
      </w:r>
      <w:r w:rsidR="00195F55" w:rsidRPr="00F117EB">
        <w:rPr>
          <w:rFonts w:ascii="Times New Roman" w:hAnsi="Times New Roman"/>
        </w:rPr>
        <w:t xml:space="preserve">an appeal against sentence pursuant to ss 5(1)(c) and 6(3) of the </w:t>
      </w:r>
      <w:r w:rsidR="00195F55" w:rsidRPr="00F117EB">
        <w:rPr>
          <w:rFonts w:ascii="Times New Roman" w:hAnsi="Times New Roman"/>
          <w:i/>
          <w:iCs/>
        </w:rPr>
        <w:t>Criminal Appeal Act</w:t>
      </w:r>
      <w:r w:rsidR="00EA5EAF" w:rsidRPr="00F117EB" w:rsidDel="00857213">
        <w:rPr>
          <w:rFonts w:ascii="Times New Roman" w:hAnsi="Times New Roman"/>
        </w:rPr>
        <w:t>,</w:t>
      </w:r>
      <w:r w:rsidR="00EA5EAF" w:rsidRPr="00F117EB">
        <w:rPr>
          <w:rFonts w:ascii="Times New Roman" w:hAnsi="Times New Roman"/>
        </w:rPr>
        <w:t xml:space="preserve"> the Court of Criminal Appeal </w:t>
      </w:r>
      <w:r w:rsidR="001211DE" w:rsidRPr="00F117EB">
        <w:rPr>
          <w:rFonts w:ascii="Times New Roman" w:hAnsi="Times New Roman"/>
        </w:rPr>
        <w:t xml:space="preserve">can </w:t>
      </w:r>
      <w:r w:rsidR="00EA5EAF" w:rsidRPr="00F117EB">
        <w:rPr>
          <w:rFonts w:ascii="Times New Roman" w:hAnsi="Times New Roman"/>
        </w:rPr>
        <w:t xml:space="preserve">remit the proceedings to the District Court </w:t>
      </w:r>
      <w:r w:rsidR="0003599D" w:rsidRPr="00F117EB">
        <w:rPr>
          <w:rFonts w:ascii="Times New Roman" w:hAnsi="Times New Roman"/>
        </w:rPr>
        <w:t xml:space="preserve">under s 12(2) of the </w:t>
      </w:r>
      <w:r w:rsidR="0003599D" w:rsidRPr="00F117EB">
        <w:rPr>
          <w:rFonts w:ascii="Times New Roman" w:hAnsi="Times New Roman"/>
          <w:i/>
          <w:iCs/>
        </w:rPr>
        <w:t>Criminal Appeal Act</w:t>
      </w:r>
      <w:r w:rsidR="0003599D" w:rsidRPr="00F117EB">
        <w:rPr>
          <w:rFonts w:ascii="Times New Roman" w:hAnsi="Times New Roman"/>
        </w:rPr>
        <w:t xml:space="preserve"> </w:t>
      </w:r>
      <w:r w:rsidR="00EA5EAF" w:rsidRPr="00F117EB">
        <w:rPr>
          <w:rFonts w:ascii="Times New Roman" w:hAnsi="Times New Roman"/>
        </w:rPr>
        <w:t>for resentencing</w:t>
      </w:r>
      <w:r w:rsidR="005569ED" w:rsidRPr="00F117EB">
        <w:rPr>
          <w:rFonts w:ascii="Times New Roman" w:hAnsi="Times New Roman"/>
        </w:rPr>
        <w:t xml:space="preserve"> without determining whe</w:t>
      </w:r>
      <w:r w:rsidR="00D95638" w:rsidRPr="00F117EB">
        <w:rPr>
          <w:rFonts w:ascii="Times New Roman" w:hAnsi="Times New Roman"/>
        </w:rPr>
        <w:t>ther a lesser sentence is warranted in law</w:t>
      </w:r>
      <w:r w:rsidR="002767EA" w:rsidRPr="00F117EB">
        <w:rPr>
          <w:rFonts w:ascii="Times New Roman" w:hAnsi="Times New Roman"/>
        </w:rPr>
        <w:t>.</w:t>
      </w:r>
      <w:r w:rsidR="000D7F12" w:rsidRPr="00F117EB">
        <w:rPr>
          <w:rStyle w:val="FootnoteReference"/>
          <w:rFonts w:ascii="Times New Roman" w:hAnsi="Times New Roman"/>
          <w:sz w:val="24"/>
        </w:rPr>
        <w:footnoteReference w:id="11"/>
      </w:r>
      <w:r w:rsidR="00EA5EAF" w:rsidRPr="00F117EB">
        <w:rPr>
          <w:rFonts w:ascii="Times New Roman" w:hAnsi="Times New Roman"/>
        </w:rPr>
        <w:t xml:space="preserve"> Given the </w:t>
      </w:r>
      <w:r w:rsidR="00882628" w:rsidRPr="00F117EB">
        <w:rPr>
          <w:rFonts w:ascii="Times New Roman" w:hAnsi="Times New Roman"/>
        </w:rPr>
        <w:t>outcome of</w:t>
      </w:r>
      <w:r w:rsidR="00EA5EAF" w:rsidRPr="00F117EB">
        <w:rPr>
          <w:rFonts w:ascii="Times New Roman" w:hAnsi="Times New Roman"/>
        </w:rPr>
        <w:t xml:space="preserve"> the second </w:t>
      </w:r>
      <w:r w:rsidR="002767EA" w:rsidRPr="00F117EB">
        <w:rPr>
          <w:rFonts w:ascii="Times New Roman" w:hAnsi="Times New Roman"/>
        </w:rPr>
        <w:t>issue</w:t>
      </w:r>
      <w:r w:rsidR="00EA5EAF" w:rsidRPr="00F117EB">
        <w:rPr>
          <w:rFonts w:ascii="Times New Roman" w:hAnsi="Times New Roman"/>
        </w:rPr>
        <w:t xml:space="preserve">, it is not necessary to address this </w:t>
      </w:r>
      <w:r w:rsidR="001211DE" w:rsidRPr="00F117EB">
        <w:rPr>
          <w:rFonts w:ascii="Times New Roman" w:hAnsi="Times New Roman"/>
        </w:rPr>
        <w:t>question</w:t>
      </w:r>
      <w:r w:rsidR="00EA5EAF" w:rsidRPr="00F117EB">
        <w:rPr>
          <w:rFonts w:ascii="Times New Roman" w:hAnsi="Times New Roman"/>
        </w:rPr>
        <w:t xml:space="preserve">.  </w:t>
      </w:r>
    </w:p>
    <w:p w14:paraId="56D090E1" w14:textId="77777777" w:rsidR="000841B0" w:rsidRPr="00F117EB" w:rsidRDefault="000841B0" w:rsidP="00F117EB">
      <w:pPr>
        <w:pStyle w:val="HeadingL1"/>
        <w:spacing w:after="260" w:line="280" w:lineRule="exact"/>
        <w:ind w:right="0"/>
        <w:jc w:val="both"/>
        <w:rPr>
          <w:rFonts w:ascii="Times New Roman" w:hAnsi="Times New Roman"/>
        </w:rPr>
      </w:pPr>
      <w:r w:rsidRPr="00F117EB">
        <w:rPr>
          <w:rFonts w:ascii="Times New Roman" w:hAnsi="Times New Roman"/>
        </w:rPr>
        <w:t xml:space="preserve">Background </w:t>
      </w:r>
    </w:p>
    <w:p w14:paraId="1A52F4B0" w14:textId="6AACBC50" w:rsidR="000841B0" w:rsidRPr="00F117EB" w:rsidRDefault="000841B0" w:rsidP="00F117EB">
      <w:pPr>
        <w:pStyle w:val="FixListStyle"/>
        <w:spacing w:after="260" w:line="280" w:lineRule="exact"/>
        <w:ind w:right="0"/>
        <w:jc w:val="both"/>
        <w:rPr>
          <w:rFonts w:ascii="Times New Roman" w:hAnsi="Times New Roman"/>
        </w:rPr>
      </w:pPr>
      <w:r w:rsidRPr="00F117EB">
        <w:rPr>
          <w:rFonts w:ascii="Times New Roman" w:hAnsi="Times New Roman"/>
        </w:rPr>
        <w:tab/>
        <w:t xml:space="preserve">On </w:t>
      </w:r>
      <w:r w:rsidR="0017537D" w:rsidRPr="00F117EB">
        <w:rPr>
          <w:rFonts w:ascii="Times New Roman" w:hAnsi="Times New Roman"/>
        </w:rPr>
        <w:t>28 September 2022</w:t>
      </w:r>
      <w:r w:rsidRPr="00F117EB">
        <w:rPr>
          <w:rFonts w:ascii="Times New Roman" w:hAnsi="Times New Roman"/>
        </w:rPr>
        <w:t xml:space="preserve"> the appellant pleaded guilty in the Local Court </w:t>
      </w:r>
      <w:r w:rsidR="00E8060B" w:rsidRPr="00F117EB">
        <w:rPr>
          <w:rFonts w:ascii="Times New Roman" w:hAnsi="Times New Roman"/>
        </w:rPr>
        <w:t xml:space="preserve">of New South Wales </w:t>
      </w:r>
      <w:r w:rsidRPr="00F117EB">
        <w:rPr>
          <w:rFonts w:ascii="Times New Roman" w:hAnsi="Times New Roman"/>
        </w:rPr>
        <w:t>to a charge of conspiring to traffic a commercial quantity of controlled drug</w:t>
      </w:r>
      <w:r w:rsidR="000852EA" w:rsidRPr="00F117EB">
        <w:rPr>
          <w:rFonts w:ascii="Times New Roman" w:hAnsi="Times New Roman"/>
        </w:rPr>
        <w:t>s</w:t>
      </w:r>
      <w:r w:rsidR="006C3768" w:rsidRPr="00F117EB">
        <w:rPr>
          <w:rFonts w:ascii="Times New Roman" w:hAnsi="Times New Roman"/>
        </w:rPr>
        <w:t xml:space="preserve"> between about 17 April 2013 and 7 October 2015</w:t>
      </w:r>
      <w:r w:rsidRPr="00F117EB">
        <w:rPr>
          <w:rFonts w:ascii="Times New Roman" w:hAnsi="Times New Roman"/>
        </w:rPr>
        <w:t>, namely 20kg of MDM</w:t>
      </w:r>
      <w:r w:rsidR="008E3AC0" w:rsidRPr="00F117EB">
        <w:rPr>
          <w:rFonts w:ascii="Times New Roman" w:hAnsi="Times New Roman"/>
        </w:rPr>
        <w:t>A</w:t>
      </w:r>
      <w:r w:rsidRPr="00F117EB">
        <w:rPr>
          <w:rFonts w:ascii="Times New Roman" w:hAnsi="Times New Roman"/>
        </w:rPr>
        <w:t xml:space="preserve"> and 3kg of methamphetamine</w:t>
      </w:r>
      <w:r w:rsidR="00BF3E5A" w:rsidRPr="00F117EB">
        <w:rPr>
          <w:rFonts w:ascii="Times New Roman" w:hAnsi="Times New Roman"/>
        </w:rPr>
        <w:t>.</w:t>
      </w:r>
      <w:r w:rsidR="008E3AC0" w:rsidRPr="00F117EB">
        <w:rPr>
          <w:rStyle w:val="FootnoteReference"/>
          <w:rFonts w:ascii="Times New Roman" w:hAnsi="Times New Roman"/>
          <w:sz w:val="24"/>
        </w:rPr>
        <w:footnoteReference w:id="12"/>
      </w:r>
      <w:r w:rsidRPr="00F117EB">
        <w:rPr>
          <w:rFonts w:ascii="Times New Roman" w:hAnsi="Times New Roman"/>
        </w:rPr>
        <w:t xml:space="preserve"> He also pleaded guilty to a charge of</w:t>
      </w:r>
      <w:r w:rsidR="00BF3E5A" w:rsidRPr="00F117EB">
        <w:rPr>
          <w:rFonts w:ascii="Times New Roman" w:hAnsi="Times New Roman"/>
        </w:rPr>
        <w:t xml:space="preserve"> </w:t>
      </w:r>
      <w:r w:rsidR="00E37F19" w:rsidRPr="00F117EB">
        <w:rPr>
          <w:rFonts w:ascii="Times New Roman" w:hAnsi="Times New Roman"/>
        </w:rPr>
        <w:t xml:space="preserve">dealing </w:t>
      </w:r>
      <w:r w:rsidRPr="00F117EB">
        <w:rPr>
          <w:rFonts w:ascii="Times New Roman" w:hAnsi="Times New Roman"/>
        </w:rPr>
        <w:t>with proceeds of crime being money worth more than $100,000, namely $957,218</w:t>
      </w:r>
      <w:r w:rsidR="008F3413" w:rsidRPr="00F117EB">
        <w:rPr>
          <w:rFonts w:ascii="Times New Roman" w:hAnsi="Times New Roman"/>
        </w:rPr>
        <w:t>,</w:t>
      </w:r>
      <w:r w:rsidR="00BF3E5A" w:rsidRPr="00F117EB">
        <w:rPr>
          <w:rFonts w:ascii="Times New Roman" w:hAnsi="Times New Roman"/>
        </w:rPr>
        <w:t xml:space="preserve"> between </w:t>
      </w:r>
      <w:r w:rsidR="00225857" w:rsidRPr="00F117EB">
        <w:rPr>
          <w:rFonts w:ascii="Times New Roman" w:hAnsi="Times New Roman"/>
        </w:rPr>
        <w:t xml:space="preserve">20 March </w:t>
      </w:r>
      <w:r w:rsidR="00BF3E5A" w:rsidRPr="00F117EB">
        <w:rPr>
          <w:rFonts w:ascii="Times New Roman" w:hAnsi="Times New Roman"/>
        </w:rPr>
        <w:t>2014 and 7 October 2015</w:t>
      </w:r>
      <w:r w:rsidRPr="00F117EB">
        <w:rPr>
          <w:rFonts w:ascii="Times New Roman" w:hAnsi="Times New Roman"/>
        </w:rPr>
        <w:t>.</w:t>
      </w:r>
      <w:r w:rsidR="008F00EB" w:rsidRPr="00F117EB">
        <w:rPr>
          <w:rStyle w:val="FootnoteReference"/>
          <w:rFonts w:ascii="Times New Roman" w:hAnsi="Times New Roman"/>
          <w:sz w:val="24"/>
        </w:rPr>
        <w:footnoteReference w:id="13"/>
      </w:r>
      <w:r w:rsidRPr="00F117EB">
        <w:rPr>
          <w:rFonts w:ascii="Times New Roman" w:hAnsi="Times New Roman"/>
        </w:rPr>
        <w:t xml:space="preserve"> </w:t>
      </w:r>
    </w:p>
    <w:p w14:paraId="7B81BB75" w14:textId="5122AFAB" w:rsidR="000841B0" w:rsidRPr="00F117EB" w:rsidRDefault="00AC099A"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0841B0" w:rsidRPr="00F117EB">
        <w:rPr>
          <w:rFonts w:ascii="Times New Roman" w:hAnsi="Times New Roman"/>
        </w:rPr>
        <w:t>At the same time Deniz Kanmaz pleaded guilty to the same conspiracy offence</w:t>
      </w:r>
      <w:r w:rsidR="00406609" w:rsidRPr="00F117EB">
        <w:rPr>
          <w:rStyle w:val="FootnoteReference"/>
          <w:rFonts w:ascii="Times New Roman" w:hAnsi="Times New Roman"/>
          <w:sz w:val="24"/>
        </w:rPr>
        <w:footnoteReference w:id="14"/>
      </w:r>
      <w:r w:rsidR="000841B0" w:rsidRPr="00F117EB">
        <w:rPr>
          <w:rFonts w:ascii="Times New Roman" w:hAnsi="Times New Roman"/>
        </w:rPr>
        <w:t xml:space="preserve"> save that the quantity of the controlled drugs was particularised as </w:t>
      </w:r>
      <w:r w:rsidR="00041B18" w:rsidRPr="00F117EB">
        <w:rPr>
          <w:rFonts w:ascii="Times New Roman" w:hAnsi="Times New Roman"/>
        </w:rPr>
        <w:t xml:space="preserve">being </w:t>
      </w:r>
      <w:r w:rsidR="000841B0" w:rsidRPr="00F117EB">
        <w:rPr>
          <w:rFonts w:ascii="Times New Roman" w:hAnsi="Times New Roman"/>
        </w:rPr>
        <w:t>21kg of MDMA and 9.18kg of methamphetamine. He also pleaded guilty to a charge of</w:t>
      </w:r>
      <w:r w:rsidR="00347809" w:rsidRPr="00F117EB">
        <w:rPr>
          <w:rFonts w:ascii="Times New Roman" w:hAnsi="Times New Roman"/>
        </w:rPr>
        <w:t xml:space="preserve"> </w:t>
      </w:r>
      <w:r w:rsidR="00DF2FE0" w:rsidRPr="00F117EB">
        <w:rPr>
          <w:rFonts w:ascii="Times New Roman" w:hAnsi="Times New Roman"/>
        </w:rPr>
        <w:t>dealing</w:t>
      </w:r>
      <w:r w:rsidR="000841B0" w:rsidRPr="00F117EB">
        <w:rPr>
          <w:rFonts w:ascii="Times New Roman" w:hAnsi="Times New Roman"/>
        </w:rPr>
        <w:t xml:space="preserve"> with proceeds of crime being money worth more than $1</w:t>
      </w:r>
      <w:r w:rsidR="002F4B17" w:rsidRPr="00F117EB">
        <w:rPr>
          <w:rFonts w:ascii="Times New Roman" w:hAnsi="Times New Roman"/>
        </w:rPr>
        <w:t>,</w:t>
      </w:r>
      <w:r w:rsidR="000841B0" w:rsidRPr="00F117EB">
        <w:rPr>
          <w:rFonts w:ascii="Times New Roman" w:hAnsi="Times New Roman"/>
        </w:rPr>
        <w:t>000,000</w:t>
      </w:r>
      <w:r w:rsidR="007E7610" w:rsidRPr="00F117EB">
        <w:rPr>
          <w:rFonts w:ascii="Times New Roman" w:hAnsi="Times New Roman"/>
        </w:rPr>
        <w:t>,</w:t>
      </w:r>
      <w:r w:rsidR="000841B0" w:rsidRPr="00F117EB">
        <w:rPr>
          <w:rFonts w:ascii="Times New Roman" w:hAnsi="Times New Roman"/>
        </w:rPr>
        <w:t xml:space="preserve"> namely $1,785,000</w:t>
      </w:r>
      <w:r w:rsidR="007E7610" w:rsidRPr="00F117EB">
        <w:rPr>
          <w:rFonts w:ascii="Times New Roman" w:hAnsi="Times New Roman"/>
        </w:rPr>
        <w:t>,</w:t>
      </w:r>
      <w:r w:rsidR="00347809" w:rsidRPr="00F117EB">
        <w:rPr>
          <w:rFonts w:ascii="Times New Roman" w:hAnsi="Times New Roman"/>
        </w:rPr>
        <w:t xml:space="preserve"> between </w:t>
      </w:r>
      <w:r w:rsidR="00494F0A" w:rsidRPr="00F117EB">
        <w:rPr>
          <w:rFonts w:ascii="Times New Roman" w:hAnsi="Times New Roman"/>
        </w:rPr>
        <w:t>17 April 2013 and 24 April 2015</w:t>
      </w:r>
      <w:r w:rsidR="000841B0" w:rsidRPr="00F117EB">
        <w:rPr>
          <w:rFonts w:ascii="Times New Roman" w:hAnsi="Times New Roman"/>
        </w:rPr>
        <w:t>.</w:t>
      </w:r>
      <w:r w:rsidR="00A9012C" w:rsidRPr="00F117EB">
        <w:rPr>
          <w:rStyle w:val="FootnoteReference"/>
          <w:rFonts w:ascii="Times New Roman" w:hAnsi="Times New Roman"/>
          <w:sz w:val="24"/>
        </w:rPr>
        <w:footnoteReference w:id="15"/>
      </w:r>
      <w:r w:rsidR="000841B0" w:rsidRPr="00F117EB">
        <w:rPr>
          <w:rFonts w:ascii="Times New Roman" w:hAnsi="Times New Roman"/>
        </w:rPr>
        <w:t xml:space="preserve">  </w:t>
      </w:r>
    </w:p>
    <w:p w14:paraId="3B016832" w14:textId="0FCC3CD1" w:rsidR="000841B0" w:rsidRPr="00F117EB" w:rsidRDefault="00AC099A" w:rsidP="00F117EB">
      <w:pPr>
        <w:pStyle w:val="FixListStyle"/>
        <w:spacing w:after="260" w:line="280" w:lineRule="exact"/>
        <w:ind w:right="0"/>
        <w:jc w:val="both"/>
        <w:rPr>
          <w:rFonts w:ascii="Times New Roman" w:hAnsi="Times New Roman"/>
        </w:rPr>
      </w:pPr>
      <w:r w:rsidRPr="00F117EB">
        <w:rPr>
          <w:rFonts w:ascii="Times New Roman" w:hAnsi="Times New Roman"/>
        </w:rPr>
        <w:lastRenderedPageBreak/>
        <w:tab/>
      </w:r>
      <w:r w:rsidR="000841B0" w:rsidRPr="00F117EB">
        <w:rPr>
          <w:rFonts w:ascii="Times New Roman" w:hAnsi="Times New Roman"/>
        </w:rPr>
        <w:t xml:space="preserve">The appellant and Mr </w:t>
      </w:r>
      <w:proofErr w:type="spellStart"/>
      <w:r w:rsidR="000841B0" w:rsidRPr="00F117EB">
        <w:rPr>
          <w:rFonts w:ascii="Times New Roman" w:hAnsi="Times New Roman"/>
        </w:rPr>
        <w:t>Kanmaz</w:t>
      </w:r>
      <w:proofErr w:type="spellEnd"/>
      <w:r w:rsidR="000841B0" w:rsidRPr="00F117EB">
        <w:rPr>
          <w:rFonts w:ascii="Times New Roman" w:hAnsi="Times New Roman"/>
        </w:rPr>
        <w:t xml:space="preserve"> were committed to the District Court for sentence.</w:t>
      </w:r>
      <w:r w:rsidR="006A7D80" w:rsidRPr="00F117EB">
        <w:rPr>
          <w:rStyle w:val="FootnoteReference"/>
          <w:rFonts w:ascii="Times New Roman" w:hAnsi="Times New Roman"/>
          <w:sz w:val="24"/>
        </w:rPr>
        <w:footnoteReference w:id="16"/>
      </w:r>
      <w:r w:rsidR="000841B0" w:rsidRPr="00F117EB">
        <w:rPr>
          <w:rFonts w:ascii="Times New Roman" w:hAnsi="Times New Roman"/>
        </w:rPr>
        <w:t xml:space="preserve"> In the District Court, the appellant and Mr </w:t>
      </w:r>
      <w:proofErr w:type="spellStart"/>
      <w:r w:rsidR="000841B0" w:rsidRPr="00F117EB">
        <w:rPr>
          <w:rFonts w:ascii="Times New Roman" w:hAnsi="Times New Roman"/>
        </w:rPr>
        <w:t>Kanmaz</w:t>
      </w:r>
      <w:proofErr w:type="spellEnd"/>
      <w:r w:rsidR="000841B0" w:rsidRPr="00F117EB">
        <w:rPr>
          <w:rFonts w:ascii="Times New Roman" w:hAnsi="Times New Roman"/>
        </w:rPr>
        <w:t xml:space="preserve"> maintained their pleas of guilty.</w:t>
      </w:r>
      <w:r w:rsidR="005E3468" w:rsidRPr="00F117EB">
        <w:rPr>
          <w:rStyle w:val="FootnoteReference"/>
          <w:rFonts w:ascii="Times New Roman" w:hAnsi="Times New Roman"/>
          <w:sz w:val="24"/>
        </w:rPr>
        <w:footnoteReference w:id="17"/>
      </w:r>
      <w:r w:rsidR="000841B0" w:rsidRPr="00F117EB">
        <w:rPr>
          <w:rFonts w:ascii="Times New Roman" w:hAnsi="Times New Roman"/>
        </w:rPr>
        <w:t xml:space="preserve"> </w:t>
      </w:r>
    </w:p>
    <w:p w14:paraId="40072732" w14:textId="39419D35" w:rsidR="000841B0" w:rsidRPr="00F117EB" w:rsidRDefault="00AC099A"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0841B0" w:rsidRPr="00F117EB">
        <w:rPr>
          <w:rFonts w:ascii="Times New Roman" w:hAnsi="Times New Roman"/>
        </w:rPr>
        <w:t>On 8 December 2023 the appellant was sentenced for the conspiracy offence</w:t>
      </w:r>
      <w:r w:rsidR="00AB5835" w:rsidRPr="00F117EB">
        <w:rPr>
          <w:rFonts w:ascii="Times New Roman" w:hAnsi="Times New Roman"/>
        </w:rPr>
        <w:t xml:space="preserve"> </w:t>
      </w:r>
      <w:r w:rsidR="000841B0" w:rsidRPr="00F117EB">
        <w:rPr>
          <w:rFonts w:ascii="Times New Roman" w:hAnsi="Times New Roman"/>
        </w:rPr>
        <w:t xml:space="preserve">to a period of imprisonment </w:t>
      </w:r>
      <w:r w:rsidR="0060555B" w:rsidRPr="00F117EB">
        <w:rPr>
          <w:rFonts w:ascii="Times New Roman" w:hAnsi="Times New Roman"/>
        </w:rPr>
        <w:t xml:space="preserve">of </w:t>
      </w:r>
      <w:r w:rsidR="000841B0" w:rsidRPr="00F117EB">
        <w:rPr>
          <w:rFonts w:ascii="Times New Roman" w:hAnsi="Times New Roman"/>
        </w:rPr>
        <w:t xml:space="preserve">11 years with a non-parole period of </w:t>
      </w:r>
      <w:r w:rsidR="00C178CA" w:rsidRPr="00F117EB">
        <w:rPr>
          <w:rFonts w:ascii="Times New Roman" w:hAnsi="Times New Roman"/>
        </w:rPr>
        <w:t xml:space="preserve">seven </w:t>
      </w:r>
      <w:r w:rsidR="000841B0" w:rsidRPr="00F117EB">
        <w:rPr>
          <w:rFonts w:ascii="Times New Roman" w:hAnsi="Times New Roman"/>
        </w:rPr>
        <w:t xml:space="preserve">and </w:t>
      </w:r>
      <w:r w:rsidR="00C178CA" w:rsidRPr="00F117EB">
        <w:rPr>
          <w:rFonts w:ascii="Times New Roman" w:hAnsi="Times New Roman"/>
        </w:rPr>
        <w:t xml:space="preserve">a </w:t>
      </w:r>
      <w:r w:rsidR="000841B0" w:rsidRPr="00F117EB">
        <w:rPr>
          <w:rFonts w:ascii="Times New Roman" w:hAnsi="Times New Roman"/>
        </w:rPr>
        <w:t xml:space="preserve">half years. At the same time Mr </w:t>
      </w:r>
      <w:proofErr w:type="spellStart"/>
      <w:r w:rsidR="000841B0" w:rsidRPr="00F117EB">
        <w:rPr>
          <w:rFonts w:ascii="Times New Roman" w:hAnsi="Times New Roman"/>
        </w:rPr>
        <w:t>Kanmaz</w:t>
      </w:r>
      <w:proofErr w:type="spellEnd"/>
      <w:r w:rsidR="000841B0" w:rsidRPr="00F117EB">
        <w:rPr>
          <w:rFonts w:ascii="Times New Roman" w:hAnsi="Times New Roman"/>
        </w:rPr>
        <w:t xml:space="preserve"> was sentenced for the conspiracy offence to imprisonment for </w:t>
      </w:r>
      <w:r w:rsidR="00C178CA" w:rsidRPr="00F117EB">
        <w:rPr>
          <w:rFonts w:ascii="Times New Roman" w:hAnsi="Times New Roman"/>
        </w:rPr>
        <w:t xml:space="preserve">nine </w:t>
      </w:r>
      <w:r w:rsidR="000841B0" w:rsidRPr="00F117EB">
        <w:rPr>
          <w:rFonts w:ascii="Times New Roman" w:hAnsi="Times New Roman"/>
        </w:rPr>
        <w:t xml:space="preserve">years with a non-parole period of </w:t>
      </w:r>
      <w:r w:rsidR="00C178CA" w:rsidRPr="00F117EB">
        <w:rPr>
          <w:rFonts w:ascii="Times New Roman" w:hAnsi="Times New Roman"/>
        </w:rPr>
        <w:t xml:space="preserve">six </w:t>
      </w:r>
      <w:r w:rsidR="000841B0" w:rsidRPr="00F117EB">
        <w:rPr>
          <w:rFonts w:ascii="Times New Roman" w:hAnsi="Times New Roman"/>
        </w:rPr>
        <w:t xml:space="preserve">and </w:t>
      </w:r>
      <w:r w:rsidR="00C178CA" w:rsidRPr="00F117EB">
        <w:rPr>
          <w:rFonts w:ascii="Times New Roman" w:hAnsi="Times New Roman"/>
        </w:rPr>
        <w:t xml:space="preserve">a </w:t>
      </w:r>
      <w:r w:rsidR="000841B0" w:rsidRPr="00F117EB">
        <w:rPr>
          <w:rFonts w:ascii="Times New Roman" w:hAnsi="Times New Roman"/>
        </w:rPr>
        <w:t xml:space="preserve">half years. The offences of dealing with proceeds of crime </w:t>
      </w:r>
      <w:r w:rsidR="00423B39" w:rsidRPr="00F117EB">
        <w:rPr>
          <w:rFonts w:ascii="Times New Roman" w:hAnsi="Times New Roman"/>
        </w:rPr>
        <w:t xml:space="preserve">were </w:t>
      </w:r>
      <w:proofErr w:type="gramStart"/>
      <w:r w:rsidR="000841B0" w:rsidRPr="00F117EB">
        <w:rPr>
          <w:rFonts w:ascii="Times New Roman" w:hAnsi="Times New Roman"/>
        </w:rPr>
        <w:t>taken into account</w:t>
      </w:r>
      <w:proofErr w:type="gramEnd"/>
      <w:r w:rsidR="000841B0" w:rsidRPr="00F117EB">
        <w:rPr>
          <w:rFonts w:ascii="Times New Roman" w:hAnsi="Times New Roman"/>
        </w:rPr>
        <w:t xml:space="preserve"> by the sentencing judge </w:t>
      </w:r>
      <w:r w:rsidR="00617368" w:rsidRPr="00F117EB">
        <w:rPr>
          <w:rFonts w:ascii="Times New Roman" w:hAnsi="Times New Roman"/>
        </w:rPr>
        <w:t>for</w:t>
      </w:r>
      <w:r w:rsidR="004C340B" w:rsidRPr="00F117EB">
        <w:rPr>
          <w:rFonts w:ascii="Times New Roman" w:hAnsi="Times New Roman"/>
        </w:rPr>
        <w:t xml:space="preserve"> each offender </w:t>
      </w:r>
      <w:r w:rsidR="000841B0" w:rsidRPr="00F117EB">
        <w:rPr>
          <w:rFonts w:ascii="Times New Roman" w:hAnsi="Times New Roman"/>
        </w:rPr>
        <w:t xml:space="preserve">in the manner provided for </w:t>
      </w:r>
      <w:r w:rsidR="00F2459F" w:rsidRPr="00F117EB">
        <w:rPr>
          <w:rFonts w:ascii="Times New Roman" w:hAnsi="Times New Roman"/>
        </w:rPr>
        <w:t xml:space="preserve">by </w:t>
      </w:r>
      <w:r w:rsidR="000841B0" w:rsidRPr="00F117EB">
        <w:rPr>
          <w:rFonts w:ascii="Times New Roman" w:hAnsi="Times New Roman"/>
        </w:rPr>
        <w:t xml:space="preserve">s 16BA of the </w:t>
      </w:r>
      <w:r w:rsidR="000841B0" w:rsidRPr="00F117EB">
        <w:rPr>
          <w:rFonts w:ascii="Times New Roman" w:hAnsi="Times New Roman"/>
          <w:i/>
          <w:iCs/>
        </w:rPr>
        <w:t>Crimes Act 1914</w:t>
      </w:r>
      <w:r w:rsidR="000841B0" w:rsidRPr="00F117EB">
        <w:rPr>
          <w:rFonts w:ascii="Times New Roman" w:hAnsi="Times New Roman"/>
        </w:rPr>
        <w:t xml:space="preserve"> (</w:t>
      </w:r>
      <w:proofErr w:type="spellStart"/>
      <w:r w:rsidR="000841B0" w:rsidRPr="00F117EB">
        <w:rPr>
          <w:rFonts w:ascii="Times New Roman" w:hAnsi="Times New Roman"/>
        </w:rPr>
        <w:t>Cth</w:t>
      </w:r>
      <w:proofErr w:type="spellEnd"/>
      <w:r w:rsidR="000841B0" w:rsidRPr="00F117EB">
        <w:rPr>
          <w:rFonts w:ascii="Times New Roman" w:hAnsi="Times New Roman"/>
        </w:rPr>
        <w:t>).</w:t>
      </w:r>
      <w:r w:rsidR="00B0049C" w:rsidRPr="00F117EB">
        <w:rPr>
          <w:rFonts w:ascii="Times New Roman" w:hAnsi="Times New Roman"/>
        </w:rPr>
        <w:t xml:space="preserve"> </w:t>
      </w:r>
    </w:p>
    <w:p w14:paraId="36C0868A" w14:textId="53BD074D" w:rsidR="00EA5EAF" w:rsidRPr="00F117EB" w:rsidRDefault="00EA5EAF" w:rsidP="00F117EB">
      <w:pPr>
        <w:pStyle w:val="HeadingL1"/>
        <w:spacing w:after="260" w:line="280" w:lineRule="exact"/>
        <w:ind w:right="0"/>
        <w:jc w:val="both"/>
        <w:rPr>
          <w:rFonts w:ascii="Times New Roman" w:hAnsi="Times New Roman"/>
        </w:rPr>
      </w:pPr>
      <w:r w:rsidRPr="00F117EB">
        <w:rPr>
          <w:rFonts w:ascii="Times New Roman" w:hAnsi="Times New Roman"/>
        </w:rPr>
        <w:t xml:space="preserve">The </w:t>
      </w:r>
      <w:r w:rsidR="006233A7" w:rsidRPr="00F117EB">
        <w:rPr>
          <w:rFonts w:ascii="Times New Roman" w:hAnsi="Times New Roman"/>
        </w:rPr>
        <w:t>s</w:t>
      </w:r>
      <w:r w:rsidRPr="00F117EB">
        <w:rPr>
          <w:rFonts w:ascii="Times New Roman" w:hAnsi="Times New Roman"/>
        </w:rPr>
        <w:t xml:space="preserve">entencing </w:t>
      </w:r>
      <w:r w:rsidR="006233A7" w:rsidRPr="00F117EB">
        <w:rPr>
          <w:rFonts w:ascii="Times New Roman" w:hAnsi="Times New Roman"/>
        </w:rPr>
        <w:t>p</w:t>
      </w:r>
      <w:r w:rsidRPr="00F117EB">
        <w:rPr>
          <w:rFonts w:ascii="Times New Roman" w:hAnsi="Times New Roman"/>
        </w:rPr>
        <w:t>roceedings</w:t>
      </w:r>
    </w:p>
    <w:p w14:paraId="12F62A83" w14:textId="0A9F80D2" w:rsidR="00EA5EAF" w:rsidRPr="00F117EB" w:rsidRDefault="006233A7"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After the </w:t>
      </w:r>
      <w:r w:rsidR="00617368" w:rsidRPr="00F117EB">
        <w:rPr>
          <w:rFonts w:ascii="Times New Roman" w:hAnsi="Times New Roman"/>
        </w:rPr>
        <w:t xml:space="preserve">appellant and Mr </w:t>
      </w:r>
      <w:proofErr w:type="spellStart"/>
      <w:r w:rsidR="00617368" w:rsidRPr="00F117EB">
        <w:rPr>
          <w:rFonts w:ascii="Times New Roman" w:hAnsi="Times New Roman"/>
        </w:rPr>
        <w:t>Kanmaz</w:t>
      </w:r>
      <w:proofErr w:type="spellEnd"/>
      <w:r w:rsidR="00EA5EAF" w:rsidRPr="00F117EB">
        <w:rPr>
          <w:rFonts w:ascii="Times New Roman" w:hAnsi="Times New Roman"/>
        </w:rPr>
        <w:t xml:space="preserve"> were committed for sentence to the District Court, the appellant, Mr</w:t>
      </w:r>
      <w:r w:rsidR="006C3076" w:rsidRPr="00F117EB">
        <w:rPr>
          <w:rFonts w:ascii="Times New Roman" w:hAnsi="Times New Roman"/>
        </w:rPr>
        <w:t> </w:t>
      </w:r>
      <w:proofErr w:type="spellStart"/>
      <w:r w:rsidR="00EA5EAF" w:rsidRPr="00F117EB">
        <w:rPr>
          <w:rFonts w:ascii="Times New Roman" w:hAnsi="Times New Roman"/>
        </w:rPr>
        <w:t>Kanmaz</w:t>
      </w:r>
      <w:proofErr w:type="spellEnd"/>
      <w:r w:rsidR="00EA5EAF" w:rsidRPr="00F117EB">
        <w:rPr>
          <w:rFonts w:ascii="Times New Roman" w:hAnsi="Times New Roman"/>
        </w:rPr>
        <w:t xml:space="preserve"> and </w:t>
      </w:r>
      <w:r w:rsidR="00002F6E" w:rsidRPr="00F117EB">
        <w:rPr>
          <w:rFonts w:ascii="Times New Roman" w:hAnsi="Times New Roman"/>
        </w:rPr>
        <w:t xml:space="preserve">an agent for the </w:t>
      </w:r>
      <w:r w:rsidR="00125EC2" w:rsidRPr="00F117EB">
        <w:rPr>
          <w:rFonts w:ascii="Times New Roman" w:hAnsi="Times New Roman"/>
        </w:rPr>
        <w:t xml:space="preserve">Crown </w:t>
      </w:r>
      <w:r w:rsidR="00EA5EAF" w:rsidRPr="00F117EB">
        <w:rPr>
          <w:rFonts w:ascii="Times New Roman" w:hAnsi="Times New Roman"/>
        </w:rPr>
        <w:t xml:space="preserve">signed a document entitled </w:t>
      </w:r>
      <w:r w:rsidR="00F870F6" w:rsidRPr="00F117EB">
        <w:rPr>
          <w:rFonts w:ascii="Times New Roman" w:hAnsi="Times New Roman"/>
        </w:rPr>
        <w:t>"</w:t>
      </w:r>
      <w:r w:rsidR="00EA5EAF" w:rsidRPr="00F117EB">
        <w:rPr>
          <w:rFonts w:ascii="Times New Roman" w:hAnsi="Times New Roman"/>
        </w:rPr>
        <w:t>Agreed Facts</w:t>
      </w:r>
      <w:r w:rsidR="00F870F6" w:rsidRPr="00F117EB">
        <w:rPr>
          <w:rFonts w:ascii="Times New Roman" w:hAnsi="Times New Roman"/>
        </w:rPr>
        <w:t>"</w:t>
      </w:r>
      <w:r w:rsidR="00EA5EAF" w:rsidRPr="00F117EB">
        <w:rPr>
          <w:rFonts w:ascii="Times New Roman" w:hAnsi="Times New Roman"/>
        </w:rPr>
        <w:t xml:space="preserve"> which was later tendered before the sentencing judge.  </w:t>
      </w:r>
    </w:p>
    <w:p w14:paraId="08C996EB" w14:textId="7A1D76DC" w:rsidR="00EA5EAF" w:rsidRPr="00F117EB" w:rsidRDefault="002926C3"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The agreed facts record that the appellant, Mr</w:t>
      </w:r>
      <w:r w:rsidR="006C3076" w:rsidRPr="00F117EB">
        <w:rPr>
          <w:rFonts w:ascii="Times New Roman" w:hAnsi="Times New Roman"/>
        </w:rPr>
        <w:t> </w:t>
      </w:r>
      <w:proofErr w:type="spellStart"/>
      <w:r w:rsidR="00EA5EAF" w:rsidRPr="00F117EB">
        <w:rPr>
          <w:rFonts w:ascii="Times New Roman" w:hAnsi="Times New Roman"/>
        </w:rPr>
        <w:t>Kanmaz</w:t>
      </w:r>
      <w:proofErr w:type="spellEnd"/>
      <w:r w:rsidR="00EA5EAF" w:rsidRPr="00F117EB">
        <w:rPr>
          <w:rFonts w:ascii="Times New Roman" w:hAnsi="Times New Roman"/>
        </w:rPr>
        <w:t xml:space="preserve"> and </w:t>
      </w:r>
      <w:r w:rsidR="00A43776" w:rsidRPr="00F117EB">
        <w:rPr>
          <w:rFonts w:ascii="Times New Roman" w:hAnsi="Times New Roman"/>
        </w:rPr>
        <w:t xml:space="preserve">the </w:t>
      </w:r>
      <w:r w:rsidR="00EA5EAF" w:rsidRPr="00F117EB">
        <w:rPr>
          <w:rFonts w:ascii="Times New Roman" w:hAnsi="Times New Roman"/>
        </w:rPr>
        <w:t xml:space="preserve">other conspirators were participants in a criminal group which organised the importation of border-controlled drugs for wholesale distribution and sale on the </w:t>
      </w:r>
      <w:r w:rsidR="002E741F" w:rsidRPr="00F117EB">
        <w:rPr>
          <w:rFonts w:ascii="Times New Roman" w:hAnsi="Times New Roman"/>
        </w:rPr>
        <w:t>"</w:t>
      </w:r>
      <w:r w:rsidR="00EA5EAF" w:rsidRPr="00F117EB">
        <w:rPr>
          <w:rFonts w:ascii="Times New Roman" w:hAnsi="Times New Roman"/>
        </w:rPr>
        <w:t>domestic market</w:t>
      </w:r>
      <w:r w:rsidR="002E741F" w:rsidRPr="00F117EB">
        <w:rPr>
          <w:rFonts w:ascii="Times New Roman" w:hAnsi="Times New Roman"/>
        </w:rPr>
        <w:t>"</w:t>
      </w:r>
      <w:r w:rsidR="00EA5EAF" w:rsidRPr="00F117EB">
        <w:rPr>
          <w:rFonts w:ascii="Times New Roman" w:hAnsi="Times New Roman"/>
        </w:rPr>
        <w:t>. Two other conspirators were described as</w:t>
      </w:r>
      <w:r w:rsidR="00D54DA8" w:rsidRPr="00F117EB">
        <w:rPr>
          <w:rFonts w:ascii="Times New Roman" w:hAnsi="Times New Roman"/>
        </w:rPr>
        <w:t xml:space="preserve"> the</w:t>
      </w:r>
      <w:r w:rsidR="00EA5EAF" w:rsidRPr="00F117EB">
        <w:rPr>
          <w:rFonts w:ascii="Times New Roman" w:hAnsi="Times New Roman"/>
        </w:rPr>
        <w:t xml:space="preserve"> </w:t>
      </w:r>
      <w:r w:rsidR="000C7BDA" w:rsidRPr="00F117EB">
        <w:rPr>
          <w:rFonts w:ascii="Times New Roman" w:hAnsi="Times New Roman"/>
        </w:rPr>
        <w:t>"</w:t>
      </w:r>
      <w:r w:rsidR="00EA5EAF" w:rsidRPr="00F117EB">
        <w:rPr>
          <w:rFonts w:ascii="Times New Roman" w:hAnsi="Times New Roman"/>
        </w:rPr>
        <w:t>lead members of the group</w:t>
      </w:r>
      <w:r w:rsidR="000C7BDA" w:rsidRPr="00F117EB">
        <w:rPr>
          <w:rFonts w:ascii="Times New Roman" w:hAnsi="Times New Roman"/>
        </w:rPr>
        <w:t>"</w:t>
      </w:r>
      <w:r w:rsidR="00EA5EAF" w:rsidRPr="00F117EB">
        <w:rPr>
          <w:rFonts w:ascii="Times New Roman" w:hAnsi="Times New Roman"/>
        </w:rPr>
        <w:t xml:space="preserve">. </w:t>
      </w:r>
      <w:r w:rsidR="00F572AD" w:rsidRPr="00F117EB">
        <w:rPr>
          <w:rFonts w:ascii="Times New Roman" w:hAnsi="Times New Roman"/>
        </w:rPr>
        <w:t xml:space="preserve">The agreed facts listed individual drug and cash transactions the appellant and Mr </w:t>
      </w:r>
      <w:proofErr w:type="spellStart"/>
      <w:r w:rsidR="00F572AD" w:rsidRPr="00F117EB">
        <w:rPr>
          <w:rFonts w:ascii="Times New Roman" w:hAnsi="Times New Roman"/>
        </w:rPr>
        <w:t>Kanmaz</w:t>
      </w:r>
      <w:proofErr w:type="spellEnd"/>
      <w:r w:rsidR="00F572AD" w:rsidRPr="00F117EB">
        <w:rPr>
          <w:rFonts w:ascii="Times New Roman" w:hAnsi="Times New Roman"/>
        </w:rPr>
        <w:t xml:space="preserve"> engaged </w:t>
      </w:r>
      <w:r w:rsidR="00BD1C76" w:rsidRPr="00F117EB">
        <w:rPr>
          <w:rFonts w:ascii="Times New Roman" w:hAnsi="Times New Roman"/>
        </w:rPr>
        <w:t>in</w:t>
      </w:r>
      <w:r w:rsidR="00F572AD" w:rsidRPr="00F117EB">
        <w:rPr>
          <w:rFonts w:ascii="Times New Roman" w:hAnsi="Times New Roman"/>
        </w:rPr>
        <w:t xml:space="preserve">. </w:t>
      </w:r>
      <w:r w:rsidR="00EA5EAF" w:rsidRPr="00F117EB">
        <w:rPr>
          <w:rFonts w:ascii="Times New Roman" w:hAnsi="Times New Roman"/>
        </w:rPr>
        <w:t>The appellant</w:t>
      </w:r>
      <w:r w:rsidR="000C7BDA" w:rsidRPr="00F117EB">
        <w:rPr>
          <w:rFonts w:ascii="Times New Roman" w:hAnsi="Times New Roman"/>
        </w:rPr>
        <w:t>'</w:t>
      </w:r>
      <w:r w:rsidR="00EA5EAF" w:rsidRPr="00F117EB">
        <w:rPr>
          <w:rFonts w:ascii="Times New Roman" w:hAnsi="Times New Roman"/>
        </w:rPr>
        <w:t xml:space="preserve">s role was described as </w:t>
      </w:r>
      <w:r w:rsidR="00BE4A0D" w:rsidRPr="00F117EB">
        <w:rPr>
          <w:rFonts w:ascii="Times New Roman" w:hAnsi="Times New Roman"/>
        </w:rPr>
        <w:t>"</w:t>
      </w:r>
      <w:proofErr w:type="spellStart"/>
      <w:r w:rsidR="00EA5EAF" w:rsidRPr="00F117EB">
        <w:rPr>
          <w:rFonts w:ascii="Times New Roman" w:hAnsi="Times New Roman"/>
        </w:rPr>
        <w:t>sourc</w:t>
      </w:r>
      <w:proofErr w:type="spellEnd"/>
      <w:r w:rsidR="00E7791D" w:rsidRPr="00F117EB">
        <w:rPr>
          <w:rFonts w:ascii="Times New Roman" w:hAnsi="Times New Roman"/>
        </w:rPr>
        <w:t>[</w:t>
      </w:r>
      <w:proofErr w:type="spellStart"/>
      <w:r w:rsidR="00EA5EAF" w:rsidRPr="00F117EB">
        <w:rPr>
          <w:rFonts w:ascii="Times New Roman" w:hAnsi="Times New Roman"/>
        </w:rPr>
        <w:t>ing</w:t>
      </w:r>
      <w:proofErr w:type="spellEnd"/>
      <w:r w:rsidR="00E7791D" w:rsidRPr="00F117EB">
        <w:rPr>
          <w:rFonts w:ascii="Times New Roman" w:hAnsi="Times New Roman"/>
        </w:rPr>
        <w:t>]</w:t>
      </w:r>
      <w:r w:rsidR="00EA5EAF" w:rsidRPr="00F117EB">
        <w:rPr>
          <w:rFonts w:ascii="Times New Roman" w:hAnsi="Times New Roman"/>
        </w:rPr>
        <w:t xml:space="preserve"> drugs </w:t>
      </w:r>
      <w:r w:rsidR="00E7791D" w:rsidRPr="00F117EB">
        <w:rPr>
          <w:rFonts w:ascii="Times New Roman" w:hAnsi="Times New Roman"/>
        </w:rPr>
        <w:t xml:space="preserve">for </w:t>
      </w:r>
      <w:r w:rsidR="00EA5EAF" w:rsidRPr="00F117EB">
        <w:rPr>
          <w:rFonts w:ascii="Times New Roman" w:hAnsi="Times New Roman"/>
        </w:rPr>
        <w:t xml:space="preserve">and </w:t>
      </w:r>
      <w:proofErr w:type="spellStart"/>
      <w:r w:rsidR="00EA5EAF" w:rsidRPr="00F117EB">
        <w:rPr>
          <w:rFonts w:ascii="Times New Roman" w:hAnsi="Times New Roman"/>
        </w:rPr>
        <w:t>receiv</w:t>
      </w:r>
      <w:proofErr w:type="spellEnd"/>
      <w:r w:rsidR="00096A29" w:rsidRPr="00F117EB">
        <w:rPr>
          <w:rFonts w:ascii="Times New Roman" w:hAnsi="Times New Roman"/>
        </w:rPr>
        <w:t>[</w:t>
      </w:r>
      <w:proofErr w:type="spellStart"/>
      <w:r w:rsidR="00EA5EAF" w:rsidRPr="00F117EB">
        <w:rPr>
          <w:rFonts w:ascii="Times New Roman" w:hAnsi="Times New Roman"/>
        </w:rPr>
        <w:t>ing</w:t>
      </w:r>
      <w:proofErr w:type="spellEnd"/>
      <w:r w:rsidR="00096A29" w:rsidRPr="00F117EB">
        <w:rPr>
          <w:rFonts w:ascii="Times New Roman" w:hAnsi="Times New Roman"/>
        </w:rPr>
        <w:t>]</w:t>
      </w:r>
      <w:r w:rsidR="00EA5EAF" w:rsidRPr="00F117EB">
        <w:rPr>
          <w:rFonts w:ascii="Times New Roman" w:hAnsi="Times New Roman"/>
        </w:rPr>
        <w:t xml:space="preserve"> drugs from the group</w:t>
      </w:r>
      <w:r w:rsidR="00BE4A0D" w:rsidRPr="00F117EB">
        <w:rPr>
          <w:rFonts w:ascii="Times New Roman" w:hAnsi="Times New Roman"/>
        </w:rPr>
        <w:t>"</w:t>
      </w:r>
      <w:r w:rsidR="00EA5EAF" w:rsidRPr="00F117EB">
        <w:rPr>
          <w:rFonts w:ascii="Times New Roman" w:hAnsi="Times New Roman"/>
        </w:rPr>
        <w:t xml:space="preserve"> as well as supplying and receiving </w:t>
      </w:r>
      <w:r w:rsidR="00D2303D" w:rsidRPr="00F117EB">
        <w:rPr>
          <w:rFonts w:ascii="Times New Roman" w:hAnsi="Times New Roman"/>
        </w:rPr>
        <w:t>"</w:t>
      </w:r>
      <w:r w:rsidR="00EA5EAF" w:rsidRPr="00F117EB">
        <w:rPr>
          <w:rFonts w:ascii="Times New Roman" w:hAnsi="Times New Roman"/>
        </w:rPr>
        <w:t>large amounts of cash</w:t>
      </w:r>
      <w:r w:rsidR="00D2303D" w:rsidRPr="00F117EB">
        <w:rPr>
          <w:rFonts w:ascii="Times New Roman" w:hAnsi="Times New Roman"/>
        </w:rPr>
        <w:t>"</w:t>
      </w:r>
      <w:r w:rsidR="00EA5EAF" w:rsidRPr="00F117EB">
        <w:rPr>
          <w:rFonts w:ascii="Times New Roman" w:hAnsi="Times New Roman"/>
        </w:rPr>
        <w:t>. Mr</w:t>
      </w:r>
      <w:r w:rsidR="008B24CF" w:rsidRPr="00F117EB">
        <w:rPr>
          <w:rFonts w:ascii="Times New Roman" w:hAnsi="Times New Roman"/>
        </w:rPr>
        <w:t> </w:t>
      </w:r>
      <w:proofErr w:type="spellStart"/>
      <w:r w:rsidR="00EA5EAF" w:rsidRPr="00F117EB">
        <w:rPr>
          <w:rFonts w:ascii="Times New Roman" w:hAnsi="Times New Roman"/>
        </w:rPr>
        <w:t>Kanmaz</w:t>
      </w:r>
      <w:proofErr w:type="spellEnd"/>
      <w:r w:rsidR="00EA5EAF" w:rsidRPr="00F117EB">
        <w:rPr>
          <w:rFonts w:ascii="Times New Roman" w:hAnsi="Times New Roman"/>
        </w:rPr>
        <w:t xml:space="preserve"> was described as having stored drugs and cash</w:t>
      </w:r>
      <w:r w:rsidR="000018A0" w:rsidRPr="00F117EB">
        <w:rPr>
          <w:rFonts w:ascii="Times New Roman" w:hAnsi="Times New Roman"/>
        </w:rPr>
        <w:t xml:space="preserve"> for the group</w:t>
      </w:r>
      <w:r w:rsidR="00C83C30" w:rsidRPr="00F117EB">
        <w:rPr>
          <w:rFonts w:ascii="Times New Roman" w:hAnsi="Times New Roman"/>
        </w:rPr>
        <w:t xml:space="preserve"> </w:t>
      </w:r>
      <w:r w:rsidR="0024200C" w:rsidRPr="00F117EB">
        <w:rPr>
          <w:rFonts w:ascii="Times New Roman" w:hAnsi="Times New Roman"/>
        </w:rPr>
        <w:t xml:space="preserve">and </w:t>
      </w:r>
      <w:r w:rsidR="00EA5EAF" w:rsidRPr="00F117EB">
        <w:rPr>
          <w:rFonts w:ascii="Times New Roman" w:hAnsi="Times New Roman"/>
        </w:rPr>
        <w:t xml:space="preserve">as having been </w:t>
      </w:r>
      <w:r w:rsidR="00276098" w:rsidRPr="00F117EB">
        <w:rPr>
          <w:rFonts w:ascii="Times New Roman" w:hAnsi="Times New Roman"/>
        </w:rPr>
        <w:t>"</w:t>
      </w:r>
      <w:r w:rsidR="00EA5EAF" w:rsidRPr="00F117EB">
        <w:rPr>
          <w:rFonts w:ascii="Times New Roman" w:hAnsi="Times New Roman"/>
        </w:rPr>
        <w:t>involved in preparing the drugs for sale at the request and direction of others</w:t>
      </w:r>
      <w:r w:rsidR="00877333" w:rsidRPr="00F117EB">
        <w:rPr>
          <w:rFonts w:ascii="Times New Roman" w:hAnsi="Times New Roman"/>
        </w:rPr>
        <w:t>"</w:t>
      </w:r>
      <w:r w:rsidR="00EA5EAF" w:rsidRPr="00F117EB">
        <w:rPr>
          <w:rFonts w:ascii="Times New Roman" w:hAnsi="Times New Roman"/>
        </w:rPr>
        <w:t xml:space="preserve">. </w:t>
      </w:r>
      <w:r w:rsidR="0024200C" w:rsidRPr="00F117EB">
        <w:rPr>
          <w:rFonts w:ascii="Times New Roman" w:hAnsi="Times New Roman"/>
        </w:rPr>
        <w:t>The agreed facts reco</w:t>
      </w:r>
      <w:r w:rsidR="007042D8" w:rsidRPr="00F117EB">
        <w:rPr>
          <w:rFonts w:ascii="Times New Roman" w:hAnsi="Times New Roman"/>
        </w:rPr>
        <w:t>r</w:t>
      </w:r>
      <w:r w:rsidR="0024200C" w:rsidRPr="00F117EB">
        <w:rPr>
          <w:rFonts w:ascii="Times New Roman" w:hAnsi="Times New Roman"/>
        </w:rPr>
        <w:t xml:space="preserve">d him as having acted </w:t>
      </w:r>
      <w:r w:rsidR="002B2D32" w:rsidRPr="00F117EB">
        <w:rPr>
          <w:rFonts w:ascii="Times New Roman" w:hAnsi="Times New Roman"/>
        </w:rPr>
        <w:t>"</w:t>
      </w:r>
      <w:r w:rsidR="0024200C" w:rsidRPr="00F117EB">
        <w:rPr>
          <w:rFonts w:ascii="Times New Roman" w:hAnsi="Times New Roman"/>
        </w:rPr>
        <w:t>in return for a wage</w:t>
      </w:r>
      <w:r w:rsidR="002B2D32" w:rsidRPr="00F117EB">
        <w:rPr>
          <w:rFonts w:ascii="Times New Roman" w:hAnsi="Times New Roman"/>
        </w:rPr>
        <w:t>"</w:t>
      </w:r>
      <w:r w:rsidR="0024200C" w:rsidRPr="00F117EB">
        <w:rPr>
          <w:rFonts w:ascii="Times New Roman" w:hAnsi="Times New Roman"/>
        </w:rPr>
        <w:t xml:space="preserve"> and not as a </w:t>
      </w:r>
      <w:r w:rsidR="002B2D32" w:rsidRPr="00F117EB">
        <w:rPr>
          <w:rFonts w:ascii="Times New Roman" w:hAnsi="Times New Roman"/>
        </w:rPr>
        <w:t>"</w:t>
      </w:r>
      <w:r w:rsidR="0024200C" w:rsidRPr="00F117EB">
        <w:rPr>
          <w:rFonts w:ascii="Times New Roman" w:hAnsi="Times New Roman"/>
        </w:rPr>
        <w:t>stakeholder</w:t>
      </w:r>
      <w:r w:rsidR="002B2D32" w:rsidRPr="00F117EB">
        <w:rPr>
          <w:rFonts w:ascii="Times New Roman" w:hAnsi="Times New Roman"/>
        </w:rPr>
        <w:t>"</w:t>
      </w:r>
      <w:r w:rsidR="0024200C" w:rsidRPr="00F117EB">
        <w:rPr>
          <w:rFonts w:ascii="Times New Roman" w:hAnsi="Times New Roman"/>
        </w:rPr>
        <w:t xml:space="preserve">.  </w:t>
      </w:r>
    </w:p>
    <w:p w14:paraId="3EC5E271" w14:textId="46B95150" w:rsidR="00EA5EAF" w:rsidRPr="00F117EB" w:rsidRDefault="00991714"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7A0813" w:rsidRPr="00F117EB">
        <w:rPr>
          <w:rFonts w:ascii="Times New Roman" w:hAnsi="Times New Roman"/>
        </w:rPr>
        <w:t>P</w:t>
      </w:r>
      <w:r w:rsidR="001F488F" w:rsidRPr="00F117EB">
        <w:rPr>
          <w:rFonts w:ascii="Times New Roman" w:hAnsi="Times New Roman"/>
        </w:rPr>
        <w:t>rior to the sentencing hearing</w:t>
      </w:r>
      <w:r w:rsidR="00687C6E" w:rsidRPr="00F117EB">
        <w:rPr>
          <w:rFonts w:ascii="Times New Roman" w:hAnsi="Times New Roman"/>
        </w:rPr>
        <w:t xml:space="preserve"> in the District Court</w:t>
      </w:r>
      <w:r w:rsidR="00EA5EAF" w:rsidRPr="00F117EB">
        <w:rPr>
          <w:rFonts w:ascii="Times New Roman" w:hAnsi="Times New Roman"/>
        </w:rPr>
        <w:t xml:space="preserve">, the </w:t>
      </w:r>
      <w:r w:rsidR="00280BA0" w:rsidRPr="00F117EB">
        <w:rPr>
          <w:rFonts w:ascii="Times New Roman" w:hAnsi="Times New Roman"/>
        </w:rPr>
        <w:t>Crown</w:t>
      </w:r>
      <w:r w:rsidR="00EA5EAF" w:rsidRPr="00F117EB">
        <w:rPr>
          <w:rFonts w:ascii="Times New Roman" w:hAnsi="Times New Roman"/>
        </w:rPr>
        <w:t xml:space="preserve"> filed written submissions. Those submissions contended that Mr</w:t>
      </w:r>
      <w:r w:rsidR="006C3076" w:rsidRPr="00F117EB">
        <w:rPr>
          <w:rFonts w:ascii="Times New Roman" w:hAnsi="Times New Roman"/>
        </w:rPr>
        <w:t> </w:t>
      </w:r>
      <w:r w:rsidR="00EA5EAF" w:rsidRPr="00F117EB">
        <w:rPr>
          <w:rFonts w:ascii="Times New Roman" w:hAnsi="Times New Roman"/>
        </w:rPr>
        <w:t>Kanmaz</w:t>
      </w:r>
      <w:r w:rsidR="00E8363D" w:rsidRPr="00F117EB">
        <w:rPr>
          <w:rFonts w:ascii="Times New Roman" w:hAnsi="Times New Roman"/>
        </w:rPr>
        <w:t>'</w:t>
      </w:r>
      <w:r w:rsidR="00EA5EAF" w:rsidRPr="00F117EB">
        <w:rPr>
          <w:rFonts w:ascii="Times New Roman" w:hAnsi="Times New Roman"/>
        </w:rPr>
        <w:t xml:space="preserve">s conduct in committing the conspiracy offence </w:t>
      </w:r>
      <w:r w:rsidR="00142BD2" w:rsidRPr="00F117EB">
        <w:rPr>
          <w:rFonts w:ascii="Times New Roman" w:hAnsi="Times New Roman"/>
        </w:rPr>
        <w:t>"</w:t>
      </w:r>
      <w:r w:rsidR="00EA5EAF" w:rsidRPr="00F117EB">
        <w:rPr>
          <w:rFonts w:ascii="Times New Roman" w:hAnsi="Times New Roman"/>
        </w:rPr>
        <w:t>approach</w:t>
      </w:r>
      <w:r w:rsidR="000567CD" w:rsidRPr="00F117EB">
        <w:rPr>
          <w:rFonts w:ascii="Times New Roman" w:hAnsi="Times New Roman"/>
        </w:rPr>
        <w:t>[ed]</w:t>
      </w:r>
      <w:r w:rsidR="00EA5EAF" w:rsidRPr="00F117EB">
        <w:rPr>
          <w:rFonts w:ascii="Times New Roman" w:hAnsi="Times New Roman"/>
        </w:rPr>
        <w:t xml:space="preserve"> the higher end of the mid-range</w:t>
      </w:r>
      <w:r w:rsidR="00142BD2" w:rsidRPr="00F117EB">
        <w:rPr>
          <w:rFonts w:ascii="Times New Roman" w:hAnsi="Times New Roman"/>
        </w:rPr>
        <w:t>"</w:t>
      </w:r>
      <w:r w:rsidR="00EA5EAF" w:rsidRPr="00F117EB">
        <w:rPr>
          <w:rFonts w:ascii="Times New Roman" w:hAnsi="Times New Roman"/>
        </w:rPr>
        <w:t xml:space="preserve"> of such offences whereas the appellant</w:t>
      </w:r>
      <w:r w:rsidR="00197850" w:rsidRPr="00F117EB">
        <w:rPr>
          <w:rFonts w:ascii="Times New Roman" w:hAnsi="Times New Roman"/>
        </w:rPr>
        <w:t>'</w:t>
      </w:r>
      <w:r w:rsidR="00EA5EAF" w:rsidRPr="00F117EB">
        <w:rPr>
          <w:rFonts w:ascii="Times New Roman" w:hAnsi="Times New Roman"/>
        </w:rPr>
        <w:t xml:space="preserve">s conduct fell </w:t>
      </w:r>
      <w:r w:rsidR="00197850" w:rsidRPr="00F117EB">
        <w:rPr>
          <w:rFonts w:ascii="Times New Roman" w:hAnsi="Times New Roman"/>
        </w:rPr>
        <w:t>"</w:t>
      </w:r>
      <w:r w:rsidR="00EA5EAF" w:rsidRPr="00F117EB">
        <w:rPr>
          <w:rFonts w:ascii="Times New Roman" w:hAnsi="Times New Roman"/>
        </w:rPr>
        <w:t>within the mid-point of the mid-range</w:t>
      </w:r>
      <w:r w:rsidR="000567CD" w:rsidRPr="00F117EB">
        <w:rPr>
          <w:rFonts w:ascii="Times New Roman" w:hAnsi="Times New Roman"/>
        </w:rPr>
        <w:t>"</w:t>
      </w:r>
      <w:r w:rsidR="00EA5EAF" w:rsidRPr="00F117EB">
        <w:rPr>
          <w:rFonts w:ascii="Times New Roman" w:hAnsi="Times New Roman"/>
        </w:rPr>
        <w:t xml:space="preserve">. The conduct of </w:t>
      </w:r>
      <w:r w:rsidR="00C2365E" w:rsidRPr="00F117EB">
        <w:rPr>
          <w:rFonts w:ascii="Times New Roman" w:hAnsi="Times New Roman"/>
        </w:rPr>
        <w:t xml:space="preserve">each </w:t>
      </w:r>
      <w:r w:rsidR="0091729A" w:rsidRPr="00F117EB">
        <w:rPr>
          <w:rFonts w:ascii="Times New Roman" w:hAnsi="Times New Roman"/>
        </w:rPr>
        <w:t xml:space="preserve">offender </w:t>
      </w:r>
      <w:r w:rsidR="00EA5EAF" w:rsidRPr="00F117EB">
        <w:rPr>
          <w:rFonts w:ascii="Times New Roman" w:hAnsi="Times New Roman"/>
        </w:rPr>
        <w:t xml:space="preserve">in </w:t>
      </w:r>
      <w:r w:rsidR="0091729A" w:rsidRPr="00F117EB">
        <w:rPr>
          <w:rFonts w:ascii="Times New Roman" w:hAnsi="Times New Roman"/>
        </w:rPr>
        <w:t>comm</w:t>
      </w:r>
      <w:r w:rsidR="003062DC" w:rsidRPr="00F117EB">
        <w:rPr>
          <w:rFonts w:ascii="Times New Roman" w:hAnsi="Times New Roman"/>
        </w:rPr>
        <w:t>i</w:t>
      </w:r>
      <w:r w:rsidR="0091729A" w:rsidRPr="00F117EB">
        <w:rPr>
          <w:rFonts w:ascii="Times New Roman" w:hAnsi="Times New Roman"/>
        </w:rPr>
        <w:t xml:space="preserve">tting </w:t>
      </w:r>
      <w:r w:rsidR="00EA5EAF" w:rsidRPr="00F117EB">
        <w:rPr>
          <w:rFonts w:ascii="Times New Roman" w:hAnsi="Times New Roman"/>
        </w:rPr>
        <w:t xml:space="preserve">the </w:t>
      </w:r>
      <w:r w:rsidR="00C2365E" w:rsidRPr="00F117EB">
        <w:rPr>
          <w:rFonts w:ascii="Times New Roman" w:hAnsi="Times New Roman"/>
        </w:rPr>
        <w:t xml:space="preserve">respective </w:t>
      </w:r>
      <w:r w:rsidR="00EA5EAF" w:rsidRPr="00F117EB">
        <w:rPr>
          <w:rFonts w:ascii="Times New Roman" w:hAnsi="Times New Roman"/>
        </w:rPr>
        <w:t xml:space="preserve">offences </w:t>
      </w:r>
      <w:r w:rsidR="00EA5EAF" w:rsidRPr="00F117EB">
        <w:rPr>
          <w:rFonts w:ascii="Times New Roman" w:hAnsi="Times New Roman"/>
        </w:rPr>
        <w:lastRenderedPageBreak/>
        <w:t>of dealing with proceeds of crime</w:t>
      </w:r>
      <w:r w:rsidR="00C018A4" w:rsidRPr="00F117EB">
        <w:rPr>
          <w:rStyle w:val="FootnoteReference"/>
          <w:rFonts w:ascii="Times New Roman" w:hAnsi="Times New Roman"/>
          <w:sz w:val="24"/>
        </w:rPr>
        <w:footnoteReference w:id="18"/>
      </w:r>
      <w:r w:rsidR="00EA5EAF" w:rsidRPr="00F117EB">
        <w:rPr>
          <w:rFonts w:ascii="Times New Roman" w:hAnsi="Times New Roman"/>
        </w:rPr>
        <w:t xml:space="preserve"> was said </w:t>
      </w:r>
      <w:r w:rsidR="00B5248D" w:rsidRPr="00F117EB">
        <w:rPr>
          <w:rFonts w:ascii="Times New Roman" w:hAnsi="Times New Roman"/>
        </w:rPr>
        <w:t xml:space="preserve">by the </w:t>
      </w:r>
      <w:r w:rsidR="00280BA0" w:rsidRPr="00F117EB">
        <w:rPr>
          <w:rFonts w:ascii="Times New Roman" w:hAnsi="Times New Roman"/>
        </w:rPr>
        <w:t>Crown</w:t>
      </w:r>
      <w:r w:rsidR="00B5248D" w:rsidRPr="00F117EB">
        <w:rPr>
          <w:rFonts w:ascii="Times New Roman" w:hAnsi="Times New Roman"/>
        </w:rPr>
        <w:t xml:space="preserve"> </w:t>
      </w:r>
      <w:r w:rsidR="00EA5EAF" w:rsidRPr="00F117EB">
        <w:rPr>
          <w:rFonts w:ascii="Times New Roman" w:hAnsi="Times New Roman"/>
        </w:rPr>
        <w:t xml:space="preserve">to fall into the </w:t>
      </w:r>
      <w:r w:rsidR="00EC35FC" w:rsidRPr="00F117EB">
        <w:rPr>
          <w:rFonts w:ascii="Times New Roman" w:hAnsi="Times New Roman"/>
        </w:rPr>
        <w:t>"</w:t>
      </w:r>
      <w:r w:rsidR="00EA5EAF" w:rsidRPr="00F117EB">
        <w:rPr>
          <w:rFonts w:ascii="Times New Roman" w:hAnsi="Times New Roman"/>
        </w:rPr>
        <w:t>high range</w:t>
      </w:r>
      <w:r w:rsidR="00EC35FC" w:rsidRPr="00F117EB">
        <w:rPr>
          <w:rFonts w:ascii="Times New Roman" w:hAnsi="Times New Roman"/>
        </w:rPr>
        <w:t>"</w:t>
      </w:r>
      <w:r w:rsidR="00EA5EAF" w:rsidRPr="00F117EB">
        <w:rPr>
          <w:rFonts w:ascii="Times New Roman" w:hAnsi="Times New Roman"/>
        </w:rPr>
        <w:t xml:space="preserve"> for offending of that kind</w:t>
      </w:r>
      <w:r w:rsidR="007A7FB4" w:rsidRPr="00F117EB">
        <w:rPr>
          <w:rFonts w:ascii="Times New Roman" w:hAnsi="Times New Roman"/>
        </w:rPr>
        <w:t xml:space="preserve">, "noting the offence to be taken into account in relation to [Mr] </w:t>
      </w:r>
      <w:proofErr w:type="spellStart"/>
      <w:r w:rsidR="007A7FB4" w:rsidRPr="00F117EB">
        <w:rPr>
          <w:rFonts w:ascii="Times New Roman" w:hAnsi="Times New Roman"/>
        </w:rPr>
        <w:t>Kanmaz</w:t>
      </w:r>
      <w:proofErr w:type="spellEnd"/>
      <w:r w:rsidR="007A7FB4" w:rsidRPr="00F117EB">
        <w:rPr>
          <w:rFonts w:ascii="Times New Roman" w:hAnsi="Times New Roman"/>
        </w:rPr>
        <w:t xml:space="preserve"> </w:t>
      </w:r>
      <w:r w:rsidR="002E6EF8" w:rsidRPr="00F117EB">
        <w:rPr>
          <w:rFonts w:ascii="Times New Roman" w:hAnsi="Times New Roman"/>
        </w:rPr>
        <w:t>is a more serious offence than</w:t>
      </w:r>
      <w:r w:rsidR="00570DD8" w:rsidRPr="00F117EB">
        <w:rPr>
          <w:rFonts w:ascii="Times New Roman" w:hAnsi="Times New Roman"/>
        </w:rPr>
        <w:t>"</w:t>
      </w:r>
      <w:r w:rsidR="002E6EF8" w:rsidRPr="00F117EB">
        <w:rPr>
          <w:rFonts w:ascii="Times New Roman" w:hAnsi="Times New Roman"/>
        </w:rPr>
        <w:t xml:space="preserve"> </w:t>
      </w:r>
      <w:r w:rsidR="00070A56" w:rsidRPr="00F117EB">
        <w:rPr>
          <w:rFonts w:ascii="Times New Roman" w:hAnsi="Times New Roman"/>
        </w:rPr>
        <w:t>the appellant's</w:t>
      </w:r>
      <w:r w:rsidR="00AC1242" w:rsidRPr="00F117EB">
        <w:rPr>
          <w:rFonts w:ascii="Times New Roman" w:hAnsi="Times New Roman"/>
        </w:rPr>
        <w:t xml:space="preserve"> offence</w:t>
      </w:r>
      <w:r w:rsidR="00580ADD" w:rsidRPr="00F117EB">
        <w:rPr>
          <w:rFonts w:ascii="Times New Roman" w:hAnsi="Times New Roman"/>
        </w:rPr>
        <w:t xml:space="preserve"> of dealing with proceeds of crime</w:t>
      </w:r>
      <w:r w:rsidR="00EA5EAF" w:rsidRPr="00F117EB">
        <w:rPr>
          <w:rFonts w:ascii="Times New Roman" w:hAnsi="Times New Roman"/>
        </w:rPr>
        <w:t xml:space="preserve">.  </w:t>
      </w:r>
    </w:p>
    <w:p w14:paraId="488CD687" w14:textId="504E4438" w:rsidR="00EA5EAF" w:rsidRPr="00F117EB" w:rsidRDefault="003D6FF2"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The </w:t>
      </w:r>
      <w:r w:rsidR="00280BA0" w:rsidRPr="00F117EB">
        <w:rPr>
          <w:rFonts w:ascii="Times New Roman" w:hAnsi="Times New Roman"/>
        </w:rPr>
        <w:t>Crown</w:t>
      </w:r>
      <w:r w:rsidR="00EA5EAF" w:rsidRPr="00F117EB">
        <w:rPr>
          <w:rFonts w:ascii="Times New Roman" w:hAnsi="Times New Roman"/>
        </w:rPr>
        <w:t xml:space="preserve"> submitted Mr</w:t>
      </w:r>
      <w:r w:rsidR="006C3076" w:rsidRPr="00F117EB">
        <w:rPr>
          <w:rFonts w:ascii="Times New Roman" w:hAnsi="Times New Roman"/>
        </w:rPr>
        <w:t> </w:t>
      </w:r>
      <w:proofErr w:type="spellStart"/>
      <w:r w:rsidR="00EA5EAF" w:rsidRPr="00F117EB">
        <w:rPr>
          <w:rFonts w:ascii="Times New Roman" w:hAnsi="Times New Roman"/>
        </w:rPr>
        <w:t>Kanmaz</w:t>
      </w:r>
      <w:proofErr w:type="spellEnd"/>
      <w:r w:rsidR="00EA5EAF" w:rsidRPr="00F117EB">
        <w:rPr>
          <w:rFonts w:ascii="Times New Roman" w:hAnsi="Times New Roman"/>
        </w:rPr>
        <w:t xml:space="preserve"> should receive a more substantial penalty than the appellant having regard to</w:t>
      </w:r>
      <w:r w:rsidR="00F83AD1" w:rsidRPr="00F117EB">
        <w:rPr>
          <w:rFonts w:ascii="Times New Roman" w:hAnsi="Times New Roman"/>
        </w:rPr>
        <w:t>:</w:t>
      </w:r>
      <w:r w:rsidR="00EA5EAF" w:rsidRPr="00F117EB">
        <w:rPr>
          <w:rFonts w:ascii="Times New Roman" w:hAnsi="Times New Roman"/>
        </w:rPr>
        <w:t xml:space="preserve"> the </w:t>
      </w:r>
      <w:r w:rsidR="00C8795F" w:rsidRPr="00F117EB">
        <w:rPr>
          <w:rFonts w:ascii="Times New Roman" w:hAnsi="Times New Roman"/>
        </w:rPr>
        <w:t xml:space="preserve">larger </w:t>
      </w:r>
      <w:r w:rsidR="00EA5EAF" w:rsidRPr="00F117EB">
        <w:rPr>
          <w:rFonts w:ascii="Times New Roman" w:hAnsi="Times New Roman"/>
        </w:rPr>
        <w:t>quantities of</w:t>
      </w:r>
      <w:r w:rsidR="00FF209B" w:rsidRPr="00F117EB">
        <w:rPr>
          <w:rFonts w:ascii="Times New Roman" w:hAnsi="Times New Roman"/>
        </w:rPr>
        <w:t xml:space="preserve"> trafficked</w:t>
      </w:r>
      <w:r w:rsidR="00EA5EAF" w:rsidRPr="00F117EB">
        <w:rPr>
          <w:rFonts w:ascii="Times New Roman" w:hAnsi="Times New Roman"/>
        </w:rPr>
        <w:t xml:space="preserve"> drugs the subject of </w:t>
      </w:r>
      <w:r w:rsidR="00FF209B" w:rsidRPr="00F117EB">
        <w:rPr>
          <w:rFonts w:ascii="Times New Roman" w:hAnsi="Times New Roman"/>
        </w:rPr>
        <w:t xml:space="preserve">Mr Kanmaz's </w:t>
      </w:r>
      <w:r w:rsidR="00EA5EAF" w:rsidRPr="00F117EB">
        <w:rPr>
          <w:rFonts w:ascii="Times New Roman" w:hAnsi="Times New Roman"/>
        </w:rPr>
        <w:t>conspiracy offence</w:t>
      </w:r>
      <w:r w:rsidR="00FB29DB" w:rsidRPr="00F117EB">
        <w:rPr>
          <w:rFonts w:ascii="Times New Roman" w:hAnsi="Times New Roman"/>
        </w:rPr>
        <w:t>;</w:t>
      </w:r>
      <w:r w:rsidR="00EA5EAF" w:rsidRPr="00F117EB">
        <w:rPr>
          <w:rFonts w:ascii="Times New Roman" w:hAnsi="Times New Roman"/>
        </w:rPr>
        <w:t xml:space="preserve"> </w:t>
      </w:r>
      <w:r w:rsidR="00567979" w:rsidRPr="00F117EB">
        <w:rPr>
          <w:rFonts w:ascii="Times New Roman" w:hAnsi="Times New Roman"/>
        </w:rPr>
        <w:t xml:space="preserve">the fact that Mr Kanmaz's </w:t>
      </w:r>
      <w:r w:rsidR="00EA5EAF" w:rsidRPr="00F117EB">
        <w:rPr>
          <w:rFonts w:ascii="Times New Roman" w:hAnsi="Times New Roman"/>
        </w:rPr>
        <w:t xml:space="preserve">offence of dealing with the proceeds of crime </w:t>
      </w:r>
      <w:r w:rsidR="00567979" w:rsidRPr="00F117EB">
        <w:rPr>
          <w:rFonts w:ascii="Times New Roman" w:hAnsi="Times New Roman"/>
        </w:rPr>
        <w:t xml:space="preserve">carried a </w:t>
      </w:r>
      <w:r w:rsidR="00E33191" w:rsidRPr="00F117EB">
        <w:rPr>
          <w:rFonts w:ascii="Times New Roman" w:hAnsi="Times New Roman"/>
        </w:rPr>
        <w:t xml:space="preserve">higher maximum penalty </w:t>
      </w:r>
      <w:r w:rsidR="00EA5EAF" w:rsidRPr="00F117EB">
        <w:rPr>
          <w:rFonts w:ascii="Times New Roman" w:hAnsi="Times New Roman"/>
        </w:rPr>
        <w:t xml:space="preserve">and </w:t>
      </w:r>
      <w:r w:rsidR="00E33191" w:rsidRPr="00F117EB">
        <w:rPr>
          <w:rFonts w:ascii="Times New Roman" w:hAnsi="Times New Roman"/>
        </w:rPr>
        <w:t xml:space="preserve">involved </w:t>
      </w:r>
      <w:r w:rsidR="008A4153" w:rsidRPr="00F117EB">
        <w:rPr>
          <w:rFonts w:ascii="Times New Roman" w:hAnsi="Times New Roman"/>
        </w:rPr>
        <w:t xml:space="preserve">a </w:t>
      </w:r>
      <w:r w:rsidR="00EA5EAF" w:rsidRPr="00F117EB">
        <w:rPr>
          <w:rFonts w:ascii="Times New Roman" w:hAnsi="Times New Roman"/>
        </w:rPr>
        <w:t xml:space="preserve">larger amount of </w:t>
      </w:r>
      <w:r w:rsidR="005D1A2B" w:rsidRPr="00F117EB">
        <w:rPr>
          <w:rFonts w:ascii="Times New Roman" w:hAnsi="Times New Roman"/>
        </w:rPr>
        <w:t xml:space="preserve">money </w:t>
      </w:r>
      <w:r w:rsidR="006F1126" w:rsidRPr="00F117EB">
        <w:rPr>
          <w:rFonts w:ascii="Times New Roman" w:hAnsi="Times New Roman"/>
        </w:rPr>
        <w:t xml:space="preserve">than the appellant's conduct </w:t>
      </w:r>
      <w:r w:rsidR="00EA5EAF" w:rsidRPr="00F117EB">
        <w:rPr>
          <w:rFonts w:ascii="Times New Roman" w:hAnsi="Times New Roman"/>
        </w:rPr>
        <w:t xml:space="preserve">the subject of </w:t>
      </w:r>
      <w:r w:rsidR="008A4153" w:rsidRPr="00F117EB">
        <w:rPr>
          <w:rFonts w:ascii="Times New Roman" w:hAnsi="Times New Roman"/>
        </w:rPr>
        <w:t xml:space="preserve">the proceeds of crime </w:t>
      </w:r>
      <w:r w:rsidR="00EA5EAF" w:rsidRPr="00F117EB">
        <w:rPr>
          <w:rFonts w:ascii="Times New Roman" w:hAnsi="Times New Roman"/>
        </w:rPr>
        <w:t>offence</w:t>
      </w:r>
      <w:r w:rsidR="00F51CAF" w:rsidRPr="00F117EB">
        <w:rPr>
          <w:rFonts w:ascii="Times New Roman" w:hAnsi="Times New Roman"/>
        </w:rPr>
        <w:t>;</w:t>
      </w:r>
      <w:r w:rsidR="00EA5EAF" w:rsidRPr="00F117EB">
        <w:rPr>
          <w:rFonts w:ascii="Times New Roman" w:hAnsi="Times New Roman"/>
        </w:rPr>
        <w:t xml:space="preserve"> the </w:t>
      </w:r>
      <w:r w:rsidR="00C7677A" w:rsidRPr="00F117EB">
        <w:rPr>
          <w:rFonts w:ascii="Times New Roman" w:hAnsi="Times New Roman"/>
        </w:rPr>
        <w:t xml:space="preserve">greater </w:t>
      </w:r>
      <w:r w:rsidR="00EA5EAF" w:rsidRPr="00F117EB">
        <w:rPr>
          <w:rFonts w:ascii="Times New Roman" w:hAnsi="Times New Roman"/>
        </w:rPr>
        <w:t xml:space="preserve">number of drug supply and cash transactions </w:t>
      </w:r>
      <w:r w:rsidR="00F51CAF" w:rsidRPr="00F117EB">
        <w:rPr>
          <w:rFonts w:ascii="Times New Roman" w:hAnsi="Times New Roman"/>
        </w:rPr>
        <w:t xml:space="preserve">in which </w:t>
      </w:r>
      <w:r w:rsidR="006358D6" w:rsidRPr="00F117EB">
        <w:rPr>
          <w:rFonts w:ascii="Times New Roman" w:hAnsi="Times New Roman"/>
        </w:rPr>
        <w:t xml:space="preserve">Mr </w:t>
      </w:r>
      <w:proofErr w:type="spellStart"/>
      <w:r w:rsidR="006358D6" w:rsidRPr="00F117EB">
        <w:rPr>
          <w:rFonts w:ascii="Times New Roman" w:hAnsi="Times New Roman"/>
        </w:rPr>
        <w:t>Kanmaz</w:t>
      </w:r>
      <w:proofErr w:type="spellEnd"/>
      <w:r w:rsidR="006358D6" w:rsidRPr="00F117EB">
        <w:rPr>
          <w:rFonts w:ascii="Times New Roman" w:hAnsi="Times New Roman"/>
        </w:rPr>
        <w:t xml:space="preserve"> </w:t>
      </w:r>
      <w:r w:rsidR="00EA5EAF" w:rsidRPr="00F117EB">
        <w:rPr>
          <w:rFonts w:ascii="Times New Roman" w:hAnsi="Times New Roman"/>
        </w:rPr>
        <w:t>was involved</w:t>
      </w:r>
      <w:r w:rsidR="00F51CAF" w:rsidRPr="00F117EB">
        <w:rPr>
          <w:rFonts w:ascii="Times New Roman" w:hAnsi="Times New Roman"/>
        </w:rPr>
        <w:t>;</w:t>
      </w:r>
      <w:r w:rsidR="00EA5EAF" w:rsidRPr="00F117EB">
        <w:rPr>
          <w:rFonts w:ascii="Times New Roman" w:hAnsi="Times New Roman"/>
        </w:rPr>
        <w:t xml:space="preserve"> and </w:t>
      </w:r>
      <w:r w:rsidR="00DE0B7B" w:rsidRPr="00F117EB">
        <w:rPr>
          <w:rFonts w:ascii="Times New Roman" w:hAnsi="Times New Roman"/>
        </w:rPr>
        <w:t xml:space="preserve">Mr Kanmaz's </w:t>
      </w:r>
      <w:r w:rsidR="00F51CAF" w:rsidRPr="00F117EB">
        <w:rPr>
          <w:rFonts w:ascii="Times New Roman" w:hAnsi="Times New Roman"/>
        </w:rPr>
        <w:t>"</w:t>
      </w:r>
      <w:r w:rsidR="00EA5EAF" w:rsidRPr="00F117EB">
        <w:rPr>
          <w:rFonts w:ascii="Times New Roman" w:hAnsi="Times New Roman"/>
        </w:rPr>
        <w:t>more extensive criminal record</w:t>
      </w:r>
      <w:r w:rsidR="00F51CAF" w:rsidRPr="00F117EB">
        <w:rPr>
          <w:rFonts w:ascii="Times New Roman" w:hAnsi="Times New Roman"/>
        </w:rPr>
        <w:t>"</w:t>
      </w:r>
      <w:r w:rsidR="00EA5EAF" w:rsidRPr="00F117EB">
        <w:rPr>
          <w:rFonts w:ascii="Times New Roman" w:hAnsi="Times New Roman"/>
        </w:rPr>
        <w:t xml:space="preserve">.  </w:t>
      </w:r>
    </w:p>
    <w:p w14:paraId="5E0ECBD6" w14:textId="5F6F2044" w:rsidR="00EA5EAF" w:rsidRPr="00F117EB" w:rsidRDefault="006F28DD"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3B1066" w:rsidRPr="00F117EB">
        <w:rPr>
          <w:rFonts w:ascii="Times New Roman" w:hAnsi="Times New Roman"/>
        </w:rPr>
        <w:t>In w</w:t>
      </w:r>
      <w:r w:rsidR="00EA5EAF" w:rsidRPr="00F117EB">
        <w:rPr>
          <w:rFonts w:ascii="Times New Roman" w:hAnsi="Times New Roman"/>
        </w:rPr>
        <w:t xml:space="preserve">ritten submissions </w:t>
      </w:r>
      <w:r w:rsidR="003B1066" w:rsidRPr="00F117EB">
        <w:rPr>
          <w:rFonts w:ascii="Times New Roman" w:hAnsi="Times New Roman"/>
        </w:rPr>
        <w:t xml:space="preserve">filed </w:t>
      </w:r>
      <w:r w:rsidR="00722A5F" w:rsidRPr="00F117EB">
        <w:rPr>
          <w:rFonts w:ascii="Times New Roman" w:hAnsi="Times New Roman"/>
        </w:rPr>
        <w:t xml:space="preserve">in response </w:t>
      </w:r>
      <w:r w:rsidR="00EA5EAF" w:rsidRPr="00F117EB">
        <w:rPr>
          <w:rFonts w:ascii="Times New Roman" w:hAnsi="Times New Roman"/>
        </w:rPr>
        <w:t>on behalf of the appellant and Mr</w:t>
      </w:r>
      <w:r w:rsidR="006C3076" w:rsidRPr="00F117EB">
        <w:rPr>
          <w:rFonts w:ascii="Times New Roman" w:hAnsi="Times New Roman"/>
        </w:rPr>
        <w:t> </w:t>
      </w:r>
      <w:r w:rsidR="00EA5EAF" w:rsidRPr="00F117EB">
        <w:rPr>
          <w:rFonts w:ascii="Times New Roman" w:hAnsi="Times New Roman"/>
        </w:rPr>
        <w:t>Kanmaz</w:t>
      </w:r>
      <w:r w:rsidR="003B1066" w:rsidRPr="00F117EB">
        <w:rPr>
          <w:rFonts w:ascii="Times New Roman" w:hAnsi="Times New Roman"/>
        </w:rPr>
        <w:t>,</w:t>
      </w:r>
      <w:r w:rsidR="00EA5EAF" w:rsidRPr="00F117EB">
        <w:rPr>
          <w:rFonts w:ascii="Times New Roman" w:hAnsi="Times New Roman"/>
        </w:rPr>
        <w:t xml:space="preserve"> </w:t>
      </w:r>
      <w:r w:rsidR="003B1066" w:rsidRPr="00F117EB">
        <w:rPr>
          <w:rFonts w:ascii="Times New Roman" w:hAnsi="Times New Roman"/>
        </w:rPr>
        <w:t>Senior Counsel</w:t>
      </w:r>
      <w:r w:rsidR="00EA5EAF" w:rsidRPr="00F117EB">
        <w:rPr>
          <w:rFonts w:ascii="Times New Roman" w:hAnsi="Times New Roman"/>
        </w:rPr>
        <w:t xml:space="preserve"> submitted that Mr Kanmaz's </w:t>
      </w:r>
      <w:r w:rsidR="00FC63E3" w:rsidRPr="00F117EB">
        <w:rPr>
          <w:rFonts w:ascii="Times New Roman" w:hAnsi="Times New Roman"/>
        </w:rPr>
        <w:t>conspiracy offence</w:t>
      </w:r>
      <w:r w:rsidR="00EA5EAF" w:rsidRPr="00F117EB">
        <w:rPr>
          <w:rFonts w:ascii="Times New Roman" w:hAnsi="Times New Roman"/>
        </w:rPr>
        <w:t xml:space="preserve"> fell "just below the midrange" </w:t>
      </w:r>
      <w:r w:rsidR="001D5986" w:rsidRPr="00F117EB">
        <w:rPr>
          <w:rFonts w:ascii="Times New Roman" w:hAnsi="Times New Roman"/>
        </w:rPr>
        <w:t xml:space="preserve">and that </w:t>
      </w:r>
      <w:r w:rsidR="00EA5EAF" w:rsidRPr="00F117EB">
        <w:rPr>
          <w:rFonts w:ascii="Times New Roman" w:hAnsi="Times New Roman"/>
        </w:rPr>
        <w:t xml:space="preserve">the appellant's </w:t>
      </w:r>
      <w:r w:rsidR="00FC63E3" w:rsidRPr="00F117EB">
        <w:rPr>
          <w:rFonts w:ascii="Times New Roman" w:hAnsi="Times New Roman"/>
        </w:rPr>
        <w:t>conspiracy off</w:t>
      </w:r>
      <w:r w:rsidR="005F0E06" w:rsidRPr="00F117EB">
        <w:rPr>
          <w:rFonts w:ascii="Times New Roman" w:hAnsi="Times New Roman"/>
        </w:rPr>
        <w:t xml:space="preserve">ence </w:t>
      </w:r>
      <w:r w:rsidR="00EA5EAF" w:rsidRPr="00F117EB">
        <w:rPr>
          <w:rFonts w:ascii="Times New Roman" w:hAnsi="Times New Roman"/>
        </w:rPr>
        <w:t>was "at the bottom of the midrange"</w:t>
      </w:r>
      <w:r w:rsidR="006E1889" w:rsidRPr="00F117EB">
        <w:rPr>
          <w:rFonts w:ascii="Times New Roman" w:hAnsi="Times New Roman"/>
        </w:rPr>
        <w:t xml:space="preserve"> </w:t>
      </w:r>
      <w:r w:rsidR="00AD7F45" w:rsidRPr="00F117EB">
        <w:rPr>
          <w:rFonts w:ascii="Times New Roman" w:hAnsi="Times New Roman"/>
        </w:rPr>
        <w:t>(</w:t>
      </w:r>
      <w:proofErr w:type="spellStart"/>
      <w:r w:rsidR="006E1889" w:rsidRPr="00F117EB">
        <w:rPr>
          <w:rFonts w:ascii="Times New Roman" w:hAnsi="Times New Roman"/>
        </w:rPr>
        <w:t>ie</w:t>
      </w:r>
      <w:proofErr w:type="spellEnd"/>
      <w:r w:rsidR="00AD7F45" w:rsidRPr="00F117EB">
        <w:rPr>
          <w:rFonts w:ascii="Times New Roman" w:hAnsi="Times New Roman"/>
        </w:rPr>
        <w:t>, that</w:t>
      </w:r>
      <w:r w:rsidR="006E1889" w:rsidRPr="00F117EB">
        <w:rPr>
          <w:rFonts w:ascii="Times New Roman" w:hAnsi="Times New Roman"/>
        </w:rPr>
        <w:t xml:space="preserve"> the appellant's offence was more objectively serious than Mr Kanmaz's </w:t>
      </w:r>
      <w:r w:rsidR="00C1558A" w:rsidRPr="00F117EB">
        <w:rPr>
          <w:rFonts w:ascii="Times New Roman" w:hAnsi="Times New Roman"/>
        </w:rPr>
        <w:t xml:space="preserve">offence but </w:t>
      </w:r>
      <w:r w:rsidR="00A763C0" w:rsidRPr="00F117EB">
        <w:rPr>
          <w:rFonts w:ascii="Times New Roman" w:hAnsi="Times New Roman"/>
        </w:rPr>
        <w:t xml:space="preserve">their respective offences were </w:t>
      </w:r>
      <w:r w:rsidR="006E1889" w:rsidRPr="00F117EB">
        <w:rPr>
          <w:rFonts w:ascii="Times New Roman" w:hAnsi="Times New Roman"/>
        </w:rPr>
        <w:t xml:space="preserve">each </w:t>
      </w:r>
      <w:r w:rsidR="0047237E" w:rsidRPr="00F117EB">
        <w:rPr>
          <w:rFonts w:ascii="Times New Roman" w:hAnsi="Times New Roman"/>
        </w:rPr>
        <w:t>objectively less serious</w:t>
      </w:r>
      <w:r w:rsidR="006E1889" w:rsidRPr="00F117EB">
        <w:rPr>
          <w:rFonts w:ascii="Times New Roman" w:hAnsi="Times New Roman"/>
        </w:rPr>
        <w:t xml:space="preserve"> </w:t>
      </w:r>
      <w:r w:rsidR="0047237E" w:rsidRPr="00F117EB">
        <w:rPr>
          <w:rFonts w:ascii="Times New Roman" w:hAnsi="Times New Roman"/>
        </w:rPr>
        <w:t xml:space="preserve">than </w:t>
      </w:r>
      <w:r w:rsidR="006E1889" w:rsidRPr="00F117EB">
        <w:rPr>
          <w:rFonts w:ascii="Times New Roman" w:hAnsi="Times New Roman"/>
        </w:rPr>
        <w:t xml:space="preserve">that contended for </w:t>
      </w:r>
      <w:r w:rsidR="0047237E" w:rsidRPr="00F117EB">
        <w:rPr>
          <w:rFonts w:ascii="Times New Roman" w:hAnsi="Times New Roman"/>
        </w:rPr>
        <w:t xml:space="preserve">by </w:t>
      </w:r>
      <w:r w:rsidR="006E1889" w:rsidRPr="00F117EB">
        <w:rPr>
          <w:rFonts w:ascii="Times New Roman" w:hAnsi="Times New Roman"/>
        </w:rPr>
        <w:t xml:space="preserve">the </w:t>
      </w:r>
      <w:r w:rsidR="008A07FE" w:rsidRPr="00F117EB">
        <w:rPr>
          <w:rFonts w:ascii="Times New Roman" w:hAnsi="Times New Roman"/>
        </w:rPr>
        <w:t>Crown</w:t>
      </w:r>
      <w:r w:rsidR="0047237E" w:rsidRPr="00F117EB">
        <w:rPr>
          <w:rFonts w:ascii="Times New Roman" w:hAnsi="Times New Roman"/>
        </w:rPr>
        <w:t>)</w:t>
      </w:r>
      <w:r w:rsidR="006E1889" w:rsidRPr="00F117EB">
        <w:rPr>
          <w:rFonts w:ascii="Times New Roman" w:hAnsi="Times New Roman"/>
        </w:rPr>
        <w:t>. Senior Counsel's</w:t>
      </w:r>
      <w:r w:rsidR="00EA5EAF" w:rsidRPr="00F117EB">
        <w:rPr>
          <w:rFonts w:ascii="Times New Roman" w:hAnsi="Times New Roman"/>
        </w:rPr>
        <w:t xml:space="preserve"> submission canvassed relevant features of the appellant</w:t>
      </w:r>
      <w:r w:rsidR="00BA6584" w:rsidRPr="00F117EB">
        <w:rPr>
          <w:rFonts w:ascii="Times New Roman" w:hAnsi="Times New Roman"/>
        </w:rPr>
        <w:t>'s</w:t>
      </w:r>
      <w:r w:rsidR="00EA5EAF" w:rsidRPr="00F117EB">
        <w:rPr>
          <w:rFonts w:ascii="Times New Roman" w:hAnsi="Times New Roman"/>
        </w:rPr>
        <w:t xml:space="preserve"> and Mr</w:t>
      </w:r>
      <w:r w:rsidR="006C3076" w:rsidRPr="00F117EB">
        <w:rPr>
          <w:rFonts w:ascii="Times New Roman" w:hAnsi="Times New Roman"/>
        </w:rPr>
        <w:t> </w:t>
      </w:r>
      <w:r w:rsidR="00EA5EAF" w:rsidRPr="00F117EB">
        <w:rPr>
          <w:rFonts w:ascii="Times New Roman" w:hAnsi="Times New Roman"/>
        </w:rPr>
        <w:t>Kanmaz's subjective case</w:t>
      </w:r>
      <w:r w:rsidR="00794256" w:rsidRPr="00F117EB">
        <w:rPr>
          <w:rFonts w:ascii="Times New Roman" w:hAnsi="Times New Roman"/>
        </w:rPr>
        <w:t>s</w:t>
      </w:r>
      <w:r w:rsidR="00EA5EAF" w:rsidRPr="00F117EB">
        <w:rPr>
          <w:rFonts w:ascii="Times New Roman" w:hAnsi="Times New Roman"/>
        </w:rPr>
        <w:t xml:space="preserve"> but adopted different approaches </w:t>
      </w:r>
      <w:r w:rsidR="005236D0" w:rsidRPr="00F117EB">
        <w:rPr>
          <w:rFonts w:ascii="Times New Roman" w:hAnsi="Times New Roman"/>
        </w:rPr>
        <w:t xml:space="preserve">in </w:t>
      </w:r>
      <w:r w:rsidR="00EA5EAF" w:rsidRPr="00F117EB">
        <w:rPr>
          <w:rFonts w:ascii="Times New Roman" w:hAnsi="Times New Roman"/>
        </w:rPr>
        <w:t>seeking leniency</w:t>
      </w:r>
      <w:r w:rsidR="002275BF" w:rsidRPr="00F117EB">
        <w:rPr>
          <w:rFonts w:ascii="Times New Roman" w:hAnsi="Times New Roman"/>
        </w:rPr>
        <w:t xml:space="preserve"> for each offender</w:t>
      </w:r>
      <w:r w:rsidR="00EA5EAF" w:rsidRPr="00F117EB">
        <w:rPr>
          <w:rFonts w:ascii="Times New Roman" w:hAnsi="Times New Roman"/>
        </w:rPr>
        <w:t xml:space="preserve">. </w:t>
      </w:r>
      <w:r w:rsidR="002275BF" w:rsidRPr="00F117EB">
        <w:rPr>
          <w:rFonts w:ascii="Times New Roman" w:hAnsi="Times New Roman"/>
        </w:rPr>
        <w:t>T</w:t>
      </w:r>
      <w:r w:rsidR="00EA5EAF" w:rsidRPr="00F117EB">
        <w:rPr>
          <w:rFonts w:ascii="Times New Roman" w:hAnsi="Times New Roman"/>
        </w:rPr>
        <w:t>he submissions sought leniency for Mr</w:t>
      </w:r>
      <w:r w:rsidR="006C3076" w:rsidRPr="00F117EB">
        <w:rPr>
          <w:rFonts w:ascii="Times New Roman" w:hAnsi="Times New Roman"/>
        </w:rPr>
        <w:t> </w:t>
      </w:r>
      <w:proofErr w:type="spellStart"/>
      <w:r w:rsidR="00EA5EAF" w:rsidRPr="00F117EB">
        <w:rPr>
          <w:rFonts w:ascii="Times New Roman" w:hAnsi="Times New Roman"/>
        </w:rPr>
        <w:t>Kanmaz</w:t>
      </w:r>
      <w:proofErr w:type="spellEnd"/>
      <w:r w:rsidR="00EA5EAF" w:rsidRPr="00F117EB">
        <w:rPr>
          <w:rFonts w:ascii="Times New Roman" w:hAnsi="Times New Roman"/>
        </w:rPr>
        <w:t xml:space="preserve"> in the form of backdating his sentence to run at least partly concurrently with a term of imprisonment he was </w:t>
      </w:r>
      <w:r w:rsidR="004C3DC3" w:rsidRPr="00F117EB">
        <w:rPr>
          <w:rFonts w:ascii="Times New Roman" w:hAnsi="Times New Roman"/>
        </w:rPr>
        <w:t xml:space="preserve">already </w:t>
      </w:r>
      <w:r w:rsidR="00EA5EAF" w:rsidRPr="00F117EB">
        <w:rPr>
          <w:rFonts w:ascii="Times New Roman" w:hAnsi="Times New Roman"/>
        </w:rPr>
        <w:t>serving "to incorporate a measure of totality"</w:t>
      </w:r>
      <w:r w:rsidR="00D70F14" w:rsidRPr="00F117EB">
        <w:rPr>
          <w:rFonts w:ascii="Times New Roman" w:hAnsi="Times New Roman"/>
        </w:rPr>
        <w:t>.</w:t>
      </w:r>
      <w:r w:rsidR="00116D02" w:rsidRPr="00F117EB">
        <w:rPr>
          <w:rFonts w:ascii="Times New Roman" w:hAnsi="Times New Roman"/>
        </w:rPr>
        <w:t xml:space="preserve"> </w:t>
      </w:r>
      <w:r w:rsidR="00EA5EAF" w:rsidRPr="00F117EB">
        <w:rPr>
          <w:rFonts w:ascii="Times New Roman" w:hAnsi="Times New Roman"/>
        </w:rPr>
        <w:t>The submission</w:t>
      </w:r>
      <w:r w:rsidR="0069721A" w:rsidRPr="00F117EB">
        <w:rPr>
          <w:rFonts w:ascii="Times New Roman" w:hAnsi="Times New Roman"/>
        </w:rPr>
        <w:t>s</w:t>
      </w:r>
      <w:r w:rsidR="00EA5EAF" w:rsidRPr="00F117EB">
        <w:rPr>
          <w:rFonts w:ascii="Times New Roman" w:hAnsi="Times New Roman"/>
        </w:rPr>
        <w:t xml:space="preserve"> sought leniency for the appellant by </w:t>
      </w:r>
      <w:r w:rsidR="00413B96" w:rsidRPr="00F117EB">
        <w:rPr>
          <w:rFonts w:ascii="Times New Roman" w:hAnsi="Times New Roman"/>
        </w:rPr>
        <w:t xml:space="preserve">an </w:t>
      </w:r>
      <w:r w:rsidR="00EA5EAF" w:rsidRPr="00F117EB">
        <w:rPr>
          <w:rFonts w:ascii="Times New Roman" w:hAnsi="Times New Roman"/>
        </w:rPr>
        <w:t>adjust</w:t>
      </w:r>
      <w:r w:rsidR="00413B96" w:rsidRPr="00F117EB">
        <w:rPr>
          <w:rFonts w:ascii="Times New Roman" w:hAnsi="Times New Roman"/>
        </w:rPr>
        <w:t>ment of his</w:t>
      </w:r>
      <w:r w:rsidR="00EA5EAF" w:rsidRPr="00F117EB">
        <w:rPr>
          <w:rFonts w:ascii="Times New Roman" w:hAnsi="Times New Roman"/>
        </w:rPr>
        <w:t xml:space="preserve"> non-parole period </w:t>
      </w:r>
      <w:r w:rsidR="00CF2E3F" w:rsidRPr="00F117EB">
        <w:rPr>
          <w:rFonts w:ascii="Times New Roman" w:hAnsi="Times New Roman"/>
        </w:rPr>
        <w:t>"</w:t>
      </w:r>
      <w:r w:rsidR="00EA5EAF" w:rsidRPr="00F117EB">
        <w:rPr>
          <w:rFonts w:ascii="Times New Roman" w:hAnsi="Times New Roman"/>
        </w:rPr>
        <w:t>on the basis of [alleged non</w:t>
      </w:r>
      <w:r w:rsidR="00CD59D2" w:rsidRPr="00F117EB">
        <w:rPr>
          <w:rFonts w:ascii="Times New Roman" w:hAnsi="Times New Roman"/>
        </w:rPr>
        <w:t>-</w:t>
      </w:r>
      <w:r w:rsidR="00EA5EAF" w:rsidRPr="00F117EB">
        <w:rPr>
          <w:rFonts w:ascii="Times New Roman" w:hAnsi="Times New Roman"/>
        </w:rPr>
        <w:t xml:space="preserve">exculpatory] duress, mental health concerns and </w:t>
      </w:r>
      <w:proofErr w:type="spellStart"/>
      <w:r w:rsidR="00EA5EAF" w:rsidRPr="00F117EB">
        <w:rPr>
          <w:rFonts w:ascii="Times New Roman" w:hAnsi="Times New Roman"/>
          <w:i/>
          <w:iCs/>
        </w:rPr>
        <w:t>Bugmy</w:t>
      </w:r>
      <w:proofErr w:type="spellEnd"/>
      <w:r w:rsidR="00EA5EAF" w:rsidRPr="00F117EB">
        <w:rPr>
          <w:rFonts w:ascii="Times New Roman" w:hAnsi="Times New Roman"/>
        </w:rPr>
        <w:t xml:space="preserve"> type principles</w:t>
      </w:r>
      <w:r w:rsidR="00CF2E3F" w:rsidRPr="00F117EB">
        <w:rPr>
          <w:rFonts w:ascii="Times New Roman" w:hAnsi="Times New Roman"/>
        </w:rPr>
        <w:t>",</w:t>
      </w:r>
      <w:r w:rsidR="00F3517A" w:rsidRPr="00F117EB">
        <w:rPr>
          <w:rStyle w:val="FootnoteReference"/>
          <w:rFonts w:ascii="Times New Roman" w:hAnsi="Times New Roman"/>
          <w:sz w:val="24"/>
        </w:rPr>
        <w:footnoteReference w:id="19"/>
      </w:r>
      <w:r w:rsidR="00CF2E3F" w:rsidRPr="00F117EB">
        <w:rPr>
          <w:rFonts w:ascii="Times New Roman" w:hAnsi="Times New Roman"/>
        </w:rPr>
        <w:t xml:space="preserve"> as well as </w:t>
      </w:r>
      <w:r w:rsidR="0098346A" w:rsidRPr="00F117EB">
        <w:rPr>
          <w:rFonts w:ascii="Times New Roman" w:hAnsi="Times New Roman"/>
        </w:rPr>
        <w:t xml:space="preserve">on account of </w:t>
      </w:r>
      <w:r w:rsidR="00CF2E3F" w:rsidRPr="00F117EB">
        <w:rPr>
          <w:rFonts w:ascii="Times New Roman" w:hAnsi="Times New Roman"/>
        </w:rPr>
        <w:t>his</w:t>
      </w:r>
      <w:r w:rsidR="005A7DC1" w:rsidRPr="00F117EB">
        <w:rPr>
          <w:rFonts w:ascii="Times New Roman" w:hAnsi="Times New Roman"/>
        </w:rPr>
        <w:t xml:space="preserve"> limited criminal history.</w:t>
      </w:r>
      <w:r w:rsidR="005A7DC1" w:rsidRPr="00F117EB">
        <w:rPr>
          <w:rFonts w:ascii="Times New Roman" w:hAnsi="Times New Roman"/>
          <w:b/>
          <w:bCs/>
        </w:rPr>
        <w:t xml:space="preserve"> </w:t>
      </w:r>
      <w:r w:rsidR="005A7DC1" w:rsidRPr="00F117EB">
        <w:rPr>
          <w:rFonts w:ascii="Times New Roman" w:hAnsi="Times New Roman"/>
        </w:rPr>
        <w:t xml:space="preserve"> </w:t>
      </w:r>
    </w:p>
    <w:p w14:paraId="01C236DE" w14:textId="51B47277" w:rsidR="007A0C93" w:rsidRPr="00F117EB" w:rsidRDefault="00F3517A"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2E45CB" w:rsidRPr="00F117EB">
        <w:rPr>
          <w:rFonts w:ascii="Times New Roman" w:hAnsi="Times New Roman"/>
        </w:rPr>
        <w:t xml:space="preserve">As noted, </w:t>
      </w:r>
      <w:r w:rsidR="00EA5EAF" w:rsidRPr="00F117EB">
        <w:rPr>
          <w:rFonts w:ascii="Times New Roman" w:hAnsi="Times New Roman"/>
        </w:rPr>
        <w:t>Senior Counsel appeared for both the appellant and Mr</w:t>
      </w:r>
      <w:r w:rsidR="006C3076" w:rsidRPr="00F117EB">
        <w:rPr>
          <w:rFonts w:ascii="Times New Roman" w:hAnsi="Times New Roman"/>
        </w:rPr>
        <w:t> </w:t>
      </w:r>
      <w:proofErr w:type="spellStart"/>
      <w:r w:rsidR="00EA5EAF" w:rsidRPr="00F117EB">
        <w:rPr>
          <w:rFonts w:ascii="Times New Roman" w:hAnsi="Times New Roman"/>
        </w:rPr>
        <w:t>Kanmaz</w:t>
      </w:r>
      <w:proofErr w:type="spellEnd"/>
      <w:r w:rsidR="002E45CB" w:rsidRPr="00F117EB">
        <w:rPr>
          <w:rFonts w:ascii="Times New Roman" w:hAnsi="Times New Roman"/>
        </w:rPr>
        <w:t xml:space="preserve"> at the sentencing hearing</w:t>
      </w:r>
      <w:r w:rsidR="00EA5EAF" w:rsidRPr="00F117EB">
        <w:rPr>
          <w:rFonts w:ascii="Times New Roman" w:hAnsi="Times New Roman"/>
        </w:rPr>
        <w:t xml:space="preserve">. Senior Counsel advised the court of the dispute with the </w:t>
      </w:r>
      <w:r w:rsidR="008A07FE" w:rsidRPr="00F117EB">
        <w:rPr>
          <w:rFonts w:ascii="Times New Roman" w:hAnsi="Times New Roman"/>
        </w:rPr>
        <w:t>Crown</w:t>
      </w:r>
      <w:r w:rsidR="00EA5EAF" w:rsidRPr="00F117EB">
        <w:rPr>
          <w:rFonts w:ascii="Times New Roman" w:hAnsi="Times New Roman"/>
        </w:rPr>
        <w:t xml:space="preserve"> about the characterisation of the objective seriousness of the offen</w:t>
      </w:r>
      <w:r w:rsidR="009F2669" w:rsidRPr="00F117EB">
        <w:rPr>
          <w:rFonts w:ascii="Times New Roman" w:hAnsi="Times New Roman"/>
        </w:rPr>
        <w:t>ding</w:t>
      </w:r>
      <w:r w:rsidR="00EA5EAF" w:rsidRPr="00F117EB">
        <w:rPr>
          <w:rFonts w:ascii="Times New Roman" w:hAnsi="Times New Roman"/>
        </w:rPr>
        <w:t xml:space="preserve">. The sentencing judge asked whether </w:t>
      </w:r>
      <w:r w:rsidR="00FD4D17" w:rsidRPr="00F117EB">
        <w:rPr>
          <w:rFonts w:ascii="Times New Roman" w:hAnsi="Times New Roman"/>
        </w:rPr>
        <w:t>Senior C</w:t>
      </w:r>
      <w:r w:rsidR="00EA5EAF" w:rsidRPr="00F117EB">
        <w:rPr>
          <w:rFonts w:ascii="Times New Roman" w:hAnsi="Times New Roman"/>
        </w:rPr>
        <w:t>ounsel agreed that "Mr</w:t>
      </w:r>
      <w:r w:rsidR="006C3076" w:rsidRPr="00F117EB">
        <w:rPr>
          <w:rFonts w:ascii="Times New Roman" w:hAnsi="Times New Roman"/>
        </w:rPr>
        <w:t> </w:t>
      </w:r>
      <w:proofErr w:type="spellStart"/>
      <w:r w:rsidR="00EA5EAF" w:rsidRPr="00F117EB">
        <w:rPr>
          <w:rFonts w:ascii="Times New Roman" w:hAnsi="Times New Roman"/>
        </w:rPr>
        <w:t>Kanmaz</w:t>
      </w:r>
      <w:proofErr w:type="spellEnd"/>
      <w:r w:rsidR="00EA5EAF" w:rsidRPr="00F117EB">
        <w:rPr>
          <w:rFonts w:ascii="Times New Roman" w:hAnsi="Times New Roman"/>
        </w:rPr>
        <w:t xml:space="preserve"> is more culpable than" the appellant. </w:t>
      </w:r>
      <w:r w:rsidR="000E3327" w:rsidRPr="00F117EB">
        <w:rPr>
          <w:rFonts w:ascii="Times New Roman" w:hAnsi="Times New Roman"/>
        </w:rPr>
        <w:t xml:space="preserve">Senior </w:t>
      </w:r>
      <w:r w:rsidR="00EA5EAF" w:rsidRPr="00F117EB">
        <w:rPr>
          <w:rFonts w:ascii="Times New Roman" w:hAnsi="Times New Roman"/>
        </w:rPr>
        <w:t xml:space="preserve">Counsel replied, "[n]o, I say the opposite". </w:t>
      </w:r>
      <w:r w:rsidR="007A0C93" w:rsidRPr="00F117EB">
        <w:rPr>
          <w:rFonts w:ascii="Times New Roman" w:hAnsi="Times New Roman"/>
        </w:rPr>
        <w:t xml:space="preserve">Senior </w:t>
      </w:r>
      <w:r w:rsidR="00EA5EAF" w:rsidRPr="00F117EB">
        <w:rPr>
          <w:rFonts w:ascii="Times New Roman" w:hAnsi="Times New Roman"/>
        </w:rPr>
        <w:t xml:space="preserve">Counsel then drew </w:t>
      </w:r>
      <w:r w:rsidR="00294572" w:rsidRPr="00F117EB">
        <w:rPr>
          <w:rFonts w:ascii="Times New Roman" w:hAnsi="Times New Roman"/>
        </w:rPr>
        <w:t>the sentencing judge's</w:t>
      </w:r>
      <w:r w:rsidR="00EA5EAF" w:rsidRPr="00F117EB">
        <w:rPr>
          <w:rFonts w:ascii="Times New Roman" w:hAnsi="Times New Roman"/>
        </w:rPr>
        <w:t xml:space="preserve"> attention to aspects of the agreed facts that were said to support </w:t>
      </w:r>
      <w:r w:rsidR="00EA78FA" w:rsidRPr="00F117EB">
        <w:rPr>
          <w:rFonts w:ascii="Times New Roman" w:hAnsi="Times New Roman"/>
        </w:rPr>
        <w:t xml:space="preserve">his </w:t>
      </w:r>
      <w:r w:rsidR="00EA5EAF" w:rsidRPr="00F117EB">
        <w:rPr>
          <w:rFonts w:ascii="Times New Roman" w:hAnsi="Times New Roman"/>
        </w:rPr>
        <w:t>submission</w:t>
      </w:r>
      <w:r w:rsidR="00705468" w:rsidRPr="00F117EB">
        <w:rPr>
          <w:rFonts w:ascii="Times New Roman" w:hAnsi="Times New Roman"/>
        </w:rPr>
        <w:t>.</w:t>
      </w:r>
      <w:r w:rsidR="00EA5EAF" w:rsidRPr="00F117EB">
        <w:rPr>
          <w:rFonts w:ascii="Times New Roman" w:hAnsi="Times New Roman"/>
        </w:rPr>
        <w:t xml:space="preserve"> </w:t>
      </w:r>
      <w:r w:rsidR="003038A6" w:rsidRPr="00F117EB">
        <w:rPr>
          <w:rFonts w:ascii="Times New Roman" w:hAnsi="Times New Roman"/>
        </w:rPr>
        <w:t>Counsel</w:t>
      </w:r>
      <w:r w:rsidR="00EA5EAF" w:rsidRPr="00F117EB">
        <w:rPr>
          <w:rFonts w:ascii="Times New Roman" w:hAnsi="Times New Roman"/>
        </w:rPr>
        <w:t xml:space="preserve"> for the </w:t>
      </w:r>
      <w:r w:rsidR="008A07FE" w:rsidRPr="00F117EB">
        <w:rPr>
          <w:rFonts w:ascii="Times New Roman" w:hAnsi="Times New Roman"/>
        </w:rPr>
        <w:t>Crown</w:t>
      </w:r>
      <w:r w:rsidR="00EA5EAF" w:rsidRPr="00F117EB">
        <w:rPr>
          <w:rFonts w:ascii="Times New Roman" w:hAnsi="Times New Roman"/>
        </w:rPr>
        <w:t xml:space="preserve"> </w:t>
      </w:r>
      <w:r w:rsidR="00BB519A" w:rsidRPr="00F117EB">
        <w:rPr>
          <w:rFonts w:ascii="Times New Roman" w:hAnsi="Times New Roman"/>
        </w:rPr>
        <w:t xml:space="preserve">later </w:t>
      </w:r>
      <w:r w:rsidR="00EA5EAF" w:rsidRPr="00F117EB">
        <w:rPr>
          <w:rFonts w:ascii="Times New Roman" w:hAnsi="Times New Roman"/>
        </w:rPr>
        <w:t xml:space="preserve">conceded to the court that Senior Counsel was correct in contending that the </w:t>
      </w:r>
      <w:r w:rsidR="00EA5EAF" w:rsidRPr="00F117EB">
        <w:rPr>
          <w:rFonts w:ascii="Times New Roman" w:hAnsi="Times New Roman"/>
        </w:rPr>
        <w:lastRenderedPageBreak/>
        <w:t>objective seriousness of the appellant's offending was worse than that of Mr</w:t>
      </w:r>
      <w:r w:rsidR="006C3076" w:rsidRPr="00F117EB">
        <w:rPr>
          <w:rFonts w:ascii="Times New Roman" w:hAnsi="Times New Roman"/>
        </w:rPr>
        <w:t> </w:t>
      </w:r>
      <w:r w:rsidR="00EA5EAF" w:rsidRPr="00F117EB">
        <w:rPr>
          <w:rFonts w:ascii="Times New Roman" w:hAnsi="Times New Roman"/>
        </w:rPr>
        <w:t xml:space="preserve">Kanmaz.  </w:t>
      </w:r>
    </w:p>
    <w:p w14:paraId="78AEC5ED" w14:textId="22B32156" w:rsidR="00EA5EAF" w:rsidRPr="00F117EB" w:rsidRDefault="00BB05D3"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BF5C86" w:rsidRPr="00F117EB">
        <w:rPr>
          <w:rFonts w:ascii="Times New Roman" w:hAnsi="Times New Roman"/>
        </w:rPr>
        <w:t xml:space="preserve">The sentencing proceedings were adjourned. </w:t>
      </w:r>
      <w:r w:rsidR="00EA5EAF" w:rsidRPr="00F117EB">
        <w:rPr>
          <w:rFonts w:ascii="Times New Roman" w:hAnsi="Times New Roman"/>
        </w:rPr>
        <w:t>When th</w:t>
      </w:r>
      <w:r w:rsidR="00BF5C86" w:rsidRPr="00F117EB">
        <w:rPr>
          <w:rFonts w:ascii="Times New Roman" w:hAnsi="Times New Roman"/>
        </w:rPr>
        <w:t>e</w:t>
      </w:r>
      <w:r w:rsidR="008367BD" w:rsidRPr="00F117EB">
        <w:rPr>
          <w:rFonts w:ascii="Times New Roman" w:hAnsi="Times New Roman"/>
        </w:rPr>
        <w:t xml:space="preserve"> proceedings</w:t>
      </w:r>
      <w:r w:rsidR="00BF5C86" w:rsidRPr="00F117EB">
        <w:rPr>
          <w:rFonts w:ascii="Times New Roman" w:hAnsi="Times New Roman"/>
        </w:rPr>
        <w:t xml:space="preserve"> resumed, </w:t>
      </w:r>
      <w:r w:rsidR="00EA5EAF" w:rsidRPr="00F117EB">
        <w:rPr>
          <w:rFonts w:ascii="Times New Roman" w:hAnsi="Times New Roman"/>
        </w:rPr>
        <w:t xml:space="preserve">Senior Counsel repeated his submissions </w:t>
      </w:r>
      <w:r w:rsidR="00816473" w:rsidRPr="00F117EB">
        <w:rPr>
          <w:rFonts w:ascii="Times New Roman" w:hAnsi="Times New Roman"/>
        </w:rPr>
        <w:t xml:space="preserve">concerning </w:t>
      </w:r>
      <w:r w:rsidR="00EA5EAF" w:rsidRPr="00F117EB">
        <w:rPr>
          <w:rFonts w:ascii="Times New Roman" w:hAnsi="Times New Roman"/>
        </w:rPr>
        <w:t>the characterisation of the objective seriousness of</w:t>
      </w:r>
      <w:r w:rsidR="00816473" w:rsidRPr="00F117EB">
        <w:rPr>
          <w:rFonts w:ascii="Times New Roman" w:hAnsi="Times New Roman"/>
        </w:rPr>
        <w:t xml:space="preserve"> </w:t>
      </w:r>
      <w:r w:rsidR="00191C0A" w:rsidRPr="00F117EB">
        <w:rPr>
          <w:rFonts w:ascii="Times New Roman" w:hAnsi="Times New Roman"/>
        </w:rPr>
        <w:t>each offender's</w:t>
      </w:r>
      <w:r w:rsidR="00816473" w:rsidRPr="00F117EB">
        <w:rPr>
          <w:rFonts w:ascii="Times New Roman" w:hAnsi="Times New Roman"/>
        </w:rPr>
        <w:t xml:space="preserve"> </w:t>
      </w:r>
      <w:r w:rsidR="00BC0A22" w:rsidRPr="00F117EB">
        <w:rPr>
          <w:rFonts w:ascii="Times New Roman" w:hAnsi="Times New Roman"/>
        </w:rPr>
        <w:t xml:space="preserve">conspiracy </w:t>
      </w:r>
      <w:r w:rsidR="009F16E8" w:rsidRPr="00F117EB">
        <w:rPr>
          <w:rFonts w:ascii="Times New Roman" w:hAnsi="Times New Roman"/>
        </w:rPr>
        <w:t xml:space="preserve">offence </w:t>
      </w:r>
      <w:r w:rsidR="00BC0A22" w:rsidRPr="00F117EB">
        <w:rPr>
          <w:rFonts w:ascii="Times New Roman" w:hAnsi="Times New Roman"/>
        </w:rPr>
        <w:t xml:space="preserve">and </w:t>
      </w:r>
      <w:r w:rsidR="00EC1812" w:rsidRPr="00F117EB">
        <w:rPr>
          <w:rFonts w:ascii="Times New Roman" w:hAnsi="Times New Roman"/>
        </w:rPr>
        <w:t>his submission</w:t>
      </w:r>
      <w:r w:rsidR="00191C0A" w:rsidRPr="00F117EB">
        <w:rPr>
          <w:rFonts w:ascii="Times New Roman" w:hAnsi="Times New Roman"/>
        </w:rPr>
        <w:t xml:space="preserve"> </w:t>
      </w:r>
      <w:r w:rsidR="00EA5EAF" w:rsidRPr="00F117EB">
        <w:rPr>
          <w:rFonts w:ascii="Times New Roman" w:hAnsi="Times New Roman"/>
        </w:rPr>
        <w:t>that</w:t>
      </w:r>
      <w:r w:rsidR="004F2980" w:rsidRPr="00F117EB">
        <w:rPr>
          <w:rFonts w:ascii="Times New Roman" w:hAnsi="Times New Roman"/>
        </w:rPr>
        <w:t xml:space="preserve"> the seriousness of </w:t>
      </w:r>
      <w:r w:rsidR="00EA5EAF" w:rsidRPr="00F117EB">
        <w:rPr>
          <w:rFonts w:ascii="Times New Roman" w:hAnsi="Times New Roman"/>
        </w:rPr>
        <w:t>Mr</w:t>
      </w:r>
      <w:r w:rsidR="006C3076" w:rsidRPr="00F117EB">
        <w:rPr>
          <w:rFonts w:ascii="Times New Roman" w:hAnsi="Times New Roman"/>
        </w:rPr>
        <w:t> </w:t>
      </w:r>
      <w:r w:rsidR="00EA5EAF" w:rsidRPr="00F117EB">
        <w:rPr>
          <w:rFonts w:ascii="Times New Roman" w:hAnsi="Times New Roman"/>
        </w:rPr>
        <w:t xml:space="preserve">Kanmaz's offending </w:t>
      </w:r>
      <w:r w:rsidR="00191C0A" w:rsidRPr="00F117EB">
        <w:rPr>
          <w:rFonts w:ascii="Times New Roman" w:hAnsi="Times New Roman"/>
        </w:rPr>
        <w:t xml:space="preserve">was </w:t>
      </w:r>
      <w:r w:rsidR="00EA5EAF" w:rsidRPr="00F117EB">
        <w:rPr>
          <w:rFonts w:ascii="Times New Roman" w:hAnsi="Times New Roman"/>
        </w:rPr>
        <w:t xml:space="preserve">"below that" of the </w:t>
      </w:r>
      <w:r w:rsidR="00CA3AAD" w:rsidRPr="00F117EB">
        <w:rPr>
          <w:rFonts w:ascii="Times New Roman" w:hAnsi="Times New Roman"/>
        </w:rPr>
        <w:t>a</w:t>
      </w:r>
      <w:r w:rsidR="00EA5EAF" w:rsidRPr="00F117EB">
        <w:rPr>
          <w:rFonts w:ascii="Times New Roman" w:hAnsi="Times New Roman"/>
        </w:rPr>
        <w:t xml:space="preserve">ppellant.  </w:t>
      </w:r>
    </w:p>
    <w:p w14:paraId="63EC1898" w14:textId="44B6CF7A" w:rsidR="00EA5EAF" w:rsidRPr="00F117EB" w:rsidRDefault="00CA3AAD"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In his reasons, the sentencing judge accepted </w:t>
      </w:r>
      <w:r w:rsidR="00BB519A" w:rsidRPr="00F117EB">
        <w:rPr>
          <w:rFonts w:ascii="Times New Roman" w:hAnsi="Times New Roman"/>
        </w:rPr>
        <w:t>Senior Counsel's</w:t>
      </w:r>
      <w:r w:rsidR="00EA5EAF" w:rsidRPr="00F117EB">
        <w:rPr>
          <w:rFonts w:ascii="Times New Roman" w:hAnsi="Times New Roman"/>
        </w:rPr>
        <w:t xml:space="preserve"> submissions so far as they relied on </w:t>
      </w:r>
      <w:proofErr w:type="spellStart"/>
      <w:r w:rsidR="00EA5EAF" w:rsidRPr="00F117EB">
        <w:rPr>
          <w:rFonts w:ascii="Times New Roman" w:hAnsi="Times New Roman"/>
          <w:i/>
          <w:iCs/>
        </w:rPr>
        <w:t>Bugmy</w:t>
      </w:r>
      <w:proofErr w:type="spellEnd"/>
      <w:r w:rsidR="00377979" w:rsidRPr="00F117EB">
        <w:rPr>
          <w:rFonts w:ascii="Times New Roman" w:hAnsi="Times New Roman"/>
          <w:i/>
          <w:iCs/>
        </w:rPr>
        <w:t xml:space="preserve"> v The Queen</w:t>
      </w:r>
      <w:r w:rsidR="00377979" w:rsidRPr="00F117EB">
        <w:rPr>
          <w:rStyle w:val="FootnoteReference"/>
          <w:rFonts w:ascii="Times New Roman" w:hAnsi="Times New Roman"/>
          <w:sz w:val="24"/>
        </w:rPr>
        <w:footnoteReference w:id="20"/>
      </w:r>
      <w:r w:rsidR="00EA5EAF" w:rsidRPr="00F117EB">
        <w:rPr>
          <w:rFonts w:ascii="Times New Roman" w:hAnsi="Times New Roman"/>
        </w:rPr>
        <w:t xml:space="preserve"> considerations to diminish </w:t>
      </w:r>
      <w:r w:rsidR="00BB519A" w:rsidRPr="00F117EB">
        <w:rPr>
          <w:rFonts w:ascii="Times New Roman" w:hAnsi="Times New Roman"/>
        </w:rPr>
        <w:t>the appellant's</w:t>
      </w:r>
      <w:r w:rsidR="00EA5EAF" w:rsidRPr="00F117EB">
        <w:rPr>
          <w:rFonts w:ascii="Times New Roman" w:hAnsi="Times New Roman"/>
        </w:rPr>
        <w:t xml:space="preserve"> moral culpability but did not accept that any "non-exculpatory duress" was established. His Honour did not make any express findings </w:t>
      </w:r>
      <w:r w:rsidR="007849FD" w:rsidRPr="00F117EB">
        <w:rPr>
          <w:rFonts w:ascii="Times New Roman" w:hAnsi="Times New Roman"/>
        </w:rPr>
        <w:t xml:space="preserve">as to </w:t>
      </w:r>
      <w:r w:rsidR="00EA5EAF" w:rsidRPr="00F117EB">
        <w:rPr>
          <w:rFonts w:ascii="Times New Roman" w:hAnsi="Times New Roman"/>
        </w:rPr>
        <w:t xml:space="preserve">the objective seriousness of either the appellant's or </w:t>
      </w:r>
      <w:r w:rsidR="007E525F" w:rsidRPr="00F117EB">
        <w:rPr>
          <w:rFonts w:ascii="Times New Roman" w:hAnsi="Times New Roman"/>
        </w:rPr>
        <w:t xml:space="preserve">Mr </w:t>
      </w:r>
      <w:r w:rsidR="00EA5EAF" w:rsidRPr="00F117EB">
        <w:rPr>
          <w:rFonts w:ascii="Times New Roman" w:hAnsi="Times New Roman"/>
        </w:rPr>
        <w:t xml:space="preserve">Kanmaz's offending by reference to some hypothetical range of offending. In addressing parity, </w:t>
      </w:r>
      <w:r w:rsidR="00794891" w:rsidRPr="00F117EB">
        <w:rPr>
          <w:rFonts w:ascii="Times New Roman" w:hAnsi="Times New Roman"/>
        </w:rPr>
        <w:t>h</w:t>
      </w:r>
      <w:r w:rsidR="00EA5EAF" w:rsidRPr="00F117EB">
        <w:rPr>
          <w:rFonts w:ascii="Times New Roman" w:hAnsi="Times New Roman"/>
        </w:rPr>
        <w:t xml:space="preserve">is Honour found that the appellant was "more deeply involved than [Mr] </w:t>
      </w:r>
      <w:proofErr w:type="spellStart"/>
      <w:r w:rsidR="00EA5EAF" w:rsidRPr="00F117EB">
        <w:rPr>
          <w:rFonts w:ascii="Times New Roman" w:hAnsi="Times New Roman"/>
        </w:rPr>
        <w:t>Kanmaz</w:t>
      </w:r>
      <w:proofErr w:type="spellEnd"/>
      <w:r w:rsidR="00EA5EAF" w:rsidRPr="00F117EB">
        <w:rPr>
          <w:rFonts w:ascii="Times New Roman" w:hAnsi="Times New Roman"/>
        </w:rPr>
        <w:t>, the latter of whom was not a profit sharer, merely being paid a wage, albeit a substantial one</w:t>
      </w:r>
      <w:r w:rsidR="003B363F" w:rsidRPr="00F117EB">
        <w:rPr>
          <w:rFonts w:ascii="Times New Roman" w:hAnsi="Times New Roman"/>
        </w:rPr>
        <w:t>"</w:t>
      </w:r>
      <w:r w:rsidR="00EA5EAF" w:rsidRPr="00F117EB">
        <w:rPr>
          <w:rFonts w:ascii="Times New Roman" w:hAnsi="Times New Roman"/>
        </w:rPr>
        <w:t xml:space="preserve"> whereas </w:t>
      </w:r>
      <w:r w:rsidR="00055196" w:rsidRPr="00F117EB">
        <w:rPr>
          <w:rFonts w:ascii="Times New Roman" w:hAnsi="Times New Roman"/>
        </w:rPr>
        <w:t>the appellant "</w:t>
      </w:r>
      <w:r w:rsidR="00EA5EAF" w:rsidRPr="00F117EB">
        <w:rPr>
          <w:rFonts w:ascii="Times New Roman" w:hAnsi="Times New Roman"/>
        </w:rPr>
        <w:t>was getting his share of the profits</w:t>
      </w:r>
      <w:r w:rsidR="003B363F" w:rsidRPr="00F117EB">
        <w:rPr>
          <w:rFonts w:ascii="Times New Roman" w:hAnsi="Times New Roman"/>
        </w:rPr>
        <w:t>"</w:t>
      </w:r>
      <w:r w:rsidR="00EA5EAF" w:rsidRPr="00F117EB">
        <w:rPr>
          <w:rFonts w:ascii="Times New Roman" w:hAnsi="Times New Roman"/>
        </w:rPr>
        <w:t xml:space="preserve">. </w:t>
      </w:r>
      <w:r w:rsidR="00BF5AAF" w:rsidRPr="00F117EB">
        <w:rPr>
          <w:rFonts w:ascii="Times New Roman" w:hAnsi="Times New Roman"/>
        </w:rPr>
        <w:t>However,</w:t>
      </w:r>
      <w:r w:rsidR="00EA5EAF" w:rsidRPr="00F117EB">
        <w:rPr>
          <w:rFonts w:ascii="Times New Roman" w:hAnsi="Times New Roman"/>
        </w:rPr>
        <w:t xml:space="preserve"> </w:t>
      </w:r>
      <w:r w:rsidR="00BF5AAF" w:rsidRPr="00F117EB">
        <w:rPr>
          <w:rFonts w:ascii="Times New Roman" w:hAnsi="Times New Roman"/>
        </w:rPr>
        <w:t>h</w:t>
      </w:r>
      <w:r w:rsidR="00EA5EAF" w:rsidRPr="00F117EB">
        <w:rPr>
          <w:rFonts w:ascii="Times New Roman" w:hAnsi="Times New Roman"/>
        </w:rPr>
        <w:t>is Honour also noted that "[t]</w:t>
      </w:r>
      <w:proofErr w:type="spellStart"/>
      <w:r w:rsidR="00EA5EAF" w:rsidRPr="00F117EB">
        <w:rPr>
          <w:rFonts w:ascii="Times New Roman" w:hAnsi="Times New Roman"/>
        </w:rPr>
        <w:t>heir</w:t>
      </w:r>
      <w:proofErr w:type="spellEnd"/>
      <w:r w:rsidR="00EA5EAF" w:rsidRPr="00F117EB">
        <w:rPr>
          <w:rFonts w:ascii="Times New Roman" w:hAnsi="Times New Roman"/>
        </w:rPr>
        <w:t xml:space="preserve"> motivations for becoming part of this drug trafficking conspiracy are also different as are their subjective features" and </w:t>
      </w:r>
      <w:r w:rsidR="0002022B" w:rsidRPr="00F117EB">
        <w:rPr>
          <w:rFonts w:ascii="Times New Roman" w:hAnsi="Times New Roman"/>
        </w:rPr>
        <w:t xml:space="preserve">that </w:t>
      </w:r>
      <w:r w:rsidR="00EA5EAF" w:rsidRPr="00F117EB">
        <w:rPr>
          <w:rFonts w:ascii="Times New Roman" w:hAnsi="Times New Roman"/>
        </w:rPr>
        <w:t>"[t]</w:t>
      </w:r>
      <w:proofErr w:type="spellStart"/>
      <w:r w:rsidR="00EA5EAF" w:rsidRPr="00F117EB">
        <w:rPr>
          <w:rFonts w:ascii="Times New Roman" w:hAnsi="Times New Roman"/>
        </w:rPr>
        <w:t>hese</w:t>
      </w:r>
      <w:proofErr w:type="spellEnd"/>
      <w:r w:rsidR="00EA5EAF" w:rsidRPr="00F117EB">
        <w:rPr>
          <w:rFonts w:ascii="Times New Roman" w:hAnsi="Times New Roman"/>
        </w:rPr>
        <w:t xml:space="preserve"> differences have to be taken into account when the sentences I will impose are compared". </w:t>
      </w:r>
    </w:p>
    <w:p w14:paraId="73787707" w14:textId="77777777" w:rsidR="00EA5EAF" w:rsidRPr="00F117EB" w:rsidRDefault="00EA5EAF" w:rsidP="00F117EB">
      <w:pPr>
        <w:pStyle w:val="HeadingL1"/>
        <w:spacing w:after="260" w:line="280" w:lineRule="exact"/>
        <w:ind w:right="0"/>
        <w:jc w:val="both"/>
        <w:rPr>
          <w:rFonts w:ascii="Times New Roman" w:hAnsi="Times New Roman"/>
        </w:rPr>
      </w:pPr>
      <w:r w:rsidRPr="00F117EB">
        <w:rPr>
          <w:rFonts w:ascii="Times New Roman" w:hAnsi="Times New Roman"/>
        </w:rPr>
        <w:t>Proceedings in the Court of Criminal Appeal</w:t>
      </w:r>
    </w:p>
    <w:p w14:paraId="79DFED20" w14:textId="7A38EDE8" w:rsidR="005124DE" w:rsidRPr="00F117EB" w:rsidRDefault="000C5ADB"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41231D" w:rsidRPr="00F117EB">
        <w:rPr>
          <w:rFonts w:ascii="Times New Roman" w:hAnsi="Times New Roman"/>
        </w:rPr>
        <w:t xml:space="preserve">The appellant retained different </w:t>
      </w:r>
      <w:r w:rsidR="00DE12D8" w:rsidRPr="00F117EB">
        <w:rPr>
          <w:rFonts w:ascii="Times New Roman" w:hAnsi="Times New Roman"/>
        </w:rPr>
        <w:t>c</w:t>
      </w:r>
      <w:r w:rsidR="0041231D" w:rsidRPr="00F117EB">
        <w:rPr>
          <w:rFonts w:ascii="Times New Roman" w:hAnsi="Times New Roman"/>
        </w:rPr>
        <w:t xml:space="preserve">ounsel in the Court of Criminal Appeal. </w:t>
      </w:r>
      <w:r w:rsidR="00EA5EAF" w:rsidRPr="00F117EB">
        <w:rPr>
          <w:rFonts w:ascii="Times New Roman" w:hAnsi="Times New Roman"/>
        </w:rPr>
        <w:t>As</w:t>
      </w:r>
      <w:r w:rsidR="00810957" w:rsidRPr="00F117EB">
        <w:rPr>
          <w:rFonts w:ascii="Times New Roman" w:hAnsi="Times New Roman"/>
        </w:rPr>
        <w:t xml:space="preserve"> previously</w:t>
      </w:r>
      <w:r w:rsidR="00EA5EAF" w:rsidRPr="00F117EB">
        <w:rPr>
          <w:rFonts w:ascii="Times New Roman" w:hAnsi="Times New Roman"/>
        </w:rPr>
        <w:t xml:space="preserve"> noted</w:t>
      </w:r>
      <w:r w:rsidR="00D3171B" w:rsidRPr="00F117EB" w:rsidDel="009F16E8">
        <w:rPr>
          <w:rFonts w:ascii="Times New Roman" w:hAnsi="Times New Roman"/>
        </w:rPr>
        <w:t>,</w:t>
      </w:r>
      <w:r w:rsidR="00EA5EAF" w:rsidRPr="00F117EB" w:rsidDel="009F16E8">
        <w:rPr>
          <w:rFonts w:ascii="Times New Roman" w:hAnsi="Times New Roman"/>
        </w:rPr>
        <w:t xml:space="preserve"> </w:t>
      </w:r>
      <w:r w:rsidR="00EA5EAF" w:rsidRPr="00F117EB">
        <w:rPr>
          <w:rFonts w:ascii="Times New Roman" w:hAnsi="Times New Roman"/>
        </w:rPr>
        <w:t xml:space="preserve">the appellant did not adduce evidence </w:t>
      </w:r>
      <w:r w:rsidR="009F16E8" w:rsidRPr="00F117EB">
        <w:rPr>
          <w:rFonts w:ascii="Times New Roman" w:hAnsi="Times New Roman"/>
        </w:rPr>
        <w:t>before th</w:t>
      </w:r>
      <w:r w:rsidR="0041231D" w:rsidRPr="00F117EB">
        <w:rPr>
          <w:rFonts w:ascii="Times New Roman" w:hAnsi="Times New Roman"/>
        </w:rPr>
        <w:t xml:space="preserve">at </w:t>
      </w:r>
      <w:r w:rsidR="00EE60A6" w:rsidRPr="00F117EB">
        <w:rPr>
          <w:rFonts w:ascii="Times New Roman" w:hAnsi="Times New Roman"/>
        </w:rPr>
        <w:t xml:space="preserve">Court </w:t>
      </w:r>
      <w:r w:rsidR="00EA5EAF" w:rsidRPr="00F117EB">
        <w:rPr>
          <w:rFonts w:ascii="Times New Roman" w:hAnsi="Times New Roman"/>
        </w:rPr>
        <w:t xml:space="preserve">of his communications with Senior Counsel or his instructing solicitor. </w:t>
      </w:r>
      <w:r w:rsidR="00A92D62" w:rsidRPr="00F117EB">
        <w:rPr>
          <w:rFonts w:ascii="Times New Roman" w:hAnsi="Times New Roman"/>
        </w:rPr>
        <w:t>While his application for leave to appeal was pending, t</w:t>
      </w:r>
      <w:r w:rsidR="00EA5EAF" w:rsidRPr="00F117EB">
        <w:rPr>
          <w:rFonts w:ascii="Times New Roman" w:hAnsi="Times New Roman"/>
        </w:rPr>
        <w:t xml:space="preserve">he </w:t>
      </w:r>
      <w:r w:rsidR="008A07FE" w:rsidRPr="00F117EB">
        <w:rPr>
          <w:rFonts w:ascii="Times New Roman" w:hAnsi="Times New Roman"/>
        </w:rPr>
        <w:t>Crown</w:t>
      </w:r>
      <w:r w:rsidR="00D27E84" w:rsidRPr="00F117EB">
        <w:rPr>
          <w:rFonts w:ascii="Times New Roman" w:hAnsi="Times New Roman"/>
        </w:rPr>
        <w:t xml:space="preserve"> advised the </w:t>
      </w:r>
      <w:r w:rsidR="00EA5EAF" w:rsidRPr="00F117EB">
        <w:rPr>
          <w:rFonts w:ascii="Times New Roman" w:hAnsi="Times New Roman"/>
        </w:rPr>
        <w:t xml:space="preserve">appellant </w:t>
      </w:r>
      <w:r w:rsidR="00D27E84" w:rsidRPr="00F117EB">
        <w:rPr>
          <w:rFonts w:ascii="Times New Roman" w:hAnsi="Times New Roman"/>
        </w:rPr>
        <w:t xml:space="preserve">that consideration was being given to obtaining </w:t>
      </w:r>
      <w:r w:rsidR="001D1199" w:rsidRPr="00F117EB">
        <w:rPr>
          <w:rFonts w:ascii="Times New Roman" w:hAnsi="Times New Roman"/>
        </w:rPr>
        <w:t xml:space="preserve">evidence </w:t>
      </w:r>
      <w:r w:rsidR="00E9565E" w:rsidRPr="00F117EB">
        <w:rPr>
          <w:rFonts w:ascii="Times New Roman" w:hAnsi="Times New Roman"/>
        </w:rPr>
        <w:t>from the</w:t>
      </w:r>
      <w:r w:rsidR="00902D1D" w:rsidRPr="00F117EB">
        <w:rPr>
          <w:rFonts w:ascii="Times New Roman" w:hAnsi="Times New Roman"/>
        </w:rPr>
        <w:t xml:space="preserve"> appellant's lawyers</w:t>
      </w:r>
      <w:r w:rsidR="007D0DEB" w:rsidRPr="00F117EB">
        <w:rPr>
          <w:rFonts w:ascii="Times New Roman" w:hAnsi="Times New Roman"/>
        </w:rPr>
        <w:t xml:space="preserve"> and </w:t>
      </w:r>
      <w:r w:rsidR="00E97C22" w:rsidRPr="00F117EB">
        <w:rPr>
          <w:rFonts w:ascii="Times New Roman" w:hAnsi="Times New Roman"/>
        </w:rPr>
        <w:t>inquired</w:t>
      </w:r>
      <w:r w:rsidR="003C164B" w:rsidRPr="00F117EB">
        <w:rPr>
          <w:rFonts w:ascii="Times New Roman" w:hAnsi="Times New Roman"/>
        </w:rPr>
        <w:t xml:space="preserve"> </w:t>
      </w:r>
      <w:r w:rsidR="00083FB5" w:rsidRPr="00F117EB">
        <w:rPr>
          <w:rFonts w:ascii="Times New Roman" w:hAnsi="Times New Roman"/>
        </w:rPr>
        <w:t>of</w:t>
      </w:r>
      <w:r w:rsidR="007D0DEB" w:rsidRPr="00F117EB">
        <w:rPr>
          <w:rFonts w:ascii="Times New Roman" w:hAnsi="Times New Roman"/>
        </w:rPr>
        <w:t xml:space="preserve"> the appellant </w:t>
      </w:r>
      <w:r w:rsidR="00083FB5" w:rsidRPr="00F117EB">
        <w:rPr>
          <w:rFonts w:ascii="Times New Roman" w:hAnsi="Times New Roman"/>
        </w:rPr>
        <w:t xml:space="preserve">whether he </w:t>
      </w:r>
      <w:r w:rsidR="007D0DEB" w:rsidRPr="00F117EB">
        <w:rPr>
          <w:rFonts w:ascii="Times New Roman" w:hAnsi="Times New Roman"/>
        </w:rPr>
        <w:t>would waive privilege</w:t>
      </w:r>
      <w:r w:rsidR="0066084F" w:rsidRPr="00F117EB">
        <w:rPr>
          <w:rFonts w:ascii="Times New Roman" w:hAnsi="Times New Roman"/>
        </w:rPr>
        <w:t xml:space="preserve"> over those communications</w:t>
      </w:r>
      <w:r w:rsidR="001A0DF8" w:rsidRPr="00F117EB">
        <w:rPr>
          <w:rFonts w:ascii="Times New Roman" w:hAnsi="Times New Roman"/>
        </w:rPr>
        <w:t xml:space="preserve">. The </w:t>
      </w:r>
      <w:r w:rsidR="00E97C22" w:rsidRPr="00F117EB">
        <w:rPr>
          <w:rFonts w:ascii="Times New Roman" w:hAnsi="Times New Roman"/>
        </w:rPr>
        <w:t xml:space="preserve">appellant </w:t>
      </w:r>
      <w:r w:rsidR="004E43E1" w:rsidRPr="00F117EB">
        <w:rPr>
          <w:rFonts w:ascii="Times New Roman" w:hAnsi="Times New Roman"/>
        </w:rPr>
        <w:t xml:space="preserve">responded </w:t>
      </w:r>
      <w:r w:rsidR="00EA5EAF" w:rsidRPr="00F117EB">
        <w:rPr>
          <w:rFonts w:ascii="Times New Roman" w:hAnsi="Times New Roman"/>
        </w:rPr>
        <w:t>that he was maintaining his claim of legal</w:t>
      </w:r>
      <w:r w:rsidR="0021128A" w:rsidRPr="00F117EB">
        <w:rPr>
          <w:rFonts w:ascii="Times New Roman" w:hAnsi="Times New Roman"/>
        </w:rPr>
        <w:t xml:space="preserve"> professional</w:t>
      </w:r>
      <w:r w:rsidR="00EA5EAF" w:rsidRPr="00F117EB">
        <w:rPr>
          <w:rFonts w:ascii="Times New Roman" w:hAnsi="Times New Roman"/>
        </w:rPr>
        <w:t xml:space="preserve"> privilege</w:t>
      </w:r>
      <w:r w:rsidR="00E9565E" w:rsidRPr="00F117EB">
        <w:rPr>
          <w:rFonts w:ascii="Times New Roman" w:hAnsi="Times New Roman"/>
        </w:rPr>
        <w:t xml:space="preserve">. </w:t>
      </w:r>
    </w:p>
    <w:p w14:paraId="71DA5F1F" w14:textId="79BD50C1" w:rsidR="005124DE" w:rsidRPr="00F117EB" w:rsidRDefault="00255534"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The appellant's written submissions</w:t>
      </w:r>
      <w:r w:rsidR="005124DE" w:rsidRPr="00F117EB">
        <w:rPr>
          <w:rFonts w:ascii="Times New Roman" w:hAnsi="Times New Roman"/>
        </w:rPr>
        <w:t xml:space="preserve"> in the Court of Criminal Appeal</w:t>
      </w:r>
      <w:r w:rsidR="00EA5EAF" w:rsidRPr="00F117EB">
        <w:rPr>
          <w:rFonts w:ascii="Times New Roman" w:hAnsi="Times New Roman"/>
        </w:rPr>
        <w:t xml:space="preserve"> conceded that it could be inferred that the appellant "was advised in advance that his criminal</w:t>
      </w:r>
      <w:r w:rsidR="00CE2ECD" w:rsidRPr="00F117EB">
        <w:rPr>
          <w:rFonts w:ascii="Times New Roman" w:hAnsi="Times New Roman"/>
        </w:rPr>
        <w:t>ity</w:t>
      </w:r>
      <w:r w:rsidR="00EA5EAF" w:rsidRPr="00F117EB">
        <w:rPr>
          <w:rFonts w:ascii="Times New Roman" w:hAnsi="Times New Roman"/>
        </w:rPr>
        <w:t xml:space="preserve"> or culpability would be pitched at a certain level</w:t>
      </w:r>
      <w:r w:rsidR="00945B7B" w:rsidRPr="00F117EB">
        <w:rPr>
          <w:rFonts w:ascii="Times New Roman" w:hAnsi="Times New Roman"/>
        </w:rPr>
        <w:t>,</w:t>
      </w:r>
      <w:r w:rsidR="00EA5EAF" w:rsidRPr="00F117EB">
        <w:rPr>
          <w:rFonts w:ascii="Times New Roman" w:hAnsi="Times New Roman"/>
        </w:rPr>
        <w:t xml:space="preserve"> above that of Mr</w:t>
      </w:r>
      <w:r w:rsidR="00914956" w:rsidRPr="00F117EB">
        <w:rPr>
          <w:rFonts w:ascii="Times New Roman" w:hAnsi="Times New Roman"/>
        </w:rPr>
        <w:t> </w:t>
      </w:r>
      <w:r w:rsidR="00EA5EAF" w:rsidRPr="00F117EB">
        <w:rPr>
          <w:rFonts w:ascii="Times New Roman" w:hAnsi="Times New Roman"/>
        </w:rPr>
        <w:t>Kanmaz</w:t>
      </w:r>
      <w:r w:rsidR="00945B7B" w:rsidRPr="00F117EB">
        <w:rPr>
          <w:rFonts w:ascii="Times New Roman" w:hAnsi="Times New Roman"/>
        </w:rPr>
        <w:t>,</w:t>
      </w:r>
      <w:r w:rsidR="00EA5EAF" w:rsidRPr="00F117EB">
        <w:rPr>
          <w:rFonts w:ascii="Times New Roman" w:hAnsi="Times New Roman"/>
        </w:rPr>
        <w:t xml:space="preserve"> and </w:t>
      </w:r>
      <w:r w:rsidR="00945B7B" w:rsidRPr="00F117EB">
        <w:rPr>
          <w:rFonts w:ascii="Times New Roman" w:hAnsi="Times New Roman"/>
        </w:rPr>
        <w:t>that t</w:t>
      </w:r>
      <w:r w:rsidR="00EA5EAF" w:rsidRPr="00F117EB">
        <w:rPr>
          <w:rFonts w:ascii="Times New Roman" w:hAnsi="Times New Roman"/>
        </w:rPr>
        <w:t>he</w:t>
      </w:r>
      <w:r w:rsidR="00945B7B" w:rsidRPr="00F117EB">
        <w:rPr>
          <w:rFonts w:ascii="Times New Roman" w:hAnsi="Times New Roman"/>
        </w:rPr>
        <w:t xml:space="preserve"> [appellant]</w:t>
      </w:r>
      <w:r w:rsidR="00EA5EAF" w:rsidRPr="00F117EB">
        <w:rPr>
          <w:rFonts w:ascii="Times New Roman" w:hAnsi="Times New Roman"/>
        </w:rPr>
        <w:t xml:space="preserve"> acquiesced in that"</w:t>
      </w:r>
      <w:r w:rsidR="00D53686" w:rsidRPr="00F117EB">
        <w:rPr>
          <w:rFonts w:ascii="Times New Roman" w:hAnsi="Times New Roman"/>
        </w:rPr>
        <w:t xml:space="preserve"> submission</w:t>
      </w:r>
      <w:r w:rsidR="00A027BF" w:rsidRPr="00F117EB">
        <w:rPr>
          <w:rFonts w:ascii="Times New Roman" w:hAnsi="Times New Roman"/>
        </w:rPr>
        <w:t xml:space="preserve">. </w:t>
      </w:r>
      <w:r w:rsidR="003C2612" w:rsidRPr="00F117EB">
        <w:rPr>
          <w:rFonts w:ascii="Times New Roman" w:hAnsi="Times New Roman"/>
        </w:rPr>
        <w:t xml:space="preserve">However, the appellant </w:t>
      </w:r>
      <w:r w:rsidR="00EA5EAF" w:rsidRPr="00F117EB">
        <w:rPr>
          <w:rFonts w:ascii="Times New Roman" w:hAnsi="Times New Roman"/>
        </w:rPr>
        <w:t xml:space="preserve">contended that any such advice, if given, was contrary to the appellant's </w:t>
      </w:r>
      <w:r w:rsidR="00EA5EAF" w:rsidRPr="00F117EB">
        <w:rPr>
          <w:rFonts w:ascii="Times New Roman" w:hAnsi="Times New Roman"/>
        </w:rPr>
        <w:lastRenderedPageBreak/>
        <w:t>best interests</w:t>
      </w:r>
      <w:r w:rsidR="003C2612" w:rsidRPr="00F117EB">
        <w:rPr>
          <w:rFonts w:ascii="Times New Roman" w:hAnsi="Times New Roman"/>
        </w:rPr>
        <w:t xml:space="preserve">, </w:t>
      </w:r>
      <w:r w:rsidR="00ED21E6" w:rsidRPr="00F117EB">
        <w:rPr>
          <w:rFonts w:ascii="Times New Roman" w:hAnsi="Times New Roman"/>
        </w:rPr>
        <w:t>and that any "acquiescence" to the submission made by Senior Counsel was "no answer to the complaint"</w:t>
      </w:r>
      <w:r w:rsidR="00EA5EAF" w:rsidRPr="00F117EB">
        <w:rPr>
          <w:rFonts w:ascii="Times New Roman" w:hAnsi="Times New Roman"/>
        </w:rPr>
        <w:t xml:space="preserve">. </w:t>
      </w:r>
    </w:p>
    <w:p w14:paraId="64490110" w14:textId="11E53523" w:rsidR="00EA5EAF" w:rsidRPr="00F117EB" w:rsidRDefault="003C2612"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During oral argument in the Court of Criminal Appeal, counsel for the appellant </w:t>
      </w:r>
      <w:r w:rsidR="0015496B" w:rsidRPr="00F117EB">
        <w:rPr>
          <w:rFonts w:ascii="Times New Roman" w:hAnsi="Times New Roman"/>
        </w:rPr>
        <w:t xml:space="preserve">accepted </w:t>
      </w:r>
      <w:r w:rsidR="00A52B10" w:rsidRPr="00F117EB">
        <w:rPr>
          <w:rFonts w:ascii="Times New Roman" w:hAnsi="Times New Roman"/>
        </w:rPr>
        <w:t xml:space="preserve">that </w:t>
      </w:r>
      <w:r w:rsidR="00EA5EAF" w:rsidRPr="00F117EB">
        <w:rPr>
          <w:rFonts w:ascii="Times New Roman" w:hAnsi="Times New Roman"/>
        </w:rPr>
        <w:t xml:space="preserve">the Court </w:t>
      </w:r>
      <w:r w:rsidR="006C4410" w:rsidRPr="00F117EB">
        <w:rPr>
          <w:rFonts w:ascii="Times New Roman" w:hAnsi="Times New Roman"/>
        </w:rPr>
        <w:t xml:space="preserve">was obliged </w:t>
      </w:r>
      <w:r w:rsidR="00EA5EAF" w:rsidRPr="00F117EB">
        <w:rPr>
          <w:rFonts w:ascii="Times New Roman" w:hAnsi="Times New Roman"/>
        </w:rPr>
        <w:t xml:space="preserve">to determine the appeal on the </w:t>
      </w:r>
      <w:r w:rsidR="000F5918" w:rsidRPr="00F117EB">
        <w:rPr>
          <w:rFonts w:ascii="Times New Roman" w:hAnsi="Times New Roman"/>
        </w:rPr>
        <w:t xml:space="preserve">"basis" </w:t>
      </w:r>
      <w:r w:rsidR="00EA5EAF" w:rsidRPr="00F117EB">
        <w:rPr>
          <w:rFonts w:ascii="Times New Roman" w:hAnsi="Times New Roman"/>
        </w:rPr>
        <w:t xml:space="preserve">that the </w:t>
      </w:r>
      <w:r w:rsidR="007E68F7" w:rsidRPr="00F117EB">
        <w:rPr>
          <w:rFonts w:ascii="Times New Roman" w:hAnsi="Times New Roman"/>
        </w:rPr>
        <w:t>a</w:t>
      </w:r>
      <w:r w:rsidR="00EA5EAF" w:rsidRPr="00F117EB">
        <w:rPr>
          <w:rFonts w:ascii="Times New Roman" w:hAnsi="Times New Roman"/>
        </w:rPr>
        <w:t xml:space="preserve">ppellant "knew that </w:t>
      </w:r>
      <w:r w:rsidR="005124DE" w:rsidRPr="00F117EB">
        <w:rPr>
          <w:rFonts w:ascii="Times New Roman" w:hAnsi="Times New Roman"/>
        </w:rPr>
        <w:t>[Senior Counsel]</w:t>
      </w:r>
      <w:r w:rsidR="00EA5EAF" w:rsidRPr="00F117EB">
        <w:rPr>
          <w:rFonts w:ascii="Times New Roman" w:hAnsi="Times New Roman"/>
        </w:rPr>
        <w:t xml:space="preserve"> was appearing for both offenders and that [the appellant] was informed </w:t>
      </w:r>
      <w:r w:rsidR="00EA5EAF" w:rsidRPr="00F117EB">
        <w:rPr>
          <w:rFonts w:ascii="Times New Roman" w:hAnsi="Times New Roman"/>
          <w:i/>
          <w:iCs/>
        </w:rPr>
        <w:t>transparently</w:t>
      </w:r>
      <w:r w:rsidR="00EA5EAF" w:rsidRPr="00F117EB">
        <w:rPr>
          <w:rFonts w:ascii="Times New Roman" w:hAnsi="Times New Roman"/>
        </w:rPr>
        <w:t xml:space="preserve"> in advance ... about the submission that would be put and about continuing to act for [</w:t>
      </w:r>
      <w:r w:rsidR="00F63DEF" w:rsidRPr="00F117EB">
        <w:rPr>
          <w:rFonts w:ascii="Times New Roman" w:hAnsi="Times New Roman"/>
        </w:rPr>
        <w:t xml:space="preserve">both the appellant and </w:t>
      </w:r>
      <w:r w:rsidR="00EA5EAF" w:rsidRPr="00F117EB">
        <w:rPr>
          <w:rFonts w:ascii="Times New Roman" w:hAnsi="Times New Roman"/>
        </w:rPr>
        <w:t xml:space="preserve">Mr Kanmaz] and that </w:t>
      </w:r>
      <w:r w:rsidR="001C2976" w:rsidRPr="00F117EB">
        <w:rPr>
          <w:rFonts w:ascii="Times New Roman" w:hAnsi="Times New Roman"/>
        </w:rPr>
        <w:t>[the appellant]</w:t>
      </w:r>
      <w:r w:rsidR="00EA5EAF" w:rsidRPr="00F117EB">
        <w:rPr>
          <w:rFonts w:ascii="Times New Roman" w:hAnsi="Times New Roman"/>
        </w:rPr>
        <w:t xml:space="preserve"> was informed about those issues</w:t>
      </w:r>
      <w:r w:rsidR="007872D6" w:rsidRPr="00F117EB">
        <w:rPr>
          <w:rFonts w:ascii="Times New Roman" w:hAnsi="Times New Roman"/>
        </w:rPr>
        <w:t>"</w:t>
      </w:r>
      <w:r w:rsidR="004000F5" w:rsidRPr="00F117EB">
        <w:rPr>
          <w:rFonts w:ascii="Times New Roman" w:hAnsi="Times New Roman"/>
        </w:rPr>
        <w:t xml:space="preserve"> </w:t>
      </w:r>
      <w:r w:rsidR="00414584" w:rsidRPr="00F117EB">
        <w:rPr>
          <w:rFonts w:ascii="Times New Roman" w:hAnsi="Times New Roman"/>
        </w:rPr>
        <w:t xml:space="preserve">although </w:t>
      </w:r>
      <w:r w:rsidR="00C668EF" w:rsidRPr="00F117EB">
        <w:rPr>
          <w:rFonts w:ascii="Times New Roman" w:hAnsi="Times New Roman"/>
        </w:rPr>
        <w:t xml:space="preserve">counsel </w:t>
      </w:r>
      <w:r w:rsidR="006C4410" w:rsidRPr="00F117EB">
        <w:rPr>
          <w:rFonts w:ascii="Times New Roman" w:hAnsi="Times New Roman"/>
        </w:rPr>
        <w:t>added that "</w:t>
      </w:r>
      <w:r w:rsidR="00A476C4" w:rsidRPr="00F117EB">
        <w:rPr>
          <w:rFonts w:ascii="Times New Roman" w:hAnsi="Times New Roman"/>
        </w:rPr>
        <w:t>[</w:t>
      </w:r>
      <w:r w:rsidR="006C4410" w:rsidRPr="00F117EB">
        <w:rPr>
          <w:rFonts w:ascii="Times New Roman" w:hAnsi="Times New Roman"/>
        </w:rPr>
        <w:t>t</w:t>
      </w:r>
      <w:r w:rsidR="00A476C4" w:rsidRPr="00F117EB">
        <w:rPr>
          <w:rFonts w:ascii="Times New Roman" w:hAnsi="Times New Roman"/>
        </w:rPr>
        <w:t>]</w:t>
      </w:r>
      <w:proofErr w:type="spellStart"/>
      <w:r w:rsidR="006C4410" w:rsidRPr="00F117EB">
        <w:rPr>
          <w:rFonts w:ascii="Times New Roman" w:hAnsi="Times New Roman"/>
        </w:rPr>
        <w:t>hese</w:t>
      </w:r>
      <w:proofErr w:type="spellEnd"/>
      <w:r w:rsidR="006C4410" w:rsidRPr="00F117EB">
        <w:rPr>
          <w:rFonts w:ascii="Times New Roman" w:hAnsi="Times New Roman"/>
        </w:rPr>
        <w:t xml:space="preserve"> are not concessions as a matter of fact"</w:t>
      </w:r>
      <w:r w:rsidR="00414584" w:rsidRPr="00F117EB">
        <w:rPr>
          <w:rFonts w:ascii="Times New Roman" w:hAnsi="Times New Roman"/>
        </w:rPr>
        <w:t xml:space="preserve"> </w:t>
      </w:r>
      <w:r w:rsidR="004000F5" w:rsidRPr="00F117EB">
        <w:rPr>
          <w:rFonts w:ascii="Times New Roman" w:hAnsi="Times New Roman"/>
        </w:rPr>
        <w:t>(emphasis added)</w:t>
      </w:r>
      <w:r w:rsidR="00EA5EAF" w:rsidRPr="00F117EB">
        <w:rPr>
          <w:rFonts w:ascii="Times New Roman" w:hAnsi="Times New Roman"/>
        </w:rPr>
        <w:t xml:space="preserve">.  </w:t>
      </w:r>
    </w:p>
    <w:p w14:paraId="5FBAC1D0" w14:textId="77777777" w:rsidR="00EA5EAF" w:rsidRPr="00F117EB" w:rsidRDefault="00EA5EAF" w:rsidP="00F117EB">
      <w:pPr>
        <w:pStyle w:val="HeadingL1"/>
        <w:spacing w:after="260" w:line="280" w:lineRule="exact"/>
        <w:ind w:right="0"/>
        <w:jc w:val="both"/>
        <w:rPr>
          <w:rFonts w:ascii="Times New Roman" w:hAnsi="Times New Roman"/>
        </w:rPr>
      </w:pPr>
      <w:r w:rsidRPr="00F117EB">
        <w:rPr>
          <w:rFonts w:ascii="Times New Roman" w:hAnsi="Times New Roman"/>
        </w:rPr>
        <w:t>The Court of Criminal Appeal's reasons</w:t>
      </w:r>
    </w:p>
    <w:p w14:paraId="1AAA4432" w14:textId="242292B4" w:rsidR="00EA5EAF" w:rsidRPr="00F117EB" w:rsidRDefault="00FA499C"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Hamill</w:t>
      </w:r>
      <w:r w:rsidRPr="00F117EB">
        <w:rPr>
          <w:rFonts w:ascii="Times New Roman" w:hAnsi="Times New Roman"/>
        </w:rPr>
        <w:t> </w:t>
      </w:r>
      <w:r w:rsidR="00EA5EAF" w:rsidRPr="00F117EB">
        <w:rPr>
          <w:rFonts w:ascii="Times New Roman" w:hAnsi="Times New Roman"/>
        </w:rPr>
        <w:t>J, with whom Campbell</w:t>
      </w:r>
      <w:r w:rsidRPr="00F117EB">
        <w:rPr>
          <w:rFonts w:ascii="Times New Roman" w:hAnsi="Times New Roman"/>
        </w:rPr>
        <w:t> </w:t>
      </w:r>
      <w:r w:rsidR="00EA5EAF" w:rsidRPr="00F117EB">
        <w:rPr>
          <w:rFonts w:ascii="Times New Roman" w:hAnsi="Times New Roman"/>
        </w:rPr>
        <w:t>J agreed</w:t>
      </w:r>
      <w:r w:rsidR="008B3BE4" w:rsidRPr="00F117EB">
        <w:rPr>
          <w:rFonts w:ascii="Times New Roman" w:hAnsi="Times New Roman"/>
        </w:rPr>
        <w:t>,</w:t>
      </w:r>
      <w:r w:rsidR="00EA5EAF" w:rsidRPr="00F117EB">
        <w:rPr>
          <w:rFonts w:ascii="Times New Roman" w:hAnsi="Times New Roman"/>
        </w:rPr>
        <w:t xml:space="preserve"> identified the issue for determination on the appeal as </w:t>
      </w:r>
      <w:r w:rsidR="00B92BE1" w:rsidRPr="00F117EB">
        <w:rPr>
          <w:rFonts w:ascii="Times New Roman" w:hAnsi="Times New Roman"/>
        </w:rPr>
        <w:t xml:space="preserve">being </w:t>
      </w:r>
      <w:r w:rsidR="00EA5EAF" w:rsidRPr="00F117EB">
        <w:rPr>
          <w:rFonts w:ascii="Times New Roman" w:hAnsi="Times New Roman"/>
        </w:rPr>
        <w:t>whether the sentencing proceedings amounted to a "miscarriage of justice"</w:t>
      </w:r>
      <w:r w:rsidRPr="00F117EB">
        <w:rPr>
          <w:rFonts w:ascii="Times New Roman" w:hAnsi="Times New Roman"/>
        </w:rPr>
        <w:t>.</w:t>
      </w:r>
      <w:r w:rsidR="00EA5EAF" w:rsidRPr="00F117EB">
        <w:rPr>
          <w:rFonts w:ascii="Times New Roman" w:hAnsi="Times New Roman"/>
        </w:rPr>
        <w:t xml:space="preserve"> Hamill</w:t>
      </w:r>
      <w:r w:rsidRPr="00F117EB">
        <w:rPr>
          <w:rFonts w:ascii="Times New Roman" w:hAnsi="Times New Roman"/>
        </w:rPr>
        <w:t> </w:t>
      </w:r>
      <w:r w:rsidR="00EA5EAF" w:rsidRPr="00F117EB">
        <w:rPr>
          <w:rFonts w:ascii="Times New Roman" w:hAnsi="Times New Roman"/>
        </w:rPr>
        <w:t>J noted that "</w:t>
      </w:r>
      <w:r w:rsidR="00A476C4" w:rsidRPr="00F117EB">
        <w:rPr>
          <w:rFonts w:ascii="Times New Roman" w:hAnsi="Times New Roman"/>
        </w:rPr>
        <w:t>[</w:t>
      </w:r>
      <w:r w:rsidR="00EA5EAF" w:rsidRPr="00F117EB">
        <w:rPr>
          <w:rFonts w:ascii="Times New Roman" w:hAnsi="Times New Roman"/>
        </w:rPr>
        <w:t>t</w:t>
      </w:r>
      <w:r w:rsidR="00A476C4" w:rsidRPr="00F117EB">
        <w:rPr>
          <w:rFonts w:ascii="Times New Roman" w:hAnsi="Times New Roman"/>
        </w:rPr>
        <w:t>]</w:t>
      </w:r>
      <w:r w:rsidR="00EA5EAF" w:rsidRPr="00F117EB">
        <w:rPr>
          <w:rFonts w:ascii="Times New Roman" w:hAnsi="Times New Roman"/>
        </w:rPr>
        <w:t>wo</w:t>
      </w:r>
      <w:r w:rsidR="00A92715" w:rsidRPr="00F117EB">
        <w:rPr>
          <w:rFonts w:ascii="Times New Roman" w:hAnsi="Times New Roman"/>
        </w:rPr>
        <w:t xml:space="preserve"> </w:t>
      </w:r>
      <w:r w:rsidR="003B7960" w:rsidRPr="00F117EB">
        <w:rPr>
          <w:rFonts w:ascii="Times New Roman" w:hAnsi="Times New Roman"/>
        </w:rPr>
        <w:t>intrinsically</w:t>
      </w:r>
      <w:r w:rsidR="00EA5EAF" w:rsidRPr="00F117EB">
        <w:rPr>
          <w:rFonts w:ascii="Times New Roman" w:hAnsi="Times New Roman"/>
        </w:rPr>
        <w:t xml:space="preserve"> connected anterior questions" </w:t>
      </w:r>
      <w:r w:rsidR="003B7960" w:rsidRPr="00F117EB">
        <w:rPr>
          <w:rFonts w:ascii="Times New Roman" w:hAnsi="Times New Roman"/>
        </w:rPr>
        <w:t xml:space="preserve">to resolving that issue </w:t>
      </w:r>
      <w:proofErr w:type="gramStart"/>
      <w:r w:rsidR="00EA5EAF" w:rsidRPr="00F117EB">
        <w:rPr>
          <w:rFonts w:ascii="Times New Roman" w:hAnsi="Times New Roman"/>
        </w:rPr>
        <w:t>were</w:t>
      </w:r>
      <w:proofErr w:type="gramEnd"/>
      <w:r w:rsidR="00EA5EAF" w:rsidRPr="00F117EB">
        <w:rPr>
          <w:rFonts w:ascii="Times New Roman" w:hAnsi="Times New Roman"/>
        </w:rPr>
        <w:t xml:space="preserve"> whether the appellant should have had separate representation and whether Senior Counsel who appeared before the sentencing judge had a "conflict of interest" (</w:t>
      </w:r>
      <w:proofErr w:type="spellStart"/>
      <w:r w:rsidR="00E74A89" w:rsidRPr="00F117EB">
        <w:rPr>
          <w:rFonts w:ascii="Times New Roman" w:hAnsi="Times New Roman"/>
        </w:rPr>
        <w:t>ie</w:t>
      </w:r>
      <w:proofErr w:type="spellEnd"/>
      <w:r w:rsidRPr="00F117EB">
        <w:rPr>
          <w:rFonts w:ascii="Times New Roman" w:hAnsi="Times New Roman"/>
        </w:rPr>
        <w:t>,</w:t>
      </w:r>
      <w:r w:rsidR="00EA5EAF" w:rsidRPr="00F117EB">
        <w:rPr>
          <w:rFonts w:ascii="Times New Roman" w:hAnsi="Times New Roman"/>
        </w:rPr>
        <w:t xml:space="preserve"> conflict</w:t>
      </w:r>
      <w:r w:rsidR="00B642D9" w:rsidRPr="00F117EB">
        <w:rPr>
          <w:rFonts w:ascii="Times New Roman" w:hAnsi="Times New Roman"/>
        </w:rPr>
        <w:t>ing</w:t>
      </w:r>
      <w:r w:rsidR="00020012" w:rsidRPr="00F117EB">
        <w:rPr>
          <w:rFonts w:ascii="Times New Roman" w:hAnsi="Times New Roman"/>
        </w:rPr>
        <w:t xml:space="preserve"> </w:t>
      </w:r>
      <w:r w:rsidR="00EA5EAF" w:rsidRPr="00F117EB">
        <w:rPr>
          <w:rFonts w:ascii="Times New Roman" w:hAnsi="Times New Roman"/>
        </w:rPr>
        <w:t>duties)</w:t>
      </w:r>
      <w:r w:rsidRPr="00F117EB">
        <w:rPr>
          <w:rFonts w:ascii="Times New Roman" w:hAnsi="Times New Roman"/>
        </w:rPr>
        <w:t>.</w:t>
      </w:r>
      <w:r w:rsidR="00EA5EAF" w:rsidRPr="00F117EB">
        <w:rPr>
          <w:rFonts w:ascii="Times New Roman" w:hAnsi="Times New Roman"/>
        </w:rPr>
        <w:t xml:space="preserve"> His Honour concluded that</w:t>
      </w:r>
      <w:r w:rsidR="004866F4" w:rsidRPr="00F117EB">
        <w:rPr>
          <w:rFonts w:ascii="Times New Roman" w:hAnsi="Times New Roman"/>
        </w:rPr>
        <w:t>,</w:t>
      </w:r>
      <w:r w:rsidR="00EA5EAF" w:rsidRPr="00F117EB">
        <w:rPr>
          <w:rFonts w:ascii="Times New Roman" w:hAnsi="Times New Roman"/>
        </w:rPr>
        <w:t xml:space="preserve"> </w:t>
      </w:r>
      <w:r w:rsidR="00120B4B" w:rsidRPr="00F117EB">
        <w:rPr>
          <w:rFonts w:ascii="Times New Roman" w:hAnsi="Times New Roman"/>
        </w:rPr>
        <w:t>as</w:t>
      </w:r>
      <w:r w:rsidR="00EA5EAF" w:rsidRPr="00F117EB">
        <w:rPr>
          <w:rFonts w:ascii="Times New Roman" w:hAnsi="Times New Roman"/>
        </w:rPr>
        <w:t xml:space="preserve"> there was no evidence </w:t>
      </w:r>
      <w:r w:rsidR="00D00233" w:rsidRPr="00F117EB">
        <w:rPr>
          <w:rFonts w:ascii="Times New Roman" w:hAnsi="Times New Roman"/>
        </w:rPr>
        <w:t>of</w:t>
      </w:r>
      <w:r w:rsidR="00EA5EAF" w:rsidRPr="00F117EB">
        <w:rPr>
          <w:rFonts w:ascii="Times New Roman" w:hAnsi="Times New Roman"/>
        </w:rPr>
        <w:t xml:space="preserve"> the instructions given by the appellant to </w:t>
      </w:r>
      <w:r w:rsidR="00BE21DA" w:rsidRPr="00F117EB">
        <w:rPr>
          <w:rFonts w:ascii="Times New Roman" w:hAnsi="Times New Roman"/>
        </w:rPr>
        <w:t>Senior C</w:t>
      </w:r>
      <w:r w:rsidR="00EA5EAF" w:rsidRPr="00F117EB">
        <w:rPr>
          <w:rFonts w:ascii="Times New Roman" w:hAnsi="Times New Roman"/>
        </w:rPr>
        <w:t xml:space="preserve">ounsel or </w:t>
      </w:r>
      <w:r w:rsidR="0096523F" w:rsidRPr="00F117EB">
        <w:rPr>
          <w:rFonts w:ascii="Times New Roman" w:hAnsi="Times New Roman"/>
        </w:rPr>
        <w:t>any</w:t>
      </w:r>
      <w:r w:rsidR="00EA5EAF" w:rsidRPr="00F117EB">
        <w:rPr>
          <w:rFonts w:ascii="Times New Roman" w:hAnsi="Times New Roman"/>
        </w:rPr>
        <w:t xml:space="preserve"> advice he may have received</w:t>
      </w:r>
      <w:r w:rsidR="004866F4" w:rsidRPr="00F117EB">
        <w:rPr>
          <w:rFonts w:ascii="Times New Roman" w:hAnsi="Times New Roman"/>
        </w:rPr>
        <w:t>, the evidence did not support such a conclusion</w:t>
      </w:r>
      <w:r w:rsidR="00EA5EAF" w:rsidRPr="00F117EB">
        <w:rPr>
          <w:rFonts w:ascii="Times New Roman" w:hAnsi="Times New Roman"/>
        </w:rPr>
        <w:t>. Price</w:t>
      </w:r>
      <w:r w:rsidR="000C76B0" w:rsidRPr="00F117EB">
        <w:rPr>
          <w:rFonts w:ascii="Times New Roman" w:hAnsi="Times New Roman"/>
        </w:rPr>
        <w:t> </w:t>
      </w:r>
      <w:r w:rsidR="00EA5EAF" w:rsidRPr="00F117EB">
        <w:rPr>
          <w:rFonts w:ascii="Times New Roman" w:hAnsi="Times New Roman"/>
        </w:rPr>
        <w:t>A</w:t>
      </w:r>
      <w:r w:rsidR="008C6228" w:rsidRPr="00F117EB">
        <w:rPr>
          <w:rFonts w:ascii="Times New Roman" w:hAnsi="Times New Roman"/>
        </w:rPr>
        <w:t>-</w:t>
      </w:r>
      <w:r w:rsidR="00EA5EAF" w:rsidRPr="00F117EB">
        <w:rPr>
          <w:rFonts w:ascii="Times New Roman" w:hAnsi="Times New Roman"/>
        </w:rPr>
        <w:t>JA also agreed with Hamill</w:t>
      </w:r>
      <w:r w:rsidR="000C76B0" w:rsidRPr="00F117EB">
        <w:rPr>
          <w:rFonts w:ascii="Times New Roman" w:hAnsi="Times New Roman"/>
        </w:rPr>
        <w:t> </w:t>
      </w:r>
      <w:r w:rsidR="00EA5EAF" w:rsidRPr="00F117EB">
        <w:rPr>
          <w:rFonts w:ascii="Times New Roman" w:hAnsi="Times New Roman"/>
        </w:rPr>
        <w:t>J</w:t>
      </w:r>
      <w:r w:rsidR="00A0247C" w:rsidRPr="00F117EB">
        <w:rPr>
          <w:rFonts w:ascii="Times New Roman" w:hAnsi="Times New Roman"/>
        </w:rPr>
        <w:t>,</w:t>
      </w:r>
      <w:r w:rsidR="00EA5EAF" w:rsidRPr="00F117EB">
        <w:rPr>
          <w:rFonts w:ascii="Times New Roman" w:hAnsi="Times New Roman"/>
        </w:rPr>
        <w:t xml:space="preserve"> adding that in a case such </w:t>
      </w:r>
      <w:r w:rsidR="00B33F14" w:rsidRPr="00F117EB">
        <w:rPr>
          <w:rFonts w:ascii="Times New Roman" w:hAnsi="Times New Roman"/>
        </w:rPr>
        <w:t xml:space="preserve">as </w:t>
      </w:r>
      <w:r w:rsidR="00EA5EAF" w:rsidRPr="00F117EB">
        <w:rPr>
          <w:rFonts w:ascii="Times New Roman" w:hAnsi="Times New Roman"/>
        </w:rPr>
        <w:t xml:space="preserve">the </w:t>
      </w:r>
      <w:r w:rsidR="00941C1A" w:rsidRPr="00F117EB">
        <w:rPr>
          <w:rFonts w:ascii="Times New Roman" w:hAnsi="Times New Roman"/>
        </w:rPr>
        <w:t xml:space="preserve">present </w:t>
      </w:r>
      <w:r w:rsidR="00B030A0" w:rsidRPr="00F117EB">
        <w:rPr>
          <w:rFonts w:ascii="Times New Roman" w:hAnsi="Times New Roman"/>
        </w:rPr>
        <w:t xml:space="preserve">the </w:t>
      </w:r>
      <w:r w:rsidR="00EA5EAF" w:rsidRPr="00F117EB">
        <w:rPr>
          <w:rFonts w:ascii="Times New Roman" w:hAnsi="Times New Roman"/>
        </w:rPr>
        <w:t xml:space="preserve">"concern of </w:t>
      </w:r>
      <w:r w:rsidR="00D76A00" w:rsidRPr="00F117EB">
        <w:rPr>
          <w:rFonts w:ascii="Times New Roman" w:hAnsi="Times New Roman"/>
        </w:rPr>
        <w:t>[</w:t>
      </w:r>
      <w:r w:rsidR="00EA5EAF" w:rsidRPr="00F117EB">
        <w:rPr>
          <w:rFonts w:ascii="Times New Roman" w:hAnsi="Times New Roman"/>
        </w:rPr>
        <w:t>the</w:t>
      </w:r>
      <w:r w:rsidR="00D76A00" w:rsidRPr="00F117EB">
        <w:rPr>
          <w:rFonts w:ascii="Times New Roman" w:hAnsi="Times New Roman"/>
        </w:rPr>
        <w:t>]</w:t>
      </w:r>
      <w:r w:rsidR="00EA5EAF" w:rsidRPr="00F117EB">
        <w:rPr>
          <w:rFonts w:ascii="Times New Roman" w:hAnsi="Times New Roman"/>
        </w:rPr>
        <w:t xml:space="preserve"> Court is to avoid practical injustice" and that </w:t>
      </w:r>
      <w:r w:rsidR="00AB5179" w:rsidRPr="00F117EB">
        <w:rPr>
          <w:rFonts w:ascii="Times New Roman" w:hAnsi="Times New Roman"/>
        </w:rPr>
        <w:t xml:space="preserve">no such practical injustice </w:t>
      </w:r>
      <w:r w:rsidR="0096523F" w:rsidRPr="00F117EB">
        <w:rPr>
          <w:rFonts w:ascii="Times New Roman" w:hAnsi="Times New Roman"/>
        </w:rPr>
        <w:t>had been</w:t>
      </w:r>
      <w:r w:rsidR="00EA5EAF" w:rsidRPr="00F117EB">
        <w:rPr>
          <w:rFonts w:ascii="Times New Roman" w:hAnsi="Times New Roman"/>
        </w:rPr>
        <w:t xml:space="preserve"> established</w:t>
      </w:r>
      <w:r w:rsidR="00923EEE" w:rsidRPr="00F117EB">
        <w:rPr>
          <w:rFonts w:ascii="Times New Roman" w:hAnsi="Times New Roman"/>
        </w:rPr>
        <w:t xml:space="preserve"> because the appellant "ha</w:t>
      </w:r>
      <w:r w:rsidR="00EE65C4" w:rsidRPr="00F117EB">
        <w:rPr>
          <w:rFonts w:ascii="Times New Roman" w:hAnsi="Times New Roman"/>
        </w:rPr>
        <w:t>[</w:t>
      </w:r>
      <w:r w:rsidR="00923EEE" w:rsidRPr="00F117EB">
        <w:rPr>
          <w:rFonts w:ascii="Times New Roman" w:hAnsi="Times New Roman"/>
        </w:rPr>
        <w:t>d</w:t>
      </w:r>
      <w:r w:rsidR="00B041EF" w:rsidRPr="00F117EB">
        <w:rPr>
          <w:rFonts w:ascii="Times New Roman" w:hAnsi="Times New Roman"/>
        </w:rPr>
        <w:t>]</w:t>
      </w:r>
      <w:r w:rsidR="00923EEE" w:rsidRPr="00F117EB">
        <w:rPr>
          <w:rFonts w:ascii="Times New Roman" w:hAnsi="Times New Roman"/>
        </w:rPr>
        <w:t xml:space="preserve"> not demonstrated that there </w:t>
      </w:r>
      <w:r w:rsidR="00BE21DA" w:rsidRPr="00F117EB">
        <w:rPr>
          <w:rFonts w:ascii="Times New Roman" w:hAnsi="Times New Roman"/>
        </w:rPr>
        <w:t>[was]</w:t>
      </w:r>
      <w:r w:rsidR="00923EEE" w:rsidRPr="00F117EB">
        <w:rPr>
          <w:rFonts w:ascii="Times New Roman" w:hAnsi="Times New Roman"/>
        </w:rPr>
        <w:t xml:space="preserve"> a significant possibility </w:t>
      </w:r>
      <w:r w:rsidR="008C2906" w:rsidRPr="00F117EB">
        <w:rPr>
          <w:rFonts w:ascii="Times New Roman" w:hAnsi="Times New Roman"/>
        </w:rPr>
        <w:t>senior counsel's joint representation adversely affected the sentence imposed upon him"</w:t>
      </w:r>
      <w:r w:rsidR="00EA5EAF" w:rsidRPr="00F117EB">
        <w:rPr>
          <w:rFonts w:ascii="Times New Roman" w:hAnsi="Times New Roman"/>
        </w:rPr>
        <w:t xml:space="preserve">.  </w:t>
      </w:r>
    </w:p>
    <w:p w14:paraId="110700C4" w14:textId="1E577917" w:rsidR="00EA5EAF" w:rsidRPr="00F117EB" w:rsidRDefault="000C76B0"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So far as remitting the sentencing of the appellant if error had been demonstrated</w:t>
      </w:r>
      <w:r w:rsidR="008607BE" w:rsidRPr="00F117EB">
        <w:rPr>
          <w:rFonts w:ascii="Times New Roman" w:hAnsi="Times New Roman"/>
        </w:rPr>
        <w:t xml:space="preserve"> was concerned</w:t>
      </w:r>
      <w:r w:rsidR="00EA5EAF" w:rsidRPr="00F117EB">
        <w:rPr>
          <w:rFonts w:ascii="Times New Roman" w:hAnsi="Times New Roman"/>
        </w:rPr>
        <w:t>, Hamill</w:t>
      </w:r>
      <w:r w:rsidR="008B6187" w:rsidRPr="00F117EB">
        <w:rPr>
          <w:rFonts w:ascii="Times New Roman" w:hAnsi="Times New Roman"/>
        </w:rPr>
        <w:t> </w:t>
      </w:r>
      <w:r w:rsidR="00EA5EAF" w:rsidRPr="00F117EB">
        <w:rPr>
          <w:rFonts w:ascii="Times New Roman" w:hAnsi="Times New Roman"/>
        </w:rPr>
        <w:t xml:space="preserve">J was "prepared to proceed" on the basis that a remittal may be appropriate in a rare case where a </w:t>
      </w:r>
      <w:r w:rsidR="009A3281" w:rsidRPr="00F117EB">
        <w:rPr>
          <w:rFonts w:ascii="Times New Roman" w:hAnsi="Times New Roman"/>
        </w:rPr>
        <w:t>"</w:t>
      </w:r>
      <w:r w:rsidR="00EA5EAF" w:rsidRPr="00F117EB">
        <w:rPr>
          <w:rFonts w:ascii="Times New Roman" w:hAnsi="Times New Roman"/>
        </w:rPr>
        <w:t xml:space="preserve">defect or irregularity in the sentencing hearing is such that the applicant was denied procedural fairness </w:t>
      </w:r>
      <w:r w:rsidR="00EA5EAF" w:rsidRPr="00F117EB" w:rsidDel="000A130E">
        <w:rPr>
          <w:rFonts w:ascii="Times New Roman" w:hAnsi="Times New Roman"/>
        </w:rPr>
        <w:t>and/</w:t>
      </w:r>
      <w:r w:rsidR="00EA5EAF" w:rsidRPr="00F117EB">
        <w:rPr>
          <w:rFonts w:ascii="Times New Roman" w:hAnsi="Times New Roman"/>
        </w:rPr>
        <w:t>or</w:t>
      </w:r>
      <w:r w:rsidR="00997E0E" w:rsidRPr="00F117EB">
        <w:rPr>
          <w:rFonts w:ascii="Times New Roman" w:hAnsi="Times New Roman"/>
        </w:rPr>
        <w:t>,</w:t>
      </w:r>
      <w:r w:rsidR="00EA5EAF" w:rsidRPr="00F117EB">
        <w:rPr>
          <w:rFonts w:ascii="Times New Roman" w:hAnsi="Times New Roman"/>
        </w:rPr>
        <w:t xml:space="preserve"> in effect</w:t>
      </w:r>
      <w:r w:rsidR="00FD6697" w:rsidRPr="00F117EB">
        <w:rPr>
          <w:rFonts w:ascii="Times New Roman" w:hAnsi="Times New Roman"/>
        </w:rPr>
        <w:t>,</w:t>
      </w:r>
      <w:r w:rsidR="00EA5EAF" w:rsidRPr="00F117EB">
        <w:rPr>
          <w:rFonts w:ascii="Times New Roman" w:hAnsi="Times New Roman"/>
        </w:rPr>
        <w:t xml:space="preserve"> endured a sentencing hearing which was so flawed as to amount to no hearing at all". </w:t>
      </w:r>
      <w:r w:rsidR="0056487C" w:rsidRPr="00F117EB">
        <w:rPr>
          <w:rFonts w:ascii="Times New Roman" w:hAnsi="Times New Roman"/>
        </w:rPr>
        <w:t>Howe</w:t>
      </w:r>
      <w:r w:rsidR="00A715EE" w:rsidRPr="00F117EB">
        <w:rPr>
          <w:rFonts w:ascii="Times New Roman" w:hAnsi="Times New Roman"/>
        </w:rPr>
        <w:t>ver</w:t>
      </w:r>
      <w:r w:rsidR="007E685A" w:rsidRPr="00F117EB">
        <w:rPr>
          <w:rFonts w:ascii="Times New Roman" w:hAnsi="Times New Roman"/>
        </w:rPr>
        <w:t xml:space="preserve">, it was not necessary for his Honour </w:t>
      </w:r>
      <w:r w:rsidR="005256E1" w:rsidRPr="00F117EB">
        <w:rPr>
          <w:rFonts w:ascii="Times New Roman" w:hAnsi="Times New Roman"/>
        </w:rPr>
        <w:t>to address re</w:t>
      </w:r>
      <w:r w:rsidR="00CE0589" w:rsidRPr="00F117EB">
        <w:rPr>
          <w:rFonts w:ascii="Times New Roman" w:hAnsi="Times New Roman"/>
        </w:rPr>
        <w:t>sentencing</w:t>
      </w:r>
      <w:r w:rsidR="005256E1" w:rsidRPr="00F117EB">
        <w:rPr>
          <w:rFonts w:ascii="Times New Roman" w:hAnsi="Times New Roman"/>
        </w:rPr>
        <w:t xml:space="preserve"> or remittal </w:t>
      </w:r>
      <w:r w:rsidR="007E685A" w:rsidRPr="00F117EB">
        <w:rPr>
          <w:rFonts w:ascii="Times New Roman" w:hAnsi="Times New Roman"/>
        </w:rPr>
        <w:t xml:space="preserve">as no </w:t>
      </w:r>
      <w:r w:rsidR="003B1C75" w:rsidRPr="00F117EB">
        <w:rPr>
          <w:rFonts w:ascii="Times New Roman" w:hAnsi="Times New Roman"/>
        </w:rPr>
        <w:t>"</w:t>
      </w:r>
      <w:r w:rsidR="007E685A" w:rsidRPr="00F117EB">
        <w:rPr>
          <w:rFonts w:ascii="Times New Roman" w:hAnsi="Times New Roman"/>
        </w:rPr>
        <w:t xml:space="preserve">miscarriage of justice" was </w:t>
      </w:r>
      <w:r w:rsidR="00CE0589" w:rsidRPr="00F117EB">
        <w:rPr>
          <w:rFonts w:ascii="Times New Roman" w:hAnsi="Times New Roman"/>
        </w:rPr>
        <w:t>established.</w:t>
      </w:r>
      <w:r w:rsidR="00CE0589" w:rsidRPr="00F117EB">
        <w:rPr>
          <w:rFonts w:ascii="Times New Roman" w:hAnsi="Times New Roman"/>
          <w:b/>
          <w:bCs/>
        </w:rPr>
        <w:t xml:space="preserve"> </w:t>
      </w:r>
    </w:p>
    <w:p w14:paraId="44B6AB0F" w14:textId="28CEA104" w:rsidR="00EA5EAF" w:rsidRPr="00F117EB" w:rsidRDefault="00EA5EAF" w:rsidP="00F117EB">
      <w:pPr>
        <w:pStyle w:val="HeadingL1"/>
        <w:spacing w:after="260" w:line="280" w:lineRule="exact"/>
        <w:ind w:right="0"/>
        <w:jc w:val="both"/>
        <w:rPr>
          <w:rFonts w:ascii="Times New Roman" w:hAnsi="Times New Roman"/>
        </w:rPr>
      </w:pPr>
      <w:r w:rsidRPr="00F117EB">
        <w:rPr>
          <w:rFonts w:ascii="Times New Roman" w:hAnsi="Times New Roman"/>
        </w:rPr>
        <w:t xml:space="preserve">The </w:t>
      </w:r>
      <w:r w:rsidR="008B6187" w:rsidRPr="00F117EB">
        <w:rPr>
          <w:rFonts w:ascii="Times New Roman" w:hAnsi="Times New Roman"/>
        </w:rPr>
        <w:t>a</w:t>
      </w:r>
      <w:r w:rsidRPr="00F117EB">
        <w:rPr>
          <w:rFonts w:ascii="Times New Roman" w:hAnsi="Times New Roman"/>
        </w:rPr>
        <w:t xml:space="preserve">ppeal to this </w:t>
      </w:r>
      <w:r w:rsidR="003B1C75" w:rsidRPr="00F117EB">
        <w:rPr>
          <w:rFonts w:ascii="Times New Roman" w:hAnsi="Times New Roman"/>
        </w:rPr>
        <w:t>Court</w:t>
      </w:r>
    </w:p>
    <w:p w14:paraId="2ECD4135" w14:textId="29F2CDD2" w:rsidR="00EA5EAF" w:rsidRPr="00F117EB" w:rsidRDefault="008B6187"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In this </w:t>
      </w:r>
      <w:r w:rsidR="003B1C75" w:rsidRPr="00F117EB">
        <w:rPr>
          <w:rFonts w:ascii="Times New Roman" w:hAnsi="Times New Roman"/>
        </w:rPr>
        <w:t xml:space="preserve">Court </w:t>
      </w:r>
      <w:r w:rsidR="000C5FC9" w:rsidRPr="00F117EB">
        <w:rPr>
          <w:rFonts w:ascii="Times New Roman" w:hAnsi="Times New Roman"/>
        </w:rPr>
        <w:t>the appellant</w:t>
      </w:r>
      <w:r w:rsidR="00904F08" w:rsidRPr="00F117EB">
        <w:rPr>
          <w:rFonts w:ascii="Times New Roman" w:hAnsi="Times New Roman"/>
        </w:rPr>
        <w:t xml:space="preserve"> </w:t>
      </w:r>
      <w:r w:rsidR="00EA5EAF" w:rsidRPr="00F117EB">
        <w:rPr>
          <w:rFonts w:ascii="Times New Roman" w:hAnsi="Times New Roman"/>
        </w:rPr>
        <w:t>submitted that</w:t>
      </w:r>
      <w:r w:rsidR="006C7EFE" w:rsidRPr="00F117EB">
        <w:rPr>
          <w:rFonts w:ascii="Times New Roman" w:hAnsi="Times New Roman"/>
        </w:rPr>
        <w:t xml:space="preserve">, </w:t>
      </w:r>
      <w:r w:rsidR="00F26B86" w:rsidRPr="00F117EB">
        <w:rPr>
          <w:rFonts w:ascii="Times New Roman" w:hAnsi="Times New Roman"/>
        </w:rPr>
        <w:t xml:space="preserve">as the </w:t>
      </w:r>
      <w:r w:rsidR="002555BD" w:rsidRPr="00F117EB">
        <w:rPr>
          <w:rFonts w:ascii="Times New Roman" w:hAnsi="Times New Roman"/>
        </w:rPr>
        <w:t xml:space="preserve">relative </w:t>
      </w:r>
      <w:r w:rsidR="00C93A83" w:rsidRPr="00F117EB">
        <w:rPr>
          <w:rFonts w:ascii="Times New Roman" w:hAnsi="Times New Roman"/>
        </w:rPr>
        <w:t xml:space="preserve">objective </w:t>
      </w:r>
      <w:r w:rsidR="00AF1000" w:rsidRPr="00F117EB">
        <w:rPr>
          <w:rFonts w:ascii="Times New Roman" w:hAnsi="Times New Roman"/>
        </w:rPr>
        <w:t>seriousness</w:t>
      </w:r>
      <w:r w:rsidR="002555BD" w:rsidRPr="00F117EB">
        <w:rPr>
          <w:rFonts w:ascii="Times New Roman" w:hAnsi="Times New Roman"/>
        </w:rPr>
        <w:t xml:space="preserve"> of the appellant</w:t>
      </w:r>
      <w:r w:rsidR="003B1C75" w:rsidRPr="00F117EB">
        <w:rPr>
          <w:rFonts w:ascii="Times New Roman" w:hAnsi="Times New Roman"/>
        </w:rPr>
        <w:t>'s</w:t>
      </w:r>
      <w:r w:rsidR="002555BD" w:rsidRPr="00F117EB">
        <w:rPr>
          <w:rFonts w:ascii="Times New Roman" w:hAnsi="Times New Roman"/>
        </w:rPr>
        <w:t xml:space="preserve"> and Mr Kanmaz's offending was a live issue in the sentencing proceedings,</w:t>
      </w:r>
      <w:r w:rsidR="00EA5EAF" w:rsidRPr="00F117EB">
        <w:rPr>
          <w:rFonts w:ascii="Times New Roman" w:hAnsi="Times New Roman"/>
        </w:rPr>
        <w:t xml:space="preserve"> </w:t>
      </w:r>
      <w:r w:rsidR="003C0808" w:rsidRPr="00F117EB">
        <w:rPr>
          <w:rFonts w:ascii="Times New Roman" w:hAnsi="Times New Roman"/>
        </w:rPr>
        <w:t>Senior Counsel was</w:t>
      </w:r>
      <w:r w:rsidR="00AC664B" w:rsidRPr="00F117EB">
        <w:rPr>
          <w:rFonts w:ascii="Times New Roman" w:hAnsi="Times New Roman"/>
        </w:rPr>
        <w:t xml:space="preserve"> </w:t>
      </w:r>
      <w:r w:rsidR="00470D69" w:rsidRPr="00F117EB">
        <w:rPr>
          <w:rFonts w:ascii="Times New Roman" w:hAnsi="Times New Roman"/>
        </w:rPr>
        <w:t xml:space="preserve">placed </w:t>
      </w:r>
      <w:r w:rsidR="006C7EFE" w:rsidRPr="00F117EB">
        <w:rPr>
          <w:rFonts w:ascii="Times New Roman" w:hAnsi="Times New Roman"/>
        </w:rPr>
        <w:t>in a pos</w:t>
      </w:r>
      <w:r w:rsidR="00470D69" w:rsidRPr="00F117EB">
        <w:rPr>
          <w:rFonts w:ascii="Times New Roman" w:hAnsi="Times New Roman"/>
        </w:rPr>
        <w:t>i</w:t>
      </w:r>
      <w:r w:rsidR="006C7EFE" w:rsidRPr="00F117EB">
        <w:rPr>
          <w:rFonts w:ascii="Times New Roman" w:hAnsi="Times New Roman"/>
        </w:rPr>
        <w:t xml:space="preserve">tion of </w:t>
      </w:r>
      <w:r w:rsidR="00AC664B" w:rsidRPr="00F117EB">
        <w:rPr>
          <w:rFonts w:ascii="Times New Roman" w:hAnsi="Times New Roman"/>
        </w:rPr>
        <w:t>conflict between th</w:t>
      </w:r>
      <w:r w:rsidR="00EA5EAF" w:rsidRPr="00F117EB">
        <w:rPr>
          <w:rFonts w:ascii="Times New Roman" w:hAnsi="Times New Roman"/>
        </w:rPr>
        <w:t xml:space="preserve">e duty owed to the appellant and the equivalent duty </w:t>
      </w:r>
      <w:r w:rsidR="006C7EFE" w:rsidRPr="00F117EB">
        <w:rPr>
          <w:rFonts w:ascii="Times New Roman" w:hAnsi="Times New Roman"/>
        </w:rPr>
        <w:t>that was</w:t>
      </w:r>
      <w:r w:rsidR="00EA5EAF" w:rsidRPr="00F117EB">
        <w:rPr>
          <w:rFonts w:ascii="Times New Roman" w:hAnsi="Times New Roman"/>
        </w:rPr>
        <w:t xml:space="preserve"> owed to </w:t>
      </w:r>
      <w:r w:rsidR="00EA5EAF" w:rsidRPr="00F117EB">
        <w:rPr>
          <w:rFonts w:ascii="Times New Roman" w:hAnsi="Times New Roman"/>
        </w:rPr>
        <w:lastRenderedPageBreak/>
        <w:t>Mr</w:t>
      </w:r>
      <w:r w:rsidR="00D10185" w:rsidRPr="00F117EB">
        <w:rPr>
          <w:rFonts w:ascii="Times New Roman" w:hAnsi="Times New Roman"/>
        </w:rPr>
        <w:t> </w:t>
      </w:r>
      <w:r w:rsidR="00EA5EAF" w:rsidRPr="00F117EB">
        <w:rPr>
          <w:rFonts w:ascii="Times New Roman" w:hAnsi="Times New Roman"/>
        </w:rPr>
        <w:t>Kanmaz.</w:t>
      </w:r>
      <w:r w:rsidR="00D15B92" w:rsidRPr="00F117EB">
        <w:rPr>
          <w:rFonts w:ascii="Times New Roman" w:hAnsi="Times New Roman"/>
        </w:rPr>
        <w:t xml:space="preserve"> </w:t>
      </w:r>
      <w:r w:rsidR="00EA5EAF" w:rsidRPr="00F117EB">
        <w:rPr>
          <w:rFonts w:ascii="Times New Roman" w:hAnsi="Times New Roman"/>
        </w:rPr>
        <w:t xml:space="preserve">It was submitted that this conflict arose when Senior Counsel appeared on </w:t>
      </w:r>
      <w:r w:rsidR="0053350D" w:rsidRPr="00F117EB">
        <w:rPr>
          <w:rFonts w:ascii="Times New Roman" w:hAnsi="Times New Roman"/>
        </w:rPr>
        <w:t xml:space="preserve">both </w:t>
      </w:r>
      <w:r w:rsidR="00960724" w:rsidRPr="00F117EB">
        <w:rPr>
          <w:rFonts w:ascii="Times New Roman" w:hAnsi="Times New Roman"/>
        </w:rPr>
        <w:t>co-offender</w:t>
      </w:r>
      <w:r w:rsidR="00241EC3" w:rsidRPr="00F117EB">
        <w:rPr>
          <w:rFonts w:ascii="Times New Roman" w:hAnsi="Times New Roman"/>
        </w:rPr>
        <w:t>s'</w:t>
      </w:r>
      <w:r w:rsidR="00960724" w:rsidRPr="00F117EB">
        <w:rPr>
          <w:rFonts w:ascii="Times New Roman" w:hAnsi="Times New Roman"/>
        </w:rPr>
        <w:t xml:space="preserve"> </w:t>
      </w:r>
      <w:r w:rsidR="00EA5EAF" w:rsidRPr="00F117EB">
        <w:rPr>
          <w:rFonts w:ascii="Times New Roman" w:hAnsi="Times New Roman"/>
        </w:rPr>
        <w:t>behalf</w:t>
      </w:r>
      <w:r w:rsidR="009C44BF" w:rsidRPr="00F117EB">
        <w:rPr>
          <w:rFonts w:ascii="Times New Roman" w:hAnsi="Times New Roman"/>
        </w:rPr>
        <w:t xml:space="preserve"> at the sentencing hearing</w:t>
      </w:r>
      <w:r w:rsidR="00EA5EAF" w:rsidRPr="00F117EB">
        <w:rPr>
          <w:rFonts w:ascii="Times New Roman" w:hAnsi="Times New Roman"/>
        </w:rPr>
        <w:t xml:space="preserve"> (or perhaps </w:t>
      </w:r>
      <w:r w:rsidR="00373195" w:rsidRPr="00F117EB">
        <w:rPr>
          <w:rFonts w:ascii="Times New Roman" w:hAnsi="Times New Roman"/>
        </w:rPr>
        <w:t xml:space="preserve">when Senior Counsel </w:t>
      </w:r>
      <w:r w:rsidR="00EA5EAF" w:rsidRPr="00F117EB">
        <w:rPr>
          <w:rFonts w:ascii="Times New Roman" w:hAnsi="Times New Roman"/>
        </w:rPr>
        <w:t>settled</w:t>
      </w:r>
      <w:r w:rsidR="00E70904" w:rsidRPr="00F117EB">
        <w:rPr>
          <w:rFonts w:ascii="Times New Roman" w:hAnsi="Times New Roman"/>
        </w:rPr>
        <w:t xml:space="preserve"> and filed written</w:t>
      </w:r>
      <w:r w:rsidR="00EA5EAF" w:rsidRPr="00F117EB">
        <w:rPr>
          <w:rFonts w:ascii="Times New Roman" w:hAnsi="Times New Roman"/>
        </w:rPr>
        <w:t xml:space="preserve"> submissions prior to </w:t>
      </w:r>
      <w:r w:rsidR="00CD2344" w:rsidRPr="00F117EB">
        <w:rPr>
          <w:rFonts w:ascii="Times New Roman" w:hAnsi="Times New Roman"/>
        </w:rPr>
        <w:t>the sentencing hearing</w:t>
      </w:r>
      <w:r w:rsidR="00EA5EAF" w:rsidRPr="00F117EB">
        <w:rPr>
          <w:rFonts w:ascii="Times New Roman" w:hAnsi="Times New Roman"/>
        </w:rPr>
        <w:t>).</w:t>
      </w:r>
      <w:r w:rsidR="009C44BF" w:rsidRPr="00F117EB">
        <w:rPr>
          <w:rFonts w:ascii="Times New Roman" w:hAnsi="Times New Roman"/>
        </w:rPr>
        <w:t xml:space="preserve"> </w:t>
      </w:r>
      <w:r w:rsidR="003B0F9C" w:rsidRPr="00F117EB">
        <w:rPr>
          <w:rFonts w:ascii="Times New Roman" w:hAnsi="Times New Roman"/>
        </w:rPr>
        <w:t>The appellant contended</w:t>
      </w:r>
      <w:r w:rsidR="00EA5EAF" w:rsidRPr="00F117EB">
        <w:rPr>
          <w:rFonts w:ascii="Times New Roman" w:hAnsi="Times New Roman"/>
        </w:rPr>
        <w:t xml:space="preserve"> that the effect of the conflict was to occasion a "practical injustice" through a loss </w:t>
      </w:r>
      <w:r w:rsidR="00403128" w:rsidRPr="00F117EB">
        <w:rPr>
          <w:rFonts w:ascii="Times New Roman" w:hAnsi="Times New Roman"/>
        </w:rPr>
        <w:t xml:space="preserve">to the appellant </w:t>
      </w:r>
      <w:r w:rsidR="00EA5EAF" w:rsidRPr="00F117EB">
        <w:rPr>
          <w:rFonts w:ascii="Times New Roman" w:hAnsi="Times New Roman"/>
        </w:rPr>
        <w:t xml:space="preserve">of an </w:t>
      </w:r>
      <w:r w:rsidR="00EF56AD" w:rsidRPr="00F117EB">
        <w:rPr>
          <w:rFonts w:ascii="Times New Roman" w:hAnsi="Times New Roman"/>
        </w:rPr>
        <w:t>"</w:t>
      </w:r>
      <w:r w:rsidR="00EA5EAF" w:rsidRPr="00F117EB">
        <w:rPr>
          <w:rFonts w:ascii="Times New Roman" w:hAnsi="Times New Roman"/>
        </w:rPr>
        <w:t>opportunity to advance his case"</w:t>
      </w:r>
      <w:r w:rsidR="00FE0082" w:rsidRPr="00F117EB">
        <w:rPr>
          <w:rFonts w:ascii="Times New Roman" w:hAnsi="Times New Roman"/>
        </w:rPr>
        <w:t>,</w:t>
      </w:r>
      <w:r w:rsidR="004002A4" w:rsidRPr="00F117EB">
        <w:rPr>
          <w:rStyle w:val="FootnoteReference"/>
          <w:rFonts w:ascii="Times New Roman" w:hAnsi="Times New Roman"/>
          <w:sz w:val="24"/>
        </w:rPr>
        <w:footnoteReference w:id="21"/>
      </w:r>
      <w:r w:rsidR="00EA5EAF" w:rsidRPr="00F117EB">
        <w:rPr>
          <w:rFonts w:ascii="Times New Roman" w:hAnsi="Times New Roman"/>
        </w:rPr>
        <w:t xml:space="preserve"> being either the failure </w:t>
      </w:r>
      <w:r w:rsidR="00011C53" w:rsidRPr="00F117EB">
        <w:rPr>
          <w:rFonts w:ascii="Times New Roman" w:hAnsi="Times New Roman"/>
        </w:rPr>
        <w:t xml:space="preserve">of Senior Counsel </w:t>
      </w:r>
      <w:r w:rsidR="00EA5EAF" w:rsidRPr="00F117EB">
        <w:rPr>
          <w:rFonts w:ascii="Times New Roman" w:hAnsi="Times New Roman"/>
        </w:rPr>
        <w:t xml:space="preserve">to embrace the </w:t>
      </w:r>
      <w:r w:rsidR="001752DD" w:rsidRPr="00F117EB">
        <w:rPr>
          <w:rFonts w:ascii="Times New Roman" w:hAnsi="Times New Roman"/>
        </w:rPr>
        <w:t>Crown's</w:t>
      </w:r>
      <w:r w:rsidR="00EA5EAF" w:rsidRPr="00F117EB">
        <w:rPr>
          <w:rFonts w:ascii="Times New Roman" w:hAnsi="Times New Roman"/>
        </w:rPr>
        <w:t xml:space="preserve"> initial assessment of </w:t>
      </w:r>
      <w:r w:rsidR="00960724" w:rsidRPr="00F117EB">
        <w:rPr>
          <w:rFonts w:ascii="Times New Roman" w:hAnsi="Times New Roman"/>
        </w:rPr>
        <w:t xml:space="preserve">the </w:t>
      </w:r>
      <w:r w:rsidR="00EA5EAF" w:rsidRPr="00F117EB">
        <w:rPr>
          <w:rFonts w:ascii="Times New Roman" w:hAnsi="Times New Roman"/>
        </w:rPr>
        <w:t xml:space="preserve">relative </w:t>
      </w:r>
      <w:r w:rsidR="00AF1000" w:rsidRPr="00F117EB">
        <w:rPr>
          <w:rFonts w:ascii="Times New Roman" w:hAnsi="Times New Roman"/>
        </w:rPr>
        <w:t xml:space="preserve">seriousness of the offending </w:t>
      </w:r>
      <w:r w:rsidR="00EA5EAF" w:rsidRPr="00F117EB">
        <w:rPr>
          <w:rFonts w:ascii="Times New Roman" w:hAnsi="Times New Roman"/>
        </w:rPr>
        <w:t xml:space="preserve">or </w:t>
      </w:r>
      <w:r w:rsidR="00113A29" w:rsidRPr="00F117EB">
        <w:rPr>
          <w:rFonts w:ascii="Times New Roman" w:hAnsi="Times New Roman"/>
        </w:rPr>
        <w:t xml:space="preserve">the </w:t>
      </w:r>
      <w:r w:rsidR="00EA7F86" w:rsidRPr="00F117EB">
        <w:rPr>
          <w:rFonts w:ascii="Times New Roman" w:hAnsi="Times New Roman"/>
        </w:rPr>
        <w:t>inability of</w:t>
      </w:r>
      <w:r w:rsidR="00113A29" w:rsidRPr="00F117EB">
        <w:rPr>
          <w:rFonts w:ascii="Times New Roman" w:hAnsi="Times New Roman"/>
        </w:rPr>
        <w:t xml:space="preserve"> </w:t>
      </w:r>
      <w:r w:rsidR="00D406C6" w:rsidRPr="00F117EB">
        <w:rPr>
          <w:rFonts w:ascii="Times New Roman" w:hAnsi="Times New Roman"/>
        </w:rPr>
        <w:t>Senior C</w:t>
      </w:r>
      <w:r w:rsidR="00EA5EAF" w:rsidRPr="00F117EB">
        <w:rPr>
          <w:rFonts w:ascii="Times New Roman" w:hAnsi="Times New Roman"/>
        </w:rPr>
        <w:t xml:space="preserve">ounsel </w:t>
      </w:r>
      <w:r w:rsidR="00B0227A" w:rsidRPr="00F117EB">
        <w:rPr>
          <w:rFonts w:ascii="Times New Roman" w:hAnsi="Times New Roman"/>
        </w:rPr>
        <w:t xml:space="preserve">to </w:t>
      </w:r>
      <w:r w:rsidR="00EA5EAF" w:rsidRPr="00F117EB">
        <w:rPr>
          <w:rFonts w:ascii="Times New Roman" w:hAnsi="Times New Roman"/>
        </w:rPr>
        <w:t>form a judgment on that topic free of any competing duty owed to Mr</w:t>
      </w:r>
      <w:r w:rsidR="00D10185" w:rsidRPr="00F117EB">
        <w:rPr>
          <w:rFonts w:ascii="Times New Roman" w:hAnsi="Times New Roman"/>
        </w:rPr>
        <w:t> </w:t>
      </w:r>
      <w:r w:rsidR="00EA5EAF" w:rsidRPr="00F117EB">
        <w:rPr>
          <w:rFonts w:ascii="Times New Roman" w:hAnsi="Times New Roman"/>
        </w:rPr>
        <w:t xml:space="preserve">Kanmaz. This irregularity was said to be material </w:t>
      </w:r>
      <w:r w:rsidR="000F4A2F" w:rsidRPr="00F117EB">
        <w:rPr>
          <w:rFonts w:ascii="Times New Roman" w:hAnsi="Times New Roman"/>
        </w:rPr>
        <w:t xml:space="preserve">to the exercise of the sentencing discretion </w:t>
      </w:r>
      <w:r w:rsidR="00EA5EAF" w:rsidRPr="00F117EB">
        <w:rPr>
          <w:rFonts w:ascii="Times New Roman" w:hAnsi="Times New Roman"/>
        </w:rPr>
        <w:t xml:space="preserve">in </w:t>
      </w:r>
      <w:r w:rsidR="008E590C" w:rsidRPr="00F117EB">
        <w:rPr>
          <w:rFonts w:ascii="Times New Roman" w:hAnsi="Times New Roman"/>
        </w:rPr>
        <w:t xml:space="preserve">that </w:t>
      </w:r>
      <w:r w:rsidR="00EA5EAF" w:rsidRPr="00F117EB">
        <w:rPr>
          <w:rFonts w:ascii="Times New Roman" w:hAnsi="Times New Roman"/>
        </w:rPr>
        <w:t>it "could realistically" have affected the "outcome"</w:t>
      </w:r>
      <w:r w:rsidR="002F1819" w:rsidRPr="00F117EB">
        <w:rPr>
          <w:rStyle w:val="FootnoteReference"/>
          <w:rFonts w:ascii="Times New Roman" w:hAnsi="Times New Roman"/>
          <w:sz w:val="24"/>
        </w:rPr>
        <w:footnoteReference w:id="22"/>
      </w:r>
      <w:r w:rsidR="00EA5EAF" w:rsidRPr="00F117EB">
        <w:rPr>
          <w:rFonts w:ascii="Times New Roman" w:hAnsi="Times New Roman"/>
        </w:rPr>
        <w:t xml:space="preserve"> </w:t>
      </w:r>
      <w:r w:rsidR="006628C8" w:rsidRPr="00F117EB">
        <w:rPr>
          <w:rFonts w:ascii="Times New Roman" w:hAnsi="Times New Roman"/>
        </w:rPr>
        <w:t>of the exercise of the sentencing discretion.</w:t>
      </w:r>
    </w:p>
    <w:p w14:paraId="251FBDB6" w14:textId="4BDDF3CD" w:rsidR="00BA6CB9" w:rsidRPr="00F117EB" w:rsidRDefault="004912B5"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The </w:t>
      </w:r>
      <w:r w:rsidR="001752DD" w:rsidRPr="00F117EB">
        <w:rPr>
          <w:rFonts w:ascii="Times New Roman" w:hAnsi="Times New Roman"/>
        </w:rPr>
        <w:t>Crown</w:t>
      </w:r>
      <w:r w:rsidR="00EA5EAF" w:rsidRPr="00F117EB">
        <w:rPr>
          <w:rFonts w:ascii="Times New Roman" w:hAnsi="Times New Roman"/>
        </w:rPr>
        <w:t xml:space="preserve"> embraced the Court of Criminal Appeal's reasoning </w:t>
      </w:r>
      <w:r w:rsidR="00BA6CB9" w:rsidRPr="00F117EB">
        <w:rPr>
          <w:rFonts w:ascii="Times New Roman" w:hAnsi="Times New Roman"/>
        </w:rPr>
        <w:t>and submitted that</w:t>
      </w:r>
      <w:r w:rsidR="00EA5EAF" w:rsidRPr="00F117EB">
        <w:rPr>
          <w:rFonts w:ascii="Times New Roman" w:hAnsi="Times New Roman"/>
        </w:rPr>
        <w:t xml:space="preserve"> there was an absence of evidence to establish any conflict</w:t>
      </w:r>
      <w:r w:rsidR="00926E53" w:rsidRPr="00F117EB">
        <w:rPr>
          <w:rFonts w:ascii="Times New Roman" w:hAnsi="Times New Roman"/>
        </w:rPr>
        <w:t xml:space="preserve"> between duty and duty,</w:t>
      </w:r>
      <w:r w:rsidR="00EA5EAF" w:rsidRPr="00F117EB">
        <w:rPr>
          <w:rFonts w:ascii="Times New Roman" w:hAnsi="Times New Roman"/>
        </w:rPr>
        <w:t xml:space="preserve"> as well as </w:t>
      </w:r>
      <w:r w:rsidR="00DC4096" w:rsidRPr="00F117EB">
        <w:rPr>
          <w:rFonts w:ascii="Times New Roman" w:hAnsi="Times New Roman"/>
        </w:rPr>
        <w:t xml:space="preserve">an absence of evidence as to </w:t>
      </w:r>
      <w:r w:rsidR="00EA5EAF" w:rsidRPr="00F117EB">
        <w:rPr>
          <w:rFonts w:ascii="Times New Roman" w:hAnsi="Times New Roman"/>
        </w:rPr>
        <w:t xml:space="preserve">whether the appellant gave "fully informed consent" to any </w:t>
      </w:r>
      <w:r w:rsidR="00603417" w:rsidRPr="00F117EB">
        <w:rPr>
          <w:rFonts w:ascii="Times New Roman" w:hAnsi="Times New Roman"/>
        </w:rPr>
        <w:t xml:space="preserve">such </w:t>
      </w:r>
      <w:r w:rsidR="00EA5EAF" w:rsidRPr="00F117EB">
        <w:rPr>
          <w:rFonts w:ascii="Times New Roman" w:hAnsi="Times New Roman"/>
        </w:rPr>
        <w:t>conflict.</w:t>
      </w:r>
      <w:r w:rsidR="00BB39D6" w:rsidRPr="00F117EB">
        <w:rPr>
          <w:rStyle w:val="FootnoteReference"/>
          <w:rFonts w:ascii="Times New Roman" w:hAnsi="Times New Roman"/>
          <w:sz w:val="24"/>
        </w:rPr>
        <w:footnoteReference w:id="23"/>
      </w:r>
      <w:r w:rsidR="00EA5EAF" w:rsidRPr="00F117EB">
        <w:rPr>
          <w:rFonts w:ascii="Times New Roman" w:hAnsi="Times New Roman"/>
        </w:rPr>
        <w:t xml:space="preserve"> Otherwise</w:t>
      </w:r>
      <w:r w:rsidR="00BB39D6" w:rsidRPr="00F117EB">
        <w:rPr>
          <w:rFonts w:ascii="Times New Roman" w:hAnsi="Times New Roman"/>
        </w:rPr>
        <w:t>,</w:t>
      </w:r>
      <w:r w:rsidR="00EA5EAF" w:rsidRPr="00F117EB">
        <w:rPr>
          <w:rFonts w:ascii="Times New Roman" w:hAnsi="Times New Roman"/>
        </w:rPr>
        <w:t xml:space="preserve"> the </w:t>
      </w:r>
      <w:r w:rsidR="001752DD" w:rsidRPr="00F117EB">
        <w:rPr>
          <w:rFonts w:ascii="Times New Roman" w:hAnsi="Times New Roman"/>
        </w:rPr>
        <w:t>Crown</w:t>
      </w:r>
      <w:r w:rsidR="00EA5EAF" w:rsidRPr="00F117EB">
        <w:rPr>
          <w:rFonts w:ascii="Times New Roman" w:hAnsi="Times New Roman"/>
        </w:rPr>
        <w:t xml:space="preserve"> contended that if there was such a breach</w:t>
      </w:r>
      <w:r w:rsidR="008E590C" w:rsidRPr="00F117EB">
        <w:rPr>
          <w:rFonts w:ascii="Times New Roman" w:hAnsi="Times New Roman"/>
        </w:rPr>
        <w:t>,</w:t>
      </w:r>
      <w:r w:rsidR="00EA5EAF" w:rsidRPr="00F117EB">
        <w:rPr>
          <w:rFonts w:ascii="Times New Roman" w:hAnsi="Times New Roman"/>
        </w:rPr>
        <w:t xml:space="preserve"> it was not demonstrated how the breach could realistically have </w:t>
      </w:r>
      <w:r w:rsidR="00BA6CB9" w:rsidRPr="00F117EB">
        <w:rPr>
          <w:rFonts w:ascii="Times New Roman" w:hAnsi="Times New Roman"/>
        </w:rPr>
        <w:t>a</w:t>
      </w:r>
      <w:r w:rsidR="00EA5EAF" w:rsidRPr="00F117EB">
        <w:rPr>
          <w:rFonts w:ascii="Times New Roman" w:hAnsi="Times New Roman"/>
        </w:rPr>
        <w:t>ffect</w:t>
      </w:r>
      <w:r w:rsidR="00BA6CB9" w:rsidRPr="00F117EB">
        <w:rPr>
          <w:rFonts w:ascii="Times New Roman" w:hAnsi="Times New Roman"/>
        </w:rPr>
        <w:t>ed</w:t>
      </w:r>
      <w:r w:rsidR="00EA5EAF" w:rsidRPr="00F117EB">
        <w:rPr>
          <w:rFonts w:ascii="Times New Roman" w:hAnsi="Times New Roman"/>
        </w:rPr>
        <w:t xml:space="preserve"> the exercise of the sentencing discretion</w:t>
      </w:r>
      <w:r w:rsidR="00F43AC8" w:rsidRPr="00F117EB">
        <w:rPr>
          <w:rFonts w:ascii="Times New Roman" w:hAnsi="Times New Roman"/>
        </w:rPr>
        <w:t xml:space="preserve">, and hence </w:t>
      </w:r>
      <w:r w:rsidR="00190170" w:rsidRPr="00F117EB">
        <w:rPr>
          <w:rFonts w:ascii="Times New Roman" w:hAnsi="Times New Roman"/>
        </w:rPr>
        <w:t xml:space="preserve">any such breach was </w:t>
      </w:r>
      <w:r w:rsidR="00F43AC8" w:rsidRPr="00F117EB">
        <w:rPr>
          <w:rFonts w:ascii="Times New Roman" w:hAnsi="Times New Roman"/>
        </w:rPr>
        <w:t>immaterial</w:t>
      </w:r>
      <w:r w:rsidR="00EA5EAF" w:rsidRPr="00F117EB">
        <w:rPr>
          <w:rFonts w:ascii="Times New Roman" w:hAnsi="Times New Roman"/>
        </w:rPr>
        <w:t xml:space="preserve">.  </w:t>
      </w:r>
    </w:p>
    <w:p w14:paraId="134B512B" w14:textId="1CDEDDE3" w:rsidR="00EA5EAF" w:rsidRPr="00F117EB" w:rsidRDefault="00F76ABA"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The </w:t>
      </w:r>
      <w:r w:rsidR="000B5778" w:rsidRPr="00F117EB">
        <w:rPr>
          <w:rFonts w:ascii="Times New Roman" w:hAnsi="Times New Roman"/>
        </w:rPr>
        <w:t xml:space="preserve">NSW </w:t>
      </w:r>
      <w:r w:rsidR="00673BAC" w:rsidRPr="00F117EB">
        <w:rPr>
          <w:rFonts w:ascii="Times New Roman" w:hAnsi="Times New Roman"/>
        </w:rPr>
        <w:t xml:space="preserve">DPP </w:t>
      </w:r>
      <w:r w:rsidR="00130A26" w:rsidRPr="00F117EB">
        <w:rPr>
          <w:rFonts w:ascii="Times New Roman" w:hAnsi="Times New Roman"/>
        </w:rPr>
        <w:t xml:space="preserve">relevantly </w:t>
      </w:r>
      <w:r w:rsidR="00EA5EAF" w:rsidRPr="00F117EB">
        <w:rPr>
          <w:rFonts w:ascii="Times New Roman" w:hAnsi="Times New Roman"/>
        </w:rPr>
        <w:t>contended that a separate threshold of materiality is inapposite in sentenc</w:t>
      </w:r>
      <w:r w:rsidR="00453C24" w:rsidRPr="00F117EB">
        <w:rPr>
          <w:rFonts w:ascii="Times New Roman" w:hAnsi="Times New Roman"/>
        </w:rPr>
        <w:t>ing</w:t>
      </w:r>
      <w:r w:rsidR="00EA5EAF" w:rsidRPr="00F117EB">
        <w:rPr>
          <w:rFonts w:ascii="Times New Roman" w:hAnsi="Times New Roman"/>
        </w:rPr>
        <w:t xml:space="preserve"> appeals because the Court</w:t>
      </w:r>
      <w:r w:rsidR="006536D8" w:rsidRPr="00F117EB">
        <w:rPr>
          <w:rFonts w:ascii="Times New Roman" w:hAnsi="Times New Roman"/>
        </w:rPr>
        <w:t xml:space="preserve"> of Criminal Appeal</w:t>
      </w:r>
      <w:r w:rsidR="00EA5EAF" w:rsidRPr="00F117EB">
        <w:rPr>
          <w:rFonts w:ascii="Times New Roman" w:hAnsi="Times New Roman"/>
        </w:rPr>
        <w:t>'s power under s</w:t>
      </w:r>
      <w:r w:rsidR="003235D6" w:rsidRPr="00F117EB">
        <w:rPr>
          <w:rFonts w:ascii="Times New Roman" w:hAnsi="Times New Roman"/>
        </w:rPr>
        <w:t> </w:t>
      </w:r>
      <w:r w:rsidR="00EA5EAF" w:rsidRPr="00F117EB">
        <w:rPr>
          <w:rFonts w:ascii="Times New Roman" w:hAnsi="Times New Roman"/>
        </w:rPr>
        <w:t xml:space="preserve">6(3) of the </w:t>
      </w:r>
      <w:r w:rsidR="00EA5EAF" w:rsidRPr="00F117EB">
        <w:rPr>
          <w:rFonts w:ascii="Times New Roman" w:hAnsi="Times New Roman"/>
          <w:i/>
          <w:iCs/>
        </w:rPr>
        <w:t>Criminal Appeal Act</w:t>
      </w:r>
      <w:r w:rsidR="00EA5EAF" w:rsidRPr="00F117EB">
        <w:rPr>
          <w:rFonts w:ascii="Times New Roman" w:hAnsi="Times New Roman"/>
        </w:rPr>
        <w:t xml:space="preserve"> to quash a sentence and proceed to resentence is conditioned on the </w:t>
      </w:r>
      <w:r w:rsidR="00184A76" w:rsidRPr="00F117EB">
        <w:rPr>
          <w:rFonts w:ascii="Times New Roman" w:hAnsi="Times New Roman"/>
        </w:rPr>
        <w:t xml:space="preserve">Court </w:t>
      </w:r>
      <w:r w:rsidR="00460F31" w:rsidRPr="00F117EB">
        <w:rPr>
          <w:rFonts w:ascii="Times New Roman" w:hAnsi="Times New Roman"/>
        </w:rPr>
        <w:t xml:space="preserve">relevantly </w:t>
      </w:r>
      <w:r w:rsidR="00EA5EAF" w:rsidRPr="00F117EB">
        <w:rPr>
          <w:rFonts w:ascii="Times New Roman" w:hAnsi="Times New Roman"/>
        </w:rPr>
        <w:t>forming an opinion</w:t>
      </w:r>
      <w:r w:rsidR="004228A7" w:rsidRPr="00F117EB">
        <w:rPr>
          <w:rFonts w:ascii="Times New Roman" w:hAnsi="Times New Roman"/>
        </w:rPr>
        <w:t>,</w:t>
      </w:r>
      <w:r w:rsidR="00EA5EAF" w:rsidRPr="00F117EB">
        <w:rPr>
          <w:rFonts w:ascii="Times New Roman" w:hAnsi="Times New Roman"/>
        </w:rPr>
        <w:t xml:space="preserve"> in the exercise of its independent discretion</w:t>
      </w:r>
      <w:r w:rsidR="004228A7" w:rsidRPr="00F117EB">
        <w:rPr>
          <w:rFonts w:ascii="Times New Roman" w:hAnsi="Times New Roman"/>
        </w:rPr>
        <w:t>,</w:t>
      </w:r>
      <w:r w:rsidR="00D907A4" w:rsidRPr="00F117EB">
        <w:rPr>
          <w:rStyle w:val="FootnoteReference"/>
          <w:rFonts w:ascii="Times New Roman" w:hAnsi="Times New Roman"/>
          <w:sz w:val="24"/>
        </w:rPr>
        <w:footnoteReference w:id="24"/>
      </w:r>
      <w:r w:rsidR="00EA5EAF" w:rsidRPr="00F117EB">
        <w:rPr>
          <w:rFonts w:ascii="Times New Roman" w:hAnsi="Times New Roman"/>
        </w:rPr>
        <w:t xml:space="preserve"> that a less severe sentence is warranted. </w:t>
      </w:r>
    </w:p>
    <w:p w14:paraId="4B7599F7" w14:textId="332E634C" w:rsidR="00EA5EAF" w:rsidRPr="00F117EB" w:rsidRDefault="00EA5EAF" w:rsidP="00F117EB">
      <w:pPr>
        <w:pStyle w:val="HeadingL1"/>
        <w:spacing w:after="260" w:line="280" w:lineRule="exact"/>
        <w:ind w:right="0"/>
        <w:jc w:val="both"/>
        <w:rPr>
          <w:rFonts w:ascii="Times New Roman" w:hAnsi="Times New Roman"/>
        </w:rPr>
      </w:pPr>
      <w:r w:rsidRPr="00F117EB">
        <w:rPr>
          <w:rFonts w:ascii="Times New Roman" w:hAnsi="Times New Roman"/>
        </w:rPr>
        <w:t xml:space="preserve">"Material" errors and the </w:t>
      </w:r>
      <w:r w:rsidR="003A517F" w:rsidRPr="00F117EB">
        <w:rPr>
          <w:rFonts w:ascii="Times New Roman" w:hAnsi="Times New Roman"/>
        </w:rPr>
        <w:t xml:space="preserve">exercise of the </w:t>
      </w:r>
      <w:r w:rsidRPr="00F117EB">
        <w:rPr>
          <w:rFonts w:ascii="Times New Roman" w:hAnsi="Times New Roman"/>
        </w:rPr>
        <w:t>sentencing discretion</w:t>
      </w:r>
    </w:p>
    <w:p w14:paraId="79A06D2C" w14:textId="47C40C58" w:rsidR="00EA5EAF" w:rsidRPr="00F117EB" w:rsidRDefault="00F30256"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It is necessary to first describe the statutory framework in which the appellant's complaint about the sentencing proceedings falls to be determined.</w:t>
      </w:r>
    </w:p>
    <w:p w14:paraId="1A892606" w14:textId="2EA7875C" w:rsidR="00EA5EAF" w:rsidRPr="00F117EB" w:rsidRDefault="00F30256"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The appellant's application to the Court of Criminal Appeal for leave to appeal his sentence was governed by s</w:t>
      </w:r>
      <w:r w:rsidRPr="00F117EB">
        <w:rPr>
          <w:rFonts w:ascii="Times New Roman" w:hAnsi="Times New Roman"/>
        </w:rPr>
        <w:t> </w:t>
      </w:r>
      <w:r w:rsidR="00EA5EAF" w:rsidRPr="00F117EB">
        <w:rPr>
          <w:rFonts w:ascii="Times New Roman" w:hAnsi="Times New Roman"/>
        </w:rPr>
        <w:t xml:space="preserve">6(3) of the </w:t>
      </w:r>
      <w:r w:rsidR="00EA5EAF" w:rsidRPr="00F117EB">
        <w:rPr>
          <w:rFonts w:ascii="Times New Roman" w:hAnsi="Times New Roman"/>
          <w:i/>
          <w:iCs/>
        </w:rPr>
        <w:t>Criminal Appeal Act</w:t>
      </w:r>
      <w:r w:rsidR="00EA5EAF" w:rsidRPr="00F117EB">
        <w:rPr>
          <w:rFonts w:ascii="Times New Roman" w:hAnsi="Times New Roman"/>
        </w:rPr>
        <w:t xml:space="preserve">. That </w:t>
      </w:r>
      <w:r w:rsidR="00EA5EAF" w:rsidRPr="00F117EB">
        <w:rPr>
          <w:rFonts w:ascii="Times New Roman" w:hAnsi="Times New Roman"/>
        </w:rPr>
        <w:lastRenderedPageBreak/>
        <w:t xml:space="preserve">provision requires the </w:t>
      </w:r>
      <w:r w:rsidR="00697059" w:rsidRPr="00F117EB">
        <w:rPr>
          <w:rFonts w:ascii="Times New Roman" w:hAnsi="Times New Roman"/>
        </w:rPr>
        <w:t>C</w:t>
      </w:r>
      <w:r w:rsidR="00EA5EAF" w:rsidRPr="00F117EB">
        <w:rPr>
          <w:rFonts w:ascii="Times New Roman" w:hAnsi="Times New Roman"/>
        </w:rPr>
        <w:t>ourt</w:t>
      </w:r>
      <w:r w:rsidR="00697059" w:rsidRPr="00F117EB">
        <w:rPr>
          <w:rFonts w:ascii="Times New Roman" w:hAnsi="Times New Roman"/>
        </w:rPr>
        <w:t xml:space="preserve"> of Criminal Appeal</w:t>
      </w:r>
      <w:r w:rsidR="00EA5EAF" w:rsidRPr="00F117EB">
        <w:rPr>
          <w:rFonts w:ascii="Times New Roman" w:hAnsi="Times New Roman"/>
        </w:rPr>
        <w:t xml:space="preserve">, </w:t>
      </w:r>
      <w:r w:rsidR="006C58FC" w:rsidRPr="00F117EB">
        <w:rPr>
          <w:rFonts w:ascii="Times New Roman" w:hAnsi="Times New Roman"/>
        </w:rPr>
        <w:t>"</w:t>
      </w:r>
      <w:r w:rsidR="00EA5EAF" w:rsidRPr="00F117EB">
        <w:rPr>
          <w:rFonts w:ascii="Times New Roman" w:hAnsi="Times New Roman"/>
        </w:rPr>
        <w:t xml:space="preserve">if it is of opinion that some other sentence, whether more or less severe is warranted in law and should have been passed, </w:t>
      </w:r>
      <w:r w:rsidR="00683658" w:rsidRPr="00F117EB">
        <w:rPr>
          <w:rFonts w:ascii="Times New Roman" w:hAnsi="Times New Roman"/>
        </w:rPr>
        <w:t xml:space="preserve">shall </w:t>
      </w:r>
      <w:r w:rsidR="00EA5EAF" w:rsidRPr="00F117EB">
        <w:rPr>
          <w:rFonts w:ascii="Times New Roman" w:hAnsi="Times New Roman"/>
        </w:rPr>
        <w:t xml:space="preserve">quash the sentence and pass such other sentence in substitution therefor, and in </w:t>
      </w:r>
      <w:r w:rsidR="00B50828" w:rsidRPr="00F117EB">
        <w:rPr>
          <w:rFonts w:ascii="Times New Roman" w:hAnsi="Times New Roman"/>
        </w:rPr>
        <w:t xml:space="preserve">any </w:t>
      </w:r>
      <w:r w:rsidR="00EA5EAF" w:rsidRPr="00F117EB">
        <w:rPr>
          <w:rFonts w:ascii="Times New Roman" w:hAnsi="Times New Roman"/>
        </w:rPr>
        <w:t xml:space="preserve">other case </w:t>
      </w:r>
      <w:r w:rsidR="00B50828" w:rsidRPr="00F117EB">
        <w:rPr>
          <w:rFonts w:ascii="Times New Roman" w:hAnsi="Times New Roman"/>
        </w:rPr>
        <w:t xml:space="preserve">shall </w:t>
      </w:r>
      <w:r w:rsidR="00EA5EAF" w:rsidRPr="00F117EB">
        <w:rPr>
          <w:rFonts w:ascii="Times New Roman" w:hAnsi="Times New Roman"/>
        </w:rPr>
        <w:t>dismiss the appeal</w:t>
      </w:r>
      <w:r w:rsidR="00811D73" w:rsidRPr="00F117EB">
        <w:rPr>
          <w:rFonts w:ascii="Times New Roman" w:hAnsi="Times New Roman"/>
        </w:rPr>
        <w:t>"</w:t>
      </w:r>
      <w:r w:rsidR="00EA5EAF" w:rsidRPr="00F117EB">
        <w:rPr>
          <w:rFonts w:ascii="Times New Roman" w:hAnsi="Times New Roman"/>
        </w:rPr>
        <w:t xml:space="preserve">. </w:t>
      </w:r>
    </w:p>
    <w:p w14:paraId="1A848388" w14:textId="1EBA090A" w:rsidR="00EA5EAF" w:rsidRPr="00F117EB" w:rsidRDefault="00A428FE"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Leaving aside any question of remitting sentenc</w:t>
      </w:r>
      <w:r w:rsidR="00762690" w:rsidRPr="00F117EB">
        <w:rPr>
          <w:rFonts w:ascii="Times New Roman" w:hAnsi="Times New Roman"/>
        </w:rPr>
        <w:t>ing</w:t>
      </w:r>
      <w:r w:rsidR="00EA5EAF" w:rsidRPr="00F117EB">
        <w:rPr>
          <w:rFonts w:ascii="Times New Roman" w:hAnsi="Times New Roman"/>
        </w:rPr>
        <w:t xml:space="preserve"> proceedings to the District Court, the function the Court of Criminal Appeal must perform under s</w:t>
      </w:r>
      <w:r w:rsidRPr="00F117EB">
        <w:rPr>
          <w:rFonts w:ascii="Times New Roman" w:hAnsi="Times New Roman"/>
        </w:rPr>
        <w:t> </w:t>
      </w:r>
      <w:r w:rsidR="00EA5EAF" w:rsidRPr="00F117EB">
        <w:rPr>
          <w:rFonts w:ascii="Times New Roman" w:hAnsi="Times New Roman"/>
        </w:rPr>
        <w:t>6(3) involves three steps</w:t>
      </w:r>
      <w:r w:rsidR="00BE188E" w:rsidRPr="00F117EB">
        <w:rPr>
          <w:rFonts w:ascii="Times New Roman" w:hAnsi="Times New Roman"/>
        </w:rPr>
        <w:t>.</w:t>
      </w:r>
      <w:r w:rsidR="00EA5EAF" w:rsidRPr="00F117EB">
        <w:rPr>
          <w:rFonts w:ascii="Times New Roman" w:hAnsi="Times New Roman"/>
        </w:rPr>
        <w:t xml:space="preserve"> The first step reflects </w:t>
      </w:r>
      <w:r w:rsidR="00EA5EAF" w:rsidRPr="00F117EB" w:rsidDel="00EB2221">
        <w:rPr>
          <w:rFonts w:ascii="Times New Roman" w:hAnsi="Times New Roman"/>
        </w:rPr>
        <w:t xml:space="preserve">the </w:t>
      </w:r>
      <w:r w:rsidR="00EA5EAF" w:rsidRPr="00F117EB">
        <w:rPr>
          <w:rFonts w:ascii="Times New Roman" w:hAnsi="Times New Roman"/>
        </w:rPr>
        <w:t>settled position</w:t>
      </w:r>
      <w:r w:rsidR="00EB2221" w:rsidRPr="00F117EB">
        <w:rPr>
          <w:rFonts w:ascii="Times New Roman" w:hAnsi="Times New Roman"/>
        </w:rPr>
        <w:t xml:space="preserve"> </w:t>
      </w:r>
      <w:r w:rsidR="00EA5EAF" w:rsidRPr="00F117EB">
        <w:rPr>
          <w:rFonts w:ascii="Times New Roman" w:hAnsi="Times New Roman"/>
        </w:rPr>
        <w:t>that the Court's authority to intervene is dependent upon the demonstration of error.</w:t>
      </w:r>
      <w:r w:rsidR="003A6871" w:rsidRPr="00F117EB">
        <w:rPr>
          <w:rStyle w:val="FootnoteReference"/>
          <w:rFonts w:ascii="Times New Roman" w:hAnsi="Times New Roman"/>
          <w:sz w:val="24"/>
        </w:rPr>
        <w:footnoteReference w:id="25"/>
      </w:r>
      <w:r w:rsidR="00EA5EAF" w:rsidRPr="00F117EB">
        <w:rPr>
          <w:rFonts w:ascii="Times New Roman" w:hAnsi="Times New Roman"/>
        </w:rPr>
        <w:t xml:space="preserve"> The second step is that, upon such error being demonstrated, the </w:t>
      </w:r>
      <w:r w:rsidR="00184A76" w:rsidRPr="00F117EB">
        <w:rPr>
          <w:rFonts w:ascii="Times New Roman" w:hAnsi="Times New Roman"/>
        </w:rPr>
        <w:t xml:space="preserve">Court </w:t>
      </w:r>
      <w:r w:rsidR="00EA5EAF" w:rsidRPr="00F117EB">
        <w:rPr>
          <w:rFonts w:ascii="Times New Roman" w:hAnsi="Times New Roman"/>
        </w:rPr>
        <w:t>must undertake its own independent exercise of the sentencing discretion</w:t>
      </w:r>
      <w:r w:rsidR="00532C88" w:rsidRPr="00F117EB">
        <w:rPr>
          <w:rStyle w:val="FootnoteReference"/>
          <w:rFonts w:ascii="Times New Roman" w:hAnsi="Times New Roman"/>
          <w:sz w:val="24"/>
        </w:rPr>
        <w:footnoteReference w:id="26"/>
      </w:r>
      <w:r w:rsidR="00EA5EAF" w:rsidRPr="00F117EB">
        <w:rPr>
          <w:rFonts w:ascii="Times New Roman" w:hAnsi="Times New Roman"/>
        </w:rPr>
        <w:t xml:space="preserve"> and in doing so form a conclusion as to whether a lesser, the same</w:t>
      </w:r>
      <w:r w:rsidR="00A00DEB" w:rsidRPr="00F117EB">
        <w:rPr>
          <w:rFonts w:ascii="Times New Roman" w:hAnsi="Times New Roman"/>
        </w:rPr>
        <w:t>,</w:t>
      </w:r>
      <w:r w:rsidR="00EA5EAF" w:rsidRPr="00F117EB">
        <w:rPr>
          <w:rFonts w:ascii="Times New Roman" w:hAnsi="Times New Roman"/>
        </w:rPr>
        <w:t xml:space="preserve"> or a greater sentence is warranted in law.</w:t>
      </w:r>
      <w:r w:rsidR="00447387" w:rsidRPr="00F117EB">
        <w:rPr>
          <w:rStyle w:val="FootnoteReference"/>
          <w:rFonts w:ascii="Times New Roman" w:hAnsi="Times New Roman"/>
          <w:sz w:val="24"/>
        </w:rPr>
        <w:footnoteReference w:id="27"/>
      </w:r>
      <w:r w:rsidR="00EA5EAF" w:rsidRPr="00F117EB">
        <w:rPr>
          <w:rFonts w:ascii="Times New Roman" w:hAnsi="Times New Roman"/>
        </w:rPr>
        <w:t xml:space="preserve"> The third step involves the Court either substituting a different sentence or dismissing the appeal.</w:t>
      </w:r>
      <w:r w:rsidR="00376423" w:rsidRPr="00F117EB">
        <w:rPr>
          <w:rStyle w:val="FootnoteReference"/>
          <w:rFonts w:ascii="Times New Roman" w:hAnsi="Times New Roman"/>
          <w:sz w:val="24"/>
        </w:rPr>
        <w:footnoteReference w:id="28"/>
      </w:r>
      <w:r w:rsidR="00EA5EAF" w:rsidRPr="00F117EB">
        <w:rPr>
          <w:rFonts w:ascii="Times New Roman" w:hAnsi="Times New Roman"/>
        </w:rPr>
        <w:t xml:space="preserve"> </w:t>
      </w:r>
    </w:p>
    <w:p w14:paraId="68B6B997" w14:textId="78EDAF0F" w:rsidR="00EA5EAF" w:rsidRPr="00F117EB" w:rsidRDefault="00376423"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So far as the first step and materiality is concerned, in </w:t>
      </w:r>
      <w:proofErr w:type="spellStart"/>
      <w:r w:rsidR="00EA5EAF" w:rsidRPr="00F117EB">
        <w:rPr>
          <w:rFonts w:ascii="Times New Roman" w:hAnsi="Times New Roman"/>
          <w:i/>
          <w:iCs/>
        </w:rPr>
        <w:t>Kentwell</w:t>
      </w:r>
      <w:proofErr w:type="spellEnd"/>
      <w:r w:rsidR="00EA5EAF" w:rsidRPr="00F117EB">
        <w:rPr>
          <w:rFonts w:ascii="Times New Roman" w:hAnsi="Times New Roman"/>
        </w:rPr>
        <w:t xml:space="preserve"> </w:t>
      </w:r>
      <w:r w:rsidR="00DE122D" w:rsidRPr="00F117EB">
        <w:rPr>
          <w:rFonts w:ascii="Times New Roman" w:hAnsi="Times New Roman"/>
          <w:i/>
          <w:iCs/>
        </w:rPr>
        <w:t xml:space="preserve">v The Queen </w:t>
      </w:r>
      <w:r w:rsidR="00EA5EAF" w:rsidRPr="00F117EB">
        <w:rPr>
          <w:rFonts w:ascii="Times New Roman" w:hAnsi="Times New Roman"/>
        </w:rPr>
        <w:t xml:space="preserve">a majority of this </w:t>
      </w:r>
      <w:r w:rsidR="00E152FD" w:rsidRPr="00F117EB">
        <w:rPr>
          <w:rFonts w:ascii="Times New Roman" w:hAnsi="Times New Roman"/>
        </w:rPr>
        <w:t xml:space="preserve">Court </w:t>
      </w:r>
      <w:r w:rsidR="00EA5EAF" w:rsidRPr="00F117EB">
        <w:rPr>
          <w:rFonts w:ascii="Times New Roman" w:hAnsi="Times New Roman"/>
        </w:rPr>
        <w:t xml:space="preserve">referred to and approved the distinction between </w:t>
      </w:r>
      <w:r w:rsidR="0057560E" w:rsidRPr="00F117EB">
        <w:rPr>
          <w:rFonts w:ascii="Times New Roman" w:hAnsi="Times New Roman"/>
        </w:rPr>
        <w:t xml:space="preserve">a </w:t>
      </w:r>
      <w:r w:rsidR="00EA5EAF" w:rsidRPr="00F117EB">
        <w:rPr>
          <w:rFonts w:ascii="Times New Roman" w:hAnsi="Times New Roman"/>
        </w:rPr>
        <w:t xml:space="preserve">"specific error" of the kind </w:t>
      </w:r>
      <w:r w:rsidR="00FE1913" w:rsidRPr="00F117EB">
        <w:rPr>
          <w:rFonts w:ascii="Times New Roman" w:hAnsi="Times New Roman"/>
        </w:rPr>
        <w:t>described</w:t>
      </w:r>
      <w:r w:rsidR="00EA5EAF" w:rsidRPr="00F117EB">
        <w:rPr>
          <w:rFonts w:ascii="Times New Roman" w:hAnsi="Times New Roman"/>
        </w:rPr>
        <w:t xml:space="preserve"> in </w:t>
      </w:r>
      <w:r w:rsidR="00EA5EAF" w:rsidRPr="00F117EB">
        <w:rPr>
          <w:rFonts w:ascii="Times New Roman" w:hAnsi="Times New Roman"/>
          <w:i/>
          <w:iCs/>
        </w:rPr>
        <w:t>House</w:t>
      </w:r>
      <w:r w:rsidR="006C21D4" w:rsidRPr="00F117EB">
        <w:rPr>
          <w:rFonts w:ascii="Times New Roman" w:hAnsi="Times New Roman"/>
          <w:i/>
          <w:iCs/>
        </w:rPr>
        <w:t> </w:t>
      </w:r>
      <w:r w:rsidR="00EA5EAF" w:rsidRPr="00F117EB">
        <w:rPr>
          <w:rFonts w:ascii="Times New Roman" w:hAnsi="Times New Roman"/>
          <w:i/>
          <w:iCs/>
        </w:rPr>
        <w:t>v</w:t>
      </w:r>
      <w:r w:rsidR="006C21D4" w:rsidRPr="00F117EB">
        <w:rPr>
          <w:rFonts w:ascii="Times New Roman" w:hAnsi="Times New Roman"/>
          <w:i/>
          <w:iCs/>
        </w:rPr>
        <w:t> The King</w:t>
      </w:r>
      <w:r w:rsidR="003169E0" w:rsidRPr="00F117EB">
        <w:rPr>
          <w:rStyle w:val="FootnoteReference"/>
          <w:rFonts w:ascii="Times New Roman" w:hAnsi="Times New Roman"/>
          <w:sz w:val="24"/>
        </w:rPr>
        <w:footnoteReference w:id="29"/>
      </w:r>
      <w:r w:rsidR="00EA5EAF" w:rsidRPr="00F117EB">
        <w:rPr>
          <w:rFonts w:ascii="Times New Roman" w:hAnsi="Times New Roman"/>
        </w:rPr>
        <w:t xml:space="preserve"> and a conclusion of manifest excess</w:t>
      </w:r>
      <w:r w:rsidR="007412B4" w:rsidRPr="00F117EB">
        <w:rPr>
          <w:rFonts w:ascii="Times New Roman" w:hAnsi="Times New Roman"/>
        </w:rPr>
        <w:t xml:space="preserve"> </w:t>
      </w:r>
      <w:r w:rsidR="00A1118A" w:rsidRPr="00F117EB">
        <w:rPr>
          <w:rFonts w:ascii="Times New Roman" w:hAnsi="Times New Roman"/>
        </w:rPr>
        <w:t>(or manifest inadequa</w:t>
      </w:r>
      <w:r w:rsidR="00BE188E" w:rsidRPr="00F117EB">
        <w:rPr>
          <w:rFonts w:ascii="Times New Roman" w:hAnsi="Times New Roman"/>
        </w:rPr>
        <w:t>cy</w:t>
      </w:r>
      <w:r w:rsidR="00A1118A" w:rsidRPr="00F117EB">
        <w:rPr>
          <w:rFonts w:ascii="Times New Roman" w:hAnsi="Times New Roman"/>
        </w:rPr>
        <w:t xml:space="preserve"> in the case of a Crown appeal)</w:t>
      </w:r>
      <w:r w:rsidR="00EA5EAF" w:rsidRPr="00F117EB">
        <w:rPr>
          <w:rFonts w:ascii="Times New Roman" w:hAnsi="Times New Roman"/>
        </w:rPr>
        <w:t>.</w:t>
      </w:r>
      <w:r w:rsidR="00271B82" w:rsidRPr="00F117EB">
        <w:rPr>
          <w:rStyle w:val="FootnoteReference"/>
          <w:rFonts w:ascii="Times New Roman" w:hAnsi="Times New Roman"/>
          <w:sz w:val="24"/>
        </w:rPr>
        <w:footnoteReference w:id="30"/>
      </w:r>
      <w:r w:rsidR="00EA5EAF" w:rsidRPr="00F117EB">
        <w:rPr>
          <w:rFonts w:ascii="Times New Roman" w:hAnsi="Times New Roman"/>
        </w:rPr>
        <w:t xml:space="preserve"> Where a </w:t>
      </w:r>
      <w:r w:rsidR="00271B82" w:rsidRPr="00F117EB">
        <w:rPr>
          <w:rFonts w:ascii="Times New Roman" w:hAnsi="Times New Roman"/>
        </w:rPr>
        <w:t>c</w:t>
      </w:r>
      <w:r w:rsidR="00EA5EAF" w:rsidRPr="00F117EB">
        <w:rPr>
          <w:rFonts w:ascii="Times New Roman" w:hAnsi="Times New Roman"/>
        </w:rPr>
        <w:t xml:space="preserve">ourt concludes that, even though no specific error is disclosed by the reasons of the sentencing judge, the sentence imposed </w:t>
      </w:r>
      <w:r w:rsidR="002132E4" w:rsidRPr="00F117EB">
        <w:rPr>
          <w:rFonts w:ascii="Times New Roman" w:hAnsi="Times New Roman"/>
        </w:rPr>
        <w:t xml:space="preserve">is </w:t>
      </w:r>
      <w:r w:rsidR="00EA5EAF" w:rsidRPr="00F117EB">
        <w:rPr>
          <w:rFonts w:ascii="Times New Roman" w:hAnsi="Times New Roman"/>
        </w:rPr>
        <w:t xml:space="preserve">manifestly excessive no separate question of materiality need be addressed. The task of the </w:t>
      </w:r>
      <w:r w:rsidR="00271B82" w:rsidRPr="00F117EB">
        <w:rPr>
          <w:rFonts w:ascii="Times New Roman" w:hAnsi="Times New Roman"/>
        </w:rPr>
        <w:t>c</w:t>
      </w:r>
      <w:r w:rsidR="00EA5EAF" w:rsidRPr="00F117EB">
        <w:rPr>
          <w:rFonts w:ascii="Times New Roman" w:hAnsi="Times New Roman"/>
        </w:rPr>
        <w:t xml:space="preserve">ourt in those circumstances will be to determine in the exercise of its own discretion what sentence should be imposed and then </w:t>
      </w:r>
      <w:r w:rsidR="00241A21" w:rsidRPr="00F117EB">
        <w:rPr>
          <w:rFonts w:ascii="Times New Roman" w:hAnsi="Times New Roman"/>
        </w:rPr>
        <w:t xml:space="preserve">to </w:t>
      </w:r>
      <w:r w:rsidR="00EA5EAF" w:rsidRPr="00F117EB">
        <w:rPr>
          <w:rFonts w:ascii="Times New Roman" w:hAnsi="Times New Roman"/>
        </w:rPr>
        <w:t>impose it.</w:t>
      </w:r>
      <w:r w:rsidR="00271B82" w:rsidRPr="00F117EB">
        <w:rPr>
          <w:rStyle w:val="FootnoteReference"/>
          <w:rFonts w:ascii="Times New Roman" w:hAnsi="Times New Roman"/>
          <w:sz w:val="24"/>
        </w:rPr>
        <w:footnoteReference w:id="31"/>
      </w:r>
      <w:r w:rsidR="00EA5EAF" w:rsidRPr="00F117EB">
        <w:rPr>
          <w:rFonts w:ascii="Times New Roman" w:hAnsi="Times New Roman"/>
        </w:rPr>
        <w:t xml:space="preserve"> </w:t>
      </w:r>
    </w:p>
    <w:p w14:paraId="0CF30DFA" w14:textId="7B6530A0" w:rsidR="003D008F" w:rsidRPr="00F117EB" w:rsidRDefault="00C8353B" w:rsidP="00F117EB">
      <w:pPr>
        <w:pStyle w:val="FixListStyle"/>
        <w:spacing w:after="260" w:line="280" w:lineRule="exact"/>
        <w:ind w:right="0"/>
        <w:jc w:val="both"/>
        <w:rPr>
          <w:rFonts w:ascii="Times New Roman" w:hAnsi="Times New Roman"/>
        </w:rPr>
      </w:pPr>
      <w:r w:rsidRPr="00F117EB">
        <w:rPr>
          <w:rFonts w:ascii="Times New Roman" w:hAnsi="Times New Roman"/>
        </w:rPr>
        <w:lastRenderedPageBreak/>
        <w:tab/>
      </w:r>
      <w:r w:rsidR="00BE188E" w:rsidRPr="00F117EB">
        <w:rPr>
          <w:rFonts w:ascii="Times New Roman" w:hAnsi="Times New Roman"/>
        </w:rPr>
        <w:t>With specific errors, t</w:t>
      </w:r>
      <w:r w:rsidR="00B836FF" w:rsidRPr="00F117EB">
        <w:rPr>
          <w:rFonts w:ascii="Times New Roman" w:hAnsi="Times New Roman"/>
        </w:rPr>
        <w:t>he</w:t>
      </w:r>
      <w:r w:rsidR="00FA39F3" w:rsidRPr="00F117EB">
        <w:rPr>
          <w:rFonts w:ascii="Times New Roman" w:hAnsi="Times New Roman"/>
        </w:rPr>
        <w:t xml:space="preserve"> NSW</w:t>
      </w:r>
      <w:r w:rsidR="00C27A46" w:rsidRPr="00F117EB">
        <w:rPr>
          <w:rFonts w:ascii="Times New Roman" w:hAnsi="Times New Roman"/>
        </w:rPr>
        <w:t xml:space="preserve"> </w:t>
      </w:r>
      <w:r w:rsidR="00FA39F3" w:rsidRPr="00F117EB">
        <w:rPr>
          <w:rFonts w:ascii="Times New Roman" w:hAnsi="Times New Roman"/>
        </w:rPr>
        <w:t>DPP contended that</w:t>
      </w:r>
      <w:r w:rsidR="00A62F8E" w:rsidRPr="00F117EB">
        <w:rPr>
          <w:rFonts w:ascii="Times New Roman" w:hAnsi="Times New Roman"/>
        </w:rPr>
        <w:t xml:space="preserve">, in endorsing the judgment of Spigelman CJ in </w:t>
      </w:r>
      <w:r w:rsidR="00CD069C" w:rsidRPr="00F117EB">
        <w:rPr>
          <w:rFonts w:ascii="Times New Roman" w:hAnsi="Times New Roman"/>
          <w:i/>
          <w:iCs/>
        </w:rPr>
        <w:t>Baxter</w:t>
      </w:r>
      <w:r w:rsidR="006D2048" w:rsidRPr="00F117EB">
        <w:rPr>
          <w:rFonts w:ascii="Times New Roman" w:hAnsi="Times New Roman"/>
          <w:i/>
          <w:iCs/>
        </w:rPr>
        <w:t> </w:t>
      </w:r>
      <w:r w:rsidR="00CD069C" w:rsidRPr="00F117EB">
        <w:rPr>
          <w:rFonts w:ascii="Times New Roman" w:hAnsi="Times New Roman"/>
          <w:i/>
          <w:iCs/>
        </w:rPr>
        <w:t>v</w:t>
      </w:r>
      <w:r w:rsidR="006D2048" w:rsidRPr="00F117EB">
        <w:rPr>
          <w:rFonts w:ascii="Times New Roman" w:hAnsi="Times New Roman"/>
          <w:i/>
          <w:iCs/>
        </w:rPr>
        <w:t> </w:t>
      </w:r>
      <w:r w:rsidR="00CD069C" w:rsidRPr="00F117EB">
        <w:rPr>
          <w:rFonts w:ascii="Times New Roman" w:hAnsi="Times New Roman"/>
          <w:i/>
          <w:iCs/>
        </w:rPr>
        <w:t>The</w:t>
      </w:r>
      <w:r w:rsidR="004A37C7" w:rsidRPr="00F117EB">
        <w:rPr>
          <w:rFonts w:ascii="Times New Roman" w:hAnsi="Times New Roman"/>
          <w:i/>
          <w:iCs/>
        </w:rPr>
        <w:t> </w:t>
      </w:r>
      <w:r w:rsidR="00CD069C" w:rsidRPr="00F117EB">
        <w:rPr>
          <w:rFonts w:ascii="Times New Roman" w:hAnsi="Times New Roman"/>
          <w:i/>
          <w:iCs/>
        </w:rPr>
        <w:t>Queen</w:t>
      </w:r>
      <w:r w:rsidR="00DD00C6" w:rsidRPr="00F117EB">
        <w:rPr>
          <w:rFonts w:ascii="Times New Roman" w:hAnsi="Times New Roman"/>
        </w:rPr>
        <w:t>,</w:t>
      </w:r>
      <w:r w:rsidR="00CD069C" w:rsidRPr="00F117EB">
        <w:rPr>
          <w:rStyle w:val="FootnoteReference"/>
          <w:rFonts w:ascii="Times New Roman" w:hAnsi="Times New Roman"/>
          <w:sz w:val="24"/>
        </w:rPr>
        <w:footnoteReference w:id="32"/>
      </w:r>
      <w:r w:rsidR="00CD069C" w:rsidRPr="00F117EB">
        <w:rPr>
          <w:rFonts w:ascii="Times New Roman" w:hAnsi="Times New Roman"/>
        </w:rPr>
        <w:t xml:space="preserve"> </w:t>
      </w:r>
      <w:r w:rsidR="00504E93" w:rsidRPr="00F117EB">
        <w:rPr>
          <w:rFonts w:ascii="Times New Roman" w:hAnsi="Times New Roman"/>
        </w:rPr>
        <w:t xml:space="preserve">the plurality in </w:t>
      </w:r>
      <w:proofErr w:type="spellStart"/>
      <w:r w:rsidR="00B836FF" w:rsidRPr="00F117EB">
        <w:rPr>
          <w:rFonts w:ascii="Times New Roman" w:hAnsi="Times New Roman"/>
          <w:i/>
          <w:iCs/>
        </w:rPr>
        <w:t>Kentwell</w:t>
      </w:r>
      <w:proofErr w:type="spellEnd"/>
      <w:r w:rsidR="00B836FF" w:rsidRPr="00F117EB">
        <w:rPr>
          <w:rFonts w:ascii="Times New Roman" w:hAnsi="Times New Roman"/>
          <w:i/>
          <w:iCs/>
        </w:rPr>
        <w:t xml:space="preserve"> </w:t>
      </w:r>
      <w:r w:rsidR="00B836FF" w:rsidRPr="00F117EB">
        <w:rPr>
          <w:rFonts w:ascii="Times New Roman" w:hAnsi="Times New Roman"/>
        </w:rPr>
        <w:t>rejected any materiality threshold for a spe</w:t>
      </w:r>
      <w:r w:rsidR="00CD069C" w:rsidRPr="00F117EB">
        <w:rPr>
          <w:rFonts w:ascii="Times New Roman" w:hAnsi="Times New Roman"/>
        </w:rPr>
        <w:t>c</w:t>
      </w:r>
      <w:r w:rsidR="00B836FF" w:rsidRPr="00F117EB">
        <w:rPr>
          <w:rFonts w:ascii="Times New Roman" w:hAnsi="Times New Roman"/>
        </w:rPr>
        <w:t>ific error to engage the obligation of the Court of Criminal Appeal to re-exercise the sentenci</w:t>
      </w:r>
      <w:r w:rsidR="0072169B" w:rsidRPr="00F117EB">
        <w:rPr>
          <w:rFonts w:ascii="Times New Roman" w:hAnsi="Times New Roman"/>
        </w:rPr>
        <w:t xml:space="preserve">ng discretion. </w:t>
      </w:r>
      <w:r w:rsidR="0072169B" w:rsidRPr="00F117EB">
        <w:rPr>
          <w:rFonts w:ascii="Times New Roman" w:hAnsi="Times New Roman"/>
          <w:b/>
          <w:bCs/>
        </w:rPr>
        <w:t xml:space="preserve"> </w:t>
      </w:r>
    </w:p>
    <w:p w14:paraId="332AE795" w14:textId="7F63B138" w:rsidR="00376A7C" w:rsidRPr="00F117EB" w:rsidRDefault="007C5ED4"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3D008F" w:rsidRPr="00F117EB">
        <w:rPr>
          <w:rFonts w:ascii="Times New Roman" w:hAnsi="Times New Roman"/>
        </w:rPr>
        <w:t xml:space="preserve">This submission misconstrues </w:t>
      </w:r>
      <w:r w:rsidR="003D008F" w:rsidRPr="00F117EB">
        <w:rPr>
          <w:rFonts w:ascii="Times New Roman" w:hAnsi="Times New Roman"/>
          <w:i/>
          <w:iCs/>
        </w:rPr>
        <w:t xml:space="preserve">Baxter </w:t>
      </w:r>
      <w:r w:rsidR="003D008F" w:rsidRPr="00F117EB">
        <w:rPr>
          <w:rFonts w:ascii="Times New Roman" w:hAnsi="Times New Roman"/>
        </w:rPr>
        <w:t xml:space="preserve">and </w:t>
      </w:r>
      <w:proofErr w:type="spellStart"/>
      <w:r w:rsidR="003D008F" w:rsidRPr="00F117EB">
        <w:rPr>
          <w:rFonts w:ascii="Times New Roman" w:hAnsi="Times New Roman"/>
          <w:i/>
          <w:iCs/>
        </w:rPr>
        <w:t>Kentwell</w:t>
      </w:r>
      <w:proofErr w:type="spellEnd"/>
      <w:r w:rsidR="003D008F" w:rsidRPr="00F117EB">
        <w:rPr>
          <w:rFonts w:ascii="Times New Roman" w:hAnsi="Times New Roman"/>
        </w:rPr>
        <w:t>.</w:t>
      </w:r>
      <w:r w:rsidR="003D008F" w:rsidRPr="00F117EB">
        <w:rPr>
          <w:rFonts w:ascii="Times New Roman" w:hAnsi="Times New Roman"/>
          <w:b/>
          <w:bCs/>
        </w:rPr>
        <w:t xml:space="preserve"> </w:t>
      </w:r>
      <w:r w:rsidR="00544103" w:rsidRPr="00F117EB">
        <w:rPr>
          <w:rFonts w:ascii="Times New Roman" w:hAnsi="Times New Roman"/>
        </w:rPr>
        <w:t xml:space="preserve">In </w:t>
      </w:r>
      <w:r w:rsidR="00544103" w:rsidRPr="00F117EB">
        <w:rPr>
          <w:rFonts w:ascii="Times New Roman" w:hAnsi="Times New Roman"/>
          <w:i/>
          <w:iCs/>
        </w:rPr>
        <w:t>Baxter</w:t>
      </w:r>
      <w:r w:rsidR="00544103" w:rsidRPr="00F117EB">
        <w:rPr>
          <w:rFonts w:ascii="Times New Roman" w:hAnsi="Times New Roman"/>
        </w:rPr>
        <w:t>, Spigelman</w:t>
      </w:r>
      <w:r w:rsidR="002379E0" w:rsidRPr="00F117EB">
        <w:rPr>
          <w:rFonts w:ascii="Times New Roman" w:hAnsi="Times New Roman"/>
          <w:i/>
          <w:iCs/>
        </w:rPr>
        <w:t> </w:t>
      </w:r>
      <w:r w:rsidR="00544103" w:rsidRPr="00F117EB">
        <w:rPr>
          <w:rFonts w:ascii="Times New Roman" w:hAnsi="Times New Roman"/>
        </w:rPr>
        <w:t>CJ relevantly agreed with Kirby J</w:t>
      </w:r>
      <w:r w:rsidR="00135E92" w:rsidRPr="00F117EB">
        <w:rPr>
          <w:rFonts w:ascii="Times New Roman" w:hAnsi="Times New Roman"/>
        </w:rPr>
        <w:t>,</w:t>
      </w:r>
      <w:r w:rsidR="00F51A2B" w:rsidRPr="00F117EB">
        <w:rPr>
          <w:rStyle w:val="FootnoteReference"/>
          <w:rFonts w:ascii="Times New Roman" w:hAnsi="Times New Roman"/>
          <w:sz w:val="24"/>
        </w:rPr>
        <w:footnoteReference w:id="33"/>
      </w:r>
      <w:r w:rsidR="003B7715" w:rsidRPr="00F117EB">
        <w:rPr>
          <w:rFonts w:ascii="Times New Roman" w:hAnsi="Times New Roman"/>
        </w:rPr>
        <w:t xml:space="preserve"> who accepted that an error had to be </w:t>
      </w:r>
      <w:r w:rsidR="001262F0" w:rsidRPr="00F117EB">
        <w:rPr>
          <w:rFonts w:ascii="Times New Roman" w:hAnsi="Times New Roman"/>
        </w:rPr>
        <w:t>"material"</w:t>
      </w:r>
      <w:r w:rsidR="001262F0" w:rsidRPr="00F117EB">
        <w:rPr>
          <w:rStyle w:val="FootnoteReference"/>
          <w:rFonts w:ascii="Times New Roman" w:hAnsi="Times New Roman"/>
          <w:sz w:val="24"/>
        </w:rPr>
        <w:footnoteReference w:id="34"/>
      </w:r>
      <w:r w:rsidR="00F51A2B" w:rsidRPr="00F117EB">
        <w:rPr>
          <w:rFonts w:ascii="Times New Roman" w:hAnsi="Times New Roman"/>
        </w:rPr>
        <w:t xml:space="preserve"> </w:t>
      </w:r>
      <w:r w:rsidR="00D17711" w:rsidRPr="00F117EB">
        <w:rPr>
          <w:rFonts w:ascii="Times New Roman" w:hAnsi="Times New Roman"/>
        </w:rPr>
        <w:t>but did not accept that</w:t>
      </w:r>
      <w:r w:rsidR="00D3120F" w:rsidRPr="00F117EB">
        <w:rPr>
          <w:rFonts w:ascii="Times New Roman" w:hAnsi="Times New Roman"/>
        </w:rPr>
        <w:t>, for an error to be material,</w:t>
      </w:r>
      <w:r w:rsidR="00AE7714" w:rsidRPr="00F117EB">
        <w:rPr>
          <w:rFonts w:ascii="Times New Roman" w:hAnsi="Times New Roman"/>
        </w:rPr>
        <w:t xml:space="preserve"> </w:t>
      </w:r>
      <w:r w:rsidR="00D17711" w:rsidRPr="00F117EB">
        <w:rPr>
          <w:rFonts w:ascii="Times New Roman" w:hAnsi="Times New Roman"/>
        </w:rPr>
        <w:t xml:space="preserve">an offender </w:t>
      </w:r>
      <w:r w:rsidR="004B2C7C" w:rsidRPr="00F117EB">
        <w:rPr>
          <w:rFonts w:ascii="Times New Roman" w:hAnsi="Times New Roman"/>
        </w:rPr>
        <w:t>had to establish that the sentence was manifestly excessive</w:t>
      </w:r>
      <w:r w:rsidR="007D5973" w:rsidRPr="00F117EB">
        <w:rPr>
          <w:rFonts w:ascii="Times New Roman" w:hAnsi="Times New Roman"/>
        </w:rPr>
        <w:t xml:space="preserve">. </w:t>
      </w:r>
      <w:proofErr w:type="gramStart"/>
      <w:r w:rsidR="007D5973" w:rsidRPr="00F117EB">
        <w:rPr>
          <w:rFonts w:ascii="Times New Roman" w:hAnsi="Times New Roman"/>
        </w:rPr>
        <w:t>Instead</w:t>
      </w:r>
      <w:proofErr w:type="gramEnd"/>
      <w:r w:rsidR="007D5973" w:rsidRPr="00F117EB">
        <w:rPr>
          <w:rFonts w:ascii="Times New Roman" w:hAnsi="Times New Roman"/>
        </w:rPr>
        <w:t xml:space="preserve"> Kirby J </w:t>
      </w:r>
      <w:r w:rsidR="00742360" w:rsidRPr="00F117EB">
        <w:rPr>
          <w:rFonts w:ascii="Times New Roman" w:hAnsi="Times New Roman"/>
        </w:rPr>
        <w:t>concluded that</w:t>
      </w:r>
      <w:r w:rsidR="00084A54" w:rsidRPr="00F117EB">
        <w:rPr>
          <w:rFonts w:ascii="Times New Roman" w:hAnsi="Times New Roman"/>
        </w:rPr>
        <w:t xml:space="preserve"> </w:t>
      </w:r>
      <w:r w:rsidR="007C04CF" w:rsidRPr="00F117EB">
        <w:rPr>
          <w:rFonts w:ascii="Times New Roman" w:hAnsi="Times New Roman"/>
        </w:rPr>
        <w:t>a material error arises where</w:t>
      </w:r>
      <w:r w:rsidR="00084A54" w:rsidRPr="00F117EB">
        <w:rPr>
          <w:rFonts w:ascii="Times New Roman" w:hAnsi="Times New Roman"/>
        </w:rPr>
        <w:t xml:space="preserve"> </w:t>
      </w:r>
      <w:r w:rsidR="008D1F1A" w:rsidRPr="00F117EB">
        <w:rPr>
          <w:rFonts w:ascii="Times New Roman" w:hAnsi="Times New Roman"/>
        </w:rPr>
        <w:t>an</w:t>
      </w:r>
      <w:r w:rsidR="004675D2" w:rsidRPr="00F117EB">
        <w:rPr>
          <w:rFonts w:ascii="Times New Roman" w:hAnsi="Times New Roman"/>
        </w:rPr>
        <w:t xml:space="preserve"> error</w:t>
      </w:r>
      <w:r w:rsidR="00084A54" w:rsidRPr="00F117EB">
        <w:rPr>
          <w:rFonts w:ascii="Times New Roman" w:hAnsi="Times New Roman"/>
        </w:rPr>
        <w:t xml:space="preserve"> </w:t>
      </w:r>
      <w:r w:rsidR="004675D2" w:rsidRPr="00F117EB">
        <w:rPr>
          <w:rFonts w:ascii="Times New Roman" w:hAnsi="Times New Roman"/>
        </w:rPr>
        <w:t>"</w:t>
      </w:r>
      <w:r w:rsidR="00084A54" w:rsidRPr="00F117EB">
        <w:rPr>
          <w:rFonts w:ascii="Times New Roman" w:hAnsi="Times New Roman"/>
        </w:rPr>
        <w:t>may ... have infected the reasoning of the sentencing judge"</w:t>
      </w:r>
      <w:r w:rsidR="00E52F6B" w:rsidRPr="00F117EB">
        <w:rPr>
          <w:rFonts w:ascii="Times New Roman" w:hAnsi="Times New Roman"/>
        </w:rPr>
        <w:t>.</w:t>
      </w:r>
      <w:r w:rsidR="00DC3526" w:rsidRPr="00F117EB">
        <w:rPr>
          <w:rStyle w:val="FootnoteReference"/>
          <w:rFonts w:ascii="Times New Roman" w:hAnsi="Times New Roman"/>
          <w:sz w:val="24"/>
        </w:rPr>
        <w:footnoteReference w:id="35"/>
      </w:r>
      <w:r w:rsidR="004B2C7C" w:rsidRPr="00F117EB">
        <w:rPr>
          <w:rFonts w:ascii="Times New Roman" w:hAnsi="Times New Roman"/>
          <w:b/>
          <w:bCs/>
        </w:rPr>
        <w:t xml:space="preserve"> </w:t>
      </w:r>
      <w:r w:rsidR="00EA5EAF" w:rsidRPr="00F117EB">
        <w:rPr>
          <w:rFonts w:ascii="Times New Roman" w:hAnsi="Times New Roman"/>
        </w:rPr>
        <w:t>In the case of specific error</w:t>
      </w:r>
      <w:r w:rsidR="00EC6D8E" w:rsidRPr="00F117EB">
        <w:rPr>
          <w:rFonts w:ascii="Times New Roman" w:hAnsi="Times New Roman"/>
        </w:rPr>
        <w:t>s</w:t>
      </w:r>
      <w:r w:rsidR="00EA5EAF" w:rsidRPr="00F117EB">
        <w:rPr>
          <w:rFonts w:ascii="Times New Roman" w:hAnsi="Times New Roman"/>
        </w:rPr>
        <w:t xml:space="preserve"> of the kind described in </w:t>
      </w:r>
      <w:r w:rsidR="00EA5EAF" w:rsidRPr="00F117EB">
        <w:rPr>
          <w:rFonts w:ascii="Times New Roman" w:hAnsi="Times New Roman"/>
          <w:i/>
          <w:iCs/>
        </w:rPr>
        <w:t>House</w:t>
      </w:r>
      <w:r w:rsidR="00364BD4" w:rsidRPr="00F117EB">
        <w:rPr>
          <w:rFonts w:ascii="Times New Roman" w:hAnsi="Times New Roman"/>
          <w:i/>
          <w:iCs/>
        </w:rPr>
        <w:t> </w:t>
      </w:r>
      <w:r w:rsidR="00EA5EAF" w:rsidRPr="00F117EB">
        <w:rPr>
          <w:rFonts w:ascii="Times New Roman" w:hAnsi="Times New Roman"/>
          <w:i/>
          <w:iCs/>
        </w:rPr>
        <w:t>v</w:t>
      </w:r>
      <w:r w:rsidR="00364BD4" w:rsidRPr="00F117EB">
        <w:rPr>
          <w:rFonts w:ascii="Times New Roman" w:hAnsi="Times New Roman"/>
          <w:i/>
          <w:iCs/>
        </w:rPr>
        <w:t> </w:t>
      </w:r>
      <w:r w:rsidR="0043078F" w:rsidRPr="00F117EB">
        <w:rPr>
          <w:rFonts w:ascii="Times New Roman" w:hAnsi="Times New Roman"/>
          <w:i/>
          <w:iCs/>
        </w:rPr>
        <w:t>The King</w:t>
      </w:r>
      <w:r w:rsidR="00EA5EAF" w:rsidRPr="00F117EB">
        <w:rPr>
          <w:rFonts w:ascii="Times New Roman" w:hAnsi="Times New Roman"/>
        </w:rPr>
        <w:t xml:space="preserve">, in </w:t>
      </w:r>
      <w:proofErr w:type="spellStart"/>
      <w:r w:rsidR="00EA5EAF" w:rsidRPr="00F117EB">
        <w:rPr>
          <w:rFonts w:ascii="Times New Roman" w:hAnsi="Times New Roman"/>
          <w:i/>
          <w:iCs/>
        </w:rPr>
        <w:t>Kentwell</w:t>
      </w:r>
      <w:proofErr w:type="spellEnd"/>
      <w:r w:rsidR="00EA5EAF" w:rsidRPr="00F117EB">
        <w:rPr>
          <w:rFonts w:ascii="Times New Roman" w:hAnsi="Times New Roman"/>
        </w:rPr>
        <w:t xml:space="preserve"> the </w:t>
      </w:r>
      <w:r w:rsidR="008D251B" w:rsidRPr="00F117EB">
        <w:rPr>
          <w:rFonts w:ascii="Times New Roman" w:hAnsi="Times New Roman"/>
        </w:rPr>
        <w:t>plurality</w:t>
      </w:r>
      <w:r w:rsidR="00EA5EAF" w:rsidRPr="00F117EB">
        <w:rPr>
          <w:rFonts w:ascii="Times New Roman" w:hAnsi="Times New Roman"/>
        </w:rPr>
        <w:t xml:space="preserve"> confirmed that it is only errors that "vitiate"</w:t>
      </w:r>
      <w:r w:rsidR="00296B6B" w:rsidRPr="00F117EB">
        <w:rPr>
          <w:rStyle w:val="FootnoteReference"/>
          <w:rFonts w:ascii="Times New Roman" w:hAnsi="Times New Roman"/>
          <w:sz w:val="24"/>
        </w:rPr>
        <w:footnoteReference w:id="36"/>
      </w:r>
      <w:r w:rsidR="00EA5EAF" w:rsidRPr="00F117EB">
        <w:rPr>
          <w:rFonts w:ascii="Times New Roman" w:hAnsi="Times New Roman"/>
        </w:rPr>
        <w:t xml:space="preserve"> or </w:t>
      </w:r>
      <w:r w:rsidR="002867D9" w:rsidRPr="00F117EB">
        <w:rPr>
          <w:rFonts w:ascii="Times New Roman" w:hAnsi="Times New Roman"/>
        </w:rPr>
        <w:t>"</w:t>
      </w:r>
      <w:r w:rsidR="00EA5EAF" w:rsidRPr="00F117EB">
        <w:rPr>
          <w:rFonts w:ascii="Times New Roman" w:hAnsi="Times New Roman"/>
        </w:rPr>
        <w:t>affect"</w:t>
      </w:r>
      <w:r w:rsidR="00296B6B" w:rsidRPr="00F117EB">
        <w:rPr>
          <w:rStyle w:val="FootnoteReference"/>
          <w:rFonts w:ascii="Times New Roman" w:hAnsi="Times New Roman"/>
          <w:sz w:val="24"/>
        </w:rPr>
        <w:footnoteReference w:id="37"/>
      </w:r>
      <w:r w:rsidR="00EA5EAF" w:rsidRPr="00F117EB">
        <w:rPr>
          <w:rFonts w:ascii="Times New Roman" w:hAnsi="Times New Roman"/>
        </w:rPr>
        <w:t xml:space="preserve"> the exercise of the sentencing discretion that </w:t>
      </w:r>
      <w:r w:rsidR="00E17A16" w:rsidRPr="00F117EB">
        <w:rPr>
          <w:rFonts w:ascii="Times New Roman" w:hAnsi="Times New Roman"/>
        </w:rPr>
        <w:t xml:space="preserve">enliven </w:t>
      </w:r>
      <w:r w:rsidR="00EA5EAF" w:rsidRPr="00F117EB">
        <w:rPr>
          <w:rFonts w:ascii="Times New Roman" w:hAnsi="Times New Roman"/>
        </w:rPr>
        <w:t xml:space="preserve">the </w:t>
      </w:r>
      <w:r w:rsidR="002867D9" w:rsidRPr="00F117EB">
        <w:rPr>
          <w:rFonts w:ascii="Times New Roman" w:hAnsi="Times New Roman"/>
        </w:rPr>
        <w:t>c</w:t>
      </w:r>
      <w:r w:rsidR="00EA5EAF" w:rsidRPr="00F117EB">
        <w:rPr>
          <w:rFonts w:ascii="Times New Roman" w:hAnsi="Times New Roman"/>
        </w:rPr>
        <w:t>ourt's power to</w:t>
      </w:r>
      <w:r w:rsidR="000E1149" w:rsidRPr="00F117EB">
        <w:rPr>
          <w:rFonts w:ascii="Times New Roman" w:hAnsi="Times New Roman"/>
        </w:rPr>
        <w:t xml:space="preserve"> intervene</w:t>
      </w:r>
      <w:r w:rsidR="00CF0B20" w:rsidRPr="00F117EB">
        <w:rPr>
          <w:rFonts w:ascii="Times New Roman" w:hAnsi="Times New Roman"/>
        </w:rPr>
        <w:t xml:space="preserve"> on appeal</w:t>
      </w:r>
      <w:r w:rsidR="00EA5EAF" w:rsidRPr="00F117EB">
        <w:rPr>
          <w:rFonts w:ascii="Times New Roman" w:hAnsi="Times New Roman"/>
        </w:rPr>
        <w:t xml:space="preserve">. Their Honours </w:t>
      </w:r>
      <w:r w:rsidR="00B93D5F" w:rsidRPr="00F117EB">
        <w:rPr>
          <w:rFonts w:ascii="Times New Roman" w:hAnsi="Times New Roman"/>
        </w:rPr>
        <w:t xml:space="preserve">instanced an example of a legal error that </w:t>
      </w:r>
      <w:r w:rsidR="00D952BD" w:rsidRPr="00F117EB">
        <w:rPr>
          <w:rFonts w:ascii="Times New Roman" w:hAnsi="Times New Roman"/>
        </w:rPr>
        <w:t xml:space="preserve">of itself </w:t>
      </w:r>
      <w:r w:rsidR="00B93D5F" w:rsidRPr="00F117EB">
        <w:rPr>
          <w:rFonts w:ascii="Times New Roman" w:hAnsi="Times New Roman"/>
        </w:rPr>
        <w:t xml:space="preserve">did </w:t>
      </w:r>
      <w:r w:rsidR="00EA5EAF" w:rsidRPr="00F117EB">
        <w:rPr>
          <w:rFonts w:ascii="Times New Roman" w:hAnsi="Times New Roman"/>
        </w:rPr>
        <w:t>not</w:t>
      </w:r>
      <w:r w:rsidR="00D952BD" w:rsidRPr="00F117EB">
        <w:rPr>
          <w:rFonts w:ascii="Times New Roman" w:hAnsi="Times New Roman"/>
        </w:rPr>
        <w:t xml:space="preserve"> "affect"</w:t>
      </w:r>
      <w:r w:rsidR="00EA5EAF" w:rsidRPr="00F117EB">
        <w:rPr>
          <w:rFonts w:ascii="Times New Roman" w:hAnsi="Times New Roman"/>
        </w:rPr>
        <w:t xml:space="preserve"> the exercise of the sentenc</w:t>
      </w:r>
      <w:r w:rsidR="001E48C1" w:rsidRPr="00F117EB">
        <w:rPr>
          <w:rFonts w:ascii="Times New Roman" w:hAnsi="Times New Roman"/>
        </w:rPr>
        <w:t>ing</w:t>
      </w:r>
      <w:r w:rsidR="002C26BE" w:rsidRPr="00F117EB">
        <w:rPr>
          <w:rFonts w:ascii="Times New Roman" w:hAnsi="Times New Roman"/>
        </w:rPr>
        <w:t xml:space="preserve"> judge's</w:t>
      </w:r>
      <w:r w:rsidR="00EA5EAF" w:rsidRPr="00F117EB">
        <w:rPr>
          <w:rFonts w:ascii="Times New Roman" w:hAnsi="Times New Roman"/>
        </w:rPr>
        <w:t xml:space="preserve"> discretion</w:t>
      </w:r>
      <w:r w:rsidR="00EB3E01" w:rsidRPr="00F117EB">
        <w:rPr>
          <w:rFonts w:ascii="Times New Roman" w:hAnsi="Times New Roman"/>
        </w:rPr>
        <w:t xml:space="preserve">, </w:t>
      </w:r>
      <w:r w:rsidR="001E3475" w:rsidRPr="00F117EB">
        <w:rPr>
          <w:rFonts w:ascii="Times New Roman" w:hAnsi="Times New Roman"/>
        </w:rPr>
        <w:t xml:space="preserve">and </w:t>
      </w:r>
      <w:r w:rsidR="00261191" w:rsidRPr="00F117EB">
        <w:rPr>
          <w:rFonts w:ascii="Times New Roman" w:hAnsi="Times New Roman"/>
        </w:rPr>
        <w:t xml:space="preserve">which </w:t>
      </w:r>
      <w:r w:rsidR="00641180" w:rsidRPr="00F117EB">
        <w:rPr>
          <w:rFonts w:ascii="Times New Roman" w:hAnsi="Times New Roman"/>
        </w:rPr>
        <w:t xml:space="preserve">did not engage any obligation on the court to </w:t>
      </w:r>
      <w:r w:rsidR="00722AEF" w:rsidRPr="00F117EB">
        <w:rPr>
          <w:rFonts w:ascii="Times New Roman" w:hAnsi="Times New Roman"/>
        </w:rPr>
        <w:t>re-exercis</w:t>
      </w:r>
      <w:r w:rsidR="00641180" w:rsidRPr="00F117EB">
        <w:rPr>
          <w:rFonts w:ascii="Times New Roman" w:hAnsi="Times New Roman"/>
        </w:rPr>
        <w:t>e</w:t>
      </w:r>
      <w:r w:rsidR="00722AEF" w:rsidRPr="00F117EB">
        <w:rPr>
          <w:rFonts w:ascii="Times New Roman" w:hAnsi="Times New Roman"/>
        </w:rPr>
        <w:t xml:space="preserve"> the sentencing discretion</w:t>
      </w:r>
      <w:r w:rsidR="00EA5EAF" w:rsidRPr="00F117EB">
        <w:rPr>
          <w:rFonts w:ascii="Times New Roman" w:hAnsi="Times New Roman"/>
        </w:rPr>
        <w:t>.</w:t>
      </w:r>
      <w:r w:rsidR="00CA5FFC" w:rsidRPr="00F117EB">
        <w:rPr>
          <w:rStyle w:val="FootnoteReference"/>
          <w:rFonts w:ascii="Times New Roman" w:hAnsi="Times New Roman"/>
          <w:sz w:val="24"/>
        </w:rPr>
        <w:footnoteReference w:id="38"/>
      </w:r>
      <w:r w:rsidR="00EA5EAF" w:rsidRPr="00F117EB">
        <w:rPr>
          <w:rFonts w:ascii="Times New Roman" w:hAnsi="Times New Roman"/>
        </w:rPr>
        <w:t xml:space="preserve"> </w:t>
      </w:r>
      <w:r w:rsidR="00FC06A2" w:rsidRPr="00F117EB">
        <w:rPr>
          <w:rFonts w:ascii="Times New Roman" w:hAnsi="Times New Roman"/>
        </w:rPr>
        <w:t>Thus</w:t>
      </w:r>
      <w:r w:rsidR="00EA5EAF" w:rsidRPr="00F117EB">
        <w:rPr>
          <w:rFonts w:ascii="Times New Roman" w:hAnsi="Times New Roman"/>
        </w:rPr>
        <w:t xml:space="preserve"> </w:t>
      </w:r>
      <w:proofErr w:type="spellStart"/>
      <w:r w:rsidR="00EA5EAF" w:rsidRPr="00F117EB">
        <w:rPr>
          <w:rFonts w:ascii="Times New Roman" w:hAnsi="Times New Roman"/>
          <w:i/>
          <w:iCs/>
        </w:rPr>
        <w:t>Kentwell</w:t>
      </w:r>
      <w:proofErr w:type="spellEnd"/>
      <w:r w:rsidR="00EA5EAF" w:rsidRPr="00F117EB">
        <w:rPr>
          <w:rFonts w:ascii="Times New Roman" w:hAnsi="Times New Roman"/>
        </w:rPr>
        <w:t xml:space="preserve"> contemplates a distinction between material and non-material </w:t>
      </w:r>
      <w:r w:rsidR="00C82D13" w:rsidRPr="00F117EB">
        <w:rPr>
          <w:rFonts w:ascii="Times New Roman" w:hAnsi="Times New Roman"/>
        </w:rPr>
        <w:t xml:space="preserve">(specific) </w:t>
      </w:r>
      <w:r w:rsidR="00EA5EAF" w:rsidRPr="00F117EB">
        <w:rPr>
          <w:rFonts w:ascii="Times New Roman" w:hAnsi="Times New Roman"/>
        </w:rPr>
        <w:t>errors.</w:t>
      </w:r>
    </w:p>
    <w:p w14:paraId="661B0D4F" w14:textId="015466BD" w:rsidR="00EA5EAF" w:rsidRPr="00F117EB" w:rsidRDefault="00EA5EAF" w:rsidP="00F117EB">
      <w:pPr>
        <w:pStyle w:val="FixListStyle"/>
        <w:spacing w:after="260" w:line="280" w:lineRule="exact"/>
        <w:ind w:right="0"/>
        <w:jc w:val="both"/>
        <w:rPr>
          <w:rFonts w:ascii="Times New Roman" w:hAnsi="Times New Roman"/>
        </w:rPr>
      </w:pPr>
      <w:r w:rsidRPr="00F117EB">
        <w:rPr>
          <w:rFonts w:ascii="Times New Roman" w:hAnsi="Times New Roman"/>
        </w:rPr>
        <w:t xml:space="preserve"> </w:t>
      </w:r>
      <w:r w:rsidR="006B5FFF" w:rsidRPr="00F117EB">
        <w:rPr>
          <w:rFonts w:ascii="Times New Roman" w:hAnsi="Times New Roman"/>
        </w:rPr>
        <w:tab/>
      </w:r>
      <w:r w:rsidRPr="00F117EB">
        <w:rPr>
          <w:rFonts w:ascii="Times New Roman" w:hAnsi="Times New Roman"/>
        </w:rPr>
        <w:t xml:space="preserve">As to what constitutes a material error, the </w:t>
      </w:r>
      <w:r w:rsidR="00AE7714" w:rsidRPr="00F117EB">
        <w:rPr>
          <w:rFonts w:ascii="Times New Roman" w:hAnsi="Times New Roman"/>
        </w:rPr>
        <w:t>plurality</w:t>
      </w:r>
      <w:r w:rsidRPr="00F117EB">
        <w:rPr>
          <w:rFonts w:ascii="Times New Roman" w:hAnsi="Times New Roman"/>
        </w:rPr>
        <w:t xml:space="preserve"> </w:t>
      </w:r>
      <w:r w:rsidR="00376A7C" w:rsidRPr="00F117EB">
        <w:rPr>
          <w:rFonts w:ascii="Times New Roman" w:hAnsi="Times New Roman"/>
        </w:rPr>
        <w:t xml:space="preserve">in </w:t>
      </w:r>
      <w:proofErr w:type="spellStart"/>
      <w:r w:rsidR="00376A7C" w:rsidRPr="00F117EB">
        <w:rPr>
          <w:rFonts w:ascii="Times New Roman" w:hAnsi="Times New Roman"/>
          <w:i/>
          <w:iCs/>
        </w:rPr>
        <w:t>Kentwell</w:t>
      </w:r>
      <w:proofErr w:type="spellEnd"/>
      <w:r w:rsidR="00376A7C" w:rsidRPr="00F117EB">
        <w:rPr>
          <w:rFonts w:ascii="Times New Roman" w:hAnsi="Times New Roman"/>
        </w:rPr>
        <w:t xml:space="preserve"> </w:t>
      </w:r>
      <w:r w:rsidRPr="00F117EB">
        <w:rPr>
          <w:rFonts w:ascii="Times New Roman" w:hAnsi="Times New Roman"/>
        </w:rPr>
        <w:t xml:space="preserve">referenced the description of the specific errors in </w:t>
      </w:r>
      <w:r w:rsidRPr="00F117EB">
        <w:rPr>
          <w:rFonts w:ascii="Times New Roman" w:hAnsi="Times New Roman"/>
          <w:i/>
          <w:iCs/>
        </w:rPr>
        <w:t>House</w:t>
      </w:r>
      <w:r w:rsidR="0014636E" w:rsidRPr="00F117EB">
        <w:rPr>
          <w:rFonts w:ascii="Times New Roman" w:hAnsi="Times New Roman"/>
          <w:i/>
          <w:iCs/>
        </w:rPr>
        <w:t> </w:t>
      </w:r>
      <w:r w:rsidRPr="00F117EB">
        <w:rPr>
          <w:rFonts w:ascii="Times New Roman" w:hAnsi="Times New Roman"/>
          <w:i/>
          <w:iCs/>
        </w:rPr>
        <w:t>v</w:t>
      </w:r>
      <w:r w:rsidR="0014636E" w:rsidRPr="00F117EB">
        <w:rPr>
          <w:rFonts w:ascii="Times New Roman" w:hAnsi="Times New Roman"/>
          <w:i/>
          <w:iCs/>
        </w:rPr>
        <w:t> The King</w:t>
      </w:r>
      <w:r w:rsidR="002E4EE3" w:rsidRPr="00F117EB">
        <w:rPr>
          <w:rStyle w:val="FootnoteReference"/>
          <w:rFonts w:ascii="Times New Roman" w:hAnsi="Times New Roman"/>
          <w:sz w:val="24"/>
        </w:rPr>
        <w:footnoteReference w:id="39"/>
      </w:r>
      <w:r w:rsidRPr="00F117EB">
        <w:rPr>
          <w:rFonts w:ascii="Times New Roman" w:hAnsi="Times New Roman"/>
        </w:rPr>
        <w:t xml:space="preserve"> </w:t>
      </w:r>
      <w:r w:rsidR="00910023" w:rsidRPr="00F117EB">
        <w:rPr>
          <w:rFonts w:ascii="Times New Roman" w:hAnsi="Times New Roman"/>
        </w:rPr>
        <w:t>in</w:t>
      </w:r>
      <w:r w:rsidRPr="00F117EB">
        <w:rPr>
          <w:rFonts w:ascii="Times New Roman" w:hAnsi="Times New Roman"/>
        </w:rPr>
        <w:t xml:space="preserve"> stating that when a sentencing judge "</w:t>
      </w:r>
      <w:r w:rsidRPr="00F117EB">
        <w:rPr>
          <w:rFonts w:ascii="Times New Roman" w:hAnsi="Times New Roman"/>
          <w:i/>
          <w:iCs/>
        </w:rPr>
        <w:t>acts</w:t>
      </w:r>
      <w:r w:rsidRPr="00F117EB">
        <w:rPr>
          <w:rFonts w:ascii="Times New Roman" w:hAnsi="Times New Roman"/>
        </w:rPr>
        <w:t xml:space="preserve"> upon wrong principle, allows extraneous or irrelevant matters to </w:t>
      </w:r>
      <w:r w:rsidRPr="00F117EB">
        <w:rPr>
          <w:rFonts w:ascii="Times New Roman" w:hAnsi="Times New Roman"/>
          <w:i/>
          <w:iCs/>
        </w:rPr>
        <w:t>guide or affect</w:t>
      </w:r>
      <w:r w:rsidRPr="00F117EB">
        <w:rPr>
          <w:rFonts w:ascii="Times New Roman" w:hAnsi="Times New Roman"/>
        </w:rPr>
        <w:t xml:space="preserve"> the determination, mistakes the facts or does not take into account some </w:t>
      </w:r>
      <w:r w:rsidRPr="00F117EB">
        <w:rPr>
          <w:rFonts w:ascii="Times New Roman" w:hAnsi="Times New Roman"/>
          <w:i/>
          <w:iCs/>
        </w:rPr>
        <w:t>material</w:t>
      </w:r>
      <w:r w:rsidRPr="00F117EB">
        <w:rPr>
          <w:rFonts w:ascii="Times New Roman" w:hAnsi="Times New Roman"/>
        </w:rPr>
        <w:t xml:space="preserve"> consideration, the Court of Criminal </w:t>
      </w:r>
      <w:r w:rsidR="00E52F6B" w:rsidRPr="00F117EB">
        <w:rPr>
          <w:rFonts w:ascii="Times New Roman" w:hAnsi="Times New Roman"/>
        </w:rPr>
        <w:t xml:space="preserve">Appeal </w:t>
      </w:r>
      <w:r w:rsidRPr="00F117EB">
        <w:rPr>
          <w:rFonts w:ascii="Times New Roman" w:hAnsi="Times New Roman"/>
        </w:rPr>
        <w:t xml:space="preserve">does not </w:t>
      </w:r>
      <w:r w:rsidRPr="00F117EB">
        <w:rPr>
          <w:rFonts w:ascii="Times New Roman" w:hAnsi="Times New Roman"/>
        </w:rPr>
        <w:lastRenderedPageBreak/>
        <w:t>assess whether and to what degree the error influenced the outcome"</w:t>
      </w:r>
      <w:r w:rsidR="00833EB6" w:rsidRPr="00F117EB">
        <w:rPr>
          <w:rFonts w:ascii="Times New Roman" w:hAnsi="Times New Roman"/>
        </w:rPr>
        <w:t>.</w:t>
      </w:r>
      <w:r w:rsidR="00833EB6" w:rsidRPr="00F117EB">
        <w:rPr>
          <w:rStyle w:val="FootnoteReference"/>
          <w:rFonts w:ascii="Times New Roman" w:hAnsi="Times New Roman"/>
          <w:sz w:val="24"/>
        </w:rPr>
        <w:footnoteReference w:id="40"/>
      </w:r>
      <w:r w:rsidRPr="00F117EB">
        <w:rPr>
          <w:rFonts w:ascii="Times New Roman" w:hAnsi="Times New Roman"/>
        </w:rPr>
        <w:t xml:space="preserve"> Identifying </w:t>
      </w:r>
      <w:r w:rsidR="00160426" w:rsidRPr="00F117EB">
        <w:rPr>
          <w:rFonts w:ascii="Times New Roman" w:hAnsi="Times New Roman"/>
        </w:rPr>
        <w:t xml:space="preserve">whether </w:t>
      </w:r>
      <w:r w:rsidRPr="00F117EB">
        <w:rPr>
          <w:rFonts w:ascii="Times New Roman" w:hAnsi="Times New Roman"/>
        </w:rPr>
        <w:t>a</w:t>
      </w:r>
      <w:r w:rsidR="00160426" w:rsidRPr="00F117EB">
        <w:rPr>
          <w:rFonts w:ascii="Times New Roman" w:hAnsi="Times New Roman"/>
        </w:rPr>
        <w:t>n</w:t>
      </w:r>
      <w:r w:rsidRPr="00F117EB">
        <w:rPr>
          <w:rFonts w:ascii="Times New Roman" w:hAnsi="Times New Roman"/>
        </w:rPr>
        <w:t xml:space="preserve"> error </w:t>
      </w:r>
      <w:r w:rsidR="00160426" w:rsidRPr="00F117EB">
        <w:rPr>
          <w:rFonts w:ascii="Times New Roman" w:hAnsi="Times New Roman"/>
        </w:rPr>
        <w:t xml:space="preserve">is material </w:t>
      </w:r>
      <w:r w:rsidRPr="00F117EB">
        <w:rPr>
          <w:rFonts w:ascii="Times New Roman" w:hAnsi="Times New Roman"/>
        </w:rPr>
        <w:t>by asking</w:t>
      </w:r>
      <w:r w:rsidR="00E53CF8" w:rsidRPr="00F117EB">
        <w:rPr>
          <w:rFonts w:ascii="Times New Roman" w:hAnsi="Times New Roman"/>
        </w:rPr>
        <w:t>, for example,</w:t>
      </w:r>
      <w:r w:rsidRPr="00F117EB">
        <w:rPr>
          <w:rFonts w:ascii="Times New Roman" w:hAnsi="Times New Roman"/>
        </w:rPr>
        <w:t xml:space="preserve"> whether </w:t>
      </w:r>
      <w:r w:rsidR="000945AC" w:rsidRPr="00F117EB">
        <w:rPr>
          <w:rFonts w:ascii="Times New Roman" w:hAnsi="Times New Roman"/>
        </w:rPr>
        <w:t xml:space="preserve">the error </w:t>
      </w:r>
      <w:r w:rsidR="00247BF3" w:rsidRPr="00F117EB">
        <w:rPr>
          <w:rFonts w:ascii="Times New Roman" w:hAnsi="Times New Roman"/>
        </w:rPr>
        <w:t>"</w:t>
      </w:r>
      <w:r w:rsidRPr="00F117EB">
        <w:rPr>
          <w:rFonts w:ascii="Times New Roman" w:hAnsi="Times New Roman"/>
        </w:rPr>
        <w:t>guided or affected</w:t>
      </w:r>
      <w:r w:rsidR="00247BF3" w:rsidRPr="00F117EB">
        <w:rPr>
          <w:rFonts w:ascii="Times New Roman" w:hAnsi="Times New Roman"/>
        </w:rPr>
        <w:t>"</w:t>
      </w:r>
      <w:r w:rsidRPr="00F117EB">
        <w:rPr>
          <w:rFonts w:ascii="Times New Roman" w:hAnsi="Times New Roman"/>
        </w:rPr>
        <w:t xml:space="preserve"> the reasons </w:t>
      </w:r>
      <w:r w:rsidR="00362981" w:rsidRPr="00F117EB">
        <w:rPr>
          <w:rFonts w:ascii="Times New Roman" w:hAnsi="Times New Roman"/>
        </w:rPr>
        <w:t>(</w:t>
      </w:r>
      <w:r w:rsidRPr="00F117EB">
        <w:rPr>
          <w:rFonts w:ascii="Times New Roman" w:hAnsi="Times New Roman"/>
        </w:rPr>
        <w:t>without inquiring</w:t>
      </w:r>
      <w:r w:rsidR="00787D76" w:rsidRPr="00F117EB">
        <w:rPr>
          <w:rFonts w:ascii="Times New Roman" w:hAnsi="Times New Roman"/>
        </w:rPr>
        <w:t xml:space="preserve"> into</w:t>
      </w:r>
      <w:r w:rsidRPr="00F117EB">
        <w:rPr>
          <w:rFonts w:ascii="Times New Roman" w:hAnsi="Times New Roman"/>
        </w:rPr>
        <w:t xml:space="preserve"> </w:t>
      </w:r>
      <w:r w:rsidR="00B837B0" w:rsidRPr="00F117EB">
        <w:rPr>
          <w:rFonts w:ascii="Times New Roman" w:hAnsi="Times New Roman"/>
        </w:rPr>
        <w:t>whether</w:t>
      </w:r>
      <w:r w:rsidRPr="00F117EB">
        <w:rPr>
          <w:rFonts w:ascii="Times New Roman" w:hAnsi="Times New Roman"/>
        </w:rPr>
        <w:t xml:space="preserve"> </w:t>
      </w:r>
      <w:r w:rsidR="00E120FF" w:rsidRPr="00F117EB">
        <w:rPr>
          <w:rFonts w:ascii="Times New Roman" w:hAnsi="Times New Roman"/>
        </w:rPr>
        <w:t xml:space="preserve">the error </w:t>
      </w:r>
      <w:r w:rsidRPr="00F117EB">
        <w:rPr>
          <w:rFonts w:ascii="Times New Roman" w:hAnsi="Times New Roman"/>
        </w:rPr>
        <w:t>influenced the outcome</w:t>
      </w:r>
      <w:r w:rsidR="001D38D6" w:rsidRPr="00F117EB">
        <w:rPr>
          <w:rFonts w:ascii="Times New Roman" w:hAnsi="Times New Roman"/>
        </w:rPr>
        <w:t xml:space="preserve"> of the proceeding</w:t>
      </w:r>
      <w:r w:rsidR="005F0230" w:rsidRPr="00F117EB">
        <w:rPr>
          <w:rFonts w:ascii="Times New Roman" w:hAnsi="Times New Roman"/>
        </w:rPr>
        <w:t>)</w:t>
      </w:r>
      <w:r w:rsidRPr="00F117EB">
        <w:rPr>
          <w:rFonts w:ascii="Times New Roman" w:hAnsi="Times New Roman"/>
        </w:rPr>
        <w:t xml:space="preserve"> accords with </w:t>
      </w:r>
      <w:r w:rsidRPr="00F117EB">
        <w:rPr>
          <w:rFonts w:ascii="Times New Roman" w:hAnsi="Times New Roman"/>
          <w:i/>
          <w:iCs/>
        </w:rPr>
        <w:t>Brawn</w:t>
      </w:r>
      <w:r w:rsidR="00F04A15" w:rsidRPr="00F117EB">
        <w:rPr>
          <w:rFonts w:ascii="Times New Roman" w:hAnsi="Times New Roman"/>
          <w:i/>
          <w:iCs/>
        </w:rPr>
        <w:t xml:space="preserve">. Brawn </w:t>
      </w:r>
      <w:r w:rsidR="00F04A15" w:rsidRPr="00F117EB">
        <w:rPr>
          <w:rFonts w:ascii="Times New Roman" w:hAnsi="Times New Roman"/>
        </w:rPr>
        <w:t>held that</w:t>
      </w:r>
      <w:r w:rsidR="00001903" w:rsidRPr="00F117EB">
        <w:rPr>
          <w:rFonts w:ascii="Times New Roman" w:hAnsi="Times New Roman"/>
        </w:rPr>
        <w:t xml:space="preserve"> an</w:t>
      </w:r>
      <w:r w:rsidRPr="00F117EB">
        <w:rPr>
          <w:rFonts w:ascii="Times New Roman" w:hAnsi="Times New Roman"/>
        </w:rPr>
        <w:t xml:space="preserve"> error or irregularit</w:t>
      </w:r>
      <w:r w:rsidR="00910023" w:rsidRPr="00F117EB">
        <w:rPr>
          <w:rFonts w:ascii="Times New Roman" w:hAnsi="Times New Roman"/>
        </w:rPr>
        <w:t>y</w:t>
      </w:r>
      <w:r w:rsidRPr="00F117EB">
        <w:rPr>
          <w:rFonts w:ascii="Times New Roman" w:hAnsi="Times New Roman"/>
        </w:rPr>
        <w:t xml:space="preserve"> that </w:t>
      </w:r>
      <w:r w:rsidR="00001903" w:rsidRPr="00F117EB">
        <w:rPr>
          <w:rFonts w:ascii="Times New Roman" w:hAnsi="Times New Roman"/>
        </w:rPr>
        <w:t>is</w:t>
      </w:r>
      <w:r w:rsidRPr="00F117EB">
        <w:rPr>
          <w:rFonts w:ascii="Times New Roman" w:hAnsi="Times New Roman"/>
        </w:rPr>
        <w:t xml:space="preserve"> not "fundamental" to a trial</w:t>
      </w:r>
      <w:r w:rsidR="00A5476F" w:rsidRPr="00F117EB">
        <w:rPr>
          <w:rStyle w:val="FootnoteReference"/>
          <w:rFonts w:ascii="Times New Roman" w:hAnsi="Times New Roman"/>
          <w:sz w:val="24"/>
        </w:rPr>
        <w:footnoteReference w:id="41"/>
      </w:r>
      <w:r w:rsidRPr="00F117EB">
        <w:rPr>
          <w:rFonts w:ascii="Times New Roman" w:hAnsi="Times New Roman"/>
        </w:rPr>
        <w:t xml:space="preserve"> constitute</w:t>
      </w:r>
      <w:r w:rsidR="00F928B4" w:rsidRPr="00F117EB">
        <w:rPr>
          <w:rFonts w:ascii="Times New Roman" w:hAnsi="Times New Roman"/>
        </w:rPr>
        <w:t>s</w:t>
      </w:r>
      <w:r w:rsidRPr="00F117EB">
        <w:rPr>
          <w:rFonts w:ascii="Times New Roman" w:hAnsi="Times New Roman"/>
        </w:rPr>
        <w:t xml:space="preserve"> a miscarriage of justice for the purposes of </w:t>
      </w:r>
      <w:r w:rsidR="00747395" w:rsidRPr="00F117EB">
        <w:rPr>
          <w:rFonts w:ascii="Times New Roman" w:hAnsi="Times New Roman"/>
        </w:rPr>
        <w:t xml:space="preserve">the </w:t>
      </w:r>
      <w:r w:rsidRPr="00F117EB">
        <w:rPr>
          <w:rFonts w:ascii="Times New Roman" w:hAnsi="Times New Roman"/>
        </w:rPr>
        <w:t xml:space="preserve">third limb of </w:t>
      </w:r>
      <w:r w:rsidR="002C34E5" w:rsidRPr="00F117EB">
        <w:rPr>
          <w:rFonts w:ascii="Times New Roman" w:hAnsi="Times New Roman"/>
        </w:rPr>
        <w:t>the common form criminal appeal provision</w:t>
      </w:r>
      <w:r w:rsidR="00025738" w:rsidRPr="00F117EB">
        <w:rPr>
          <w:rFonts w:ascii="Times New Roman" w:hAnsi="Times New Roman"/>
        </w:rPr>
        <w:t xml:space="preserve"> if the error or irregularity</w:t>
      </w:r>
      <w:r w:rsidRPr="00F117EB">
        <w:rPr>
          <w:rFonts w:ascii="Times New Roman" w:hAnsi="Times New Roman"/>
        </w:rPr>
        <w:t xml:space="preserve"> "could realistically have affected the reasoning</w:t>
      </w:r>
      <w:r w:rsidR="008935B8" w:rsidRPr="00F117EB">
        <w:rPr>
          <w:rFonts w:ascii="Times New Roman" w:hAnsi="Times New Roman"/>
        </w:rPr>
        <w:t xml:space="preserve"> of the jury to a verdict of guilty</w:t>
      </w:r>
      <w:r w:rsidRPr="00F117EB">
        <w:rPr>
          <w:rFonts w:ascii="Times New Roman" w:hAnsi="Times New Roman"/>
        </w:rPr>
        <w:t>"</w:t>
      </w:r>
      <w:r w:rsidR="008935B8" w:rsidRPr="00F117EB">
        <w:rPr>
          <w:rFonts w:ascii="Times New Roman" w:hAnsi="Times New Roman"/>
        </w:rPr>
        <w:t>.</w:t>
      </w:r>
      <w:r w:rsidR="008935B8" w:rsidRPr="00F117EB">
        <w:rPr>
          <w:rStyle w:val="FootnoteReference"/>
          <w:rFonts w:ascii="Times New Roman" w:hAnsi="Times New Roman"/>
          <w:sz w:val="24"/>
        </w:rPr>
        <w:footnoteReference w:id="42"/>
      </w:r>
      <w:r w:rsidRPr="00F117EB">
        <w:rPr>
          <w:rFonts w:ascii="Times New Roman" w:hAnsi="Times New Roman"/>
        </w:rPr>
        <w:t xml:space="preserve"> </w:t>
      </w:r>
      <w:r w:rsidR="00375145" w:rsidRPr="00F117EB">
        <w:rPr>
          <w:rFonts w:ascii="Times New Roman" w:hAnsi="Times New Roman"/>
        </w:rPr>
        <w:t xml:space="preserve">Adapted to a sentencing </w:t>
      </w:r>
      <w:r w:rsidR="002C03B5" w:rsidRPr="00F117EB">
        <w:rPr>
          <w:rFonts w:ascii="Times New Roman" w:hAnsi="Times New Roman"/>
        </w:rPr>
        <w:t>appeal</w:t>
      </w:r>
      <w:r w:rsidR="00375145" w:rsidRPr="00F117EB">
        <w:rPr>
          <w:rFonts w:ascii="Times New Roman" w:hAnsi="Times New Roman"/>
        </w:rPr>
        <w:t xml:space="preserve">, the question is whether </w:t>
      </w:r>
      <w:r w:rsidR="00C828A4" w:rsidRPr="00F117EB">
        <w:rPr>
          <w:rFonts w:ascii="Times New Roman" w:hAnsi="Times New Roman"/>
        </w:rPr>
        <w:t xml:space="preserve">the </w:t>
      </w:r>
      <w:r w:rsidR="00BC3CBB" w:rsidRPr="00F117EB">
        <w:rPr>
          <w:rFonts w:ascii="Times New Roman" w:hAnsi="Times New Roman"/>
        </w:rPr>
        <w:t xml:space="preserve">specific </w:t>
      </w:r>
      <w:r w:rsidR="00C828A4" w:rsidRPr="00F117EB">
        <w:rPr>
          <w:rFonts w:ascii="Times New Roman" w:hAnsi="Times New Roman"/>
        </w:rPr>
        <w:t>error or</w:t>
      </w:r>
      <w:r w:rsidR="00BC3CBB" w:rsidRPr="00F117EB">
        <w:rPr>
          <w:rFonts w:ascii="Times New Roman" w:hAnsi="Times New Roman"/>
        </w:rPr>
        <w:t xml:space="preserve"> procedural</w:t>
      </w:r>
      <w:r w:rsidR="00C828A4" w:rsidRPr="00F117EB">
        <w:rPr>
          <w:rFonts w:ascii="Times New Roman" w:hAnsi="Times New Roman"/>
        </w:rPr>
        <w:t xml:space="preserve"> irregularity </w:t>
      </w:r>
      <w:r w:rsidR="001637CC" w:rsidRPr="00F117EB">
        <w:rPr>
          <w:rFonts w:ascii="Times New Roman" w:hAnsi="Times New Roman"/>
        </w:rPr>
        <w:t xml:space="preserve">could realistically have affected the reasoning </w:t>
      </w:r>
      <w:r w:rsidRPr="00F117EB">
        <w:rPr>
          <w:rFonts w:ascii="Times New Roman" w:hAnsi="Times New Roman"/>
        </w:rPr>
        <w:t xml:space="preserve">of the sentencing judge to the sentence that was imposed. Similar to </w:t>
      </w:r>
      <w:r w:rsidR="00FF4481" w:rsidRPr="00F117EB">
        <w:rPr>
          <w:rFonts w:ascii="Times New Roman" w:hAnsi="Times New Roman"/>
        </w:rPr>
        <w:t xml:space="preserve">the conclusion in </w:t>
      </w:r>
      <w:proofErr w:type="spellStart"/>
      <w:r w:rsidRPr="00F117EB">
        <w:rPr>
          <w:rFonts w:ascii="Times New Roman" w:hAnsi="Times New Roman"/>
          <w:i/>
          <w:iCs/>
        </w:rPr>
        <w:t>Kentwell</w:t>
      </w:r>
      <w:proofErr w:type="spellEnd"/>
      <w:r w:rsidR="000F3E10" w:rsidRPr="00F117EB">
        <w:rPr>
          <w:rFonts w:ascii="Times New Roman" w:hAnsi="Times New Roman"/>
          <w:i/>
          <w:iCs/>
        </w:rPr>
        <w:t xml:space="preserve"> </w:t>
      </w:r>
      <w:r w:rsidR="00015611" w:rsidRPr="00F117EB">
        <w:rPr>
          <w:rFonts w:ascii="Times New Roman" w:hAnsi="Times New Roman"/>
        </w:rPr>
        <w:t xml:space="preserve">that </w:t>
      </w:r>
      <w:r w:rsidR="000F3E10" w:rsidRPr="00F117EB">
        <w:rPr>
          <w:rFonts w:ascii="Times New Roman" w:hAnsi="Times New Roman"/>
        </w:rPr>
        <w:t>the court does not</w:t>
      </w:r>
      <w:r w:rsidRPr="00F117EB">
        <w:rPr>
          <w:rFonts w:ascii="Times New Roman" w:hAnsi="Times New Roman"/>
        </w:rPr>
        <w:t xml:space="preserve"> assess whether and to what degree a specific error influenced the outcome of the sentencing process,</w:t>
      </w:r>
      <w:r w:rsidR="00A963FA" w:rsidRPr="00F117EB">
        <w:rPr>
          <w:rStyle w:val="FootnoteReference"/>
          <w:rFonts w:ascii="Times New Roman" w:hAnsi="Times New Roman"/>
          <w:sz w:val="24"/>
        </w:rPr>
        <w:footnoteReference w:id="43"/>
      </w:r>
      <w:r w:rsidRPr="00F117EB">
        <w:rPr>
          <w:rFonts w:ascii="Times New Roman" w:hAnsi="Times New Roman"/>
        </w:rPr>
        <w:t xml:space="preserve"> </w:t>
      </w:r>
      <w:r w:rsidR="00C17333" w:rsidRPr="00F117EB">
        <w:rPr>
          <w:rFonts w:ascii="Times New Roman" w:hAnsi="Times New Roman"/>
        </w:rPr>
        <w:t xml:space="preserve">the approach in </w:t>
      </w:r>
      <w:r w:rsidRPr="00F117EB">
        <w:rPr>
          <w:rFonts w:ascii="Times New Roman" w:hAnsi="Times New Roman"/>
          <w:i/>
          <w:iCs/>
        </w:rPr>
        <w:t>Brawn</w:t>
      </w:r>
      <w:r w:rsidRPr="00F117EB">
        <w:rPr>
          <w:rFonts w:ascii="Times New Roman" w:hAnsi="Times New Roman"/>
        </w:rPr>
        <w:t xml:space="preserve"> "does not invite an analysis of whether, but for the error, the accused might or might not have been found guilty".</w:t>
      </w:r>
      <w:r w:rsidR="00834ED3" w:rsidRPr="00F117EB">
        <w:rPr>
          <w:rStyle w:val="FootnoteReference"/>
          <w:rFonts w:ascii="Times New Roman" w:hAnsi="Times New Roman"/>
          <w:sz w:val="24"/>
        </w:rPr>
        <w:footnoteReference w:id="44"/>
      </w:r>
      <w:r w:rsidRPr="00F117EB">
        <w:rPr>
          <w:rFonts w:ascii="Times New Roman" w:hAnsi="Times New Roman"/>
        </w:rPr>
        <w:t xml:space="preserve"> </w:t>
      </w:r>
    </w:p>
    <w:p w14:paraId="76D884BB" w14:textId="4F280720" w:rsidR="00EA5EAF" w:rsidRPr="00F117EB" w:rsidRDefault="00C60B2C"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However, manifest excess and the specific errors described in </w:t>
      </w:r>
      <w:r w:rsidR="00EA5EAF" w:rsidRPr="00F117EB">
        <w:rPr>
          <w:rFonts w:ascii="Times New Roman" w:hAnsi="Times New Roman"/>
          <w:i/>
          <w:iCs/>
        </w:rPr>
        <w:t xml:space="preserve">House v </w:t>
      </w:r>
      <w:r w:rsidR="00740874" w:rsidRPr="00F117EB">
        <w:rPr>
          <w:rFonts w:ascii="Times New Roman" w:hAnsi="Times New Roman"/>
          <w:i/>
          <w:iCs/>
        </w:rPr>
        <w:t xml:space="preserve">The King </w:t>
      </w:r>
      <w:r w:rsidR="00EA5EAF" w:rsidRPr="00F117EB">
        <w:rPr>
          <w:rFonts w:ascii="Times New Roman" w:hAnsi="Times New Roman"/>
        </w:rPr>
        <w:t xml:space="preserve">do not exhaust the types of errors </w:t>
      </w:r>
      <w:r w:rsidR="00740874" w:rsidRPr="00F117EB">
        <w:rPr>
          <w:rFonts w:ascii="Times New Roman" w:hAnsi="Times New Roman"/>
        </w:rPr>
        <w:t>which</w:t>
      </w:r>
      <w:r w:rsidR="009B66DD" w:rsidRPr="00F117EB">
        <w:rPr>
          <w:rFonts w:ascii="Times New Roman" w:hAnsi="Times New Roman"/>
        </w:rPr>
        <w:t xml:space="preserve"> engage the Court of Criminal Appeal's obligation to</w:t>
      </w:r>
      <w:r w:rsidR="005F3F44" w:rsidRPr="00F117EB">
        <w:rPr>
          <w:rFonts w:ascii="Times New Roman" w:hAnsi="Times New Roman"/>
        </w:rPr>
        <w:t xml:space="preserve"> undertake its own independent exercise of the sentencing discretion</w:t>
      </w:r>
      <w:r w:rsidR="00EA5EAF" w:rsidRPr="00F117EB">
        <w:rPr>
          <w:rFonts w:ascii="Times New Roman" w:hAnsi="Times New Roman"/>
        </w:rPr>
        <w:t xml:space="preserve">. In </w:t>
      </w:r>
      <w:r w:rsidR="00EA5EAF" w:rsidRPr="00F117EB">
        <w:rPr>
          <w:rFonts w:ascii="Times New Roman" w:hAnsi="Times New Roman"/>
          <w:i/>
          <w:iCs/>
        </w:rPr>
        <w:t>Betts</w:t>
      </w:r>
      <w:r w:rsidR="00796627" w:rsidRPr="00F117EB">
        <w:rPr>
          <w:rFonts w:ascii="Times New Roman" w:hAnsi="Times New Roman"/>
          <w:i/>
          <w:iCs/>
        </w:rPr>
        <w:t xml:space="preserve"> v The Queen</w:t>
      </w:r>
      <w:r w:rsidR="00EA5EAF" w:rsidRPr="00F117EB">
        <w:rPr>
          <w:rFonts w:ascii="Times New Roman" w:hAnsi="Times New Roman"/>
        </w:rPr>
        <w:t xml:space="preserve">, this </w:t>
      </w:r>
      <w:r w:rsidR="00523596" w:rsidRPr="00F117EB">
        <w:rPr>
          <w:rFonts w:ascii="Times New Roman" w:hAnsi="Times New Roman"/>
        </w:rPr>
        <w:t>C</w:t>
      </w:r>
      <w:r w:rsidR="00EA5EAF" w:rsidRPr="00F117EB">
        <w:rPr>
          <w:rFonts w:ascii="Times New Roman" w:hAnsi="Times New Roman"/>
        </w:rPr>
        <w:t xml:space="preserve">ourt noted decisions of the Court of Criminal Appeal to the effect that </w:t>
      </w:r>
      <w:r w:rsidR="00AF297A" w:rsidRPr="00F117EB">
        <w:rPr>
          <w:rFonts w:ascii="Times New Roman" w:hAnsi="Times New Roman"/>
        </w:rPr>
        <w:t>e</w:t>
      </w:r>
      <w:r w:rsidR="00EA5EAF" w:rsidRPr="00F117EB">
        <w:rPr>
          <w:rFonts w:ascii="Times New Roman" w:hAnsi="Times New Roman"/>
        </w:rPr>
        <w:t>rror may be revealed by new or fresh evidence.</w:t>
      </w:r>
      <w:r w:rsidR="00680DE8" w:rsidRPr="00F117EB">
        <w:rPr>
          <w:rStyle w:val="FootnoteReference"/>
          <w:rFonts w:ascii="Times New Roman" w:hAnsi="Times New Roman"/>
          <w:sz w:val="24"/>
        </w:rPr>
        <w:footnoteReference w:id="45"/>
      </w:r>
      <w:r w:rsidR="00EA5EAF" w:rsidRPr="00F117EB">
        <w:rPr>
          <w:rFonts w:ascii="Times New Roman" w:hAnsi="Times New Roman"/>
        </w:rPr>
        <w:t xml:space="preserve"> It is not necessary to address those </w:t>
      </w:r>
      <w:r w:rsidR="0090431B" w:rsidRPr="00F117EB">
        <w:rPr>
          <w:rFonts w:ascii="Times New Roman" w:hAnsi="Times New Roman"/>
        </w:rPr>
        <w:t>grounds</w:t>
      </w:r>
      <w:r w:rsidR="00EA5EAF" w:rsidRPr="00F117EB">
        <w:rPr>
          <w:rFonts w:ascii="Times New Roman" w:hAnsi="Times New Roman"/>
        </w:rPr>
        <w:t xml:space="preserve"> for intervention</w:t>
      </w:r>
      <w:r w:rsidR="00483188" w:rsidRPr="00F117EB">
        <w:rPr>
          <w:rFonts w:ascii="Times New Roman" w:hAnsi="Times New Roman"/>
        </w:rPr>
        <w:t xml:space="preserve"> on a sentence appeal</w:t>
      </w:r>
      <w:r w:rsidR="00EA5EAF" w:rsidRPr="00F117EB">
        <w:rPr>
          <w:rFonts w:ascii="Times New Roman" w:hAnsi="Times New Roman"/>
        </w:rPr>
        <w:t xml:space="preserve"> other than to note that the </w:t>
      </w:r>
      <w:r w:rsidR="0059362B" w:rsidRPr="00F117EB">
        <w:rPr>
          <w:rFonts w:ascii="Times New Roman" w:hAnsi="Times New Roman"/>
        </w:rPr>
        <w:t xml:space="preserve">question of materiality </w:t>
      </w:r>
      <w:r w:rsidR="00754548" w:rsidRPr="00F117EB">
        <w:rPr>
          <w:rFonts w:ascii="Times New Roman" w:hAnsi="Times New Roman"/>
        </w:rPr>
        <w:t xml:space="preserve">of </w:t>
      </w:r>
      <w:r w:rsidR="0059362B" w:rsidRPr="00F117EB">
        <w:rPr>
          <w:rFonts w:ascii="Times New Roman" w:hAnsi="Times New Roman"/>
        </w:rPr>
        <w:t xml:space="preserve">the </w:t>
      </w:r>
      <w:r w:rsidR="00EA5EAF" w:rsidRPr="00F117EB">
        <w:rPr>
          <w:rFonts w:ascii="Times New Roman" w:hAnsi="Times New Roman"/>
        </w:rPr>
        <w:t xml:space="preserve">equivalent </w:t>
      </w:r>
      <w:r w:rsidR="0090431B" w:rsidRPr="00F117EB">
        <w:rPr>
          <w:rFonts w:ascii="Times New Roman" w:hAnsi="Times New Roman"/>
        </w:rPr>
        <w:t>grounds</w:t>
      </w:r>
      <w:r w:rsidR="0059362B" w:rsidRPr="00F117EB">
        <w:rPr>
          <w:rFonts w:ascii="Times New Roman" w:hAnsi="Times New Roman"/>
        </w:rPr>
        <w:t xml:space="preserve"> for</w:t>
      </w:r>
      <w:r w:rsidR="00EA5EAF" w:rsidRPr="00F117EB">
        <w:rPr>
          <w:rFonts w:ascii="Times New Roman" w:hAnsi="Times New Roman"/>
        </w:rPr>
        <w:t xml:space="preserve"> conviction appeals </w:t>
      </w:r>
      <w:r w:rsidR="00572038" w:rsidRPr="00F117EB">
        <w:rPr>
          <w:rFonts w:ascii="Times New Roman" w:hAnsi="Times New Roman"/>
        </w:rPr>
        <w:t xml:space="preserve">was </w:t>
      </w:r>
      <w:r w:rsidR="00EA5EAF" w:rsidRPr="00F117EB">
        <w:rPr>
          <w:rFonts w:ascii="Times New Roman" w:hAnsi="Times New Roman"/>
        </w:rPr>
        <w:t xml:space="preserve">specifically not addressed in </w:t>
      </w:r>
      <w:r w:rsidR="00EA5EAF" w:rsidRPr="00F117EB">
        <w:rPr>
          <w:rFonts w:ascii="Times New Roman" w:hAnsi="Times New Roman"/>
          <w:i/>
          <w:iCs/>
        </w:rPr>
        <w:t>Brawn</w:t>
      </w:r>
      <w:r w:rsidR="00EA5EAF" w:rsidRPr="00F117EB">
        <w:rPr>
          <w:rFonts w:ascii="Times New Roman" w:hAnsi="Times New Roman"/>
        </w:rPr>
        <w:t>.</w:t>
      </w:r>
      <w:r w:rsidR="00047F64" w:rsidRPr="00F117EB">
        <w:rPr>
          <w:rStyle w:val="FootnoteReference"/>
          <w:rFonts w:ascii="Times New Roman" w:hAnsi="Times New Roman"/>
          <w:sz w:val="24"/>
        </w:rPr>
        <w:footnoteReference w:id="46"/>
      </w:r>
      <w:r w:rsidR="00EA5EAF" w:rsidRPr="00F117EB">
        <w:rPr>
          <w:rFonts w:ascii="Times New Roman" w:hAnsi="Times New Roman"/>
        </w:rPr>
        <w:t xml:space="preserve"> </w:t>
      </w:r>
    </w:p>
    <w:p w14:paraId="72FF6565" w14:textId="23DD82D0" w:rsidR="00232E5B" w:rsidRPr="00F117EB" w:rsidRDefault="00047F64" w:rsidP="00F117EB">
      <w:pPr>
        <w:pStyle w:val="FixListStyle"/>
        <w:spacing w:after="260" w:line="280" w:lineRule="exact"/>
        <w:ind w:right="0"/>
        <w:jc w:val="both"/>
        <w:rPr>
          <w:rFonts w:ascii="Times New Roman" w:hAnsi="Times New Roman"/>
        </w:rPr>
      </w:pPr>
      <w:r w:rsidRPr="00F117EB">
        <w:rPr>
          <w:rFonts w:ascii="Times New Roman" w:hAnsi="Times New Roman"/>
        </w:rPr>
        <w:lastRenderedPageBreak/>
        <w:tab/>
      </w:r>
      <w:r w:rsidR="00EA5EAF" w:rsidRPr="00F117EB">
        <w:rPr>
          <w:rFonts w:ascii="Times New Roman" w:hAnsi="Times New Roman"/>
        </w:rPr>
        <w:t xml:space="preserve">Of present relevance is that in </w:t>
      </w:r>
      <w:r w:rsidR="00C45EAB" w:rsidRPr="00F117EB">
        <w:rPr>
          <w:rFonts w:ascii="Times New Roman" w:hAnsi="Times New Roman"/>
          <w:i/>
          <w:iCs/>
        </w:rPr>
        <w:t>Betts</w:t>
      </w:r>
      <w:r w:rsidR="00C45EAB" w:rsidRPr="00F117EB">
        <w:rPr>
          <w:rFonts w:ascii="Times New Roman" w:hAnsi="Times New Roman"/>
        </w:rPr>
        <w:t xml:space="preserve"> </w:t>
      </w:r>
      <w:r w:rsidR="00EA5EAF" w:rsidRPr="00F117EB">
        <w:rPr>
          <w:rFonts w:ascii="Times New Roman" w:hAnsi="Times New Roman"/>
        </w:rPr>
        <w:t>th</w:t>
      </w:r>
      <w:r w:rsidR="00F84F93" w:rsidRPr="00F117EB">
        <w:rPr>
          <w:rFonts w:ascii="Times New Roman" w:hAnsi="Times New Roman"/>
        </w:rPr>
        <w:t>is</w:t>
      </w:r>
      <w:r w:rsidR="00EA5EAF" w:rsidRPr="00F117EB">
        <w:rPr>
          <w:rFonts w:ascii="Times New Roman" w:hAnsi="Times New Roman"/>
        </w:rPr>
        <w:t xml:space="preserve"> </w:t>
      </w:r>
      <w:r w:rsidR="00F84F93" w:rsidRPr="00F117EB">
        <w:rPr>
          <w:rFonts w:ascii="Times New Roman" w:hAnsi="Times New Roman"/>
        </w:rPr>
        <w:t xml:space="preserve">Court </w:t>
      </w:r>
      <w:r w:rsidR="00EA5EAF" w:rsidRPr="00F117EB">
        <w:rPr>
          <w:rFonts w:ascii="Times New Roman" w:hAnsi="Times New Roman"/>
        </w:rPr>
        <w:t>noted that a sentencing hearing may have been</w:t>
      </w:r>
      <w:r w:rsidR="00A035ED" w:rsidRPr="00F117EB">
        <w:rPr>
          <w:rFonts w:ascii="Times New Roman" w:hAnsi="Times New Roman"/>
        </w:rPr>
        <w:t xml:space="preserve"> </w:t>
      </w:r>
      <w:r w:rsidR="00EA5EAF" w:rsidRPr="00F117EB">
        <w:rPr>
          <w:rFonts w:ascii="Times New Roman" w:hAnsi="Times New Roman"/>
        </w:rPr>
        <w:t>"tainted by procedural irregularity</w:t>
      </w:r>
      <w:r w:rsidR="00630312" w:rsidRPr="00F117EB">
        <w:rPr>
          <w:rFonts w:ascii="Times New Roman" w:hAnsi="Times New Roman"/>
        </w:rPr>
        <w:t>"</w:t>
      </w:r>
      <w:r w:rsidR="0090431B" w:rsidRPr="00F117EB">
        <w:rPr>
          <w:rFonts w:ascii="Times New Roman" w:hAnsi="Times New Roman"/>
        </w:rPr>
        <w:t>.</w:t>
      </w:r>
      <w:r w:rsidR="004F05EB" w:rsidRPr="00F117EB">
        <w:rPr>
          <w:rStyle w:val="FootnoteReference"/>
          <w:rFonts w:ascii="Times New Roman" w:hAnsi="Times New Roman"/>
          <w:sz w:val="24"/>
        </w:rPr>
        <w:footnoteReference w:id="47"/>
      </w:r>
      <w:r w:rsidR="00EA5EAF" w:rsidRPr="00F117EB">
        <w:rPr>
          <w:rFonts w:ascii="Times New Roman" w:hAnsi="Times New Roman"/>
        </w:rPr>
        <w:t xml:space="preserve"> The most obvious form of such </w:t>
      </w:r>
      <w:r w:rsidR="009F4D54" w:rsidRPr="00F117EB">
        <w:rPr>
          <w:rFonts w:ascii="Times New Roman" w:hAnsi="Times New Roman"/>
        </w:rPr>
        <w:t xml:space="preserve">a </w:t>
      </w:r>
      <w:r w:rsidR="00EA5EAF" w:rsidRPr="00F117EB">
        <w:rPr>
          <w:rFonts w:ascii="Times New Roman" w:hAnsi="Times New Roman"/>
        </w:rPr>
        <w:t xml:space="preserve">procedural irregularity is a denial of procedural fairness. There are numerous examples of </w:t>
      </w:r>
      <w:r w:rsidR="002E1D30" w:rsidRPr="00F117EB">
        <w:rPr>
          <w:rFonts w:ascii="Times New Roman" w:hAnsi="Times New Roman"/>
        </w:rPr>
        <w:t xml:space="preserve">the Court of Criminal Appeal </w:t>
      </w:r>
      <w:r w:rsidR="00EA5EAF" w:rsidRPr="00F117EB">
        <w:rPr>
          <w:rFonts w:ascii="Times New Roman" w:hAnsi="Times New Roman"/>
        </w:rPr>
        <w:t>intervening on sentenc</w:t>
      </w:r>
      <w:r w:rsidR="00A03BC3" w:rsidRPr="00F117EB">
        <w:rPr>
          <w:rFonts w:ascii="Times New Roman" w:hAnsi="Times New Roman"/>
        </w:rPr>
        <w:t>ing</w:t>
      </w:r>
      <w:r w:rsidR="00EA5EAF" w:rsidRPr="00F117EB">
        <w:rPr>
          <w:rFonts w:ascii="Times New Roman" w:hAnsi="Times New Roman"/>
        </w:rPr>
        <w:t xml:space="preserve"> appeals where such a denial has been established</w:t>
      </w:r>
      <w:r w:rsidR="0021596B" w:rsidRPr="00F117EB">
        <w:rPr>
          <w:rFonts w:ascii="Times New Roman" w:hAnsi="Times New Roman"/>
        </w:rPr>
        <w:t>.</w:t>
      </w:r>
      <w:r w:rsidR="00E008ED" w:rsidRPr="00F117EB">
        <w:rPr>
          <w:rStyle w:val="FootnoteReference"/>
          <w:rFonts w:ascii="Times New Roman" w:hAnsi="Times New Roman"/>
          <w:sz w:val="24"/>
        </w:rPr>
        <w:footnoteReference w:id="48"/>
      </w:r>
      <w:r w:rsidR="00EA5EAF" w:rsidRPr="00F117EB">
        <w:rPr>
          <w:rFonts w:ascii="Times New Roman" w:hAnsi="Times New Roman"/>
        </w:rPr>
        <w:t xml:space="preserve"> </w:t>
      </w:r>
      <w:r w:rsidR="00A112F4" w:rsidRPr="00F117EB">
        <w:rPr>
          <w:rFonts w:ascii="Times New Roman" w:hAnsi="Times New Roman"/>
        </w:rPr>
        <w:t>Those decisions bear out the observation of Gleeson CJ i</w:t>
      </w:r>
      <w:r w:rsidR="00232E5B" w:rsidRPr="00F117EB">
        <w:rPr>
          <w:rFonts w:ascii="Times New Roman" w:hAnsi="Times New Roman"/>
        </w:rPr>
        <w:t xml:space="preserve">n </w:t>
      </w:r>
      <w:r w:rsidR="00232E5B" w:rsidRPr="00F117EB">
        <w:rPr>
          <w:rFonts w:ascii="Times New Roman" w:hAnsi="Times New Roman"/>
          <w:i/>
          <w:iCs/>
        </w:rPr>
        <w:t>Re Minister for Immigration and Multicultural and Indigenous Affairs; Ex </w:t>
      </w:r>
      <w:proofErr w:type="spellStart"/>
      <w:r w:rsidR="00232E5B" w:rsidRPr="00F117EB">
        <w:rPr>
          <w:rFonts w:ascii="Times New Roman" w:hAnsi="Times New Roman"/>
          <w:i/>
          <w:iCs/>
        </w:rPr>
        <w:t>parte</w:t>
      </w:r>
      <w:proofErr w:type="spellEnd"/>
      <w:r w:rsidR="00232E5B" w:rsidRPr="00F117EB">
        <w:rPr>
          <w:rFonts w:ascii="Times New Roman" w:hAnsi="Times New Roman"/>
          <w:i/>
          <w:iCs/>
        </w:rPr>
        <w:t xml:space="preserve"> Lam</w:t>
      </w:r>
      <w:r w:rsidR="00232E5B" w:rsidRPr="00F117EB">
        <w:rPr>
          <w:rFonts w:ascii="Times New Roman" w:hAnsi="Times New Roman"/>
        </w:rPr>
        <w:t xml:space="preserve"> that "[w]</w:t>
      </w:r>
      <w:proofErr w:type="spellStart"/>
      <w:r w:rsidR="00232E5B" w:rsidRPr="00F117EB">
        <w:rPr>
          <w:rFonts w:ascii="Times New Roman" w:hAnsi="Times New Roman"/>
        </w:rPr>
        <w:t>hether</w:t>
      </w:r>
      <w:proofErr w:type="spellEnd"/>
      <w:r w:rsidR="00232E5B" w:rsidRPr="00F117EB">
        <w:rPr>
          <w:rFonts w:ascii="Times New Roman" w:hAnsi="Times New Roman"/>
        </w:rPr>
        <w:t xml:space="preserve"> one talks in terms of procedural fairness or natural justice, the concern of the law is to avoid practical injustice".</w:t>
      </w:r>
      <w:r w:rsidR="00232E5B" w:rsidRPr="00F117EB">
        <w:rPr>
          <w:rStyle w:val="FootnoteReference"/>
          <w:rFonts w:ascii="Times New Roman" w:hAnsi="Times New Roman"/>
          <w:sz w:val="24"/>
        </w:rPr>
        <w:footnoteReference w:id="49"/>
      </w:r>
      <w:r w:rsidR="00232E5B" w:rsidRPr="00F117EB">
        <w:rPr>
          <w:rFonts w:ascii="Times New Roman" w:hAnsi="Times New Roman"/>
        </w:rPr>
        <w:t xml:space="preserve"> In </w:t>
      </w:r>
      <w:r w:rsidR="00232E5B" w:rsidRPr="00F117EB">
        <w:rPr>
          <w:rFonts w:ascii="Times New Roman" w:hAnsi="Times New Roman"/>
          <w:i/>
          <w:iCs/>
        </w:rPr>
        <w:t>Lam</w:t>
      </w:r>
      <w:r w:rsidR="00232E5B" w:rsidRPr="00F117EB">
        <w:rPr>
          <w:rFonts w:ascii="Times New Roman" w:hAnsi="Times New Roman"/>
        </w:rPr>
        <w:t xml:space="preserve"> no such injustice was shown in that the visa holder in that case "lost no opportunity to advance his case".</w:t>
      </w:r>
      <w:r w:rsidR="00232E5B" w:rsidRPr="00F117EB">
        <w:rPr>
          <w:rStyle w:val="FootnoteReference"/>
          <w:rFonts w:ascii="Times New Roman" w:hAnsi="Times New Roman"/>
          <w:sz w:val="24"/>
        </w:rPr>
        <w:footnoteReference w:id="50"/>
      </w:r>
      <w:r w:rsidR="00A112F4" w:rsidRPr="00F117EB">
        <w:rPr>
          <w:rFonts w:ascii="Times New Roman" w:hAnsi="Times New Roman"/>
        </w:rPr>
        <w:t xml:space="preserve"> In the context of a sentencing hearing</w:t>
      </w:r>
      <w:r w:rsidR="00992C5C" w:rsidRPr="00F117EB">
        <w:rPr>
          <w:rFonts w:ascii="Times New Roman" w:hAnsi="Times New Roman"/>
        </w:rPr>
        <w:t>,</w:t>
      </w:r>
      <w:r w:rsidR="0089622B" w:rsidRPr="00F117EB">
        <w:rPr>
          <w:rFonts w:ascii="Times New Roman" w:hAnsi="Times New Roman"/>
        </w:rPr>
        <w:t xml:space="preserve"> where serious interests of the offender are at stake, the </w:t>
      </w:r>
      <w:r w:rsidR="00AC6A9E" w:rsidRPr="00F117EB">
        <w:rPr>
          <w:rFonts w:ascii="Times New Roman" w:hAnsi="Times New Roman"/>
        </w:rPr>
        <w:t xml:space="preserve">concern to avoid practical injustice </w:t>
      </w:r>
      <w:r w:rsidR="00732C66" w:rsidRPr="00F117EB">
        <w:rPr>
          <w:rFonts w:ascii="Times New Roman" w:hAnsi="Times New Roman"/>
        </w:rPr>
        <w:t xml:space="preserve">is reflected in </w:t>
      </w:r>
      <w:r w:rsidR="00AC6A9E" w:rsidRPr="00F117EB">
        <w:rPr>
          <w:rFonts w:ascii="Times New Roman" w:hAnsi="Times New Roman"/>
        </w:rPr>
        <w:t xml:space="preserve">an offender </w:t>
      </w:r>
      <w:r w:rsidR="00732C66" w:rsidRPr="00F117EB">
        <w:rPr>
          <w:rFonts w:ascii="Times New Roman" w:hAnsi="Times New Roman"/>
        </w:rPr>
        <w:t>being afforded</w:t>
      </w:r>
      <w:r w:rsidR="00CC74EB" w:rsidRPr="00F117EB">
        <w:rPr>
          <w:rFonts w:ascii="Times New Roman" w:hAnsi="Times New Roman"/>
        </w:rPr>
        <w:t xml:space="preserve"> a reasonable opportunity to present their case in mitigation.</w:t>
      </w:r>
      <w:r w:rsidR="00A112F4" w:rsidRPr="00F117EB">
        <w:rPr>
          <w:rFonts w:ascii="Times New Roman" w:hAnsi="Times New Roman"/>
        </w:rPr>
        <w:t xml:space="preserve"> </w:t>
      </w:r>
    </w:p>
    <w:p w14:paraId="3190CDA8" w14:textId="092C82CA" w:rsidR="00EA5EAF" w:rsidRPr="00F117EB" w:rsidRDefault="00847894"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21596B" w:rsidRPr="00F117EB">
        <w:rPr>
          <w:rFonts w:ascii="Times New Roman" w:hAnsi="Times New Roman"/>
        </w:rPr>
        <w:t>S</w:t>
      </w:r>
      <w:r w:rsidR="00EA5EAF" w:rsidRPr="00F117EB">
        <w:rPr>
          <w:rFonts w:ascii="Times New Roman" w:hAnsi="Times New Roman"/>
        </w:rPr>
        <w:t xml:space="preserve">ometimes </w:t>
      </w:r>
      <w:r w:rsidR="00B76224" w:rsidRPr="00F117EB">
        <w:rPr>
          <w:rFonts w:ascii="Times New Roman" w:hAnsi="Times New Roman"/>
        </w:rPr>
        <w:t>a</w:t>
      </w:r>
      <w:r w:rsidR="00EA5EAF" w:rsidRPr="00F117EB">
        <w:rPr>
          <w:rFonts w:ascii="Times New Roman" w:hAnsi="Times New Roman"/>
        </w:rPr>
        <w:t xml:space="preserve"> </w:t>
      </w:r>
      <w:r w:rsidR="00D17231" w:rsidRPr="00F117EB">
        <w:rPr>
          <w:rFonts w:ascii="Times New Roman" w:hAnsi="Times New Roman"/>
        </w:rPr>
        <w:t xml:space="preserve">material </w:t>
      </w:r>
      <w:r w:rsidR="0021596B" w:rsidRPr="00F117EB">
        <w:rPr>
          <w:rFonts w:ascii="Times New Roman" w:hAnsi="Times New Roman"/>
        </w:rPr>
        <w:t xml:space="preserve">denial </w:t>
      </w:r>
      <w:r w:rsidR="00D17231" w:rsidRPr="00F117EB">
        <w:rPr>
          <w:rFonts w:ascii="Times New Roman" w:hAnsi="Times New Roman"/>
        </w:rPr>
        <w:t xml:space="preserve">of procedural fairness </w:t>
      </w:r>
      <w:r w:rsidR="00EA5EAF" w:rsidRPr="00F117EB">
        <w:rPr>
          <w:rFonts w:ascii="Times New Roman" w:hAnsi="Times New Roman"/>
        </w:rPr>
        <w:t xml:space="preserve">or </w:t>
      </w:r>
      <w:r w:rsidR="00336073" w:rsidRPr="00F117EB">
        <w:rPr>
          <w:rFonts w:ascii="Times New Roman" w:hAnsi="Times New Roman"/>
        </w:rPr>
        <w:t>some other</w:t>
      </w:r>
      <w:r w:rsidR="00CE348F" w:rsidRPr="00F117EB">
        <w:rPr>
          <w:rFonts w:ascii="Times New Roman" w:hAnsi="Times New Roman"/>
        </w:rPr>
        <w:t xml:space="preserve"> procedural irregularity</w:t>
      </w:r>
      <w:r w:rsidR="00EA5EAF" w:rsidRPr="00F117EB">
        <w:rPr>
          <w:rFonts w:ascii="Times New Roman" w:hAnsi="Times New Roman"/>
        </w:rPr>
        <w:t xml:space="preserve"> </w:t>
      </w:r>
      <w:r w:rsidR="00B76224" w:rsidRPr="00F117EB">
        <w:rPr>
          <w:rFonts w:ascii="Times New Roman" w:hAnsi="Times New Roman"/>
        </w:rPr>
        <w:t xml:space="preserve">in sentencing proceedings </w:t>
      </w:r>
      <w:r w:rsidR="00EA5EAF" w:rsidRPr="00F117EB">
        <w:rPr>
          <w:rFonts w:ascii="Times New Roman" w:hAnsi="Times New Roman"/>
        </w:rPr>
        <w:t xml:space="preserve">has been described </w:t>
      </w:r>
      <w:r w:rsidR="00A00DE1" w:rsidRPr="00F117EB">
        <w:rPr>
          <w:rFonts w:ascii="Times New Roman" w:hAnsi="Times New Roman"/>
        </w:rPr>
        <w:t>by the Court of Criminal Appeal</w:t>
      </w:r>
      <w:r w:rsidR="00355A53" w:rsidRPr="00F117EB">
        <w:rPr>
          <w:rFonts w:ascii="Times New Roman" w:hAnsi="Times New Roman"/>
        </w:rPr>
        <w:t>,</w:t>
      </w:r>
      <w:r w:rsidR="00355A53" w:rsidRPr="00F117EB">
        <w:rPr>
          <w:rStyle w:val="FootnoteReference"/>
          <w:rFonts w:ascii="Times New Roman" w:hAnsi="Times New Roman"/>
          <w:sz w:val="24"/>
        </w:rPr>
        <w:footnoteReference w:id="51"/>
      </w:r>
      <w:r w:rsidR="00EA5EAF" w:rsidRPr="00F117EB">
        <w:rPr>
          <w:rFonts w:ascii="Times New Roman" w:hAnsi="Times New Roman"/>
        </w:rPr>
        <w:t xml:space="preserve"> and </w:t>
      </w:r>
      <w:r w:rsidR="00A00DE1" w:rsidRPr="00F117EB">
        <w:rPr>
          <w:rFonts w:ascii="Times New Roman" w:hAnsi="Times New Roman"/>
        </w:rPr>
        <w:t>by</w:t>
      </w:r>
      <w:r w:rsidR="00EA5EAF" w:rsidRPr="00F117EB">
        <w:rPr>
          <w:rFonts w:ascii="Times New Roman" w:hAnsi="Times New Roman"/>
        </w:rPr>
        <w:t xml:space="preserve"> this </w:t>
      </w:r>
      <w:r w:rsidR="00355A53" w:rsidRPr="00F117EB">
        <w:rPr>
          <w:rFonts w:ascii="Times New Roman" w:hAnsi="Times New Roman"/>
        </w:rPr>
        <w:t>C</w:t>
      </w:r>
      <w:r w:rsidR="00EA5EAF" w:rsidRPr="00F117EB">
        <w:rPr>
          <w:rFonts w:ascii="Times New Roman" w:hAnsi="Times New Roman"/>
        </w:rPr>
        <w:t>ourt</w:t>
      </w:r>
      <w:r w:rsidR="00355A53" w:rsidRPr="00F117EB">
        <w:rPr>
          <w:rFonts w:ascii="Times New Roman" w:hAnsi="Times New Roman"/>
        </w:rPr>
        <w:t>,</w:t>
      </w:r>
      <w:r w:rsidR="00355A53" w:rsidRPr="00F117EB">
        <w:rPr>
          <w:rStyle w:val="FootnoteReference"/>
          <w:rFonts w:ascii="Times New Roman" w:hAnsi="Times New Roman"/>
          <w:sz w:val="24"/>
        </w:rPr>
        <w:footnoteReference w:id="52"/>
      </w:r>
      <w:r w:rsidR="00EA5EAF" w:rsidRPr="00F117EB">
        <w:rPr>
          <w:rFonts w:ascii="Times New Roman" w:hAnsi="Times New Roman"/>
        </w:rPr>
        <w:t xml:space="preserve"> as a "miscarriage of justice"</w:t>
      </w:r>
      <w:r w:rsidR="00355A53" w:rsidRPr="00F117EB">
        <w:rPr>
          <w:rFonts w:ascii="Times New Roman" w:hAnsi="Times New Roman"/>
        </w:rPr>
        <w:t xml:space="preserve"> </w:t>
      </w:r>
      <w:r w:rsidR="00EA5EAF" w:rsidRPr="00F117EB">
        <w:rPr>
          <w:rFonts w:ascii="Times New Roman" w:hAnsi="Times New Roman"/>
        </w:rPr>
        <w:t>even though that phrase has no statutory foundation</w:t>
      </w:r>
      <w:r w:rsidR="0021596B" w:rsidRPr="00F117EB">
        <w:rPr>
          <w:rFonts w:ascii="Times New Roman" w:hAnsi="Times New Roman"/>
        </w:rPr>
        <w:t xml:space="preserve"> i</w:t>
      </w:r>
      <w:r w:rsidR="00AD341F" w:rsidRPr="00F117EB">
        <w:rPr>
          <w:rFonts w:ascii="Times New Roman" w:hAnsi="Times New Roman"/>
        </w:rPr>
        <w:t>n relation to sente</w:t>
      </w:r>
      <w:r w:rsidR="00047EE8" w:rsidRPr="00F117EB">
        <w:rPr>
          <w:rFonts w:ascii="Times New Roman" w:hAnsi="Times New Roman"/>
        </w:rPr>
        <w:t>ncing appeals</w:t>
      </w:r>
      <w:r w:rsidR="00EA5EAF" w:rsidRPr="00F117EB">
        <w:rPr>
          <w:rFonts w:ascii="Times New Roman" w:hAnsi="Times New Roman"/>
        </w:rPr>
        <w:t xml:space="preserve">. </w:t>
      </w:r>
      <w:r w:rsidR="00D17231" w:rsidRPr="00F117EB">
        <w:rPr>
          <w:rFonts w:ascii="Times New Roman" w:hAnsi="Times New Roman"/>
        </w:rPr>
        <w:t>The better description is that the exercise of the sentencing discretion has been vitiated.</w:t>
      </w:r>
    </w:p>
    <w:p w14:paraId="62371C52" w14:textId="727340AF" w:rsidR="00EA5EAF" w:rsidRPr="00F117EB" w:rsidRDefault="002525AA" w:rsidP="00F117EB">
      <w:pPr>
        <w:pStyle w:val="FixListStyle"/>
        <w:spacing w:after="260" w:line="280" w:lineRule="exact"/>
        <w:ind w:right="0"/>
        <w:jc w:val="both"/>
        <w:rPr>
          <w:rFonts w:ascii="Times New Roman" w:hAnsi="Times New Roman"/>
        </w:rPr>
      </w:pPr>
      <w:r w:rsidRPr="00F117EB">
        <w:rPr>
          <w:rFonts w:ascii="Times New Roman" w:hAnsi="Times New Roman"/>
        </w:rPr>
        <w:lastRenderedPageBreak/>
        <w:tab/>
      </w:r>
      <w:proofErr w:type="gramStart"/>
      <w:r w:rsidR="00EA5EAF" w:rsidRPr="00F117EB">
        <w:rPr>
          <w:rFonts w:ascii="Times New Roman" w:hAnsi="Times New Roman"/>
        </w:rPr>
        <w:t>Similar to</w:t>
      </w:r>
      <w:proofErr w:type="gramEnd"/>
      <w:r w:rsidR="00EA5EAF" w:rsidRPr="00F117EB">
        <w:rPr>
          <w:rFonts w:ascii="Times New Roman" w:hAnsi="Times New Roman"/>
        </w:rPr>
        <w:t xml:space="preserve"> what was recognised in </w:t>
      </w:r>
      <w:proofErr w:type="spellStart"/>
      <w:r w:rsidR="00EA5EAF" w:rsidRPr="00F117EB">
        <w:rPr>
          <w:rFonts w:ascii="Times New Roman" w:hAnsi="Times New Roman"/>
          <w:i/>
          <w:iCs/>
        </w:rPr>
        <w:t>Kentwell</w:t>
      </w:r>
      <w:proofErr w:type="spellEnd"/>
      <w:r w:rsidRPr="00F117EB">
        <w:rPr>
          <w:rFonts w:ascii="Times New Roman" w:hAnsi="Times New Roman"/>
        </w:rPr>
        <w:t>,</w:t>
      </w:r>
      <w:r w:rsidR="00D70613" w:rsidRPr="00F117EB">
        <w:rPr>
          <w:rStyle w:val="FootnoteReference"/>
          <w:rFonts w:ascii="Times New Roman" w:hAnsi="Times New Roman"/>
          <w:sz w:val="24"/>
        </w:rPr>
        <w:footnoteReference w:id="53"/>
      </w:r>
      <w:r w:rsidR="00EA5EAF" w:rsidRPr="00F117EB">
        <w:rPr>
          <w:rFonts w:ascii="Times New Roman" w:hAnsi="Times New Roman"/>
        </w:rPr>
        <w:t xml:space="preserve"> not all procedural irregularities are such as to warrant the Court of Criminal Appeal undertaking an independent exercise of </w:t>
      </w:r>
      <w:r w:rsidR="00633E23" w:rsidRPr="00F117EB">
        <w:rPr>
          <w:rFonts w:ascii="Times New Roman" w:hAnsi="Times New Roman"/>
        </w:rPr>
        <w:t xml:space="preserve">the </w:t>
      </w:r>
      <w:r w:rsidR="00EA5EAF" w:rsidRPr="00F117EB">
        <w:rPr>
          <w:rFonts w:ascii="Times New Roman" w:hAnsi="Times New Roman"/>
        </w:rPr>
        <w:t xml:space="preserve">sentencing discretion to determine whether a </w:t>
      </w:r>
      <w:proofErr w:type="gramStart"/>
      <w:r w:rsidR="00EA5EAF" w:rsidRPr="00F117EB">
        <w:rPr>
          <w:rFonts w:ascii="Times New Roman" w:hAnsi="Times New Roman"/>
        </w:rPr>
        <w:t>more or less severe</w:t>
      </w:r>
      <w:proofErr w:type="gramEnd"/>
      <w:r w:rsidR="00EA5EAF" w:rsidRPr="00F117EB">
        <w:rPr>
          <w:rFonts w:ascii="Times New Roman" w:hAnsi="Times New Roman"/>
        </w:rPr>
        <w:t xml:space="preserve"> sentence is warranted. </w:t>
      </w:r>
      <w:r w:rsidR="006354F0" w:rsidRPr="00F117EB">
        <w:rPr>
          <w:rFonts w:ascii="Times New Roman" w:hAnsi="Times New Roman"/>
        </w:rPr>
        <w:t>Adapting and adopting the</w:t>
      </w:r>
      <w:r w:rsidR="00EA5EAF" w:rsidRPr="00F117EB">
        <w:rPr>
          <w:rFonts w:ascii="Times New Roman" w:hAnsi="Times New Roman"/>
        </w:rPr>
        <w:t xml:space="preserve"> approach stated in </w:t>
      </w:r>
      <w:r w:rsidR="00EA5EAF" w:rsidRPr="00F117EB">
        <w:rPr>
          <w:rFonts w:ascii="Times New Roman" w:hAnsi="Times New Roman"/>
          <w:i/>
          <w:iCs/>
        </w:rPr>
        <w:t>Brawn</w:t>
      </w:r>
      <w:r w:rsidR="009E3095" w:rsidRPr="00F117EB">
        <w:rPr>
          <w:rFonts w:ascii="Times New Roman" w:hAnsi="Times New Roman"/>
        </w:rPr>
        <w:t xml:space="preserve"> to </w:t>
      </w:r>
      <w:r w:rsidR="006028EF" w:rsidRPr="00F117EB">
        <w:rPr>
          <w:rFonts w:ascii="Times New Roman" w:hAnsi="Times New Roman"/>
        </w:rPr>
        <w:t xml:space="preserve">specific errors and procedural irregularities harmonises the </w:t>
      </w:r>
      <w:r w:rsidR="00D14158" w:rsidRPr="00F117EB">
        <w:rPr>
          <w:rFonts w:ascii="Times New Roman" w:hAnsi="Times New Roman"/>
        </w:rPr>
        <w:t>various formulations of</w:t>
      </w:r>
      <w:r w:rsidR="00C2290C" w:rsidRPr="00F117EB">
        <w:rPr>
          <w:rFonts w:ascii="Times New Roman" w:hAnsi="Times New Roman"/>
        </w:rPr>
        <w:t xml:space="preserve"> a</w:t>
      </w:r>
      <w:r w:rsidR="00D14158" w:rsidRPr="00F117EB">
        <w:rPr>
          <w:rFonts w:ascii="Times New Roman" w:hAnsi="Times New Roman"/>
        </w:rPr>
        <w:t xml:space="preserve"> materiality</w:t>
      </w:r>
      <w:r w:rsidR="00C2290C" w:rsidRPr="00F117EB">
        <w:rPr>
          <w:rFonts w:ascii="Times New Roman" w:hAnsi="Times New Roman"/>
        </w:rPr>
        <w:t xml:space="preserve"> threshold</w:t>
      </w:r>
      <w:r w:rsidR="00D14158" w:rsidRPr="00F117EB">
        <w:rPr>
          <w:rFonts w:ascii="Times New Roman" w:hAnsi="Times New Roman"/>
        </w:rPr>
        <w:t>.</w:t>
      </w:r>
      <w:r w:rsidR="0068260C" w:rsidRPr="00F117EB">
        <w:rPr>
          <w:rStyle w:val="FootnoteReference"/>
          <w:rFonts w:ascii="Times New Roman" w:hAnsi="Times New Roman"/>
          <w:sz w:val="24"/>
        </w:rPr>
        <w:footnoteReference w:id="54"/>
      </w:r>
      <w:r w:rsidR="00EA5EAF" w:rsidRPr="00F117EB">
        <w:rPr>
          <w:rFonts w:ascii="Times New Roman" w:hAnsi="Times New Roman"/>
        </w:rPr>
        <w:t xml:space="preserve"> In this case, if the appellant </w:t>
      </w:r>
      <w:r w:rsidR="006246A3" w:rsidRPr="00F117EB">
        <w:rPr>
          <w:rFonts w:ascii="Times New Roman" w:hAnsi="Times New Roman"/>
        </w:rPr>
        <w:t xml:space="preserve">had </w:t>
      </w:r>
      <w:r w:rsidR="00EA5EAF" w:rsidRPr="00F117EB">
        <w:rPr>
          <w:rFonts w:ascii="Times New Roman" w:hAnsi="Times New Roman"/>
        </w:rPr>
        <w:t xml:space="preserve">demonstrated the procedural irregularity </w:t>
      </w:r>
      <w:r w:rsidR="00AD7901" w:rsidRPr="00F117EB">
        <w:rPr>
          <w:rFonts w:ascii="Times New Roman" w:hAnsi="Times New Roman"/>
        </w:rPr>
        <w:t>alleged</w:t>
      </w:r>
      <w:r w:rsidR="009674EC" w:rsidRPr="00F117EB">
        <w:rPr>
          <w:rFonts w:ascii="Times New Roman" w:hAnsi="Times New Roman"/>
        </w:rPr>
        <w:t xml:space="preserve"> (</w:t>
      </w:r>
      <w:proofErr w:type="spellStart"/>
      <w:r w:rsidR="009674EC" w:rsidRPr="00F117EB">
        <w:rPr>
          <w:rFonts w:ascii="Times New Roman" w:hAnsi="Times New Roman"/>
        </w:rPr>
        <w:t>ie</w:t>
      </w:r>
      <w:proofErr w:type="spellEnd"/>
      <w:r w:rsidR="00B81B75" w:rsidRPr="00F117EB">
        <w:rPr>
          <w:rFonts w:ascii="Times New Roman" w:hAnsi="Times New Roman"/>
        </w:rPr>
        <w:t>,</w:t>
      </w:r>
      <w:r w:rsidR="009674EC" w:rsidRPr="00F117EB">
        <w:rPr>
          <w:rFonts w:ascii="Times New Roman" w:hAnsi="Times New Roman"/>
        </w:rPr>
        <w:t xml:space="preserve"> a conflict or a real or substantial possibility of a conflict) then it would have been concluded that </w:t>
      </w:r>
      <w:r w:rsidR="00345FAD" w:rsidRPr="00F117EB">
        <w:rPr>
          <w:rFonts w:ascii="Times New Roman" w:hAnsi="Times New Roman"/>
        </w:rPr>
        <w:t xml:space="preserve">the </w:t>
      </w:r>
      <w:r w:rsidR="009674EC" w:rsidRPr="00F117EB">
        <w:rPr>
          <w:rFonts w:ascii="Times New Roman" w:hAnsi="Times New Roman"/>
        </w:rPr>
        <w:t>exercise of the sentencing discretion was vitiated</w:t>
      </w:r>
      <w:r w:rsidR="00BC2D6A" w:rsidRPr="00F117EB">
        <w:rPr>
          <w:rFonts w:ascii="Times New Roman" w:hAnsi="Times New Roman"/>
        </w:rPr>
        <w:t>. G</w:t>
      </w:r>
      <w:r w:rsidR="00EA5EAF" w:rsidRPr="00F117EB">
        <w:rPr>
          <w:rFonts w:ascii="Times New Roman" w:hAnsi="Times New Roman"/>
        </w:rPr>
        <w:t>iven the</w:t>
      </w:r>
      <w:r w:rsidR="00B14EDF" w:rsidRPr="00F117EB">
        <w:rPr>
          <w:rFonts w:ascii="Times New Roman" w:hAnsi="Times New Roman"/>
        </w:rPr>
        <w:t xml:space="preserve"> sentencing judge's reasoning and the</w:t>
      </w:r>
      <w:r w:rsidR="00EA5EAF" w:rsidRPr="00F117EB">
        <w:rPr>
          <w:rFonts w:ascii="Times New Roman" w:hAnsi="Times New Roman"/>
        </w:rPr>
        <w:t xml:space="preserve"> potential significance of the relative </w:t>
      </w:r>
      <w:r w:rsidR="00212FCA" w:rsidRPr="00F117EB">
        <w:rPr>
          <w:rFonts w:ascii="Times New Roman" w:hAnsi="Times New Roman"/>
        </w:rPr>
        <w:t xml:space="preserve">objective </w:t>
      </w:r>
      <w:r w:rsidR="00AF1000" w:rsidRPr="00F117EB">
        <w:rPr>
          <w:rFonts w:ascii="Times New Roman" w:hAnsi="Times New Roman"/>
        </w:rPr>
        <w:t xml:space="preserve">seriousness </w:t>
      </w:r>
      <w:r w:rsidR="00EA5EAF" w:rsidRPr="00F117EB">
        <w:rPr>
          <w:rFonts w:ascii="Times New Roman" w:hAnsi="Times New Roman"/>
        </w:rPr>
        <w:t>of participants in a criminal enterprise when addressing parity</w:t>
      </w:r>
      <w:r w:rsidR="001651CE" w:rsidRPr="00F117EB">
        <w:rPr>
          <w:rFonts w:ascii="Times New Roman" w:hAnsi="Times New Roman"/>
        </w:rPr>
        <w:t xml:space="preserve"> </w:t>
      </w:r>
      <w:r w:rsidR="00980FE0" w:rsidRPr="00F117EB">
        <w:rPr>
          <w:rFonts w:ascii="Times New Roman" w:hAnsi="Times New Roman"/>
        </w:rPr>
        <w:t xml:space="preserve">in </w:t>
      </w:r>
      <w:r w:rsidR="001651CE" w:rsidRPr="00F117EB">
        <w:rPr>
          <w:rFonts w:ascii="Times New Roman" w:hAnsi="Times New Roman"/>
        </w:rPr>
        <w:t>the sentencing exercise</w:t>
      </w:r>
      <w:r w:rsidR="00BC2D6A" w:rsidRPr="00F117EB">
        <w:rPr>
          <w:rFonts w:ascii="Times New Roman" w:hAnsi="Times New Roman"/>
        </w:rPr>
        <w:t>,</w:t>
      </w:r>
      <w:r w:rsidR="009B5237" w:rsidRPr="00F117EB">
        <w:rPr>
          <w:rStyle w:val="FootnoteReference"/>
          <w:rFonts w:ascii="Times New Roman" w:hAnsi="Times New Roman"/>
          <w:sz w:val="24"/>
        </w:rPr>
        <w:footnoteReference w:id="55"/>
      </w:r>
      <w:r w:rsidR="00BC2D6A" w:rsidRPr="00F117EB">
        <w:rPr>
          <w:rFonts w:ascii="Times New Roman" w:hAnsi="Times New Roman"/>
        </w:rPr>
        <w:t xml:space="preserve"> </w:t>
      </w:r>
      <w:r w:rsidR="001B62AA" w:rsidRPr="00F117EB">
        <w:rPr>
          <w:rFonts w:ascii="Times New Roman" w:hAnsi="Times New Roman"/>
        </w:rPr>
        <w:t xml:space="preserve">such an </w:t>
      </w:r>
      <w:r w:rsidR="00BC2D6A" w:rsidRPr="00F117EB">
        <w:rPr>
          <w:rFonts w:ascii="Times New Roman" w:hAnsi="Times New Roman"/>
        </w:rPr>
        <w:t>irregularity could realistically have affected the reasoning of the sentencing judge to the sentence that was imposed</w:t>
      </w:r>
      <w:r w:rsidR="008E5313" w:rsidRPr="00F117EB">
        <w:rPr>
          <w:rFonts w:ascii="Times New Roman" w:hAnsi="Times New Roman"/>
        </w:rPr>
        <w:t xml:space="preserve">. </w:t>
      </w:r>
    </w:p>
    <w:p w14:paraId="6089183A" w14:textId="6C340CDF" w:rsidR="00EA5EAF" w:rsidRPr="00F117EB" w:rsidRDefault="00EA5EAF" w:rsidP="00F117EB">
      <w:pPr>
        <w:pStyle w:val="HeadingL1"/>
        <w:spacing w:after="260" w:line="280" w:lineRule="exact"/>
        <w:ind w:right="0"/>
        <w:jc w:val="both"/>
        <w:rPr>
          <w:rFonts w:ascii="Times New Roman" w:hAnsi="Times New Roman"/>
        </w:rPr>
      </w:pPr>
      <w:r w:rsidRPr="00F117EB">
        <w:rPr>
          <w:rFonts w:ascii="Times New Roman" w:hAnsi="Times New Roman"/>
        </w:rPr>
        <w:t>Conflict</w:t>
      </w:r>
      <w:r w:rsidR="000A26E0" w:rsidRPr="00F117EB">
        <w:rPr>
          <w:rFonts w:ascii="Times New Roman" w:hAnsi="Times New Roman"/>
        </w:rPr>
        <w:t>ing</w:t>
      </w:r>
      <w:r w:rsidRPr="00F117EB">
        <w:rPr>
          <w:rFonts w:ascii="Times New Roman" w:hAnsi="Times New Roman"/>
        </w:rPr>
        <w:t xml:space="preserve"> </w:t>
      </w:r>
      <w:r w:rsidR="00F237A9" w:rsidRPr="00F117EB">
        <w:rPr>
          <w:rFonts w:ascii="Times New Roman" w:hAnsi="Times New Roman"/>
        </w:rPr>
        <w:t>d</w:t>
      </w:r>
      <w:r w:rsidRPr="00F117EB">
        <w:rPr>
          <w:rFonts w:ascii="Times New Roman" w:hAnsi="Times New Roman"/>
        </w:rPr>
        <w:t xml:space="preserve">uties in </w:t>
      </w:r>
      <w:r w:rsidR="00F237A9" w:rsidRPr="00F117EB">
        <w:rPr>
          <w:rFonts w:ascii="Times New Roman" w:hAnsi="Times New Roman"/>
        </w:rPr>
        <w:t>c</w:t>
      </w:r>
      <w:r w:rsidRPr="00F117EB">
        <w:rPr>
          <w:rFonts w:ascii="Times New Roman" w:hAnsi="Times New Roman"/>
        </w:rPr>
        <w:t xml:space="preserve">riminal </w:t>
      </w:r>
      <w:r w:rsidR="00F237A9" w:rsidRPr="00F117EB">
        <w:rPr>
          <w:rFonts w:ascii="Times New Roman" w:hAnsi="Times New Roman"/>
        </w:rPr>
        <w:t>p</w:t>
      </w:r>
      <w:r w:rsidRPr="00F117EB">
        <w:rPr>
          <w:rFonts w:ascii="Times New Roman" w:hAnsi="Times New Roman"/>
        </w:rPr>
        <w:t>roceedings</w:t>
      </w:r>
    </w:p>
    <w:p w14:paraId="104AA5C4" w14:textId="2DE3AA4E" w:rsidR="00EA5EAF" w:rsidRPr="00F117EB" w:rsidRDefault="00F237A9"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Sentencing proceedings following a trial or a plea of guilty are part of the process of a criminal trial and, as such, are accusatorial and adversarial.</w:t>
      </w:r>
      <w:r w:rsidR="007C66FE" w:rsidRPr="00F117EB">
        <w:rPr>
          <w:rStyle w:val="FootnoteReference"/>
          <w:rFonts w:ascii="Times New Roman" w:hAnsi="Times New Roman"/>
          <w:sz w:val="24"/>
        </w:rPr>
        <w:footnoteReference w:id="56"/>
      </w:r>
      <w:r w:rsidR="00EA5EAF" w:rsidRPr="00F117EB">
        <w:rPr>
          <w:rFonts w:ascii="Times New Roman" w:hAnsi="Times New Roman"/>
        </w:rPr>
        <w:t xml:space="preserve"> Counsel appearing for a </w:t>
      </w:r>
      <w:r w:rsidR="00A92954" w:rsidRPr="00F117EB">
        <w:rPr>
          <w:rFonts w:ascii="Times New Roman" w:hAnsi="Times New Roman"/>
        </w:rPr>
        <w:t xml:space="preserve">defendant </w:t>
      </w:r>
      <w:r w:rsidR="00EA5EAF" w:rsidRPr="00F117EB">
        <w:rPr>
          <w:rFonts w:ascii="Times New Roman" w:hAnsi="Times New Roman"/>
        </w:rPr>
        <w:t>at a criminal trial</w:t>
      </w:r>
      <w:r w:rsidR="0081501B" w:rsidRPr="00F117EB">
        <w:rPr>
          <w:rFonts w:ascii="Times New Roman" w:hAnsi="Times New Roman"/>
        </w:rPr>
        <w:t xml:space="preserve"> or hearing</w:t>
      </w:r>
      <w:r w:rsidR="001228F2" w:rsidRPr="00F117EB">
        <w:rPr>
          <w:rFonts w:ascii="Times New Roman" w:hAnsi="Times New Roman"/>
        </w:rPr>
        <w:t>,</w:t>
      </w:r>
      <w:r w:rsidR="00EA5EAF" w:rsidRPr="00F117EB">
        <w:rPr>
          <w:rFonts w:ascii="Times New Roman" w:hAnsi="Times New Roman"/>
        </w:rPr>
        <w:t xml:space="preserve"> including sentencing proceedings</w:t>
      </w:r>
      <w:r w:rsidR="00AB5C65" w:rsidRPr="00F117EB">
        <w:rPr>
          <w:rFonts w:ascii="Times New Roman" w:hAnsi="Times New Roman"/>
        </w:rPr>
        <w:t>,</w:t>
      </w:r>
      <w:r w:rsidR="00EA5EAF" w:rsidRPr="00F117EB">
        <w:rPr>
          <w:rFonts w:ascii="Times New Roman" w:hAnsi="Times New Roman"/>
        </w:rPr>
        <w:t xml:space="preserve"> </w:t>
      </w:r>
      <w:r w:rsidR="00054E3E" w:rsidRPr="00F117EB">
        <w:rPr>
          <w:rFonts w:ascii="Times New Roman" w:hAnsi="Times New Roman"/>
        </w:rPr>
        <w:t xml:space="preserve">is </w:t>
      </w:r>
      <w:r w:rsidR="00EA5EAF" w:rsidRPr="00F117EB">
        <w:rPr>
          <w:rFonts w:ascii="Times New Roman" w:hAnsi="Times New Roman"/>
        </w:rPr>
        <w:t xml:space="preserve">vested with control over and responsibility for the manner in which the </w:t>
      </w:r>
      <w:r w:rsidR="00C6648E" w:rsidRPr="00F117EB">
        <w:rPr>
          <w:rFonts w:ascii="Times New Roman" w:hAnsi="Times New Roman"/>
        </w:rPr>
        <w:t>proceedings</w:t>
      </w:r>
      <w:r w:rsidR="00EA5EAF" w:rsidRPr="00F117EB">
        <w:rPr>
          <w:rFonts w:ascii="Times New Roman" w:hAnsi="Times New Roman"/>
        </w:rPr>
        <w:t xml:space="preserve"> </w:t>
      </w:r>
      <w:r w:rsidR="00C6648E" w:rsidRPr="00F117EB">
        <w:rPr>
          <w:rFonts w:ascii="Times New Roman" w:hAnsi="Times New Roman"/>
        </w:rPr>
        <w:t xml:space="preserve">are conducted </w:t>
      </w:r>
      <w:r w:rsidR="00E9544F" w:rsidRPr="00F117EB">
        <w:rPr>
          <w:rFonts w:ascii="Times New Roman" w:hAnsi="Times New Roman"/>
        </w:rPr>
        <w:t xml:space="preserve">on behalf of the </w:t>
      </w:r>
      <w:r w:rsidR="00F0038C" w:rsidRPr="00F117EB">
        <w:rPr>
          <w:rFonts w:ascii="Times New Roman" w:hAnsi="Times New Roman"/>
        </w:rPr>
        <w:t>defendant</w:t>
      </w:r>
      <w:r w:rsidR="00EA5EAF" w:rsidRPr="00F117EB">
        <w:rPr>
          <w:rFonts w:ascii="Times New Roman" w:hAnsi="Times New Roman"/>
        </w:rPr>
        <w:t>.</w:t>
      </w:r>
      <w:r w:rsidR="002A2E88" w:rsidRPr="00F117EB">
        <w:rPr>
          <w:rStyle w:val="FootnoteReference"/>
          <w:rFonts w:ascii="Times New Roman" w:hAnsi="Times New Roman"/>
          <w:sz w:val="24"/>
        </w:rPr>
        <w:footnoteReference w:id="57"/>
      </w:r>
      <w:r w:rsidR="00EA5EAF" w:rsidRPr="00F117EB">
        <w:rPr>
          <w:rFonts w:ascii="Times New Roman" w:hAnsi="Times New Roman"/>
        </w:rPr>
        <w:t xml:space="preserve"> In so acting</w:t>
      </w:r>
      <w:r w:rsidR="002A2E88" w:rsidRPr="00F117EB">
        <w:rPr>
          <w:rFonts w:ascii="Times New Roman" w:hAnsi="Times New Roman"/>
        </w:rPr>
        <w:t>,</w:t>
      </w:r>
      <w:r w:rsidR="00EA5EAF" w:rsidRPr="00F117EB">
        <w:rPr>
          <w:rFonts w:ascii="Times New Roman" w:hAnsi="Times New Roman"/>
        </w:rPr>
        <w:t xml:space="preserve"> </w:t>
      </w:r>
      <w:r w:rsidR="002A2E88" w:rsidRPr="00F117EB">
        <w:rPr>
          <w:rFonts w:ascii="Times New Roman" w:hAnsi="Times New Roman"/>
        </w:rPr>
        <w:t>c</w:t>
      </w:r>
      <w:r w:rsidR="00EA5EAF" w:rsidRPr="00F117EB">
        <w:rPr>
          <w:rFonts w:ascii="Times New Roman" w:hAnsi="Times New Roman"/>
        </w:rPr>
        <w:t xml:space="preserve">ounsel exercises a wide discretion in deciding what issues to contest, </w:t>
      </w:r>
      <w:r w:rsidR="00A91EA1" w:rsidRPr="00F117EB">
        <w:rPr>
          <w:rFonts w:ascii="Times New Roman" w:hAnsi="Times New Roman"/>
        </w:rPr>
        <w:t xml:space="preserve">which </w:t>
      </w:r>
      <w:r w:rsidR="00EA5EAF" w:rsidRPr="00F117EB">
        <w:rPr>
          <w:rFonts w:ascii="Times New Roman" w:hAnsi="Times New Roman"/>
        </w:rPr>
        <w:t>witnesses to call, what evidence to lead or to seek to have excluded and what lines of argument to pursue.</w:t>
      </w:r>
      <w:r w:rsidR="0017401A" w:rsidRPr="00F117EB">
        <w:rPr>
          <w:rStyle w:val="FootnoteReference"/>
          <w:rFonts w:ascii="Times New Roman" w:hAnsi="Times New Roman"/>
          <w:sz w:val="24"/>
        </w:rPr>
        <w:footnoteReference w:id="58"/>
      </w:r>
      <w:r w:rsidR="00EA5EAF" w:rsidRPr="00F117EB">
        <w:rPr>
          <w:rFonts w:ascii="Times New Roman" w:hAnsi="Times New Roman"/>
        </w:rPr>
        <w:t xml:space="preserve"> </w:t>
      </w:r>
    </w:p>
    <w:p w14:paraId="3AE6AC1B" w14:textId="437CBECF" w:rsidR="00EA5EAF" w:rsidRPr="00F117EB" w:rsidRDefault="00DC4C61" w:rsidP="00F117EB">
      <w:pPr>
        <w:pStyle w:val="FixListStyle"/>
        <w:spacing w:after="260" w:line="280" w:lineRule="exact"/>
        <w:ind w:right="0"/>
        <w:jc w:val="both"/>
        <w:rPr>
          <w:rFonts w:ascii="Times New Roman" w:hAnsi="Times New Roman"/>
        </w:rPr>
      </w:pPr>
      <w:r w:rsidRPr="00F117EB">
        <w:rPr>
          <w:rFonts w:ascii="Times New Roman" w:hAnsi="Times New Roman"/>
        </w:rPr>
        <w:lastRenderedPageBreak/>
        <w:tab/>
      </w:r>
      <w:r w:rsidR="003E3725" w:rsidRPr="00F117EB">
        <w:rPr>
          <w:rFonts w:ascii="Times New Roman" w:hAnsi="Times New Roman"/>
        </w:rPr>
        <w:t>By</w:t>
      </w:r>
      <w:r w:rsidR="00EA5EAF" w:rsidRPr="00F117EB">
        <w:rPr>
          <w:rFonts w:ascii="Times New Roman" w:hAnsi="Times New Roman"/>
        </w:rPr>
        <w:t xml:space="preserve"> accept</w:t>
      </w:r>
      <w:r w:rsidR="003E3725" w:rsidRPr="00F117EB">
        <w:rPr>
          <w:rFonts w:ascii="Times New Roman" w:hAnsi="Times New Roman"/>
        </w:rPr>
        <w:t>ing</w:t>
      </w:r>
      <w:r w:rsidR="00EA5EAF" w:rsidRPr="00F117EB">
        <w:rPr>
          <w:rFonts w:ascii="Times New Roman" w:hAnsi="Times New Roman"/>
        </w:rPr>
        <w:t xml:space="preserve"> instructions to act </w:t>
      </w:r>
      <w:r w:rsidR="009C65F9" w:rsidRPr="00F117EB">
        <w:rPr>
          <w:rFonts w:ascii="Times New Roman" w:hAnsi="Times New Roman"/>
        </w:rPr>
        <w:t xml:space="preserve">on behalf of a </w:t>
      </w:r>
      <w:r w:rsidR="00F0038C" w:rsidRPr="00F117EB">
        <w:rPr>
          <w:rFonts w:ascii="Times New Roman" w:hAnsi="Times New Roman"/>
        </w:rPr>
        <w:t xml:space="preserve">defendant </w:t>
      </w:r>
      <w:r w:rsidR="003B389E" w:rsidRPr="00F117EB">
        <w:rPr>
          <w:rFonts w:ascii="Times New Roman" w:hAnsi="Times New Roman"/>
        </w:rPr>
        <w:t>in proceedings</w:t>
      </w:r>
      <w:r w:rsidR="00956433" w:rsidRPr="00F117EB">
        <w:rPr>
          <w:rFonts w:ascii="Times New Roman" w:hAnsi="Times New Roman"/>
        </w:rPr>
        <w:t xml:space="preserve"> which clearly have the capacity to affect their interests in a legal or practical sense</w:t>
      </w:r>
      <w:r w:rsidR="001D6C84" w:rsidRPr="00F117EB">
        <w:rPr>
          <w:rFonts w:ascii="Times New Roman" w:hAnsi="Times New Roman"/>
        </w:rPr>
        <w:t>,</w:t>
      </w:r>
      <w:r w:rsidR="009F1410" w:rsidRPr="00F117EB">
        <w:rPr>
          <w:rFonts w:ascii="Times New Roman" w:hAnsi="Times New Roman"/>
        </w:rPr>
        <w:t xml:space="preserve"> </w:t>
      </w:r>
      <w:r w:rsidR="00064653" w:rsidRPr="00F117EB">
        <w:rPr>
          <w:rFonts w:ascii="Times New Roman" w:hAnsi="Times New Roman"/>
        </w:rPr>
        <w:t>c</w:t>
      </w:r>
      <w:r w:rsidR="00F70A98" w:rsidRPr="00F117EB">
        <w:rPr>
          <w:rFonts w:ascii="Times New Roman" w:hAnsi="Times New Roman"/>
        </w:rPr>
        <w:t xml:space="preserve">ounsel </w:t>
      </w:r>
      <w:r w:rsidR="00085BDC" w:rsidRPr="00F117EB">
        <w:rPr>
          <w:rFonts w:ascii="Times New Roman" w:hAnsi="Times New Roman"/>
        </w:rPr>
        <w:t>assumes</w:t>
      </w:r>
      <w:r w:rsidR="00033095" w:rsidRPr="00F117EB">
        <w:rPr>
          <w:rFonts w:ascii="Times New Roman" w:hAnsi="Times New Roman"/>
        </w:rPr>
        <w:t xml:space="preserve"> or is taken to assume</w:t>
      </w:r>
      <w:r w:rsidR="00085BDC" w:rsidRPr="00F117EB">
        <w:rPr>
          <w:rFonts w:ascii="Times New Roman" w:hAnsi="Times New Roman"/>
        </w:rPr>
        <w:t xml:space="preserve"> a duty to </w:t>
      </w:r>
      <w:r w:rsidR="00CD54CF" w:rsidRPr="00F117EB">
        <w:rPr>
          <w:rFonts w:ascii="Times New Roman" w:hAnsi="Times New Roman"/>
        </w:rPr>
        <w:t xml:space="preserve">act in </w:t>
      </w:r>
      <w:r w:rsidR="00EA5EAF" w:rsidRPr="00F117EB">
        <w:rPr>
          <w:rFonts w:ascii="Times New Roman" w:hAnsi="Times New Roman"/>
        </w:rPr>
        <w:t>their client</w:t>
      </w:r>
      <w:r w:rsidR="00CA694A" w:rsidRPr="00F117EB">
        <w:rPr>
          <w:rFonts w:ascii="Times New Roman" w:hAnsi="Times New Roman"/>
        </w:rPr>
        <w:t xml:space="preserve">'s </w:t>
      </w:r>
      <w:r w:rsidR="00184ECB" w:rsidRPr="00F117EB">
        <w:rPr>
          <w:rFonts w:ascii="Times New Roman" w:hAnsi="Times New Roman"/>
        </w:rPr>
        <w:t>interest</w:t>
      </w:r>
      <w:r w:rsidR="0046540F" w:rsidRPr="00F117EB">
        <w:rPr>
          <w:rFonts w:ascii="Times New Roman" w:hAnsi="Times New Roman"/>
        </w:rPr>
        <w:t xml:space="preserve">s </w:t>
      </w:r>
      <w:r w:rsidR="003B389E" w:rsidRPr="00F117EB">
        <w:rPr>
          <w:rFonts w:ascii="Times New Roman" w:hAnsi="Times New Roman"/>
        </w:rPr>
        <w:t>when</w:t>
      </w:r>
      <w:r w:rsidR="00F21876" w:rsidRPr="00F117EB">
        <w:rPr>
          <w:rFonts w:ascii="Times New Roman" w:hAnsi="Times New Roman"/>
        </w:rPr>
        <w:t xml:space="preserve"> exercis</w:t>
      </w:r>
      <w:r w:rsidR="003B389E" w:rsidRPr="00F117EB">
        <w:rPr>
          <w:rFonts w:ascii="Times New Roman" w:hAnsi="Times New Roman"/>
        </w:rPr>
        <w:t>ing</w:t>
      </w:r>
      <w:r w:rsidR="00F21876" w:rsidRPr="00F117EB">
        <w:rPr>
          <w:rFonts w:ascii="Times New Roman" w:hAnsi="Times New Roman"/>
        </w:rPr>
        <w:t xml:space="preserve"> </w:t>
      </w:r>
      <w:r w:rsidR="00CD2AB7" w:rsidRPr="00F117EB">
        <w:rPr>
          <w:rFonts w:ascii="Times New Roman" w:hAnsi="Times New Roman"/>
        </w:rPr>
        <w:t xml:space="preserve">the authority vested in </w:t>
      </w:r>
      <w:r w:rsidR="00F26D9B" w:rsidRPr="00F117EB">
        <w:rPr>
          <w:rFonts w:ascii="Times New Roman" w:hAnsi="Times New Roman"/>
        </w:rPr>
        <w:t>them to conduct</w:t>
      </w:r>
      <w:r w:rsidR="003B389E" w:rsidRPr="00F117EB">
        <w:rPr>
          <w:rFonts w:ascii="Times New Roman" w:hAnsi="Times New Roman"/>
        </w:rPr>
        <w:t xml:space="preserve"> </w:t>
      </w:r>
      <w:r w:rsidR="001A42CE" w:rsidRPr="00F117EB">
        <w:rPr>
          <w:rFonts w:ascii="Times New Roman" w:hAnsi="Times New Roman"/>
        </w:rPr>
        <w:t xml:space="preserve">those </w:t>
      </w:r>
      <w:r w:rsidR="003B389E" w:rsidRPr="00F117EB">
        <w:rPr>
          <w:rFonts w:ascii="Times New Roman" w:hAnsi="Times New Roman"/>
        </w:rPr>
        <w:t>proceedings</w:t>
      </w:r>
      <w:r w:rsidR="00EA5EAF" w:rsidRPr="00F117EB">
        <w:rPr>
          <w:rFonts w:ascii="Times New Roman" w:hAnsi="Times New Roman"/>
        </w:rPr>
        <w:t>.</w:t>
      </w:r>
      <w:r w:rsidR="00D67CBC" w:rsidRPr="00F117EB">
        <w:rPr>
          <w:rStyle w:val="FootnoteReference"/>
          <w:rFonts w:ascii="Times New Roman" w:hAnsi="Times New Roman"/>
          <w:sz w:val="24"/>
        </w:rPr>
        <w:footnoteReference w:id="59"/>
      </w:r>
      <w:r w:rsidR="00EA5EAF" w:rsidRPr="00F117EB">
        <w:rPr>
          <w:rFonts w:ascii="Times New Roman" w:hAnsi="Times New Roman"/>
        </w:rPr>
        <w:t xml:space="preserve"> This duty </w:t>
      </w:r>
      <w:r w:rsidR="00187946" w:rsidRPr="00F117EB">
        <w:rPr>
          <w:rFonts w:ascii="Times New Roman" w:hAnsi="Times New Roman"/>
        </w:rPr>
        <w:t xml:space="preserve">of loyalty </w:t>
      </w:r>
      <w:r w:rsidR="00EA5EAF" w:rsidRPr="00F117EB">
        <w:rPr>
          <w:rFonts w:ascii="Times New Roman" w:hAnsi="Times New Roman"/>
        </w:rPr>
        <w:t xml:space="preserve">is sufficiently described by </w:t>
      </w:r>
      <w:r w:rsidR="006B17D7" w:rsidRPr="00F117EB">
        <w:rPr>
          <w:rFonts w:ascii="Times New Roman" w:hAnsi="Times New Roman"/>
        </w:rPr>
        <w:t>r </w:t>
      </w:r>
      <w:r w:rsidR="002B6198" w:rsidRPr="00F117EB">
        <w:rPr>
          <w:rFonts w:ascii="Times New Roman" w:hAnsi="Times New Roman"/>
        </w:rPr>
        <w:t>35</w:t>
      </w:r>
      <w:r w:rsidR="00EF2F9A" w:rsidRPr="00F117EB">
        <w:rPr>
          <w:rFonts w:ascii="Times New Roman" w:hAnsi="Times New Roman"/>
        </w:rPr>
        <w:t xml:space="preserve"> </w:t>
      </w:r>
      <w:r w:rsidR="00EA5EAF" w:rsidRPr="00F117EB">
        <w:rPr>
          <w:rFonts w:ascii="Times New Roman" w:hAnsi="Times New Roman"/>
        </w:rPr>
        <w:t xml:space="preserve">of the </w:t>
      </w:r>
      <w:r w:rsidR="00EA5EAF" w:rsidRPr="00F117EB">
        <w:rPr>
          <w:rFonts w:ascii="Times New Roman" w:hAnsi="Times New Roman"/>
          <w:i/>
          <w:iCs/>
        </w:rPr>
        <w:t>Legal Profession Uniform Conduct (Barristers) Rules 2015</w:t>
      </w:r>
      <w:r w:rsidR="00EA5EAF" w:rsidRPr="00F117EB">
        <w:rPr>
          <w:rFonts w:ascii="Times New Roman" w:hAnsi="Times New Roman"/>
        </w:rPr>
        <w:t xml:space="preserve"> (NSW)</w:t>
      </w:r>
      <w:r w:rsidR="00002E42" w:rsidRPr="00F117EB">
        <w:rPr>
          <w:rStyle w:val="FootnoteReference"/>
          <w:rFonts w:ascii="Times New Roman" w:hAnsi="Times New Roman"/>
          <w:sz w:val="24"/>
        </w:rPr>
        <w:footnoteReference w:id="60"/>
      </w:r>
      <w:r w:rsidR="00EA5EAF" w:rsidRPr="00F117EB">
        <w:rPr>
          <w:rFonts w:ascii="Times New Roman" w:hAnsi="Times New Roman"/>
        </w:rPr>
        <w:t xml:space="preserve"> </w:t>
      </w:r>
      <w:r w:rsidR="001F07EF" w:rsidRPr="00F117EB">
        <w:rPr>
          <w:rFonts w:ascii="Times New Roman" w:hAnsi="Times New Roman"/>
        </w:rPr>
        <w:t>(</w:t>
      </w:r>
      <w:r w:rsidR="000E2D05" w:rsidRPr="00F117EB">
        <w:rPr>
          <w:rFonts w:ascii="Times New Roman" w:hAnsi="Times New Roman"/>
        </w:rPr>
        <w:t>"</w:t>
      </w:r>
      <w:r w:rsidR="001F07EF" w:rsidRPr="00F117EB">
        <w:rPr>
          <w:rFonts w:ascii="Times New Roman" w:hAnsi="Times New Roman"/>
        </w:rPr>
        <w:t xml:space="preserve">the Conduct Rules") </w:t>
      </w:r>
      <w:r w:rsidR="00EA5EAF" w:rsidRPr="00F117EB">
        <w:rPr>
          <w:rFonts w:ascii="Times New Roman" w:hAnsi="Times New Roman"/>
        </w:rPr>
        <w:t xml:space="preserve">as requiring the </w:t>
      </w:r>
      <w:r w:rsidR="00252C53" w:rsidRPr="00F117EB">
        <w:rPr>
          <w:rFonts w:ascii="Times New Roman" w:hAnsi="Times New Roman"/>
        </w:rPr>
        <w:t>b</w:t>
      </w:r>
      <w:r w:rsidR="00EA5EAF" w:rsidRPr="00F117EB">
        <w:rPr>
          <w:rFonts w:ascii="Times New Roman" w:hAnsi="Times New Roman"/>
        </w:rPr>
        <w:t xml:space="preserve">arrister to "promote and protect fearlessly and by all proper and lawful means the client's </w:t>
      </w:r>
      <w:r w:rsidR="00EA5EAF" w:rsidRPr="00F117EB">
        <w:rPr>
          <w:rFonts w:ascii="Times New Roman" w:hAnsi="Times New Roman"/>
          <w:i/>
          <w:iCs/>
        </w:rPr>
        <w:t>best interests</w:t>
      </w:r>
      <w:r w:rsidR="00EA5EAF" w:rsidRPr="00F117EB">
        <w:rPr>
          <w:rFonts w:ascii="Times New Roman" w:hAnsi="Times New Roman"/>
        </w:rPr>
        <w:t xml:space="preserve"> to the best of the barrister'</w:t>
      </w:r>
      <w:r w:rsidR="00432057" w:rsidRPr="00F117EB">
        <w:rPr>
          <w:rFonts w:ascii="Times New Roman" w:hAnsi="Times New Roman"/>
        </w:rPr>
        <w:t>s</w:t>
      </w:r>
      <w:r w:rsidR="00EA5EAF" w:rsidRPr="00F117EB">
        <w:rPr>
          <w:rFonts w:ascii="Times New Roman" w:hAnsi="Times New Roman"/>
        </w:rPr>
        <w:t xml:space="preserve"> skill and diligence, and do so without regard to his or her own interest or to any consequences to the barrister or to any </w:t>
      </w:r>
      <w:r w:rsidR="000E2D05" w:rsidRPr="00F117EB">
        <w:rPr>
          <w:rFonts w:ascii="Times New Roman" w:hAnsi="Times New Roman"/>
        </w:rPr>
        <w:t xml:space="preserve">other </w:t>
      </w:r>
      <w:r w:rsidR="00EA5EAF" w:rsidRPr="00F117EB">
        <w:rPr>
          <w:rFonts w:ascii="Times New Roman" w:hAnsi="Times New Roman"/>
        </w:rPr>
        <w:t>person</w:t>
      </w:r>
      <w:r w:rsidR="0022254A" w:rsidRPr="00F117EB">
        <w:rPr>
          <w:rFonts w:ascii="Times New Roman" w:hAnsi="Times New Roman"/>
        </w:rPr>
        <w:t>"</w:t>
      </w:r>
      <w:r w:rsidR="0020342C" w:rsidRPr="00F117EB">
        <w:rPr>
          <w:rFonts w:ascii="Times New Roman" w:hAnsi="Times New Roman"/>
        </w:rPr>
        <w:t xml:space="preserve"> (emphasis added)</w:t>
      </w:r>
      <w:r w:rsidR="00EA5EAF" w:rsidRPr="00F117EB">
        <w:rPr>
          <w:rFonts w:ascii="Times New Roman" w:hAnsi="Times New Roman"/>
        </w:rPr>
        <w:t xml:space="preserve">. </w:t>
      </w:r>
      <w:r w:rsidR="005014A7" w:rsidRPr="00F117EB">
        <w:rPr>
          <w:rFonts w:ascii="Times New Roman" w:hAnsi="Times New Roman"/>
        </w:rPr>
        <w:t xml:space="preserve">As </w:t>
      </w:r>
      <w:r w:rsidR="00E725A4" w:rsidRPr="00F117EB">
        <w:rPr>
          <w:rFonts w:ascii="Times New Roman" w:hAnsi="Times New Roman"/>
        </w:rPr>
        <w:t xml:space="preserve">contemplated by </w:t>
      </w:r>
      <w:r w:rsidR="00EA5EAF" w:rsidRPr="00F117EB">
        <w:rPr>
          <w:rFonts w:ascii="Times New Roman" w:hAnsi="Times New Roman"/>
        </w:rPr>
        <w:t xml:space="preserve">the </w:t>
      </w:r>
      <w:r w:rsidR="00BC0E43" w:rsidRPr="00F117EB">
        <w:rPr>
          <w:rFonts w:ascii="Times New Roman" w:hAnsi="Times New Roman"/>
        </w:rPr>
        <w:t>concluding</w:t>
      </w:r>
      <w:r w:rsidR="00C027BA" w:rsidRPr="00F117EB">
        <w:rPr>
          <w:rFonts w:ascii="Times New Roman" w:hAnsi="Times New Roman"/>
        </w:rPr>
        <w:t xml:space="preserve"> </w:t>
      </w:r>
      <w:r w:rsidR="00C73D50" w:rsidRPr="00F117EB">
        <w:rPr>
          <w:rFonts w:ascii="Times New Roman" w:hAnsi="Times New Roman"/>
        </w:rPr>
        <w:t xml:space="preserve">clause </w:t>
      </w:r>
      <w:r w:rsidR="00C027BA" w:rsidRPr="00F117EB">
        <w:rPr>
          <w:rFonts w:ascii="Times New Roman" w:hAnsi="Times New Roman"/>
        </w:rPr>
        <w:t xml:space="preserve">of </w:t>
      </w:r>
      <w:r w:rsidR="00EA5EAF" w:rsidRPr="00F117EB">
        <w:rPr>
          <w:rFonts w:ascii="Times New Roman" w:hAnsi="Times New Roman"/>
        </w:rPr>
        <w:t>this rule</w:t>
      </w:r>
      <w:r w:rsidR="007E293D" w:rsidRPr="00F117EB">
        <w:rPr>
          <w:rFonts w:ascii="Times New Roman" w:hAnsi="Times New Roman"/>
        </w:rPr>
        <w:t xml:space="preserve"> ("without regard</w:t>
      </w:r>
      <w:r w:rsidR="00BC0E43" w:rsidRPr="00F117EB">
        <w:rPr>
          <w:rFonts w:ascii="Times New Roman" w:hAnsi="Times New Roman"/>
        </w:rPr>
        <w:t xml:space="preserve"> ...</w:t>
      </w:r>
      <w:r w:rsidR="007E293D" w:rsidRPr="00F117EB">
        <w:rPr>
          <w:rFonts w:ascii="Times New Roman" w:hAnsi="Times New Roman"/>
        </w:rPr>
        <w:t>")</w:t>
      </w:r>
      <w:r w:rsidR="00E725A4" w:rsidRPr="00F117EB">
        <w:rPr>
          <w:rFonts w:ascii="Times New Roman" w:hAnsi="Times New Roman"/>
        </w:rPr>
        <w:t xml:space="preserve">, </w:t>
      </w:r>
      <w:r w:rsidR="00EA5EAF" w:rsidRPr="00F117EB">
        <w:rPr>
          <w:rFonts w:ascii="Times New Roman" w:hAnsi="Times New Roman"/>
        </w:rPr>
        <w:t>th</w:t>
      </w:r>
      <w:r w:rsidR="004D04CF" w:rsidRPr="00F117EB">
        <w:rPr>
          <w:rFonts w:ascii="Times New Roman" w:hAnsi="Times New Roman"/>
        </w:rPr>
        <w:t>is duty has a</w:t>
      </w:r>
      <w:r w:rsidR="00EA5EAF" w:rsidRPr="00F117EB">
        <w:rPr>
          <w:rFonts w:ascii="Times New Roman" w:hAnsi="Times New Roman"/>
        </w:rPr>
        <w:t xml:space="preserve"> </w:t>
      </w:r>
      <w:r w:rsidR="00C57416" w:rsidRPr="00F117EB">
        <w:rPr>
          <w:rFonts w:ascii="Times New Roman" w:hAnsi="Times New Roman"/>
        </w:rPr>
        <w:t xml:space="preserve">(fiduciary) </w:t>
      </w:r>
      <w:r w:rsidR="00EA5EAF" w:rsidRPr="00F117EB">
        <w:rPr>
          <w:rFonts w:ascii="Times New Roman" w:hAnsi="Times New Roman"/>
        </w:rPr>
        <w:t xml:space="preserve">proscriptive </w:t>
      </w:r>
      <w:r w:rsidR="004D04CF" w:rsidRPr="00F117EB">
        <w:rPr>
          <w:rFonts w:ascii="Times New Roman" w:hAnsi="Times New Roman"/>
        </w:rPr>
        <w:t>component</w:t>
      </w:r>
      <w:r w:rsidR="007E4A97" w:rsidRPr="00F117EB">
        <w:rPr>
          <w:rFonts w:ascii="Times New Roman" w:hAnsi="Times New Roman"/>
        </w:rPr>
        <w:t>,</w:t>
      </w:r>
      <w:r w:rsidR="004D04CF" w:rsidRPr="00F117EB">
        <w:rPr>
          <w:rFonts w:ascii="Times New Roman" w:hAnsi="Times New Roman"/>
        </w:rPr>
        <w:t xml:space="preserve"> namely an </w:t>
      </w:r>
      <w:r w:rsidR="00EA5EAF" w:rsidRPr="00F117EB">
        <w:rPr>
          <w:rFonts w:ascii="Times New Roman" w:hAnsi="Times New Roman"/>
        </w:rPr>
        <w:t>obligation not to be in a position of conflict either between the</w:t>
      </w:r>
      <w:r w:rsidR="0036090F" w:rsidRPr="00F117EB">
        <w:rPr>
          <w:rFonts w:ascii="Times New Roman" w:hAnsi="Times New Roman"/>
        </w:rPr>
        <w:t xml:space="preserve"> </w:t>
      </w:r>
      <w:r w:rsidR="00572E89" w:rsidRPr="00F117EB">
        <w:rPr>
          <w:rFonts w:ascii="Times New Roman" w:hAnsi="Times New Roman"/>
        </w:rPr>
        <w:t>b</w:t>
      </w:r>
      <w:r w:rsidR="0036090F" w:rsidRPr="00F117EB">
        <w:rPr>
          <w:rFonts w:ascii="Times New Roman" w:hAnsi="Times New Roman"/>
        </w:rPr>
        <w:t>arrister's</w:t>
      </w:r>
      <w:r w:rsidR="00EA5EAF" w:rsidRPr="00F117EB">
        <w:rPr>
          <w:rFonts w:ascii="Times New Roman" w:hAnsi="Times New Roman"/>
        </w:rPr>
        <w:t xml:space="preserve"> own interest</w:t>
      </w:r>
      <w:r w:rsidR="0036090F" w:rsidRPr="00F117EB">
        <w:rPr>
          <w:rFonts w:ascii="Times New Roman" w:hAnsi="Times New Roman"/>
        </w:rPr>
        <w:t>s</w:t>
      </w:r>
      <w:r w:rsidR="00EA5EAF" w:rsidRPr="00F117EB">
        <w:rPr>
          <w:rFonts w:ascii="Times New Roman" w:hAnsi="Times New Roman"/>
        </w:rPr>
        <w:t xml:space="preserve"> and the duty owed to their client or between the duty owed to their client and a duty</w:t>
      </w:r>
      <w:r w:rsidR="006317BD" w:rsidRPr="00F117EB">
        <w:rPr>
          <w:rFonts w:ascii="Times New Roman" w:hAnsi="Times New Roman"/>
        </w:rPr>
        <w:t xml:space="preserve"> </w:t>
      </w:r>
      <w:r w:rsidR="0036090F" w:rsidRPr="00F117EB">
        <w:rPr>
          <w:rFonts w:ascii="Times New Roman" w:hAnsi="Times New Roman"/>
        </w:rPr>
        <w:t xml:space="preserve">owed </w:t>
      </w:r>
      <w:r w:rsidR="006317BD" w:rsidRPr="00F117EB">
        <w:rPr>
          <w:rFonts w:ascii="Times New Roman" w:hAnsi="Times New Roman"/>
        </w:rPr>
        <w:t xml:space="preserve">to another </w:t>
      </w:r>
      <w:r w:rsidR="00C73D50" w:rsidRPr="00F117EB">
        <w:rPr>
          <w:rFonts w:ascii="Times New Roman" w:hAnsi="Times New Roman"/>
        </w:rPr>
        <w:t xml:space="preserve">person </w:t>
      </w:r>
      <w:r w:rsidR="006317BD" w:rsidRPr="00F117EB">
        <w:rPr>
          <w:rFonts w:ascii="Times New Roman" w:hAnsi="Times New Roman"/>
        </w:rPr>
        <w:t>(including another client)</w:t>
      </w:r>
      <w:r w:rsidR="00A55532" w:rsidRPr="00F117EB">
        <w:rPr>
          <w:rFonts w:ascii="Times New Roman" w:hAnsi="Times New Roman"/>
        </w:rPr>
        <w:t xml:space="preserve"> ("the proscriptive obligation")</w:t>
      </w:r>
      <w:r w:rsidR="002B2831" w:rsidRPr="00F117EB">
        <w:rPr>
          <w:rFonts w:ascii="Times New Roman" w:hAnsi="Times New Roman"/>
        </w:rPr>
        <w:t>.</w:t>
      </w:r>
      <w:r w:rsidR="002B2831" w:rsidRPr="00F117EB">
        <w:rPr>
          <w:rStyle w:val="FootnoteReference"/>
          <w:rFonts w:ascii="Times New Roman" w:hAnsi="Times New Roman"/>
          <w:sz w:val="24"/>
        </w:rPr>
        <w:footnoteReference w:id="61"/>
      </w:r>
    </w:p>
    <w:p w14:paraId="51B376BC" w14:textId="7B2DDC07" w:rsidR="00EA5EAF" w:rsidRPr="00F117EB" w:rsidRDefault="002B2831"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The proscriptive obligation is breached where </w:t>
      </w:r>
      <w:r w:rsidR="00CE511F" w:rsidRPr="00F117EB">
        <w:rPr>
          <w:rFonts w:ascii="Times New Roman" w:hAnsi="Times New Roman"/>
        </w:rPr>
        <w:t xml:space="preserve">a </w:t>
      </w:r>
      <w:r w:rsidRPr="00F117EB">
        <w:rPr>
          <w:rFonts w:ascii="Times New Roman" w:hAnsi="Times New Roman"/>
        </w:rPr>
        <w:t>b</w:t>
      </w:r>
      <w:r w:rsidR="00EA5EAF" w:rsidRPr="00F117EB">
        <w:rPr>
          <w:rFonts w:ascii="Times New Roman" w:hAnsi="Times New Roman"/>
        </w:rPr>
        <w:t>arrister acts or continues to act, without informed consent, in circumstances where there is a "conflict or a real or substantial possibility of a conflict"</w:t>
      </w:r>
      <w:r w:rsidR="00EC5985" w:rsidRPr="00F117EB">
        <w:rPr>
          <w:rFonts w:ascii="Times New Roman" w:hAnsi="Times New Roman"/>
        </w:rPr>
        <w:t>.</w:t>
      </w:r>
      <w:r w:rsidR="00A52E50" w:rsidRPr="00F117EB">
        <w:rPr>
          <w:rStyle w:val="FootnoteReference"/>
          <w:rFonts w:ascii="Times New Roman" w:hAnsi="Times New Roman"/>
          <w:sz w:val="24"/>
        </w:rPr>
        <w:footnoteReference w:id="62"/>
      </w:r>
      <w:r w:rsidR="00EA5EAF" w:rsidRPr="00F117EB">
        <w:rPr>
          <w:rFonts w:ascii="Times New Roman" w:hAnsi="Times New Roman"/>
        </w:rPr>
        <w:t xml:space="preserve"> The question of whether there is such a conflict is assessed objectively by reference to the facts and circumstances of the particular case.</w:t>
      </w:r>
      <w:r w:rsidR="009743AE" w:rsidRPr="00F117EB">
        <w:rPr>
          <w:rStyle w:val="FootnoteReference"/>
          <w:rFonts w:ascii="Times New Roman" w:hAnsi="Times New Roman"/>
          <w:sz w:val="24"/>
        </w:rPr>
        <w:footnoteReference w:id="63"/>
      </w:r>
      <w:r w:rsidR="00EA5EAF" w:rsidRPr="00F117EB">
        <w:rPr>
          <w:rFonts w:ascii="Times New Roman" w:hAnsi="Times New Roman"/>
        </w:rPr>
        <w:t xml:space="preserve"> </w:t>
      </w:r>
      <w:r w:rsidR="00BB7F76" w:rsidRPr="00F117EB">
        <w:rPr>
          <w:rFonts w:ascii="Times New Roman" w:hAnsi="Times New Roman"/>
        </w:rPr>
        <w:t xml:space="preserve">Consistent with </w:t>
      </w:r>
      <w:r w:rsidR="006B17D7" w:rsidRPr="00F117EB">
        <w:rPr>
          <w:rFonts w:ascii="Times New Roman" w:hAnsi="Times New Roman"/>
        </w:rPr>
        <w:t>r </w:t>
      </w:r>
      <w:r w:rsidR="00BB7F76" w:rsidRPr="00F117EB">
        <w:rPr>
          <w:rFonts w:ascii="Times New Roman" w:hAnsi="Times New Roman"/>
        </w:rPr>
        <w:t xml:space="preserve">35, </w:t>
      </w:r>
      <w:r w:rsidR="004856B2" w:rsidRPr="00F117EB">
        <w:rPr>
          <w:rFonts w:ascii="Times New Roman" w:hAnsi="Times New Roman"/>
        </w:rPr>
        <w:t xml:space="preserve">determination of whether a conflict arises </w:t>
      </w:r>
      <w:r w:rsidR="00BB7F76" w:rsidRPr="00F117EB">
        <w:rPr>
          <w:rFonts w:ascii="Times New Roman" w:hAnsi="Times New Roman"/>
        </w:rPr>
        <w:lastRenderedPageBreak/>
        <w:t xml:space="preserve">requires consideration </w:t>
      </w:r>
      <w:r w:rsidR="00B364EE" w:rsidRPr="00F117EB">
        <w:rPr>
          <w:rFonts w:ascii="Times New Roman" w:hAnsi="Times New Roman"/>
        </w:rPr>
        <w:t xml:space="preserve">of the client's </w:t>
      </w:r>
      <w:r w:rsidR="0039378D" w:rsidRPr="00F117EB">
        <w:rPr>
          <w:rFonts w:ascii="Times New Roman" w:hAnsi="Times New Roman"/>
        </w:rPr>
        <w:t xml:space="preserve">"interests". </w:t>
      </w:r>
      <w:r w:rsidR="00BD347B" w:rsidRPr="00F117EB">
        <w:rPr>
          <w:rFonts w:ascii="Times New Roman" w:hAnsi="Times New Roman"/>
        </w:rPr>
        <w:t>The i</w:t>
      </w:r>
      <w:r w:rsidR="00DD3B9D" w:rsidRPr="00F117EB">
        <w:rPr>
          <w:rFonts w:ascii="Times New Roman" w:hAnsi="Times New Roman"/>
        </w:rPr>
        <w:t>nstructions provided by the</w:t>
      </w:r>
      <w:r w:rsidR="00E4158F" w:rsidRPr="00F117EB">
        <w:rPr>
          <w:rFonts w:ascii="Times New Roman" w:hAnsi="Times New Roman"/>
        </w:rPr>
        <w:t xml:space="preserve"> </w:t>
      </w:r>
      <w:r w:rsidR="0039378D" w:rsidRPr="00F117EB">
        <w:rPr>
          <w:rFonts w:ascii="Times New Roman" w:hAnsi="Times New Roman"/>
        </w:rPr>
        <w:t>client</w:t>
      </w:r>
      <w:r w:rsidR="006612D0" w:rsidRPr="00F117EB">
        <w:rPr>
          <w:rFonts w:ascii="Times New Roman" w:hAnsi="Times New Roman"/>
        </w:rPr>
        <w:t xml:space="preserve"> </w:t>
      </w:r>
      <w:r w:rsidR="00EB28FF" w:rsidRPr="00F117EB">
        <w:rPr>
          <w:rFonts w:ascii="Times New Roman" w:hAnsi="Times New Roman"/>
        </w:rPr>
        <w:t>will</w:t>
      </w:r>
      <w:r w:rsidR="00B97D10" w:rsidRPr="00F117EB">
        <w:rPr>
          <w:rFonts w:ascii="Times New Roman" w:hAnsi="Times New Roman"/>
        </w:rPr>
        <w:t xml:space="preserve"> at least bear upon an assessment of </w:t>
      </w:r>
      <w:r w:rsidR="00DD3B9D" w:rsidRPr="00F117EB">
        <w:rPr>
          <w:rFonts w:ascii="Times New Roman" w:hAnsi="Times New Roman"/>
        </w:rPr>
        <w:t>the</w:t>
      </w:r>
      <w:r w:rsidR="00AD4507" w:rsidRPr="00F117EB">
        <w:rPr>
          <w:rFonts w:ascii="Times New Roman" w:hAnsi="Times New Roman"/>
        </w:rPr>
        <w:t xml:space="preserve"> client's</w:t>
      </w:r>
      <w:r w:rsidR="00DD3B9D" w:rsidRPr="00F117EB">
        <w:rPr>
          <w:rFonts w:ascii="Times New Roman" w:hAnsi="Times New Roman"/>
        </w:rPr>
        <w:t xml:space="preserve"> </w:t>
      </w:r>
      <w:r w:rsidR="00B97D10" w:rsidRPr="00F117EB">
        <w:rPr>
          <w:rFonts w:ascii="Times New Roman" w:hAnsi="Times New Roman"/>
        </w:rPr>
        <w:t>"interests"</w:t>
      </w:r>
      <w:r w:rsidR="00444F90" w:rsidRPr="00F117EB">
        <w:rPr>
          <w:rFonts w:ascii="Times New Roman" w:hAnsi="Times New Roman"/>
        </w:rPr>
        <w:t>.</w:t>
      </w:r>
      <w:r w:rsidR="00B97D10" w:rsidRPr="00F117EB">
        <w:rPr>
          <w:rFonts w:ascii="Times New Roman" w:hAnsi="Times New Roman"/>
        </w:rPr>
        <w:t xml:space="preserve"> </w:t>
      </w:r>
    </w:p>
    <w:p w14:paraId="406107AD" w14:textId="488CBC2C" w:rsidR="00EA5EAF" w:rsidRPr="00F117EB" w:rsidRDefault="00580301"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In some circumstances, the informed consent of the client </w:t>
      </w:r>
      <w:r w:rsidR="00A5385E" w:rsidRPr="00F117EB">
        <w:rPr>
          <w:rFonts w:ascii="Times New Roman" w:hAnsi="Times New Roman"/>
        </w:rPr>
        <w:t xml:space="preserve">to </w:t>
      </w:r>
      <w:r w:rsidR="00410E5A" w:rsidRPr="00F117EB">
        <w:rPr>
          <w:rFonts w:ascii="Times New Roman" w:hAnsi="Times New Roman"/>
        </w:rPr>
        <w:t xml:space="preserve">a </w:t>
      </w:r>
      <w:r w:rsidR="0001428A" w:rsidRPr="00F117EB">
        <w:rPr>
          <w:rFonts w:ascii="Times New Roman" w:hAnsi="Times New Roman"/>
        </w:rPr>
        <w:t xml:space="preserve">conflict </w:t>
      </w:r>
      <w:r w:rsidR="00410E5A" w:rsidRPr="00F117EB">
        <w:rPr>
          <w:rFonts w:ascii="Times New Roman" w:hAnsi="Times New Roman"/>
        </w:rPr>
        <w:t xml:space="preserve">between a barrister's duty and interest, or between multiple duties owed by the barrister, </w:t>
      </w:r>
      <w:r w:rsidR="00EA5EAF" w:rsidRPr="00F117EB">
        <w:rPr>
          <w:rFonts w:ascii="Times New Roman" w:hAnsi="Times New Roman"/>
        </w:rPr>
        <w:t>may negate what would otherwise be a breach of</w:t>
      </w:r>
      <w:r w:rsidR="0001428A" w:rsidRPr="00F117EB">
        <w:rPr>
          <w:rFonts w:ascii="Times New Roman" w:hAnsi="Times New Roman"/>
        </w:rPr>
        <w:t xml:space="preserve"> th</w:t>
      </w:r>
      <w:r w:rsidR="00A55532" w:rsidRPr="00F117EB">
        <w:rPr>
          <w:rFonts w:ascii="Times New Roman" w:hAnsi="Times New Roman"/>
        </w:rPr>
        <w:t>e</w:t>
      </w:r>
      <w:r w:rsidR="0001428A" w:rsidRPr="00F117EB">
        <w:rPr>
          <w:rFonts w:ascii="Times New Roman" w:hAnsi="Times New Roman"/>
        </w:rPr>
        <w:t xml:space="preserve"> proscriptive obligation</w:t>
      </w:r>
      <w:r w:rsidR="00EA5EAF" w:rsidRPr="00F117EB">
        <w:rPr>
          <w:rFonts w:ascii="Times New Roman" w:hAnsi="Times New Roman"/>
        </w:rPr>
        <w:t>.</w:t>
      </w:r>
      <w:r w:rsidRPr="00F117EB">
        <w:rPr>
          <w:rStyle w:val="FootnoteReference"/>
          <w:rFonts w:ascii="Times New Roman" w:hAnsi="Times New Roman"/>
          <w:sz w:val="24"/>
        </w:rPr>
        <w:footnoteReference w:id="64"/>
      </w:r>
      <w:r w:rsidR="00EA5EAF" w:rsidRPr="00F117EB">
        <w:rPr>
          <w:rFonts w:ascii="Times New Roman" w:hAnsi="Times New Roman"/>
        </w:rPr>
        <w:t xml:space="preserve"> What constitutes informed consent is a question of fact that must be assessed in all the circumstances of the particular case.</w:t>
      </w:r>
      <w:r w:rsidR="00392C5B" w:rsidRPr="00F117EB">
        <w:rPr>
          <w:rStyle w:val="FootnoteReference"/>
          <w:rFonts w:ascii="Times New Roman" w:hAnsi="Times New Roman"/>
          <w:sz w:val="24"/>
        </w:rPr>
        <w:footnoteReference w:id="65"/>
      </w:r>
      <w:r w:rsidR="00EA5EAF" w:rsidRPr="00F117EB">
        <w:rPr>
          <w:rFonts w:ascii="Times New Roman" w:hAnsi="Times New Roman"/>
        </w:rPr>
        <w:t xml:space="preserve"> I</w:t>
      </w:r>
      <w:r w:rsidR="00A27496" w:rsidRPr="00F117EB">
        <w:rPr>
          <w:rFonts w:ascii="Times New Roman" w:hAnsi="Times New Roman"/>
        </w:rPr>
        <w:t>nformed consent</w:t>
      </w:r>
      <w:r w:rsidR="00EA5EAF" w:rsidRPr="00F117EB">
        <w:rPr>
          <w:rFonts w:ascii="Times New Roman" w:hAnsi="Times New Roman"/>
        </w:rPr>
        <w:t xml:space="preserve"> has been described as extending to </w:t>
      </w:r>
      <w:r w:rsidR="000F2BD6" w:rsidRPr="00F117EB">
        <w:rPr>
          <w:rFonts w:ascii="Times New Roman" w:hAnsi="Times New Roman"/>
        </w:rPr>
        <w:t xml:space="preserve">disclosure of </w:t>
      </w:r>
      <w:r w:rsidR="00EA5EAF" w:rsidRPr="00F117EB">
        <w:rPr>
          <w:rFonts w:ascii="Times New Roman" w:hAnsi="Times New Roman"/>
        </w:rPr>
        <w:t>all "material circumstances"</w:t>
      </w:r>
      <w:r w:rsidR="00392C5B" w:rsidRPr="00F117EB">
        <w:rPr>
          <w:rStyle w:val="FootnoteReference"/>
          <w:rFonts w:ascii="Times New Roman" w:hAnsi="Times New Roman"/>
          <w:sz w:val="24"/>
        </w:rPr>
        <w:footnoteReference w:id="66"/>
      </w:r>
      <w:r w:rsidR="00EA5EAF" w:rsidRPr="00F117EB">
        <w:rPr>
          <w:rFonts w:ascii="Times New Roman" w:hAnsi="Times New Roman"/>
        </w:rPr>
        <w:t xml:space="preserve"> including </w:t>
      </w:r>
      <w:r w:rsidR="00EC3EF3" w:rsidRPr="00F117EB">
        <w:rPr>
          <w:rFonts w:ascii="Times New Roman" w:hAnsi="Times New Roman"/>
        </w:rPr>
        <w:t xml:space="preserve">of </w:t>
      </w:r>
      <w:r w:rsidR="00EA5EAF" w:rsidRPr="00F117EB">
        <w:rPr>
          <w:rFonts w:ascii="Times New Roman" w:hAnsi="Times New Roman"/>
        </w:rPr>
        <w:t>knowledge that there is or may</w:t>
      </w:r>
      <w:r w:rsidR="0009457F" w:rsidRPr="00F117EB">
        <w:rPr>
          <w:rFonts w:ascii="Times New Roman" w:hAnsi="Times New Roman"/>
        </w:rPr>
        <w:t xml:space="preserve"> </w:t>
      </w:r>
      <w:r w:rsidR="00EA5EAF" w:rsidRPr="00F117EB">
        <w:rPr>
          <w:rFonts w:ascii="Times New Roman" w:hAnsi="Times New Roman"/>
        </w:rPr>
        <w:t>be a conflict and any limitation that the competing duty imposes on the performance of the</w:t>
      </w:r>
      <w:r w:rsidR="00CC4EFA" w:rsidRPr="00F117EB">
        <w:rPr>
          <w:rFonts w:ascii="Times New Roman" w:hAnsi="Times New Roman"/>
        </w:rPr>
        <w:t xml:space="preserve"> barrister's</w:t>
      </w:r>
      <w:r w:rsidR="00EA5EAF" w:rsidRPr="00F117EB">
        <w:rPr>
          <w:rFonts w:ascii="Times New Roman" w:hAnsi="Times New Roman"/>
        </w:rPr>
        <w:t xml:space="preserve"> duty to the client.</w:t>
      </w:r>
      <w:r w:rsidR="0011608C" w:rsidRPr="00F117EB">
        <w:rPr>
          <w:rStyle w:val="FootnoteReference"/>
          <w:rFonts w:ascii="Times New Roman" w:hAnsi="Times New Roman"/>
          <w:sz w:val="24"/>
        </w:rPr>
        <w:footnoteReference w:id="67"/>
      </w:r>
      <w:r w:rsidR="00EA5EAF" w:rsidRPr="00F117EB">
        <w:rPr>
          <w:rFonts w:ascii="Times New Roman" w:hAnsi="Times New Roman"/>
        </w:rPr>
        <w:t xml:space="preserve"> However</w:t>
      </w:r>
      <w:r w:rsidR="00AD2B4D" w:rsidRPr="00F117EB">
        <w:rPr>
          <w:rFonts w:ascii="Times New Roman" w:hAnsi="Times New Roman"/>
        </w:rPr>
        <w:t>,</w:t>
      </w:r>
      <w:r w:rsidR="00EA5EAF" w:rsidRPr="00F117EB">
        <w:rPr>
          <w:rFonts w:ascii="Times New Roman" w:hAnsi="Times New Roman"/>
        </w:rPr>
        <w:t xml:space="preserve"> there are some conflicts that are so pronounced that </w:t>
      </w:r>
      <w:r w:rsidR="006B7660" w:rsidRPr="00F117EB">
        <w:rPr>
          <w:rFonts w:ascii="Times New Roman" w:hAnsi="Times New Roman"/>
        </w:rPr>
        <w:t>c</w:t>
      </w:r>
      <w:r w:rsidR="00EA5EAF" w:rsidRPr="00F117EB">
        <w:rPr>
          <w:rFonts w:ascii="Times New Roman" w:hAnsi="Times New Roman"/>
        </w:rPr>
        <w:t>ounsel must cease to act irrespective of whether the client's consent has been obtained.</w:t>
      </w:r>
      <w:r w:rsidR="006B7660" w:rsidRPr="00F117EB">
        <w:rPr>
          <w:rStyle w:val="FootnoteReference"/>
          <w:rFonts w:ascii="Times New Roman" w:hAnsi="Times New Roman"/>
          <w:sz w:val="24"/>
        </w:rPr>
        <w:footnoteReference w:id="68"/>
      </w:r>
      <w:r w:rsidR="00EA5EAF" w:rsidRPr="00F117EB">
        <w:rPr>
          <w:rFonts w:ascii="Times New Roman" w:hAnsi="Times New Roman"/>
        </w:rPr>
        <w:t xml:space="preserve"> In such cases</w:t>
      </w:r>
      <w:r w:rsidR="0072431A" w:rsidRPr="00F117EB">
        <w:rPr>
          <w:rFonts w:ascii="Times New Roman" w:hAnsi="Times New Roman"/>
        </w:rPr>
        <w:t>,</w:t>
      </w:r>
      <w:r w:rsidR="00EA5EAF" w:rsidRPr="00F117EB">
        <w:rPr>
          <w:rFonts w:ascii="Times New Roman" w:hAnsi="Times New Roman"/>
        </w:rPr>
        <w:t xml:space="preserve"> the proper discharge of one duty necessitates a breach of another.</w:t>
      </w:r>
      <w:r w:rsidR="00733286" w:rsidRPr="00F117EB">
        <w:rPr>
          <w:rStyle w:val="FootnoteReference"/>
          <w:rFonts w:ascii="Times New Roman" w:hAnsi="Times New Roman"/>
          <w:sz w:val="24"/>
        </w:rPr>
        <w:footnoteReference w:id="69"/>
      </w:r>
      <w:r w:rsidR="00EA5EAF" w:rsidRPr="00F117EB">
        <w:rPr>
          <w:rFonts w:ascii="Times New Roman" w:hAnsi="Times New Roman"/>
        </w:rPr>
        <w:t xml:space="preserve"> An example of such a pronounced conflict is</w:t>
      </w:r>
      <w:r w:rsidR="00FF5BCB" w:rsidRPr="00F117EB">
        <w:rPr>
          <w:rFonts w:ascii="Times New Roman" w:hAnsi="Times New Roman"/>
        </w:rPr>
        <w:t xml:space="preserve"> </w:t>
      </w:r>
      <w:r w:rsidR="00F0026F" w:rsidRPr="00F117EB">
        <w:rPr>
          <w:rFonts w:ascii="Times New Roman" w:hAnsi="Times New Roman"/>
        </w:rPr>
        <w:t xml:space="preserve">demonstrated by </w:t>
      </w:r>
      <w:r w:rsidR="00FF5BCB" w:rsidRPr="00F117EB">
        <w:rPr>
          <w:rFonts w:ascii="Times New Roman" w:hAnsi="Times New Roman"/>
        </w:rPr>
        <w:t>the facts of</w:t>
      </w:r>
      <w:r w:rsidR="00EA5EAF" w:rsidRPr="00F117EB">
        <w:rPr>
          <w:rFonts w:ascii="Times New Roman" w:hAnsi="Times New Roman"/>
        </w:rPr>
        <w:t xml:space="preserve"> </w:t>
      </w:r>
      <w:r w:rsidR="00EA5EAF" w:rsidRPr="00F117EB">
        <w:rPr>
          <w:rFonts w:ascii="Times New Roman" w:hAnsi="Times New Roman"/>
          <w:i/>
          <w:iCs/>
        </w:rPr>
        <w:t>R v Tay</w:t>
      </w:r>
      <w:r w:rsidR="00D12C93" w:rsidRPr="00F117EB">
        <w:rPr>
          <w:rFonts w:ascii="Times New Roman" w:hAnsi="Times New Roman"/>
        </w:rPr>
        <w:t>,</w:t>
      </w:r>
      <w:r w:rsidR="00733286" w:rsidRPr="00F117EB">
        <w:rPr>
          <w:rStyle w:val="FootnoteReference"/>
          <w:rFonts w:ascii="Times New Roman" w:hAnsi="Times New Roman"/>
          <w:sz w:val="24"/>
        </w:rPr>
        <w:footnoteReference w:id="70"/>
      </w:r>
      <w:r w:rsidR="00EA5EAF" w:rsidRPr="00F117EB">
        <w:rPr>
          <w:rFonts w:ascii="Times New Roman" w:hAnsi="Times New Roman"/>
        </w:rPr>
        <w:t xml:space="preserve"> where a solicitor acted for two clients at a sentencing hearing in circumstances where each </w:t>
      </w:r>
      <w:r w:rsidR="002D1A21" w:rsidRPr="00F117EB">
        <w:rPr>
          <w:rFonts w:ascii="Times New Roman" w:hAnsi="Times New Roman"/>
        </w:rPr>
        <w:t xml:space="preserve">client </w:t>
      </w:r>
      <w:r w:rsidR="00EA5EAF" w:rsidRPr="00F117EB">
        <w:rPr>
          <w:rFonts w:ascii="Times New Roman" w:hAnsi="Times New Roman"/>
        </w:rPr>
        <w:t xml:space="preserve">disputed the </w:t>
      </w:r>
      <w:r w:rsidR="00613875" w:rsidRPr="00F117EB">
        <w:rPr>
          <w:rFonts w:ascii="Times New Roman" w:hAnsi="Times New Roman"/>
        </w:rPr>
        <w:t xml:space="preserve">alleged </w:t>
      </w:r>
      <w:r w:rsidR="00EA5EAF" w:rsidRPr="00F117EB">
        <w:rPr>
          <w:rFonts w:ascii="Times New Roman" w:hAnsi="Times New Roman"/>
        </w:rPr>
        <w:t>facts concerning their own and each other's involvement in the relevant importation and supply of heroin.</w:t>
      </w:r>
      <w:r w:rsidR="001911AF" w:rsidRPr="00F117EB">
        <w:rPr>
          <w:rStyle w:val="FootnoteReference"/>
          <w:rFonts w:ascii="Times New Roman" w:hAnsi="Times New Roman"/>
          <w:sz w:val="24"/>
        </w:rPr>
        <w:footnoteReference w:id="71"/>
      </w:r>
      <w:r w:rsidR="00EA5EAF" w:rsidRPr="00F117EB">
        <w:rPr>
          <w:rFonts w:ascii="Times New Roman" w:hAnsi="Times New Roman"/>
        </w:rPr>
        <w:t xml:space="preserve">  </w:t>
      </w:r>
    </w:p>
    <w:p w14:paraId="21C9954D" w14:textId="1463CF52" w:rsidR="00EA5EAF" w:rsidRPr="00F117EB" w:rsidRDefault="006A70F3" w:rsidP="00F117EB">
      <w:pPr>
        <w:pStyle w:val="FixListStyle"/>
        <w:spacing w:after="260" w:line="280" w:lineRule="exact"/>
        <w:ind w:right="0"/>
        <w:jc w:val="both"/>
        <w:rPr>
          <w:rFonts w:ascii="Times New Roman" w:hAnsi="Times New Roman"/>
        </w:rPr>
      </w:pPr>
      <w:r w:rsidRPr="00F117EB">
        <w:rPr>
          <w:rFonts w:ascii="Times New Roman" w:hAnsi="Times New Roman"/>
        </w:rPr>
        <w:lastRenderedPageBreak/>
        <w:tab/>
      </w:r>
      <w:r w:rsidR="00EA5EAF" w:rsidRPr="00F117EB">
        <w:rPr>
          <w:rFonts w:ascii="Times New Roman" w:hAnsi="Times New Roman"/>
        </w:rPr>
        <w:t xml:space="preserve">The appellant sought to rely on </w:t>
      </w:r>
      <w:r w:rsidR="00A706C6" w:rsidRPr="00F117EB">
        <w:rPr>
          <w:rFonts w:ascii="Times New Roman" w:hAnsi="Times New Roman"/>
        </w:rPr>
        <w:t xml:space="preserve">r </w:t>
      </w:r>
      <w:r w:rsidR="00EA5EAF" w:rsidRPr="00F117EB">
        <w:rPr>
          <w:rFonts w:ascii="Times New Roman" w:hAnsi="Times New Roman"/>
        </w:rPr>
        <w:t xml:space="preserve">119 </w:t>
      </w:r>
      <w:r w:rsidR="00A706C6" w:rsidRPr="00F117EB">
        <w:rPr>
          <w:rFonts w:ascii="Times New Roman" w:hAnsi="Times New Roman"/>
        </w:rPr>
        <w:t>of the Conduct Rules</w:t>
      </w:r>
      <w:r w:rsidR="00D12C93" w:rsidRPr="00F117EB">
        <w:rPr>
          <w:rFonts w:ascii="Times New Roman" w:hAnsi="Times New Roman"/>
        </w:rPr>
        <w:t>,</w:t>
      </w:r>
      <w:r w:rsidR="00A706C6" w:rsidRPr="00F117EB">
        <w:rPr>
          <w:rFonts w:ascii="Times New Roman" w:hAnsi="Times New Roman"/>
        </w:rPr>
        <w:t xml:space="preserve"> </w:t>
      </w:r>
      <w:r w:rsidR="00EA5EAF" w:rsidRPr="00F117EB">
        <w:rPr>
          <w:rFonts w:ascii="Times New Roman" w:hAnsi="Times New Roman"/>
        </w:rPr>
        <w:t>which provides that "</w:t>
      </w:r>
      <w:r w:rsidR="006620E7" w:rsidRPr="00F117EB">
        <w:rPr>
          <w:rFonts w:ascii="Times New Roman" w:hAnsi="Times New Roman"/>
        </w:rPr>
        <w:t>[</w:t>
      </w:r>
      <w:r w:rsidR="00EA5EAF" w:rsidRPr="00F117EB">
        <w:rPr>
          <w:rFonts w:ascii="Times New Roman" w:hAnsi="Times New Roman"/>
        </w:rPr>
        <w:t>a</w:t>
      </w:r>
      <w:r w:rsidR="006620E7" w:rsidRPr="00F117EB">
        <w:rPr>
          <w:rFonts w:ascii="Times New Roman" w:hAnsi="Times New Roman"/>
        </w:rPr>
        <w:t>]</w:t>
      </w:r>
      <w:r w:rsidR="00EA5EAF" w:rsidRPr="00F117EB">
        <w:rPr>
          <w:rFonts w:ascii="Times New Roman" w:hAnsi="Times New Roman"/>
        </w:rPr>
        <w:t xml:space="preserve"> barrister who is briefed to appear for two or more parties in any case must determine as soon as possible whether the interests of the clients may, as</w:t>
      </w:r>
      <w:r w:rsidR="005D455B" w:rsidRPr="00F117EB">
        <w:rPr>
          <w:rFonts w:ascii="Times New Roman" w:hAnsi="Times New Roman"/>
        </w:rPr>
        <w:t xml:space="preserve"> a</w:t>
      </w:r>
      <w:r w:rsidR="00EA5EAF" w:rsidRPr="00F117EB">
        <w:rPr>
          <w:rFonts w:ascii="Times New Roman" w:hAnsi="Times New Roman"/>
        </w:rPr>
        <w:t xml:space="preserve"> real possibility</w:t>
      </w:r>
      <w:r w:rsidR="005D455B" w:rsidRPr="00F117EB">
        <w:rPr>
          <w:rFonts w:ascii="Times New Roman" w:hAnsi="Times New Roman"/>
        </w:rPr>
        <w:t>,</w:t>
      </w:r>
      <w:r w:rsidR="00EA5EAF" w:rsidRPr="00F117EB">
        <w:rPr>
          <w:rFonts w:ascii="Times New Roman" w:hAnsi="Times New Roman"/>
        </w:rPr>
        <w:t xml:space="preserve"> conflict and, if so, the barrister must then return the brief" for all, or one or more</w:t>
      </w:r>
      <w:r w:rsidR="00A91EA1" w:rsidRPr="00F117EB">
        <w:rPr>
          <w:rFonts w:ascii="Times New Roman" w:hAnsi="Times New Roman"/>
        </w:rPr>
        <w:t>,</w:t>
      </w:r>
      <w:r w:rsidR="00EA5EAF" w:rsidRPr="00F117EB">
        <w:rPr>
          <w:rFonts w:ascii="Times New Roman" w:hAnsi="Times New Roman"/>
        </w:rPr>
        <w:t xml:space="preserve"> of the clients</w:t>
      </w:r>
      <w:r w:rsidR="006E62D4" w:rsidRPr="00F117EB">
        <w:rPr>
          <w:rFonts w:ascii="Times New Roman" w:hAnsi="Times New Roman"/>
        </w:rPr>
        <w:t xml:space="preserve"> depending on the circumstances</w:t>
      </w:r>
      <w:r w:rsidR="00EA5EAF" w:rsidRPr="00F117EB">
        <w:rPr>
          <w:rFonts w:ascii="Times New Roman" w:hAnsi="Times New Roman"/>
        </w:rPr>
        <w:t xml:space="preserve">. </w:t>
      </w:r>
      <w:r w:rsidR="00BB0E9A" w:rsidRPr="00F117EB">
        <w:rPr>
          <w:rFonts w:ascii="Times New Roman" w:hAnsi="Times New Roman"/>
        </w:rPr>
        <w:t>T</w:t>
      </w:r>
      <w:r w:rsidR="00EA5EAF" w:rsidRPr="00F117EB">
        <w:rPr>
          <w:rFonts w:ascii="Times New Roman" w:hAnsi="Times New Roman"/>
        </w:rPr>
        <w:t xml:space="preserve">he </w:t>
      </w:r>
      <w:r w:rsidRPr="00F117EB">
        <w:rPr>
          <w:rFonts w:ascii="Times New Roman" w:hAnsi="Times New Roman"/>
        </w:rPr>
        <w:t>a</w:t>
      </w:r>
      <w:r w:rsidR="00EA5EAF" w:rsidRPr="00F117EB">
        <w:rPr>
          <w:rFonts w:ascii="Times New Roman" w:hAnsi="Times New Roman"/>
        </w:rPr>
        <w:t>ppellant contended that this rule made no allowance or exception for any informed consent</w:t>
      </w:r>
      <w:r w:rsidR="00510024" w:rsidRPr="00F117EB">
        <w:rPr>
          <w:rFonts w:ascii="Times New Roman" w:hAnsi="Times New Roman"/>
        </w:rPr>
        <w:t xml:space="preserve"> to the conflict</w:t>
      </w:r>
      <w:r w:rsidR="00EA5EAF" w:rsidRPr="00F117EB">
        <w:rPr>
          <w:rFonts w:ascii="Times New Roman" w:hAnsi="Times New Roman"/>
        </w:rPr>
        <w:t xml:space="preserve"> that the client may have given </w:t>
      </w:r>
      <w:r w:rsidR="00BB0E9A" w:rsidRPr="00F117EB">
        <w:rPr>
          <w:rFonts w:ascii="Times New Roman" w:hAnsi="Times New Roman"/>
        </w:rPr>
        <w:t xml:space="preserve">and thus excluded any </w:t>
      </w:r>
      <w:r w:rsidR="00053AE1" w:rsidRPr="00F117EB">
        <w:rPr>
          <w:rFonts w:ascii="Times New Roman" w:hAnsi="Times New Roman"/>
        </w:rPr>
        <w:t xml:space="preserve">contention </w:t>
      </w:r>
      <w:r w:rsidR="00BB0E9A" w:rsidRPr="00F117EB">
        <w:rPr>
          <w:rFonts w:ascii="Times New Roman" w:hAnsi="Times New Roman"/>
        </w:rPr>
        <w:t xml:space="preserve">that informed consent </w:t>
      </w:r>
      <w:r w:rsidR="00510024" w:rsidRPr="00F117EB">
        <w:rPr>
          <w:rFonts w:ascii="Times New Roman" w:hAnsi="Times New Roman"/>
        </w:rPr>
        <w:t>negated a breach of the proscriptive obligation</w:t>
      </w:r>
      <w:r w:rsidR="008E0563" w:rsidRPr="00F117EB">
        <w:rPr>
          <w:rFonts w:ascii="Times New Roman" w:hAnsi="Times New Roman"/>
        </w:rPr>
        <w:t>.</w:t>
      </w:r>
      <w:r w:rsidR="00EA5EAF" w:rsidRPr="00F117EB">
        <w:rPr>
          <w:rFonts w:ascii="Times New Roman" w:hAnsi="Times New Roman"/>
        </w:rPr>
        <w:t xml:space="preserve"> Given that the Conduct Rules do not purport to exclude the "general law",</w:t>
      </w:r>
      <w:r w:rsidRPr="00F117EB">
        <w:rPr>
          <w:rStyle w:val="FootnoteReference"/>
          <w:rFonts w:ascii="Times New Roman" w:hAnsi="Times New Roman"/>
          <w:sz w:val="24"/>
        </w:rPr>
        <w:footnoteReference w:id="72"/>
      </w:r>
      <w:r w:rsidR="00EA5EAF" w:rsidRPr="00F117EB">
        <w:rPr>
          <w:rFonts w:ascii="Times New Roman" w:hAnsi="Times New Roman"/>
        </w:rPr>
        <w:t xml:space="preserve"> it is doubtful whether the rule has that effect.</w:t>
      </w:r>
      <w:r w:rsidR="003A0997" w:rsidRPr="00F117EB">
        <w:rPr>
          <w:rStyle w:val="FootnoteReference"/>
          <w:rFonts w:ascii="Times New Roman" w:hAnsi="Times New Roman"/>
          <w:sz w:val="24"/>
        </w:rPr>
        <w:footnoteReference w:id="73"/>
      </w:r>
      <w:r w:rsidR="00EA5EAF" w:rsidRPr="00F117EB">
        <w:rPr>
          <w:rFonts w:ascii="Times New Roman" w:hAnsi="Times New Roman"/>
        </w:rPr>
        <w:t xml:space="preserve"> In any event</w:t>
      </w:r>
      <w:r w:rsidR="00C507E4" w:rsidRPr="00F117EB">
        <w:rPr>
          <w:rFonts w:ascii="Times New Roman" w:hAnsi="Times New Roman"/>
        </w:rPr>
        <w:t>,</w:t>
      </w:r>
      <w:r w:rsidR="00EA5EAF" w:rsidRPr="00F117EB">
        <w:rPr>
          <w:rFonts w:ascii="Times New Roman" w:hAnsi="Times New Roman"/>
        </w:rPr>
        <w:t xml:space="preserve"> the appellant overstates the </w:t>
      </w:r>
      <w:r w:rsidR="003769C5" w:rsidRPr="00F117EB">
        <w:rPr>
          <w:rFonts w:ascii="Times New Roman" w:hAnsi="Times New Roman"/>
        </w:rPr>
        <w:t xml:space="preserve">scope of the </w:t>
      </w:r>
      <w:r w:rsidR="00EA5EAF" w:rsidRPr="00F117EB">
        <w:rPr>
          <w:rFonts w:ascii="Times New Roman" w:hAnsi="Times New Roman"/>
        </w:rPr>
        <w:t>rule</w:t>
      </w:r>
      <w:r w:rsidR="00014077" w:rsidRPr="00F117EB">
        <w:rPr>
          <w:rFonts w:ascii="Times New Roman" w:hAnsi="Times New Roman"/>
        </w:rPr>
        <w:t>,</w:t>
      </w:r>
      <w:r w:rsidR="00EA5EAF" w:rsidRPr="00F117EB">
        <w:rPr>
          <w:rFonts w:ascii="Times New Roman" w:hAnsi="Times New Roman"/>
        </w:rPr>
        <w:t xml:space="preserve"> which </w:t>
      </w:r>
      <w:r w:rsidR="003769C5" w:rsidRPr="00F117EB">
        <w:rPr>
          <w:rFonts w:ascii="Times New Roman" w:hAnsi="Times New Roman"/>
        </w:rPr>
        <w:t xml:space="preserve">simply </w:t>
      </w:r>
      <w:r w:rsidR="00EA5EAF" w:rsidRPr="00F117EB">
        <w:rPr>
          <w:rFonts w:ascii="Times New Roman" w:hAnsi="Times New Roman"/>
        </w:rPr>
        <w:t>oblig</w:t>
      </w:r>
      <w:r w:rsidR="008E5346" w:rsidRPr="00F117EB">
        <w:rPr>
          <w:rFonts w:ascii="Times New Roman" w:hAnsi="Times New Roman"/>
        </w:rPr>
        <w:t>es</w:t>
      </w:r>
      <w:r w:rsidR="00EA5EAF" w:rsidRPr="00F117EB">
        <w:rPr>
          <w:rFonts w:ascii="Times New Roman" w:hAnsi="Times New Roman"/>
        </w:rPr>
        <w:t xml:space="preserve"> the barrister to make a bon</w:t>
      </w:r>
      <w:r w:rsidR="00CD13C8" w:rsidRPr="00F117EB">
        <w:rPr>
          <w:rFonts w:ascii="Times New Roman" w:hAnsi="Times New Roman"/>
        </w:rPr>
        <w:t>a</w:t>
      </w:r>
      <w:r w:rsidR="00EA5EAF" w:rsidRPr="00F117EB">
        <w:rPr>
          <w:rFonts w:ascii="Times New Roman" w:hAnsi="Times New Roman"/>
        </w:rPr>
        <w:t xml:space="preserve"> fide judgment as to whether there is a real possibility of conflict</w:t>
      </w:r>
      <w:r w:rsidR="00920BB4" w:rsidRPr="00F117EB">
        <w:rPr>
          <w:rFonts w:ascii="Times New Roman" w:hAnsi="Times New Roman"/>
        </w:rPr>
        <w:t xml:space="preserve"> by reference to the interests of </w:t>
      </w:r>
      <w:r w:rsidR="002D1A21" w:rsidRPr="00F117EB">
        <w:rPr>
          <w:rFonts w:ascii="Times New Roman" w:hAnsi="Times New Roman"/>
        </w:rPr>
        <w:t>each</w:t>
      </w:r>
      <w:r w:rsidR="00542806" w:rsidRPr="00F117EB">
        <w:rPr>
          <w:rFonts w:ascii="Times New Roman" w:hAnsi="Times New Roman"/>
        </w:rPr>
        <w:t xml:space="preserve"> </w:t>
      </w:r>
      <w:r w:rsidR="00920BB4" w:rsidRPr="00F117EB">
        <w:rPr>
          <w:rFonts w:ascii="Times New Roman" w:hAnsi="Times New Roman"/>
        </w:rPr>
        <w:t>client</w:t>
      </w:r>
      <w:r w:rsidR="00EA5EAF" w:rsidRPr="00F117EB">
        <w:rPr>
          <w:rFonts w:ascii="Times New Roman" w:hAnsi="Times New Roman"/>
        </w:rPr>
        <w:t xml:space="preserve">. </w:t>
      </w:r>
      <w:r w:rsidR="00A40F5F" w:rsidRPr="00F117EB">
        <w:rPr>
          <w:rFonts w:ascii="Times New Roman" w:hAnsi="Times New Roman"/>
        </w:rPr>
        <w:t>A</w:t>
      </w:r>
      <w:r w:rsidR="00EA5EAF" w:rsidRPr="00F117EB">
        <w:rPr>
          <w:rFonts w:ascii="Times New Roman" w:hAnsi="Times New Roman"/>
        </w:rPr>
        <w:t>s indicated,</w:t>
      </w:r>
      <w:r w:rsidR="00A40F5F" w:rsidRPr="00F117EB">
        <w:rPr>
          <w:rStyle w:val="FootnoteReference"/>
          <w:rFonts w:ascii="Times New Roman" w:hAnsi="Times New Roman"/>
          <w:sz w:val="24"/>
        </w:rPr>
        <w:footnoteReference w:id="74"/>
      </w:r>
      <w:r w:rsidR="00EA5EAF" w:rsidRPr="00F117EB">
        <w:rPr>
          <w:rFonts w:ascii="Times New Roman" w:hAnsi="Times New Roman"/>
        </w:rPr>
        <w:t xml:space="preserve"> ultimately whether there is such a conflict involves an objective inquiry.</w:t>
      </w:r>
      <w:r w:rsidR="00CD13C8" w:rsidRPr="00F117EB">
        <w:rPr>
          <w:rFonts w:ascii="Times New Roman" w:hAnsi="Times New Roman"/>
        </w:rPr>
        <w:t xml:space="preserve"> </w:t>
      </w:r>
    </w:p>
    <w:p w14:paraId="4C87320B" w14:textId="1E77EE12" w:rsidR="008806F4" w:rsidRPr="00F117EB" w:rsidRDefault="00C507E4"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Although concerns have been raised about the practice of </w:t>
      </w:r>
      <w:r w:rsidRPr="00F117EB">
        <w:rPr>
          <w:rFonts w:ascii="Times New Roman" w:hAnsi="Times New Roman"/>
        </w:rPr>
        <w:t>c</w:t>
      </w:r>
      <w:r w:rsidR="00EA5EAF" w:rsidRPr="00F117EB">
        <w:rPr>
          <w:rFonts w:ascii="Times New Roman" w:hAnsi="Times New Roman"/>
        </w:rPr>
        <w:t>ounsel appearing for multiple accused</w:t>
      </w:r>
      <w:r w:rsidR="00CD4526" w:rsidRPr="00F117EB">
        <w:rPr>
          <w:rFonts w:ascii="Times New Roman" w:hAnsi="Times New Roman"/>
        </w:rPr>
        <w:t>,</w:t>
      </w:r>
      <w:r w:rsidRPr="00F117EB">
        <w:rPr>
          <w:rStyle w:val="FootnoteReference"/>
          <w:rFonts w:ascii="Times New Roman" w:hAnsi="Times New Roman"/>
          <w:sz w:val="24"/>
        </w:rPr>
        <w:footnoteReference w:id="75"/>
      </w:r>
      <w:r w:rsidR="00EA5EAF" w:rsidRPr="00F117EB">
        <w:rPr>
          <w:rFonts w:ascii="Times New Roman" w:hAnsi="Times New Roman"/>
        </w:rPr>
        <w:t xml:space="preserve"> there is no rule </w:t>
      </w:r>
      <w:r w:rsidR="008D51A1" w:rsidRPr="00F117EB">
        <w:rPr>
          <w:rFonts w:ascii="Times New Roman" w:hAnsi="Times New Roman"/>
        </w:rPr>
        <w:t>prohibiting that practice</w:t>
      </w:r>
      <w:r w:rsidR="00EA5EAF" w:rsidRPr="00F117EB">
        <w:rPr>
          <w:rFonts w:ascii="Times New Roman" w:hAnsi="Times New Roman"/>
        </w:rPr>
        <w:t>.</w:t>
      </w:r>
      <w:r w:rsidR="00CD4526" w:rsidRPr="00F117EB">
        <w:rPr>
          <w:rStyle w:val="FootnoteReference"/>
          <w:rFonts w:ascii="Times New Roman" w:hAnsi="Times New Roman"/>
          <w:sz w:val="24"/>
        </w:rPr>
        <w:footnoteReference w:id="76"/>
      </w:r>
      <w:r w:rsidR="00EA5EAF" w:rsidRPr="00F117EB">
        <w:rPr>
          <w:rFonts w:ascii="Times New Roman" w:hAnsi="Times New Roman"/>
        </w:rPr>
        <w:t xml:space="preserve"> Instead, </w:t>
      </w:r>
      <w:r w:rsidR="00EE5830" w:rsidRPr="00F117EB">
        <w:rPr>
          <w:rFonts w:ascii="Times New Roman" w:hAnsi="Times New Roman"/>
        </w:rPr>
        <w:t xml:space="preserve">it follows from the above that the </w:t>
      </w:r>
      <w:r w:rsidR="00EA5EAF" w:rsidRPr="00F117EB">
        <w:rPr>
          <w:rFonts w:ascii="Times New Roman" w:hAnsi="Times New Roman"/>
        </w:rPr>
        <w:t xml:space="preserve">resolution of complaints about </w:t>
      </w:r>
      <w:r w:rsidR="00CD4526" w:rsidRPr="00F117EB">
        <w:rPr>
          <w:rFonts w:ascii="Times New Roman" w:hAnsi="Times New Roman"/>
        </w:rPr>
        <w:t>c</w:t>
      </w:r>
      <w:r w:rsidR="00EA5EAF" w:rsidRPr="00F117EB">
        <w:rPr>
          <w:rFonts w:ascii="Times New Roman" w:hAnsi="Times New Roman"/>
        </w:rPr>
        <w:t>ounsel being subject to conflicting duties require</w:t>
      </w:r>
      <w:r w:rsidR="00071A29" w:rsidRPr="00F117EB">
        <w:rPr>
          <w:rFonts w:ascii="Times New Roman" w:hAnsi="Times New Roman"/>
        </w:rPr>
        <w:t>s</w:t>
      </w:r>
      <w:r w:rsidR="00EA5EAF" w:rsidRPr="00F117EB">
        <w:rPr>
          <w:rFonts w:ascii="Times New Roman" w:hAnsi="Times New Roman"/>
        </w:rPr>
        <w:t xml:space="preserve"> a </w:t>
      </w:r>
      <w:r w:rsidR="00614112" w:rsidRPr="00F117EB">
        <w:rPr>
          <w:rFonts w:ascii="Times New Roman" w:hAnsi="Times New Roman"/>
        </w:rPr>
        <w:t xml:space="preserve">close </w:t>
      </w:r>
      <w:r w:rsidR="00EA5EAF" w:rsidRPr="00F117EB">
        <w:rPr>
          <w:rFonts w:ascii="Times New Roman" w:hAnsi="Times New Roman"/>
        </w:rPr>
        <w:t xml:space="preserve">factual inquiry that will </w:t>
      </w:r>
      <w:r w:rsidR="008F3B26" w:rsidRPr="00F117EB">
        <w:rPr>
          <w:rFonts w:ascii="Times New Roman" w:hAnsi="Times New Roman"/>
        </w:rPr>
        <w:t xml:space="preserve">almost invariably </w:t>
      </w:r>
      <w:r w:rsidR="00EA5EAF" w:rsidRPr="00F117EB">
        <w:rPr>
          <w:rFonts w:ascii="Times New Roman" w:hAnsi="Times New Roman"/>
        </w:rPr>
        <w:t xml:space="preserve">involve a consideration of </w:t>
      </w:r>
      <w:r w:rsidR="001243CA" w:rsidRPr="00F117EB">
        <w:rPr>
          <w:rFonts w:ascii="Times New Roman" w:hAnsi="Times New Roman"/>
        </w:rPr>
        <w:t>c</w:t>
      </w:r>
      <w:r w:rsidR="00EA5EAF" w:rsidRPr="00F117EB">
        <w:rPr>
          <w:rFonts w:ascii="Times New Roman" w:hAnsi="Times New Roman"/>
        </w:rPr>
        <w:t>ounsel's communications with their instructing solicitor and the client</w:t>
      </w:r>
      <w:r w:rsidR="00777C22" w:rsidRPr="00F117EB">
        <w:rPr>
          <w:rFonts w:ascii="Times New Roman" w:hAnsi="Times New Roman"/>
        </w:rPr>
        <w:t>,</w:t>
      </w:r>
      <w:r w:rsidR="008F3B26" w:rsidRPr="00F117EB">
        <w:rPr>
          <w:rFonts w:ascii="Times New Roman" w:hAnsi="Times New Roman"/>
        </w:rPr>
        <w:t xml:space="preserve"> </w:t>
      </w:r>
      <w:r w:rsidR="005E130F" w:rsidRPr="00F117EB">
        <w:rPr>
          <w:rFonts w:ascii="Times New Roman" w:hAnsi="Times New Roman"/>
        </w:rPr>
        <w:t>including</w:t>
      </w:r>
      <w:r w:rsidR="008F3B26" w:rsidRPr="00F117EB">
        <w:rPr>
          <w:rFonts w:ascii="Times New Roman" w:hAnsi="Times New Roman"/>
        </w:rPr>
        <w:t xml:space="preserve"> </w:t>
      </w:r>
      <w:r w:rsidR="00215CBE" w:rsidRPr="00F117EB">
        <w:rPr>
          <w:rFonts w:ascii="Times New Roman" w:hAnsi="Times New Roman"/>
        </w:rPr>
        <w:t>any</w:t>
      </w:r>
      <w:r w:rsidR="008F3B26" w:rsidRPr="00F117EB">
        <w:rPr>
          <w:rFonts w:ascii="Times New Roman" w:hAnsi="Times New Roman"/>
        </w:rPr>
        <w:t xml:space="preserve"> instructions</w:t>
      </w:r>
      <w:r w:rsidR="00777C22" w:rsidRPr="00F117EB">
        <w:rPr>
          <w:rFonts w:ascii="Times New Roman" w:hAnsi="Times New Roman"/>
        </w:rPr>
        <w:t xml:space="preserve"> provided </w:t>
      </w:r>
      <w:r w:rsidR="00D474B2" w:rsidRPr="00F117EB">
        <w:rPr>
          <w:rFonts w:ascii="Times New Roman" w:hAnsi="Times New Roman"/>
        </w:rPr>
        <w:t>by</w:t>
      </w:r>
      <w:r w:rsidR="00777C22" w:rsidRPr="00F117EB">
        <w:rPr>
          <w:rFonts w:ascii="Times New Roman" w:hAnsi="Times New Roman"/>
        </w:rPr>
        <w:t xml:space="preserve"> </w:t>
      </w:r>
      <w:r w:rsidR="00BC793F" w:rsidRPr="00F117EB">
        <w:rPr>
          <w:rFonts w:ascii="Times New Roman" w:hAnsi="Times New Roman"/>
        </w:rPr>
        <w:t>the client</w:t>
      </w:r>
      <w:r w:rsidR="008D52E8" w:rsidRPr="00F117EB">
        <w:rPr>
          <w:rFonts w:ascii="Times New Roman" w:hAnsi="Times New Roman"/>
        </w:rPr>
        <w:t>. S</w:t>
      </w:r>
      <w:r w:rsidR="00EA5EAF" w:rsidRPr="00F117EB">
        <w:rPr>
          <w:rFonts w:ascii="Times New Roman" w:hAnsi="Times New Roman"/>
        </w:rPr>
        <w:t xml:space="preserve">uch </w:t>
      </w:r>
      <w:r w:rsidR="00614112" w:rsidRPr="00F117EB">
        <w:rPr>
          <w:rFonts w:ascii="Times New Roman" w:hAnsi="Times New Roman"/>
        </w:rPr>
        <w:t xml:space="preserve">communications and instructions </w:t>
      </w:r>
      <w:r w:rsidR="00EA5EAF" w:rsidRPr="00F117EB">
        <w:rPr>
          <w:rFonts w:ascii="Times New Roman" w:hAnsi="Times New Roman"/>
        </w:rPr>
        <w:t>may bear upon a determination of the scope of the duty owed</w:t>
      </w:r>
      <w:r w:rsidR="008F3B26" w:rsidRPr="00F117EB">
        <w:rPr>
          <w:rFonts w:ascii="Times New Roman" w:hAnsi="Times New Roman"/>
        </w:rPr>
        <w:t xml:space="preserve"> by </w:t>
      </w:r>
      <w:r w:rsidR="00E06E95" w:rsidRPr="00F117EB">
        <w:rPr>
          <w:rFonts w:ascii="Times New Roman" w:hAnsi="Times New Roman"/>
        </w:rPr>
        <w:t>c</w:t>
      </w:r>
      <w:r w:rsidR="008F3B26" w:rsidRPr="00F117EB">
        <w:rPr>
          <w:rFonts w:ascii="Times New Roman" w:hAnsi="Times New Roman"/>
        </w:rPr>
        <w:t>ounsel</w:t>
      </w:r>
      <w:r w:rsidR="00EA5EAF" w:rsidRPr="00F117EB">
        <w:rPr>
          <w:rFonts w:ascii="Times New Roman" w:hAnsi="Times New Roman"/>
        </w:rPr>
        <w:t>,</w:t>
      </w:r>
      <w:r w:rsidR="001243CA" w:rsidRPr="00F117EB">
        <w:rPr>
          <w:rStyle w:val="FootnoteReference"/>
          <w:rFonts w:ascii="Times New Roman" w:hAnsi="Times New Roman"/>
          <w:sz w:val="24"/>
        </w:rPr>
        <w:footnoteReference w:id="77"/>
      </w:r>
      <w:r w:rsidR="00EA5EAF" w:rsidRPr="00F117EB">
        <w:rPr>
          <w:rFonts w:ascii="Times New Roman" w:hAnsi="Times New Roman"/>
        </w:rPr>
        <w:t xml:space="preserve"> although that scope may</w:t>
      </w:r>
      <w:r w:rsidR="00191D57" w:rsidRPr="00F117EB">
        <w:rPr>
          <w:rFonts w:ascii="Times New Roman" w:hAnsi="Times New Roman"/>
        </w:rPr>
        <w:t xml:space="preserve"> </w:t>
      </w:r>
      <w:r w:rsidR="00EA5EAF" w:rsidRPr="00F117EB">
        <w:rPr>
          <w:rFonts w:ascii="Times New Roman" w:hAnsi="Times New Roman"/>
        </w:rPr>
        <w:t xml:space="preserve">be sufficiently apparent from the </w:t>
      </w:r>
      <w:r w:rsidR="00AD08FE" w:rsidRPr="00F117EB">
        <w:rPr>
          <w:rFonts w:ascii="Times New Roman" w:hAnsi="Times New Roman"/>
        </w:rPr>
        <w:t>b</w:t>
      </w:r>
      <w:r w:rsidR="00EA5EAF" w:rsidRPr="00F117EB">
        <w:rPr>
          <w:rFonts w:ascii="Times New Roman" w:hAnsi="Times New Roman"/>
        </w:rPr>
        <w:t xml:space="preserve">arrister assuming the conduct of </w:t>
      </w:r>
      <w:proofErr w:type="gramStart"/>
      <w:r w:rsidR="00EA5EAF" w:rsidRPr="00F117EB">
        <w:rPr>
          <w:rFonts w:ascii="Times New Roman" w:hAnsi="Times New Roman"/>
        </w:rPr>
        <w:t>particular proceedings</w:t>
      </w:r>
      <w:proofErr w:type="gramEnd"/>
      <w:r w:rsidR="00EA5EAF" w:rsidRPr="00F117EB">
        <w:rPr>
          <w:rFonts w:ascii="Times New Roman" w:hAnsi="Times New Roman"/>
        </w:rPr>
        <w:t xml:space="preserve"> in court. Of more relevance is that those communications and dealings will </w:t>
      </w:r>
      <w:r w:rsidR="00614112" w:rsidRPr="00F117EB">
        <w:rPr>
          <w:rFonts w:ascii="Times New Roman" w:hAnsi="Times New Roman"/>
        </w:rPr>
        <w:t>almost invariably</w:t>
      </w:r>
      <w:r w:rsidR="00EA5EAF" w:rsidRPr="00F117EB">
        <w:rPr>
          <w:rFonts w:ascii="Times New Roman" w:hAnsi="Times New Roman"/>
        </w:rPr>
        <w:t xml:space="preserve"> bear upon a</w:t>
      </w:r>
      <w:r w:rsidR="00DB6D8E" w:rsidRPr="00F117EB">
        <w:rPr>
          <w:rFonts w:ascii="Times New Roman" w:hAnsi="Times New Roman"/>
        </w:rPr>
        <w:t xml:space="preserve">n assessment of whether there is a conflict. </w:t>
      </w:r>
      <w:proofErr w:type="gramStart"/>
      <w:r w:rsidR="000D3102" w:rsidRPr="00F117EB">
        <w:rPr>
          <w:rFonts w:ascii="Times New Roman" w:hAnsi="Times New Roman"/>
        </w:rPr>
        <w:t>Thus</w:t>
      </w:r>
      <w:proofErr w:type="gramEnd"/>
      <w:r w:rsidR="000D3102" w:rsidRPr="00F117EB">
        <w:rPr>
          <w:rFonts w:ascii="Times New Roman" w:hAnsi="Times New Roman"/>
        </w:rPr>
        <w:t xml:space="preserve"> in </w:t>
      </w:r>
      <w:r w:rsidR="00613989" w:rsidRPr="00F117EB">
        <w:rPr>
          <w:rFonts w:ascii="Times New Roman" w:hAnsi="Times New Roman"/>
          <w:i/>
          <w:iCs/>
        </w:rPr>
        <w:t xml:space="preserve">Mills v The Queen </w:t>
      </w:r>
      <w:r w:rsidR="00613989" w:rsidRPr="00F117EB">
        <w:rPr>
          <w:rFonts w:ascii="Times New Roman" w:hAnsi="Times New Roman"/>
        </w:rPr>
        <w:t xml:space="preserve">Lord Steyn observed that </w:t>
      </w:r>
      <w:r w:rsidR="0018218F" w:rsidRPr="00F117EB">
        <w:rPr>
          <w:rFonts w:ascii="Times New Roman" w:hAnsi="Times New Roman"/>
        </w:rPr>
        <w:t>c</w:t>
      </w:r>
      <w:r w:rsidR="00613989" w:rsidRPr="00F117EB">
        <w:rPr>
          <w:rFonts w:ascii="Times New Roman" w:hAnsi="Times New Roman"/>
        </w:rPr>
        <w:t>oun</w:t>
      </w:r>
      <w:r w:rsidR="00C820D4" w:rsidRPr="00F117EB">
        <w:rPr>
          <w:rFonts w:ascii="Times New Roman" w:hAnsi="Times New Roman"/>
        </w:rPr>
        <w:t>sel engaged on behalf of more than one defendant must consider whether there is a conflict of interest between the</w:t>
      </w:r>
      <w:r w:rsidR="00503B71" w:rsidRPr="00F117EB">
        <w:rPr>
          <w:rFonts w:ascii="Times New Roman" w:hAnsi="Times New Roman"/>
        </w:rPr>
        <w:t xml:space="preserve"> defendants</w:t>
      </w:r>
      <w:r w:rsidR="00C820D4" w:rsidRPr="00F117EB">
        <w:rPr>
          <w:rFonts w:ascii="Times New Roman" w:hAnsi="Times New Roman"/>
        </w:rPr>
        <w:t xml:space="preserve"> </w:t>
      </w:r>
      <w:r w:rsidR="00157CBD" w:rsidRPr="00F117EB">
        <w:rPr>
          <w:rFonts w:ascii="Times New Roman" w:hAnsi="Times New Roman"/>
        </w:rPr>
        <w:t xml:space="preserve">by reference </w:t>
      </w:r>
      <w:r w:rsidR="00157CBD" w:rsidRPr="00F117EB">
        <w:rPr>
          <w:rFonts w:ascii="Times New Roman" w:hAnsi="Times New Roman"/>
        </w:rPr>
        <w:lastRenderedPageBreak/>
        <w:t>to "</w:t>
      </w:r>
      <w:r w:rsidR="00C820D4" w:rsidRPr="00F117EB">
        <w:rPr>
          <w:rFonts w:ascii="Times New Roman" w:hAnsi="Times New Roman"/>
        </w:rPr>
        <w:t xml:space="preserve">the prosecution case and the </w:t>
      </w:r>
      <w:r w:rsidR="00C820D4" w:rsidRPr="00F117EB">
        <w:rPr>
          <w:rFonts w:ascii="Times New Roman" w:hAnsi="Times New Roman"/>
          <w:i/>
          <w:iCs/>
        </w:rPr>
        <w:t>instructions he receives from the defendants</w:t>
      </w:r>
      <w:r w:rsidR="00C820D4" w:rsidRPr="00F117EB">
        <w:rPr>
          <w:rFonts w:ascii="Times New Roman" w:hAnsi="Times New Roman"/>
        </w:rPr>
        <w:t>".</w:t>
      </w:r>
      <w:r w:rsidR="00C820D4" w:rsidRPr="00F117EB">
        <w:rPr>
          <w:rStyle w:val="FootnoteReference"/>
          <w:rFonts w:ascii="Times New Roman" w:hAnsi="Times New Roman"/>
          <w:sz w:val="24"/>
        </w:rPr>
        <w:footnoteReference w:id="78"/>
      </w:r>
      <w:r w:rsidR="00C820D4" w:rsidRPr="00F117EB">
        <w:rPr>
          <w:rFonts w:ascii="Times New Roman" w:hAnsi="Times New Roman"/>
        </w:rPr>
        <w:t xml:space="preserve"> </w:t>
      </w:r>
      <w:r w:rsidR="00FD1590" w:rsidRPr="00F117EB">
        <w:rPr>
          <w:rFonts w:ascii="Times New Roman" w:hAnsi="Times New Roman"/>
        </w:rPr>
        <w:t>Fur</w:t>
      </w:r>
      <w:r w:rsidR="00FF6413" w:rsidRPr="00F117EB">
        <w:rPr>
          <w:rFonts w:ascii="Times New Roman" w:hAnsi="Times New Roman"/>
        </w:rPr>
        <w:t>t</w:t>
      </w:r>
      <w:r w:rsidR="0041002B" w:rsidRPr="00F117EB">
        <w:rPr>
          <w:rFonts w:ascii="Times New Roman" w:hAnsi="Times New Roman"/>
        </w:rPr>
        <w:t>h</w:t>
      </w:r>
      <w:r w:rsidR="00FD1590" w:rsidRPr="00F117EB">
        <w:rPr>
          <w:rFonts w:ascii="Times New Roman" w:hAnsi="Times New Roman"/>
        </w:rPr>
        <w:t xml:space="preserve">er, </w:t>
      </w:r>
      <w:r w:rsidR="00295E58" w:rsidRPr="00F117EB">
        <w:rPr>
          <w:rFonts w:ascii="Times New Roman" w:hAnsi="Times New Roman"/>
        </w:rPr>
        <w:t>c</w:t>
      </w:r>
      <w:r w:rsidR="00845716" w:rsidRPr="00F117EB">
        <w:rPr>
          <w:rFonts w:ascii="Times New Roman" w:hAnsi="Times New Roman"/>
        </w:rPr>
        <w:t xml:space="preserve">ommunications </w:t>
      </w:r>
      <w:r w:rsidR="001F3E6D" w:rsidRPr="00F117EB">
        <w:rPr>
          <w:rFonts w:ascii="Times New Roman" w:hAnsi="Times New Roman"/>
        </w:rPr>
        <w:t xml:space="preserve">between </w:t>
      </w:r>
      <w:r w:rsidR="00C66BFF" w:rsidRPr="00F117EB">
        <w:rPr>
          <w:rFonts w:ascii="Times New Roman" w:hAnsi="Times New Roman"/>
        </w:rPr>
        <w:t xml:space="preserve">lawyers </w:t>
      </w:r>
      <w:r w:rsidR="001F3E6D" w:rsidRPr="00F117EB">
        <w:rPr>
          <w:rFonts w:ascii="Times New Roman" w:hAnsi="Times New Roman"/>
        </w:rPr>
        <w:t xml:space="preserve">and </w:t>
      </w:r>
      <w:r w:rsidR="00C66BFF" w:rsidRPr="00F117EB">
        <w:rPr>
          <w:rFonts w:ascii="Times New Roman" w:hAnsi="Times New Roman"/>
        </w:rPr>
        <w:t xml:space="preserve">a </w:t>
      </w:r>
      <w:r w:rsidR="001F3E6D" w:rsidRPr="00F117EB">
        <w:rPr>
          <w:rFonts w:ascii="Times New Roman" w:hAnsi="Times New Roman"/>
        </w:rPr>
        <w:t xml:space="preserve">client </w:t>
      </w:r>
      <w:r w:rsidR="00FD1590" w:rsidRPr="00F117EB">
        <w:rPr>
          <w:rFonts w:ascii="Times New Roman" w:hAnsi="Times New Roman"/>
        </w:rPr>
        <w:t>will</w:t>
      </w:r>
      <w:r w:rsidR="00845716" w:rsidRPr="00F117EB">
        <w:rPr>
          <w:rFonts w:ascii="Times New Roman" w:hAnsi="Times New Roman"/>
        </w:rPr>
        <w:t xml:space="preserve"> also be relevant to </w:t>
      </w:r>
      <w:r w:rsidR="00FD1590" w:rsidRPr="00F117EB">
        <w:rPr>
          <w:rFonts w:ascii="Times New Roman" w:hAnsi="Times New Roman"/>
        </w:rPr>
        <w:t xml:space="preserve">an assessment of </w:t>
      </w:r>
      <w:r w:rsidR="00EA5EAF" w:rsidRPr="00F117EB">
        <w:rPr>
          <w:rFonts w:ascii="Times New Roman" w:hAnsi="Times New Roman"/>
        </w:rPr>
        <w:t xml:space="preserve">whether a breach of </w:t>
      </w:r>
      <w:r w:rsidR="007B1B5A" w:rsidRPr="00F117EB">
        <w:rPr>
          <w:rFonts w:ascii="Times New Roman" w:hAnsi="Times New Roman"/>
        </w:rPr>
        <w:t>the proscriptive obligation</w:t>
      </w:r>
      <w:r w:rsidR="00EA5EAF" w:rsidRPr="00F117EB">
        <w:rPr>
          <w:rFonts w:ascii="Times New Roman" w:hAnsi="Times New Roman"/>
        </w:rPr>
        <w:t xml:space="preserve"> has been negated by any "informed consent" given by the client. </w:t>
      </w:r>
    </w:p>
    <w:p w14:paraId="0D2161F5" w14:textId="3DA14EE7" w:rsidR="00EA5EAF" w:rsidRPr="00F117EB" w:rsidRDefault="00EA5EAF" w:rsidP="00F117EB">
      <w:pPr>
        <w:pStyle w:val="HeadingL1"/>
        <w:spacing w:after="260" w:line="280" w:lineRule="exact"/>
        <w:ind w:right="0"/>
        <w:jc w:val="both"/>
        <w:rPr>
          <w:rFonts w:ascii="Times New Roman" w:hAnsi="Times New Roman"/>
        </w:rPr>
      </w:pPr>
      <w:r w:rsidRPr="00F117EB">
        <w:rPr>
          <w:rFonts w:ascii="Times New Roman" w:hAnsi="Times New Roman"/>
        </w:rPr>
        <w:t xml:space="preserve">Conflicting </w:t>
      </w:r>
      <w:r w:rsidR="00C66AC6" w:rsidRPr="00F117EB">
        <w:rPr>
          <w:rFonts w:ascii="Times New Roman" w:hAnsi="Times New Roman"/>
        </w:rPr>
        <w:t>d</w:t>
      </w:r>
      <w:r w:rsidRPr="00F117EB">
        <w:rPr>
          <w:rFonts w:ascii="Times New Roman" w:hAnsi="Times New Roman"/>
        </w:rPr>
        <w:t xml:space="preserve">uties and </w:t>
      </w:r>
      <w:r w:rsidR="00C66AC6" w:rsidRPr="00F117EB">
        <w:rPr>
          <w:rFonts w:ascii="Times New Roman" w:hAnsi="Times New Roman"/>
        </w:rPr>
        <w:t>c</w:t>
      </w:r>
      <w:r w:rsidRPr="00F117EB">
        <w:rPr>
          <w:rFonts w:ascii="Times New Roman" w:hAnsi="Times New Roman"/>
        </w:rPr>
        <w:t xml:space="preserve">riminal </w:t>
      </w:r>
      <w:r w:rsidR="00C66AC6" w:rsidRPr="00F117EB">
        <w:rPr>
          <w:rFonts w:ascii="Times New Roman" w:hAnsi="Times New Roman"/>
        </w:rPr>
        <w:t>a</w:t>
      </w:r>
      <w:r w:rsidRPr="00F117EB">
        <w:rPr>
          <w:rFonts w:ascii="Times New Roman" w:hAnsi="Times New Roman"/>
        </w:rPr>
        <w:t>ppeals</w:t>
      </w:r>
    </w:p>
    <w:p w14:paraId="55C12C44" w14:textId="79F4D98A" w:rsidR="007F7D7F" w:rsidRPr="00F117EB" w:rsidRDefault="00C66AC6"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In determining an appeal or an application for leave to appeal against a conviction, the Court of Criminal Appeal will often have occasion to consider the conduct of </w:t>
      </w:r>
      <w:r w:rsidRPr="00F117EB">
        <w:rPr>
          <w:rFonts w:ascii="Times New Roman" w:hAnsi="Times New Roman"/>
        </w:rPr>
        <w:t>c</w:t>
      </w:r>
      <w:r w:rsidR="00EA5EAF" w:rsidRPr="00F117EB">
        <w:rPr>
          <w:rFonts w:ascii="Times New Roman" w:hAnsi="Times New Roman"/>
        </w:rPr>
        <w:t>ounsel who conducted the trial on the convicted person's behalf.</w:t>
      </w:r>
      <w:r w:rsidR="00CD2797" w:rsidRPr="00F117EB">
        <w:rPr>
          <w:rFonts w:ascii="Times New Roman" w:hAnsi="Times New Roman"/>
        </w:rPr>
        <w:t xml:space="preserve"> The proscriptive obligation</w:t>
      </w:r>
      <w:r w:rsidR="00EA5EAF" w:rsidRPr="00F117EB">
        <w:rPr>
          <w:rFonts w:ascii="Times New Roman" w:hAnsi="Times New Roman"/>
        </w:rPr>
        <w:t xml:space="preserve"> is but one of many standards that are applicable to </w:t>
      </w:r>
      <w:r w:rsidRPr="00F117EB">
        <w:rPr>
          <w:rFonts w:ascii="Times New Roman" w:hAnsi="Times New Roman"/>
        </w:rPr>
        <w:t>c</w:t>
      </w:r>
      <w:r w:rsidR="00EA5EAF" w:rsidRPr="00F117EB">
        <w:rPr>
          <w:rFonts w:ascii="Times New Roman" w:hAnsi="Times New Roman"/>
        </w:rPr>
        <w:t xml:space="preserve">ounsel and </w:t>
      </w:r>
      <w:r w:rsidRPr="00F117EB">
        <w:rPr>
          <w:rFonts w:ascii="Times New Roman" w:hAnsi="Times New Roman"/>
        </w:rPr>
        <w:t>s</w:t>
      </w:r>
      <w:r w:rsidR="00EA5EAF" w:rsidRPr="00F117EB">
        <w:rPr>
          <w:rFonts w:ascii="Times New Roman" w:hAnsi="Times New Roman"/>
        </w:rPr>
        <w:t xml:space="preserve">olicitors conducting criminal proceedings on behalf of an accused. They are also expected to </w:t>
      </w:r>
      <w:r w:rsidR="00CA47B1" w:rsidRPr="00F117EB">
        <w:rPr>
          <w:rFonts w:ascii="Times New Roman" w:hAnsi="Times New Roman"/>
        </w:rPr>
        <w:t>act skilfully and with competence and diligence</w:t>
      </w:r>
      <w:r w:rsidR="00592EC7" w:rsidRPr="00F117EB">
        <w:rPr>
          <w:rFonts w:ascii="Times New Roman" w:hAnsi="Times New Roman"/>
        </w:rPr>
        <w:t>.</w:t>
      </w:r>
      <w:r w:rsidR="00592EC7" w:rsidRPr="00F117EB">
        <w:rPr>
          <w:rStyle w:val="FootnoteReference"/>
          <w:rFonts w:ascii="Times New Roman" w:hAnsi="Times New Roman"/>
          <w:sz w:val="24"/>
        </w:rPr>
        <w:footnoteReference w:id="79"/>
      </w:r>
      <w:r w:rsidR="00EA5EAF" w:rsidRPr="00F117EB">
        <w:rPr>
          <w:rFonts w:ascii="Times New Roman" w:hAnsi="Times New Roman"/>
        </w:rPr>
        <w:t xml:space="preserve"> </w:t>
      </w:r>
      <w:r w:rsidR="00C24C45" w:rsidRPr="00F117EB">
        <w:rPr>
          <w:rFonts w:ascii="Times New Roman" w:hAnsi="Times New Roman"/>
        </w:rPr>
        <w:t xml:space="preserve">Sometimes it is contended that </w:t>
      </w:r>
      <w:r w:rsidR="009E214A" w:rsidRPr="00F117EB">
        <w:rPr>
          <w:rFonts w:ascii="Times New Roman" w:hAnsi="Times New Roman"/>
        </w:rPr>
        <w:t>c</w:t>
      </w:r>
      <w:r w:rsidR="00C24C45" w:rsidRPr="00F117EB">
        <w:rPr>
          <w:rFonts w:ascii="Times New Roman" w:hAnsi="Times New Roman"/>
        </w:rPr>
        <w:t>ounsel failed to comply with both.</w:t>
      </w:r>
      <w:r w:rsidR="00E122E7" w:rsidRPr="00F117EB">
        <w:rPr>
          <w:rStyle w:val="FootnoteReference"/>
          <w:rFonts w:ascii="Times New Roman" w:hAnsi="Times New Roman"/>
          <w:sz w:val="24"/>
        </w:rPr>
        <w:footnoteReference w:id="80"/>
      </w:r>
    </w:p>
    <w:p w14:paraId="6DE3C3BB" w14:textId="471AE371" w:rsidR="007F7D7F" w:rsidRPr="00F117EB" w:rsidRDefault="007F7D7F"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Where </w:t>
      </w:r>
      <w:r w:rsidR="005D1CC5" w:rsidRPr="00F117EB">
        <w:rPr>
          <w:rFonts w:ascii="Times New Roman" w:hAnsi="Times New Roman"/>
        </w:rPr>
        <w:t xml:space="preserve">an appellant's </w:t>
      </w:r>
      <w:r w:rsidR="00EA5EAF" w:rsidRPr="00F117EB">
        <w:rPr>
          <w:rFonts w:ascii="Times New Roman" w:hAnsi="Times New Roman"/>
        </w:rPr>
        <w:t xml:space="preserve">complaint is that the conduct of </w:t>
      </w:r>
      <w:r w:rsidR="005D1CC5" w:rsidRPr="00F117EB">
        <w:rPr>
          <w:rFonts w:ascii="Times New Roman" w:hAnsi="Times New Roman"/>
        </w:rPr>
        <w:t>their</w:t>
      </w:r>
      <w:r w:rsidR="00EA5EAF" w:rsidRPr="00F117EB">
        <w:rPr>
          <w:rFonts w:ascii="Times New Roman" w:hAnsi="Times New Roman"/>
        </w:rPr>
        <w:t xml:space="preserve"> </w:t>
      </w:r>
      <w:r w:rsidR="00592EC7" w:rsidRPr="00F117EB">
        <w:rPr>
          <w:rFonts w:ascii="Times New Roman" w:hAnsi="Times New Roman"/>
        </w:rPr>
        <w:t>c</w:t>
      </w:r>
      <w:r w:rsidR="00EA5EAF" w:rsidRPr="00F117EB">
        <w:rPr>
          <w:rFonts w:ascii="Times New Roman" w:hAnsi="Times New Roman"/>
        </w:rPr>
        <w:t>ounsel at a criminal trial that yielded a conviction may have fallen below an acceptable standard of competency, the ultimate question for the Court of Criminal Appeal is whether what did or did not occur at the trial reveals a miscarriage of justice within the meaning of the third limb of s</w:t>
      </w:r>
      <w:r w:rsidR="00592EC7" w:rsidRPr="00F117EB">
        <w:rPr>
          <w:rFonts w:ascii="Times New Roman" w:hAnsi="Times New Roman"/>
        </w:rPr>
        <w:t> </w:t>
      </w:r>
      <w:r w:rsidR="00EA5EAF" w:rsidRPr="00F117EB">
        <w:rPr>
          <w:rFonts w:ascii="Times New Roman" w:hAnsi="Times New Roman"/>
        </w:rPr>
        <w:t xml:space="preserve">6(1) of the </w:t>
      </w:r>
      <w:r w:rsidR="00EA5EAF" w:rsidRPr="00F117EB">
        <w:rPr>
          <w:rFonts w:ascii="Times New Roman" w:hAnsi="Times New Roman"/>
          <w:i/>
          <w:iCs/>
        </w:rPr>
        <w:t>Criminal Appeal Act</w:t>
      </w:r>
      <w:r w:rsidR="00EA5EAF" w:rsidRPr="00F117EB">
        <w:rPr>
          <w:rFonts w:ascii="Times New Roman" w:hAnsi="Times New Roman"/>
        </w:rPr>
        <w:t xml:space="preserve">. In such cases, the question of whether </w:t>
      </w:r>
      <w:r w:rsidR="005B138B" w:rsidRPr="00F117EB">
        <w:rPr>
          <w:rFonts w:ascii="Times New Roman" w:hAnsi="Times New Roman"/>
        </w:rPr>
        <w:t>c</w:t>
      </w:r>
      <w:r w:rsidR="00EA5EAF" w:rsidRPr="00F117EB">
        <w:rPr>
          <w:rFonts w:ascii="Times New Roman" w:hAnsi="Times New Roman"/>
        </w:rPr>
        <w:t xml:space="preserve">ounsel departed from the applicable standard is </w:t>
      </w:r>
      <w:r w:rsidR="008A00D3" w:rsidRPr="00F117EB">
        <w:rPr>
          <w:rFonts w:ascii="Times New Roman" w:hAnsi="Times New Roman"/>
        </w:rPr>
        <w:t xml:space="preserve">addressed as an aspect of the inquiry </w:t>
      </w:r>
      <w:r w:rsidR="005E4ACD" w:rsidRPr="00F117EB">
        <w:rPr>
          <w:rFonts w:ascii="Times New Roman" w:hAnsi="Times New Roman"/>
        </w:rPr>
        <w:t xml:space="preserve">into </w:t>
      </w:r>
      <w:r w:rsidR="00EA5EAF" w:rsidRPr="00F117EB">
        <w:rPr>
          <w:rFonts w:ascii="Times New Roman" w:hAnsi="Times New Roman"/>
        </w:rPr>
        <w:t>whether a miscarriage of justice was occasioned</w:t>
      </w:r>
      <w:r w:rsidR="00720B79" w:rsidRPr="00F117EB">
        <w:rPr>
          <w:rFonts w:ascii="Times New Roman" w:hAnsi="Times New Roman"/>
        </w:rPr>
        <w:t>.</w:t>
      </w:r>
      <w:r w:rsidR="005B138B" w:rsidRPr="00F117EB">
        <w:rPr>
          <w:rStyle w:val="FootnoteReference"/>
          <w:rFonts w:ascii="Times New Roman" w:hAnsi="Times New Roman"/>
          <w:sz w:val="24"/>
        </w:rPr>
        <w:footnoteReference w:id="81"/>
      </w:r>
      <w:r w:rsidR="00EA5EAF" w:rsidRPr="00F117EB">
        <w:rPr>
          <w:rFonts w:ascii="Times New Roman" w:hAnsi="Times New Roman"/>
        </w:rPr>
        <w:t xml:space="preserve"> </w:t>
      </w:r>
      <w:r w:rsidR="00720B79" w:rsidRPr="00F117EB">
        <w:rPr>
          <w:rFonts w:ascii="Times New Roman" w:hAnsi="Times New Roman"/>
        </w:rPr>
        <w:t>W</w:t>
      </w:r>
      <w:r w:rsidR="00AE2B80" w:rsidRPr="00F117EB">
        <w:rPr>
          <w:rFonts w:ascii="Times New Roman" w:hAnsi="Times New Roman"/>
        </w:rPr>
        <w:t>hether there was such a</w:t>
      </w:r>
      <w:r w:rsidR="00935817" w:rsidRPr="00F117EB">
        <w:rPr>
          <w:rFonts w:ascii="Times New Roman" w:hAnsi="Times New Roman"/>
        </w:rPr>
        <w:t xml:space="preserve"> departure is determined </w:t>
      </w:r>
      <w:r w:rsidR="002A02A3" w:rsidRPr="00F117EB">
        <w:rPr>
          <w:rFonts w:ascii="Times New Roman" w:hAnsi="Times New Roman"/>
        </w:rPr>
        <w:t xml:space="preserve">by </w:t>
      </w:r>
      <w:r w:rsidR="00EA5EAF" w:rsidRPr="00F117EB">
        <w:rPr>
          <w:rFonts w:ascii="Times New Roman" w:hAnsi="Times New Roman"/>
        </w:rPr>
        <w:t xml:space="preserve">an objective assessment of </w:t>
      </w:r>
      <w:r w:rsidR="00F40CD0" w:rsidRPr="00F117EB">
        <w:rPr>
          <w:rFonts w:ascii="Times New Roman" w:hAnsi="Times New Roman"/>
        </w:rPr>
        <w:t>c</w:t>
      </w:r>
      <w:r w:rsidR="00EA5EAF" w:rsidRPr="00F117EB">
        <w:rPr>
          <w:rFonts w:ascii="Times New Roman" w:hAnsi="Times New Roman"/>
        </w:rPr>
        <w:t xml:space="preserve">ounsel's conduct that generally avoids considering </w:t>
      </w:r>
      <w:r w:rsidR="00C51B6C" w:rsidRPr="00F117EB">
        <w:rPr>
          <w:rFonts w:ascii="Times New Roman" w:hAnsi="Times New Roman"/>
        </w:rPr>
        <w:t xml:space="preserve">counsel's </w:t>
      </w:r>
      <w:r w:rsidR="00EA5EAF" w:rsidRPr="00F117EB">
        <w:rPr>
          <w:rFonts w:ascii="Times New Roman" w:hAnsi="Times New Roman"/>
        </w:rPr>
        <w:t>subjective views for why they took the course they did</w:t>
      </w:r>
      <w:r w:rsidR="002A02A3" w:rsidRPr="00F117EB">
        <w:rPr>
          <w:rFonts w:ascii="Times New Roman" w:hAnsi="Times New Roman"/>
        </w:rPr>
        <w:t xml:space="preserve"> in the trial</w:t>
      </w:r>
      <w:r w:rsidR="00EA5EAF" w:rsidRPr="00F117EB">
        <w:rPr>
          <w:rFonts w:ascii="Times New Roman" w:hAnsi="Times New Roman"/>
        </w:rPr>
        <w:t>.</w:t>
      </w:r>
      <w:r w:rsidR="00F40CD0" w:rsidRPr="00F117EB">
        <w:rPr>
          <w:rStyle w:val="FootnoteReference"/>
          <w:rFonts w:ascii="Times New Roman" w:hAnsi="Times New Roman"/>
          <w:sz w:val="24"/>
        </w:rPr>
        <w:footnoteReference w:id="82"/>
      </w:r>
      <w:r w:rsidR="00EA5EAF" w:rsidRPr="00F117EB">
        <w:rPr>
          <w:rFonts w:ascii="Times New Roman" w:hAnsi="Times New Roman"/>
        </w:rPr>
        <w:t xml:space="preserve"> Further</w:t>
      </w:r>
      <w:r w:rsidR="00DE7FCB" w:rsidRPr="00F117EB">
        <w:rPr>
          <w:rFonts w:ascii="Times New Roman" w:hAnsi="Times New Roman"/>
        </w:rPr>
        <w:t>,</w:t>
      </w:r>
      <w:r w:rsidR="00EA5EAF" w:rsidRPr="00F117EB">
        <w:rPr>
          <w:rFonts w:ascii="Times New Roman" w:hAnsi="Times New Roman"/>
        </w:rPr>
        <w:t xml:space="preserve"> </w:t>
      </w:r>
      <w:r w:rsidR="00DE7FCB" w:rsidRPr="00F117EB">
        <w:rPr>
          <w:rFonts w:ascii="Times New Roman" w:hAnsi="Times New Roman"/>
        </w:rPr>
        <w:t>c</w:t>
      </w:r>
      <w:r w:rsidR="00EA5EAF" w:rsidRPr="00F117EB">
        <w:rPr>
          <w:rFonts w:ascii="Times New Roman" w:hAnsi="Times New Roman"/>
        </w:rPr>
        <w:t xml:space="preserve">ounsel's conduct is </w:t>
      </w:r>
      <w:r w:rsidR="00EA5EAF" w:rsidRPr="00F117EB">
        <w:rPr>
          <w:rFonts w:ascii="Times New Roman" w:hAnsi="Times New Roman"/>
        </w:rPr>
        <w:lastRenderedPageBreak/>
        <w:t>generally assessed by reference to the objective features of the trial</w:t>
      </w:r>
      <w:r w:rsidR="00F05BC8" w:rsidRPr="00F117EB">
        <w:rPr>
          <w:rFonts w:ascii="Times New Roman" w:hAnsi="Times New Roman"/>
        </w:rPr>
        <w:t>,</w:t>
      </w:r>
      <w:r w:rsidR="00DE7FCB" w:rsidRPr="00F117EB">
        <w:rPr>
          <w:rStyle w:val="FootnoteReference"/>
          <w:rFonts w:ascii="Times New Roman" w:hAnsi="Times New Roman"/>
          <w:sz w:val="24"/>
        </w:rPr>
        <w:footnoteReference w:id="83"/>
      </w:r>
      <w:r w:rsidR="00EA5EAF" w:rsidRPr="00F117EB">
        <w:rPr>
          <w:rFonts w:ascii="Times New Roman" w:hAnsi="Times New Roman"/>
        </w:rPr>
        <w:t xml:space="preserve"> although it can be material to know that </w:t>
      </w:r>
      <w:r w:rsidR="00DE7FCB" w:rsidRPr="00F117EB">
        <w:rPr>
          <w:rFonts w:ascii="Times New Roman" w:hAnsi="Times New Roman"/>
        </w:rPr>
        <w:t>c</w:t>
      </w:r>
      <w:r w:rsidR="00EA5EAF" w:rsidRPr="00F117EB">
        <w:rPr>
          <w:rFonts w:ascii="Times New Roman" w:hAnsi="Times New Roman"/>
        </w:rPr>
        <w:t>ounsel took a certain course upon instructions</w:t>
      </w:r>
      <w:r w:rsidR="00DE7FCB" w:rsidRPr="00F117EB">
        <w:rPr>
          <w:rStyle w:val="FootnoteReference"/>
          <w:rFonts w:ascii="Times New Roman" w:hAnsi="Times New Roman"/>
          <w:sz w:val="24"/>
        </w:rPr>
        <w:footnoteReference w:id="84"/>
      </w:r>
      <w:r w:rsidR="00EA5EAF" w:rsidRPr="00F117EB">
        <w:rPr>
          <w:rFonts w:ascii="Times New Roman" w:hAnsi="Times New Roman"/>
        </w:rPr>
        <w:t xml:space="preserve"> or </w:t>
      </w:r>
      <w:r w:rsidR="001A7CED" w:rsidRPr="00F117EB">
        <w:rPr>
          <w:rFonts w:ascii="Times New Roman" w:hAnsi="Times New Roman"/>
        </w:rPr>
        <w:t>t</w:t>
      </w:r>
      <w:r w:rsidR="00CA0AA4" w:rsidRPr="00F117EB">
        <w:rPr>
          <w:rFonts w:ascii="Times New Roman" w:hAnsi="Times New Roman"/>
        </w:rPr>
        <w:t>hat certain</w:t>
      </w:r>
      <w:r w:rsidR="001A7CED" w:rsidRPr="00F117EB">
        <w:rPr>
          <w:rFonts w:ascii="Times New Roman" w:hAnsi="Times New Roman"/>
        </w:rPr>
        <w:t xml:space="preserve"> </w:t>
      </w:r>
      <w:r w:rsidR="00EA5EAF" w:rsidRPr="00F117EB">
        <w:rPr>
          <w:rFonts w:ascii="Times New Roman" w:hAnsi="Times New Roman"/>
        </w:rPr>
        <w:t>material</w:t>
      </w:r>
      <w:r w:rsidR="00524E32" w:rsidRPr="00F117EB">
        <w:rPr>
          <w:rFonts w:ascii="Times New Roman" w:hAnsi="Times New Roman"/>
        </w:rPr>
        <w:t>s</w:t>
      </w:r>
      <w:r w:rsidR="00EA5EAF" w:rsidRPr="00F117EB">
        <w:rPr>
          <w:rFonts w:ascii="Times New Roman" w:hAnsi="Times New Roman"/>
        </w:rPr>
        <w:t xml:space="preserve"> w</w:t>
      </w:r>
      <w:r w:rsidR="00524E32" w:rsidRPr="00F117EB">
        <w:rPr>
          <w:rFonts w:ascii="Times New Roman" w:hAnsi="Times New Roman"/>
        </w:rPr>
        <w:t>ere</w:t>
      </w:r>
      <w:r w:rsidR="00EA5EAF" w:rsidRPr="00F117EB">
        <w:rPr>
          <w:rFonts w:ascii="Times New Roman" w:hAnsi="Times New Roman"/>
        </w:rPr>
        <w:t xml:space="preserve"> available to </w:t>
      </w:r>
      <w:r w:rsidR="00DE7FCB" w:rsidRPr="00F117EB">
        <w:rPr>
          <w:rFonts w:ascii="Times New Roman" w:hAnsi="Times New Roman"/>
        </w:rPr>
        <w:t>c</w:t>
      </w:r>
      <w:r w:rsidR="00EA5EAF" w:rsidRPr="00F117EB">
        <w:rPr>
          <w:rFonts w:ascii="Times New Roman" w:hAnsi="Times New Roman"/>
        </w:rPr>
        <w:t xml:space="preserve">ounsel to deploy. This approach reconciles the adversarial nature of the criminal justice system and the </w:t>
      </w:r>
      <w:r w:rsidR="009C2DB2" w:rsidRPr="00F117EB">
        <w:rPr>
          <w:rFonts w:ascii="Times New Roman" w:hAnsi="Times New Roman"/>
        </w:rPr>
        <w:t>authority and</w:t>
      </w:r>
      <w:r w:rsidR="00EA5EAF" w:rsidRPr="00F117EB">
        <w:rPr>
          <w:rFonts w:ascii="Times New Roman" w:hAnsi="Times New Roman"/>
        </w:rPr>
        <w:t xml:space="preserve"> function of </w:t>
      </w:r>
      <w:r w:rsidR="00DE7FCB" w:rsidRPr="00F117EB">
        <w:rPr>
          <w:rFonts w:ascii="Times New Roman" w:hAnsi="Times New Roman"/>
        </w:rPr>
        <w:t>c</w:t>
      </w:r>
      <w:r w:rsidR="00EA5EAF" w:rsidRPr="00F117EB">
        <w:rPr>
          <w:rFonts w:ascii="Times New Roman" w:hAnsi="Times New Roman"/>
        </w:rPr>
        <w:t>ounsel on the one hand with the</w:t>
      </w:r>
      <w:r w:rsidR="002A02A3" w:rsidRPr="00F117EB">
        <w:rPr>
          <w:rFonts w:ascii="Times New Roman" w:hAnsi="Times New Roman"/>
        </w:rPr>
        <w:t xml:space="preserve"> </w:t>
      </w:r>
      <w:r w:rsidR="00AD6FDD" w:rsidRPr="00F117EB">
        <w:rPr>
          <w:rFonts w:ascii="Times New Roman" w:hAnsi="Times New Roman"/>
        </w:rPr>
        <w:t xml:space="preserve">concern to ensure fair </w:t>
      </w:r>
      <w:r w:rsidR="00A62D81" w:rsidRPr="00F117EB">
        <w:rPr>
          <w:rFonts w:ascii="Times New Roman" w:hAnsi="Times New Roman"/>
        </w:rPr>
        <w:t>trial</w:t>
      </w:r>
      <w:r w:rsidR="00CC0B29" w:rsidRPr="00F117EB">
        <w:rPr>
          <w:rFonts w:ascii="Times New Roman" w:hAnsi="Times New Roman"/>
        </w:rPr>
        <w:t xml:space="preserve">s as reflected in </w:t>
      </w:r>
      <w:r w:rsidR="00AE08AB" w:rsidRPr="00F117EB">
        <w:rPr>
          <w:rFonts w:ascii="Times New Roman" w:hAnsi="Times New Roman"/>
        </w:rPr>
        <w:t>s</w:t>
      </w:r>
      <w:r w:rsidRPr="00F117EB">
        <w:rPr>
          <w:rFonts w:ascii="Times New Roman" w:hAnsi="Times New Roman"/>
        </w:rPr>
        <w:t> </w:t>
      </w:r>
      <w:r w:rsidR="00AE08AB" w:rsidRPr="00F117EB">
        <w:rPr>
          <w:rFonts w:ascii="Times New Roman" w:hAnsi="Times New Roman"/>
        </w:rPr>
        <w:t>6(1) of</w:t>
      </w:r>
      <w:r w:rsidR="00CC0B29" w:rsidRPr="00F117EB">
        <w:rPr>
          <w:rFonts w:ascii="Times New Roman" w:hAnsi="Times New Roman"/>
        </w:rPr>
        <w:t xml:space="preserve"> the</w:t>
      </w:r>
      <w:r w:rsidR="00EA5EAF" w:rsidRPr="00F117EB">
        <w:rPr>
          <w:rFonts w:ascii="Times New Roman" w:hAnsi="Times New Roman"/>
        </w:rPr>
        <w:t xml:space="preserve"> </w:t>
      </w:r>
      <w:r w:rsidR="00EA5EAF" w:rsidRPr="00F117EB">
        <w:rPr>
          <w:rFonts w:ascii="Times New Roman" w:hAnsi="Times New Roman"/>
          <w:i/>
          <w:iCs/>
        </w:rPr>
        <w:t>Criminal Appeal Act</w:t>
      </w:r>
      <w:r w:rsidR="00EA5EAF" w:rsidRPr="00F117EB">
        <w:rPr>
          <w:rFonts w:ascii="Times New Roman" w:hAnsi="Times New Roman"/>
        </w:rPr>
        <w:t xml:space="preserve"> on the other.</w:t>
      </w:r>
      <w:r w:rsidR="005715AC" w:rsidRPr="00F117EB">
        <w:rPr>
          <w:rStyle w:val="FootnoteReference"/>
          <w:rFonts w:ascii="Times New Roman" w:hAnsi="Times New Roman"/>
          <w:sz w:val="24"/>
        </w:rPr>
        <w:footnoteReference w:id="85"/>
      </w:r>
      <w:r w:rsidR="00EA5EAF" w:rsidRPr="00F117EB">
        <w:rPr>
          <w:rFonts w:ascii="Times New Roman" w:hAnsi="Times New Roman"/>
        </w:rPr>
        <w:t xml:space="preserve"> </w:t>
      </w:r>
    </w:p>
    <w:p w14:paraId="4D475A6E" w14:textId="306B87F2" w:rsidR="00880E36" w:rsidRPr="00F117EB" w:rsidRDefault="007F7D7F"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As with conviction appeals, the Court of Criminal Appeal is sometimes required to address whether the conduct of </w:t>
      </w:r>
      <w:r w:rsidR="00784EE1" w:rsidRPr="00F117EB">
        <w:rPr>
          <w:rFonts w:ascii="Times New Roman" w:hAnsi="Times New Roman"/>
        </w:rPr>
        <w:t>c</w:t>
      </w:r>
      <w:r w:rsidR="00EA5EAF" w:rsidRPr="00F117EB">
        <w:rPr>
          <w:rFonts w:ascii="Times New Roman" w:hAnsi="Times New Roman"/>
        </w:rPr>
        <w:t>ounsel in sentenc</w:t>
      </w:r>
      <w:r w:rsidR="00AB1DA1" w:rsidRPr="00F117EB">
        <w:rPr>
          <w:rFonts w:ascii="Times New Roman" w:hAnsi="Times New Roman"/>
        </w:rPr>
        <w:t>ing</w:t>
      </w:r>
      <w:r w:rsidR="00EA5EAF" w:rsidRPr="00F117EB">
        <w:rPr>
          <w:rFonts w:ascii="Times New Roman" w:hAnsi="Times New Roman"/>
        </w:rPr>
        <w:t xml:space="preserve"> proceedings </w:t>
      </w:r>
      <w:r w:rsidR="002E66C5" w:rsidRPr="00F117EB">
        <w:rPr>
          <w:rFonts w:ascii="Times New Roman" w:hAnsi="Times New Roman"/>
        </w:rPr>
        <w:t>which</w:t>
      </w:r>
      <w:r w:rsidR="00EA5EAF" w:rsidRPr="00F117EB">
        <w:rPr>
          <w:rFonts w:ascii="Times New Roman" w:hAnsi="Times New Roman"/>
        </w:rPr>
        <w:t xml:space="preserve"> fell below </w:t>
      </w:r>
      <w:r w:rsidR="00735C8D" w:rsidRPr="00F117EB">
        <w:rPr>
          <w:rFonts w:ascii="Times New Roman" w:hAnsi="Times New Roman"/>
        </w:rPr>
        <w:t>an</w:t>
      </w:r>
      <w:r w:rsidR="00EA5EAF" w:rsidRPr="00F117EB">
        <w:rPr>
          <w:rFonts w:ascii="Times New Roman" w:hAnsi="Times New Roman"/>
        </w:rPr>
        <w:t xml:space="preserve"> acceptable standard </w:t>
      </w:r>
      <w:r w:rsidR="00735C8D" w:rsidRPr="00F117EB">
        <w:rPr>
          <w:rFonts w:ascii="Times New Roman" w:hAnsi="Times New Roman"/>
        </w:rPr>
        <w:t xml:space="preserve">of competency </w:t>
      </w:r>
      <w:r w:rsidR="00EA5EAF" w:rsidRPr="00F117EB">
        <w:rPr>
          <w:rFonts w:ascii="Times New Roman" w:hAnsi="Times New Roman"/>
        </w:rPr>
        <w:t xml:space="preserve">caused the exercise of the sentencing discretion to </w:t>
      </w:r>
      <w:r w:rsidR="007C47F3" w:rsidRPr="00F117EB">
        <w:rPr>
          <w:rFonts w:ascii="Times New Roman" w:hAnsi="Times New Roman"/>
        </w:rPr>
        <w:t>be vitiated</w:t>
      </w:r>
      <w:r w:rsidR="00B82948" w:rsidRPr="00F117EB">
        <w:rPr>
          <w:rFonts w:ascii="Times New Roman" w:hAnsi="Times New Roman"/>
        </w:rPr>
        <w:t>. One</w:t>
      </w:r>
      <w:r w:rsidR="00EA5EAF" w:rsidRPr="00F117EB">
        <w:rPr>
          <w:rFonts w:ascii="Times New Roman" w:hAnsi="Times New Roman"/>
        </w:rPr>
        <w:t xml:space="preserve"> such </w:t>
      </w:r>
      <w:r w:rsidR="00B82948" w:rsidRPr="00F117EB">
        <w:rPr>
          <w:rFonts w:ascii="Times New Roman" w:hAnsi="Times New Roman"/>
        </w:rPr>
        <w:t>example is where counsel</w:t>
      </w:r>
      <w:r w:rsidR="00EA5EAF" w:rsidRPr="00F117EB">
        <w:rPr>
          <w:rFonts w:ascii="Times New Roman" w:hAnsi="Times New Roman"/>
        </w:rPr>
        <w:t xml:space="preserve"> unjustifiabl</w:t>
      </w:r>
      <w:r w:rsidR="00B82948" w:rsidRPr="00F117EB">
        <w:rPr>
          <w:rFonts w:ascii="Times New Roman" w:hAnsi="Times New Roman"/>
        </w:rPr>
        <w:t>y</w:t>
      </w:r>
      <w:r w:rsidR="00EA5EAF" w:rsidRPr="00F117EB">
        <w:rPr>
          <w:rFonts w:ascii="Times New Roman" w:hAnsi="Times New Roman"/>
        </w:rPr>
        <w:t xml:space="preserve"> fail</w:t>
      </w:r>
      <w:r w:rsidR="00B82948" w:rsidRPr="00F117EB">
        <w:rPr>
          <w:rFonts w:ascii="Times New Roman" w:hAnsi="Times New Roman"/>
        </w:rPr>
        <w:t>ed</w:t>
      </w:r>
      <w:r w:rsidR="0054423C" w:rsidRPr="00F117EB">
        <w:rPr>
          <w:rFonts w:ascii="Times New Roman" w:hAnsi="Times New Roman"/>
        </w:rPr>
        <w:t xml:space="preserve"> </w:t>
      </w:r>
      <w:r w:rsidR="00EA5EAF" w:rsidRPr="00F117EB">
        <w:rPr>
          <w:rFonts w:ascii="Times New Roman" w:hAnsi="Times New Roman"/>
        </w:rPr>
        <w:t>to adduce available evidence of the</w:t>
      </w:r>
      <w:r w:rsidR="00B82948" w:rsidRPr="00F117EB">
        <w:rPr>
          <w:rFonts w:ascii="Times New Roman" w:hAnsi="Times New Roman"/>
        </w:rPr>
        <w:t xml:space="preserve"> </w:t>
      </w:r>
      <w:r w:rsidR="00EA5EAF" w:rsidRPr="00F117EB">
        <w:rPr>
          <w:rFonts w:ascii="Times New Roman" w:hAnsi="Times New Roman"/>
        </w:rPr>
        <w:t>offender's deprived background.</w:t>
      </w:r>
      <w:r w:rsidR="00784EE1" w:rsidRPr="00F117EB">
        <w:rPr>
          <w:rStyle w:val="FootnoteReference"/>
          <w:rFonts w:ascii="Times New Roman" w:hAnsi="Times New Roman"/>
          <w:sz w:val="24"/>
        </w:rPr>
        <w:footnoteReference w:id="86"/>
      </w:r>
      <w:r w:rsidR="00EA5EAF" w:rsidRPr="00F117EB">
        <w:rPr>
          <w:rFonts w:ascii="Times New Roman" w:hAnsi="Times New Roman"/>
        </w:rPr>
        <w:t xml:space="preserve"> In addressing such complaints, the Court of Criminal Appeal has </w:t>
      </w:r>
      <w:r w:rsidR="008F3D6D" w:rsidRPr="00F117EB">
        <w:rPr>
          <w:rFonts w:ascii="Times New Roman" w:hAnsi="Times New Roman"/>
        </w:rPr>
        <w:t xml:space="preserve">adopted </w:t>
      </w:r>
      <w:r w:rsidR="00EA5EAF" w:rsidRPr="00F117EB">
        <w:rPr>
          <w:rFonts w:ascii="Times New Roman" w:hAnsi="Times New Roman"/>
        </w:rPr>
        <w:t xml:space="preserve">the same approach to </w:t>
      </w:r>
      <w:r w:rsidR="00147A47" w:rsidRPr="00F117EB">
        <w:rPr>
          <w:rFonts w:ascii="Times New Roman" w:hAnsi="Times New Roman"/>
        </w:rPr>
        <w:t xml:space="preserve">addressing whether </w:t>
      </w:r>
      <w:r w:rsidR="00EA5EAF" w:rsidRPr="00F117EB">
        <w:rPr>
          <w:rFonts w:ascii="Times New Roman" w:hAnsi="Times New Roman"/>
        </w:rPr>
        <w:t xml:space="preserve">counsel </w:t>
      </w:r>
      <w:r w:rsidR="00147A47" w:rsidRPr="00F117EB">
        <w:rPr>
          <w:rFonts w:ascii="Times New Roman" w:hAnsi="Times New Roman"/>
        </w:rPr>
        <w:t xml:space="preserve">was </w:t>
      </w:r>
      <w:r w:rsidR="00EA5EAF" w:rsidRPr="00F117EB">
        <w:rPr>
          <w:rFonts w:ascii="Times New Roman" w:hAnsi="Times New Roman"/>
        </w:rPr>
        <w:t>incompeten</w:t>
      </w:r>
      <w:r w:rsidR="00147A47" w:rsidRPr="00F117EB">
        <w:rPr>
          <w:rFonts w:ascii="Times New Roman" w:hAnsi="Times New Roman"/>
        </w:rPr>
        <w:t>t as</w:t>
      </w:r>
      <w:r w:rsidR="00735C8D" w:rsidRPr="00F117EB">
        <w:rPr>
          <w:rFonts w:ascii="Times New Roman" w:hAnsi="Times New Roman"/>
        </w:rPr>
        <w:t xml:space="preserve"> that described above </w:t>
      </w:r>
      <w:r w:rsidR="00A132B3" w:rsidRPr="00F117EB">
        <w:rPr>
          <w:rFonts w:ascii="Times New Roman" w:hAnsi="Times New Roman"/>
        </w:rPr>
        <w:t>in</w:t>
      </w:r>
      <w:r w:rsidR="00EA5EAF" w:rsidRPr="00F117EB">
        <w:rPr>
          <w:rFonts w:ascii="Times New Roman" w:hAnsi="Times New Roman"/>
        </w:rPr>
        <w:t xml:space="preserve"> </w:t>
      </w:r>
      <w:r w:rsidR="00735C8D" w:rsidRPr="00F117EB">
        <w:rPr>
          <w:rFonts w:ascii="Times New Roman" w:hAnsi="Times New Roman"/>
        </w:rPr>
        <w:t xml:space="preserve">relation to </w:t>
      </w:r>
      <w:r w:rsidR="00EA5EAF" w:rsidRPr="00F117EB">
        <w:rPr>
          <w:rFonts w:ascii="Times New Roman" w:hAnsi="Times New Roman"/>
        </w:rPr>
        <w:t>conviction appeal</w:t>
      </w:r>
      <w:r w:rsidR="00735C8D" w:rsidRPr="00F117EB">
        <w:rPr>
          <w:rFonts w:ascii="Times New Roman" w:hAnsi="Times New Roman"/>
        </w:rPr>
        <w:t>s</w:t>
      </w:r>
      <w:r w:rsidR="00EA5EAF" w:rsidRPr="00F117EB">
        <w:rPr>
          <w:rFonts w:ascii="Times New Roman" w:hAnsi="Times New Roman"/>
        </w:rPr>
        <w:t>.</w:t>
      </w:r>
      <w:r w:rsidR="00784EE1" w:rsidRPr="00F117EB">
        <w:rPr>
          <w:rStyle w:val="FootnoteReference"/>
          <w:rFonts w:ascii="Times New Roman" w:hAnsi="Times New Roman"/>
          <w:sz w:val="24"/>
        </w:rPr>
        <w:footnoteReference w:id="87"/>
      </w:r>
      <w:r w:rsidR="00EA5EAF" w:rsidRPr="00F117EB">
        <w:rPr>
          <w:rFonts w:ascii="Times New Roman" w:hAnsi="Times New Roman"/>
        </w:rPr>
        <w:t xml:space="preserve"> </w:t>
      </w:r>
      <w:r w:rsidR="00AE66A9" w:rsidRPr="00F117EB">
        <w:rPr>
          <w:rFonts w:ascii="Times New Roman" w:hAnsi="Times New Roman"/>
        </w:rPr>
        <w:t>A</w:t>
      </w:r>
      <w:r w:rsidR="00EA5EAF" w:rsidRPr="00F117EB">
        <w:rPr>
          <w:rFonts w:ascii="Times New Roman" w:hAnsi="Times New Roman"/>
        </w:rPr>
        <w:t xml:space="preserve">s some of those decisions recognise, the error or irregularity warranting </w:t>
      </w:r>
      <w:r w:rsidR="002E48BC" w:rsidRPr="00F117EB">
        <w:rPr>
          <w:rFonts w:ascii="Times New Roman" w:hAnsi="Times New Roman"/>
        </w:rPr>
        <w:t xml:space="preserve">a </w:t>
      </w:r>
      <w:r w:rsidR="00996595" w:rsidRPr="00F117EB">
        <w:rPr>
          <w:rFonts w:ascii="Times New Roman" w:hAnsi="Times New Roman"/>
        </w:rPr>
        <w:t>c</w:t>
      </w:r>
      <w:r w:rsidR="00EA5EAF" w:rsidRPr="00F117EB">
        <w:rPr>
          <w:rFonts w:ascii="Times New Roman" w:hAnsi="Times New Roman"/>
        </w:rPr>
        <w:t>ourt's intervention</w:t>
      </w:r>
      <w:r w:rsidR="00E70B3C" w:rsidRPr="00F117EB">
        <w:rPr>
          <w:rFonts w:ascii="Times New Roman" w:hAnsi="Times New Roman"/>
        </w:rPr>
        <w:t xml:space="preserve"> </w:t>
      </w:r>
      <w:r w:rsidR="00EA5EAF" w:rsidRPr="00F117EB">
        <w:rPr>
          <w:rFonts w:ascii="Times New Roman" w:hAnsi="Times New Roman"/>
        </w:rPr>
        <w:t>is</w:t>
      </w:r>
      <w:r w:rsidR="00E70B3C" w:rsidRPr="00F117EB">
        <w:rPr>
          <w:rFonts w:ascii="Times New Roman" w:hAnsi="Times New Roman"/>
        </w:rPr>
        <w:t xml:space="preserve"> </w:t>
      </w:r>
      <w:r w:rsidR="00EA5EAF" w:rsidRPr="00F117EB">
        <w:rPr>
          <w:rFonts w:ascii="Times New Roman" w:hAnsi="Times New Roman"/>
        </w:rPr>
        <w:t xml:space="preserve">that the conduct or failings of counsel occasioned </w:t>
      </w:r>
      <w:r w:rsidR="00663943" w:rsidRPr="00F117EB">
        <w:rPr>
          <w:rFonts w:ascii="Times New Roman" w:hAnsi="Times New Roman"/>
        </w:rPr>
        <w:t xml:space="preserve">either </w:t>
      </w:r>
      <w:r w:rsidR="00EA5EAF" w:rsidRPr="00F117EB">
        <w:rPr>
          <w:rFonts w:ascii="Times New Roman" w:hAnsi="Times New Roman"/>
        </w:rPr>
        <w:t>a denial of procedural fairness or some other procedural irregularity akin to a denial of procedural fairness.</w:t>
      </w:r>
      <w:r w:rsidR="007262EE" w:rsidRPr="00F117EB">
        <w:rPr>
          <w:rStyle w:val="FootnoteReference"/>
          <w:rFonts w:ascii="Times New Roman" w:hAnsi="Times New Roman"/>
          <w:sz w:val="24"/>
        </w:rPr>
        <w:footnoteReference w:id="88"/>
      </w:r>
      <w:r w:rsidR="00AB6924" w:rsidRPr="00F117EB">
        <w:rPr>
          <w:rFonts w:ascii="Times New Roman" w:hAnsi="Times New Roman"/>
        </w:rPr>
        <w:t xml:space="preserve"> </w:t>
      </w:r>
      <w:r w:rsidR="00C82074" w:rsidRPr="00F117EB">
        <w:rPr>
          <w:rFonts w:ascii="Times New Roman" w:hAnsi="Times New Roman"/>
        </w:rPr>
        <w:t>As noted, t</w:t>
      </w:r>
      <w:r w:rsidR="00AB6924" w:rsidRPr="00F117EB">
        <w:rPr>
          <w:rFonts w:ascii="Times New Roman" w:hAnsi="Times New Roman"/>
        </w:rPr>
        <w:t>h</w:t>
      </w:r>
      <w:r w:rsidR="005E4ACD" w:rsidRPr="00F117EB">
        <w:rPr>
          <w:rFonts w:ascii="Times New Roman" w:hAnsi="Times New Roman"/>
        </w:rPr>
        <w:t>e</w:t>
      </w:r>
      <w:r w:rsidR="007E5D27" w:rsidRPr="00F117EB">
        <w:rPr>
          <w:rFonts w:ascii="Times New Roman" w:hAnsi="Times New Roman"/>
        </w:rPr>
        <w:t xml:space="preserve"> concern</w:t>
      </w:r>
      <w:r w:rsidR="0024367F" w:rsidRPr="00F117EB">
        <w:rPr>
          <w:rFonts w:ascii="Times New Roman" w:hAnsi="Times New Roman"/>
        </w:rPr>
        <w:t xml:space="preserve"> of the law in such cases is</w:t>
      </w:r>
      <w:r w:rsidR="007E5D27" w:rsidRPr="00F117EB">
        <w:rPr>
          <w:rFonts w:ascii="Times New Roman" w:hAnsi="Times New Roman"/>
        </w:rPr>
        <w:t xml:space="preserve"> to avoid practical injustice</w:t>
      </w:r>
      <w:r w:rsidR="00C32B86" w:rsidRPr="00F117EB">
        <w:rPr>
          <w:rFonts w:ascii="Times New Roman" w:hAnsi="Times New Roman"/>
        </w:rPr>
        <w:t xml:space="preserve">. </w:t>
      </w:r>
      <w:r w:rsidR="00590A11" w:rsidRPr="00F117EB">
        <w:rPr>
          <w:rFonts w:ascii="Times New Roman" w:hAnsi="Times New Roman"/>
        </w:rPr>
        <w:t>If,</w:t>
      </w:r>
      <w:r w:rsidR="00FC76CE" w:rsidRPr="00F117EB">
        <w:rPr>
          <w:rFonts w:ascii="Times New Roman" w:hAnsi="Times New Roman"/>
        </w:rPr>
        <w:t xml:space="preserve"> </w:t>
      </w:r>
      <w:r w:rsidR="00BE29B5" w:rsidRPr="00F117EB">
        <w:rPr>
          <w:rFonts w:ascii="Times New Roman" w:hAnsi="Times New Roman"/>
        </w:rPr>
        <w:t xml:space="preserve">by reason of </w:t>
      </w:r>
      <w:r w:rsidR="003E068A" w:rsidRPr="00F117EB">
        <w:rPr>
          <w:rFonts w:ascii="Times New Roman" w:hAnsi="Times New Roman"/>
        </w:rPr>
        <w:t xml:space="preserve">the incompetence of </w:t>
      </w:r>
      <w:r w:rsidR="00BE29B5" w:rsidRPr="00F117EB">
        <w:rPr>
          <w:rFonts w:ascii="Times New Roman" w:hAnsi="Times New Roman"/>
        </w:rPr>
        <w:t xml:space="preserve">their </w:t>
      </w:r>
      <w:r w:rsidR="003E6D9F" w:rsidRPr="00F117EB">
        <w:rPr>
          <w:rFonts w:ascii="Times New Roman" w:hAnsi="Times New Roman"/>
        </w:rPr>
        <w:t>c</w:t>
      </w:r>
      <w:r w:rsidR="003E068A" w:rsidRPr="00F117EB">
        <w:rPr>
          <w:rFonts w:ascii="Times New Roman" w:hAnsi="Times New Roman"/>
        </w:rPr>
        <w:t>ounsel,</w:t>
      </w:r>
      <w:r w:rsidR="00BE3A5C" w:rsidRPr="00F117EB">
        <w:rPr>
          <w:rFonts w:ascii="Times New Roman" w:hAnsi="Times New Roman"/>
        </w:rPr>
        <w:t xml:space="preserve"> an offender has been denied a reasonable opportunity to put their case</w:t>
      </w:r>
      <w:r w:rsidR="00A5029B" w:rsidRPr="00F117EB">
        <w:rPr>
          <w:rFonts w:ascii="Times New Roman" w:hAnsi="Times New Roman"/>
        </w:rPr>
        <w:t xml:space="preserve"> </w:t>
      </w:r>
      <w:r w:rsidR="00590A11" w:rsidRPr="00F117EB">
        <w:rPr>
          <w:rFonts w:ascii="Times New Roman" w:hAnsi="Times New Roman"/>
        </w:rPr>
        <w:t>in mitigation</w:t>
      </w:r>
      <w:r w:rsidR="00980E95" w:rsidRPr="00F117EB">
        <w:rPr>
          <w:rFonts w:ascii="Times New Roman" w:hAnsi="Times New Roman"/>
        </w:rPr>
        <w:t>,</w:t>
      </w:r>
      <w:r w:rsidR="00ED66DA" w:rsidRPr="00F117EB">
        <w:rPr>
          <w:rFonts w:ascii="Times New Roman" w:hAnsi="Times New Roman"/>
        </w:rPr>
        <w:t xml:space="preserve"> </w:t>
      </w:r>
      <w:r w:rsidR="00BE3A5C" w:rsidRPr="00F117EB">
        <w:rPr>
          <w:rFonts w:ascii="Times New Roman" w:hAnsi="Times New Roman"/>
        </w:rPr>
        <w:t>then</w:t>
      </w:r>
      <w:r w:rsidR="00B14296" w:rsidRPr="00F117EB">
        <w:rPr>
          <w:rFonts w:ascii="Times New Roman" w:hAnsi="Times New Roman"/>
        </w:rPr>
        <w:t xml:space="preserve"> </w:t>
      </w:r>
      <w:r w:rsidR="00DB790D" w:rsidRPr="00F117EB">
        <w:rPr>
          <w:rFonts w:ascii="Times New Roman" w:hAnsi="Times New Roman"/>
        </w:rPr>
        <w:t xml:space="preserve">depending on the circumstances </w:t>
      </w:r>
      <w:r w:rsidR="00410069" w:rsidRPr="00F117EB">
        <w:rPr>
          <w:rFonts w:ascii="Times New Roman" w:hAnsi="Times New Roman"/>
        </w:rPr>
        <w:t>a</w:t>
      </w:r>
      <w:r w:rsidR="008E6183" w:rsidRPr="00F117EB">
        <w:rPr>
          <w:rFonts w:ascii="Times New Roman" w:hAnsi="Times New Roman"/>
        </w:rPr>
        <w:t xml:space="preserve"> </w:t>
      </w:r>
      <w:r w:rsidR="00BE3A5C" w:rsidRPr="00F117EB">
        <w:rPr>
          <w:rFonts w:ascii="Times New Roman" w:hAnsi="Times New Roman"/>
        </w:rPr>
        <w:t xml:space="preserve">practical </w:t>
      </w:r>
      <w:r w:rsidR="008E6183" w:rsidRPr="00F117EB">
        <w:rPr>
          <w:rFonts w:ascii="Times New Roman" w:hAnsi="Times New Roman"/>
        </w:rPr>
        <w:t>injustice</w:t>
      </w:r>
      <w:r w:rsidR="008D27FF" w:rsidRPr="00F117EB">
        <w:rPr>
          <w:rFonts w:ascii="Times New Roman" w:hAnsi="Times New Roman"/>
        </w:rPr>
        <w:t xml:space="preserve"> may have resulted</w:t>
      </w:r>
      <w:r w:rsidR="00BE3A5C" w:rsidRPr="00F117EB">
        <w:rPr>
          <w:rFonts w:ascii="Times New Roman" w:hAnsi="Times New Roman"/>
        </w:rPr>
        <w:t>.</w:t>
      </w:r>
      <w:r w:rsidR="00915115" w:rsidRPr="00F117EB">
        <w:rPr>
          <w:rFonts w:ascii="Times New Roman" w:hAnsi="Times New Roman"/>
        </w:rPr>
        <w:t xml:space="preserve"> </w:t>
      </w:r>
      <w:r w:rsidR="00E839A3" w:rsidRPr="00F117EB">
        <w:rPr>
          <w:rFonts w:ascii="Times New Roman" w:hAnsi="Times New Roman"/>
        </w:rPr>
        <w:t>Th</w:t>
      </w:r>
      <w:r w:rsidR="00E47043" w:rsidRPr="00F117EB">
        <w:rPr>
          <w:rFonts w:ascii="Times New Roman" w:hAnsi="Times New Roman"/>
        </w:rPr>
        <w:t>is</w:t>
      </w:r>
      <w:r w:rsidR="00E839A3" w:rsidRPr="00F117EB">
        <w:rPr>
          <w:rFonts w:ascii="Times New Roman" w:hAnsi="Times New Roman"/>
        </w:rPr>
        <w:t xml:space="preserve"> concern </w:t>
      </w:r>
      <w:r w:rsidR="00B37ACD" w:rsidRPr="00F117EB">
        <w:rPr>
          <w:rFonts w:ascii="Times New Roman" w:hAnsi="Times New Roman"/>
        </w:rPr>
        <w:t>to avoid practical injustice</w:t>
      </w:r>
      <w:r w:rsidR="001C62FB" w:rsidRPr="00F117EB">
        <w:rPr>
          <w:rFonts w:ascii="Times New Roman" w:hAnsi="Times New Roman"/>
        </w:rPr>
        <w:t xml:space="preserve"> </w:t>
      </w:r>
      <w:r w:rsidR="00157DBC" w:rsidRPr="00F117EB">
        <w:rPr>
          <w:rFonts w:ascii="Times New Roman" w:hAnsi="Times New Roman"/>
        </w:rPr>
        <w:t xml:space="preserve">is </w:t>
      </w:r>
      <w:r w:rsidR="001C62FB" w:rsidRPr="00F117EB">
        <w:rPr>
          <w:rFonts w:ascii="Times New Roman" w:hAnsi="Times New Roman"/>
        </w:rPr>
        <w:t>also applicable</w:t>
      </w:r>
      <w:r w:rsidR="0077203A" w:rsidRPr="00F117EB">
        <w:rPr>
          <w:rFonts w:ascii="Times New Roman" w:hAnsi="Times New Roman"/>
        </w:rPr>
        <w:t xml:space="preserve"> </w:t>
      </w:r>
      <w:r w:rsidR="00880E36" w:rsidRPr="00F117EB">
        <w:rPr>
          <w:rFonts w:ascii="Times New Roman" w:hAnsi="Times New Roman"/>
        </w:rPr>
        <w:t>to a complaint that counsel appearing at the sentencing proceedings was subject to conflicting duties</w:t>
      </w:r>
      <w:r w:rsidR="004A013C" w:rsidRPr="00F117EB">
        <w:rPr>
          <w:rFonts w:ascii="Times New Roman" w:hAnsi="Times New Roman"/>
        </w:rPr>
        <w:t>.</w:t>
      </w:r>
      <w:r w:rsidR="00EE0EAE" w:rsidRPr="00F117EB">
        <w:rPr>
          <w:rFonts w:ascii="Times New Roman" w:hAnsi="Times New Roman"/>
        </w:rPr>
        <w:t xml:space="preserve"> The appellant pitched </w:t>
      </w:r>
      <w:r w:rsidR="009427D3" w:rsidRPr="00F117EB">
        <w:rPr>
          <w:rFonts w:ascii="Times New Roman" w:hAnsi="Times New Roman"/>
        </w:rPr>
        <w:t xml:space="preserve">his </w:t>
      </w:r>
      <w:r w:rsidR="00EE0EAE" w:rsidRPr="00F117EB">
        <w:rPr>
          <w:rFonts w:ascii="Times New Roman" w:hAnsi="Times New Roman"/>
        </w:rPr>
        <w:t xml:space="preserve">complaint in those terms.  </w:t>
      </w:r>
    </w:p>
    <w:p w14:paraId="72D839EA" w14:textId="337BCE77" w:rsidR="00EA5EAF" w:rsidRPr="00F117EB" w:rsidRDefault="00D339DC" w:rsidP="00F117EB">
      <w:pPr>
        <w:pStyle w:val="FixListStyle"/>
        <w:spacing w:after="260" w:line="280" w:lineRule="exact"/>
        <w:ind w:right="0"/>
        <w:jc w:val="both"/>
        <w:rPr>
          <w:rFonts w:ascii="Times New Roman" w:hAnsi="Times New Roman"/>
        </w:rPr>
      </w:pPr>
      <w:r w:rsidRPr="00F117EB">
        <w:rPr>
          <w:rFonts w:ascii="Times New Roman" w:hAnsi="Times New Roman"/>
        </w:rPr>
        <w:lastRenderedPageBreak/>
        <w:tab/>
      </w:r>
      <w:r w:rsidR="005050A1" w:rsidRPr="00F117EB">
        <w:rPr>
          <w:rFonts w:ascii="Times New Roman" w:hAnsi="Times New Roman"/>
        </w:rPr>
        <w:t>Accordingly</w:t>
      </w:r>
      <w:r w:rsidR="00EA5EAF" w:rsidRPr="00F117EB">
        <w:rPr>
          <w:rFonts w:ascii="Times New Roman" w:hAnsi="Times New Roman"/>
        </w:rPr>
        <w:t>, the ultimate question i</w:t>
      </w:r>
      <w:r w:rsidR="00960B92" w:rsidRPr="00F117EB">
        <w:rPr>
          <w:rFonts w:ascii="Times New Roman" w:hAnsi="Times New Roman"/>
        </w:rPr>
        <w:t>n such a case i</w:t>
      </w:r>
      <w:r w:rsidR="00EA5EAF" w:rsidRPr="00F117EB">
        <w:rPr>
          <w:rFonts w:ascii="Times New Roman" w:hAnsi="Times New Roman"/>
        </w:rPr>
        <w:t>s whether the offender has established, based on all the circumstances of the case</w:t>
      </w:r>
      <w:r w:rsidR="0005320C" w:rsidRPr="00F117EB">
        <w:rPr>
          <w:rFonts w:ascii="Times New Roman" w:hAnsi="Times New Roman"/>
        </w:rPr>
        <w:t>,</w:t>
      </w:r>
      <w:r w:rsidR="00EA5EAF" w:rsidRPr="00F117EB">
        <w:rPr>
          <w:rFonts w:ascii="Times New Roman" w:hAnsi="Times New Roman"/>
        </w:rPr>
        <w:t xml:space="preserve"> including the duties owed by counsel and the extent, if any, of the</w:t>
      </w:r>
      <w:r w:rsidR="00C2296D" w:rsidRPr="00F117EB">
        <w:rPr>
          <w:rFonts w:ascii="Times New Roman" w:hAnsi="Times New Roman"/>
        </w:rPr>
        <w:t>ir</w:t>
      </w:r>
      <w:r w:rsidR="00EA5EAF" w:rsidRPr="00F117EB">
        <w:rPr>
          <w:rFonts w:ascii="Times New Roman" w:hAnsi="Times New Roman"/>
        </w:rPr>
        <w:t xml:space="preserve"> departure from th</w:t>
      </w:r>
      <w:r w:rsidR="00960B92" w:rsidRPr="00F117EB">
        <w:rPr>
          <w:rFonts w:ascii="Times New Roman" w:hAnsi="Times New Roman"/>
        </w:rPr>
        <w:t>ose duties</w:t>
      </w:r>
      <w:r w:rsidR="00DD6789" w:rsidRPr="00F117EB">
        <w:rPr>
          <w:rFonts w:ascii="Times New Roman" w:hAnsi="Times New Roman"/>
        </w:rPr>
        <w:t>,</w:t>
      </w:r>
      <w:r w:rsidR="00960B92" w:rsidRPr="00F117EB">
        <w:rPr>
          <w:rFonts w:ascii="Times New Roman" w:hAnsi="Times New Roman"/>
        </w:rPr>
        <w:t xml:space="preserve"> that</w:t>
      </w:r>
      <w:r w:rsidR="00EA5EAF" w:rsidRPr="00F117EB">
        <w:rPr>
          <w:rFonts w:ascii="Times New Roman" w:hAnsi="Times New Roman"/>
        </w:rPr>
        <w:t xml:space="preserve"> th</w:t>
      </w:r>
      <w:r w:rsidR="00AB31A6" w:rsidRPr="00F117EB">
        <w:rPr>
          <w:rFonts w:ascii="Times New Roman" w:hAnsi="Times New Roman"/>
        </w:rPr>
        <w:t>e offender</w:t>
      </w:r>
      <w:r w:rsidR="00EA5EAF" w:rsidRPr="00F117EB">
        <w:rPr>
          <w:rFonts w:ascii="Times New Roman" w:hAnsi="Times New Roman"/>
        </w:rPr>
        <w:t xml:space="preserve"> </w:t>
      </w:r>
      <w:r w:rsidR="00DD6789" w:rsidRPr="00F117EB">
        <w:rPr>
          <w:rFonts w:ascii="Times New Roman" w:hAnsi="Times New Roman"/>
        </w:rPr>
        <w:t>was denied</w:t>
      </w:r>
      <w:r w:rsidR="00EA5EAF" w:rsidRPr="00F117EB">
        <w:rPr>
          <w:rFonts w:ascii="Times New Roman" w:hAnsi="Times New Roman"/>
        </w:rPr>
        <w:t xml:space="preserve"> a reasonable opportunity to put their case</w:t>
      </w:r>
      <w:r w:rsidR="00AB31A6" w:rsidRPr="00F117EB">
        <w:rPr>
          <w:rFonts w:ascii="Times New Roman" w:hAnsi="Times New Roman"/>
        </w:rPr>
        <w:t xml:space="preserve"> </w:t>
      </w:r>
      <w:r w:rsidR="00A36F9F" w:rsidRPr="00F117EB">
        <w:rPr>
          <w:rFonts w:ascii="Times New Roman" w:hAnsi="Times New Roman"/>
        </w:rPr>
        <w:t>in mitigation</w:t>
      </w:r>
      <w:r w:rsidR="00FD54E4" w:rsidRPr="00F117EB">
        <w:rPr>
          <w:rFonts w:ascii="Times New Roman" w:hAnsi="Times New Roman"/>
        </w:rPr>
        <w:t>.</w:t>
      </w:r>
      <w:r w:rsidR="00EA5EAF" w:rsidRPr="00F117EB">
        <w:rPr>
          <w:rFonts w:ascii="Times New Roman" w:hAnsi="Times New Roman"/>
        </w:rPr>
        <w:t xml:space="preserve"> </w:t>
      </w:r>
      <w:r w:rsidR="00AE63A4" w:rsidRPr="00F117EB">
        <w:rPr>
          <w:rFonts w:ascii="Times New Roman" w:hAnsi="Times New Roman"/>
        </w:rPr>
        <w:t>Where a</w:t>
      </w:r>
      <w:r w:rsidR="00EA5EAF" w:rsidRPr="00F117EB">
        <w:rPr>
          <w:rFonts w:ascii="Times New Roman" w:hAnsi="Times New Roman"/>
        </w:rPr>
        <w:t xml:space="preserve">n offender was represented by </w:t>
      </w:r>
      <w:r w:rsidR="006666D2" w:rsidRPr="00F117EB">
        <w:rPr>
          <w:rFonts w:ascii="Times New Roman" w:hAnsi="Times New Roman"/>
        </w:rPr>
        <w:t>c</w:t>
      </w:r>
      <w:r w:rsidR="00EA5EAF" w:rsidRPr="00F117EB">
        <w:rPr>
          <w:rFonts w:ascii="Times New Roman" w:hAnsi="Times New Roman"/>
        </w:rPr>
        <w:t>ounsel at a sentenc</w:t>
      </w:r>
      <w:r w:rsidR="00AE63A4" w:rsidRPr="00F117EB">
        <w:rPr>
          <w:rFonts w:ascii="Times New Roman" w:hAnsi="Times New Roman"/>
        </w:rPr>
        <w:t>ing</w:t>
      </w:r>
      <w:r w:rsidR="00EA5EAF" w:rsidRPr="00F117EB">
        <w:rPr>
          <w:rFonts w:ascii="Times New Roman" w:hAnsi="Times New Roman"/>
        </w:rPr>
        <w:t xml:space="preserve"> hearing </w:t>
      </w:r>
      <w:r w:rsidR="00AE63A4" w:rsidRPr="00F117EB">
        <w:rPr>
          <w:rFonts w:ascii="Times New Roman" w:hAnsi="Times New Roman"/>
        </w:rPr>
        <w:t xml:space="preserve">and their counsel </w:t>
      </w:r>
      <w:r w:rsidR="00EA5EAF" w:rsidRPr="00F117EB">
        <w:rPr>
          <w:rFonts w:ascii="Times New Roman" w:hAnsi="Times New Roman"/>
        </w:rPr>
        <w:t>decided on rational grounds</w:t>
      </w:r>
      <w:r w:rsidR="00960B92" w:rsidRPr="00F117EB">
        <w:rPr>
          <w:rFonts w:ascii="Times New Roman" w:hAnsi="Times New Roman"/>
        </w:rPr>
        <w:t>,</w:t>
      </w:r>
      <w:r w:rsidR="00EA5EAF" w:rsidRPr="00F117EB">
        <w:rPr>
          <w:rFonts w:ascii="Times New Roman" w:hAnsi="Times New Roman"/>
        </w:rPr>
        <w:t xml:space="preserve"> </w:t>
      </w:r>
      <w:r w:rsidR="00960B92" w:rsidRPr="00F117EB">
        <w:rPr>
          <w:rFonts w:ascii="Times New Roman" w:hAnsi="Times New Roman"/>
        </w:rPr>
        <w:t xml:space="preserve">and </w:t>
      </w:r>
      <w:r w:rsidR="00BD41A5" w:rsidRPr="00F117EB">
        <w:rPr>
          <w:rFonts w:ascii="Times New Roman" w:hAnsi="Times New Roman"/>
        </w:rPr>
        <w:t>free of a</w:t>
      </w:r>
      <w:r w:rsidR="006B59E6" w:rsidRPr="00F117EB">
        <w:rPr>
          <w:rFonts w:ascii="Times New Roman" w:hAnsi="Times New Roman"/>
        </w:rPr>
        <w:t>ny</w:t>
      </w:r>
      <w:r w:rsidR="00BD41A5" w:rsidRPr="00F117EB">
        <w:rPr>
          <w:rFonts w:ascii="Times New Roman" w:hAnsi="Times New Roman"/>
        </w:rPr>
        <w:t xml:space="preserve"> competing duty to another client</w:t>
      </w:r>
      <w:r w:rsidR="00960B92" w:rsidRPr="00F117EB">
        <w:rPr>
          <w:rFonts w:ascii="Times New Roman" w:hAnsi="Times New Roman"/>
        </w:rPr>
        <w:t>,</w:t>
      </w:r>
      <w:r w:rsidR="00BD41A5" w:rsidRPr="00F117EB">
        <w:rPr>
          <w:rFonts w:ascii="Times New Roman" w:hAnsi="Times New Roman"/>
        </w:rPr>
        <w:t xml:space="preserve"> </w:t>
      </w:r>
      <w:r w:rsidR="00EA5EAF" w:rsidRPr="00F117EB">
        <w:rPr>
          <w:rFonts w:ascii="Times New Roman" w:hAnsi="Times New Roman"/>
        </w:rPr>
        <w:t>not to make an available submission</w:t>
      </w:r>
      <w:r w:rsidR="00AE63A4" w:rsidRPr="00F117EB">
        <w:rPr>
          <w:rFonts w:ascii="Times New Roman" w:hAnsi="Times New Roman"/>
        </w:rPr>
        <w:t>, the offender</w:t>
      </w:r>
      <w:r w:rsidR="00EA5EAF" w:rsidRPr="00F117EB">
        <w:rPr>
          <w:rFonts w:ascii="Times New Roman" w:hAnsi="Times New Roman"/>
        </w:rPr>
        <w:t xml:space="preserve"> will </w:t>
      </w:r>
      <w:r w:rsidR="00247786" w:rsidRPr="00F117EB">
        <w:rPr>
          <w:rFonts w:ascii="Times New Roman" w:hAnsi="Times New Roman"/>
        </w:rPr>
        <w:t>not have been denied</w:t>
      </w:r>
      <w:r w:rsidR="00EA5EAF" w:rsidRPr="00F117EB">
        <w:rPr>
          <w:rFonts w:ascii="Times New Roman" w:hAnsi="Times New Roman"/>
        </w:rPr>
        <w:t xml:space="preserve"> a reasonable opportunity to put their case.</w:t>
      </w:r>
      <w:r w:rsidR="006D640F" w:rsidRPr="00F117EB">
        <w:rPr>
          <w:rStyle w:val="FootnoteReference"/>
          <w:rFonts w:ascii="Times New Roman" w:hAnsi="Times New Roman"/>
          <w:sz w:val="24"/>
        </w:rPr>
        <w:footnoteReference w:id="89"/>
      </w:r>
      <w:r w:rsidR="00EA5EAF" w:rsidRPr="00F117EB">
        <w:rPr>
          <w:rFonts w:ascii="Times New Roman" w:hAnsi="Times New Roman"/>
        </w:rPr>
        <w:t xml:space="preserve"> </w:t>
      </w:r>
      <w:r w:rsidR="00EF33B5" w:rsidRPr="00F117EB">
        <w:rPr>
          <w:rFonts w:ascii="Times New Roman" w:hAnsi="Times New Roman"/>
        </w:rPr>
        <w:t>However, an</w:t>
      </w:r>
      <w:r w:rsidR="00EA5EAF" w:rsidRPr="00F117EB">
        <w:rPr>
          <w:rFonts w:ascii="Times New Roman" w:hAnsi="Times New Roman"/>
        </w:rPr>
        <w:t xml:space="preserve"> offender whose </w:t>
      </w:r>
      <w:r w:rsidR="006666D2" w:rsidRPr="00F117EB">
        <w:rPr>
          <w:rFonts w:ascii="Times New Roman" w:hAnsi="Times New Roman"/>
        </w:rPr>
        <w:t>c</w:t>
      </w:r>
      <w:r w:rsidR="00EA5EAF" w:rsidRPr="00F117EB">
        <w:rPr>
          <w:rFonts w:ascii="Times New Roman" w:hAnsi="Times New Roman"/>
        </w:rPr>
        <w:t>ounsel</w:t>
      </w:r>
      <w:r w:rsidR="0081644C" w:rsidRPr="00F117EB">
        <w:rPr>
          <w:rFonts w:ascii="Times New Roman" w:hAnsi="Times New Roman"/>
        </w:rPr>
        <w:t>,</w:t>
      </w:r>
      <w:r w:rsidR="00EA5EAF" w:rsidRPr="00F117EB">
        <w:rPr>
          <w:rFonts w:ascii="Times New Roman" w:hAnsi="Times New Roman"/>
        </w:rPr>
        <w:t xml:space="preserve"> </w:t>
      </w:r>
      <w:r w:rsidR="006111DB" w:rsidRPr="00F117EB">
        <w:rPr>
          <w:rFonts w:ascii="Times New Roman" w:hAnsi="Times New Roman"/>
        </w:rPr>
        <w:t xml:space="preserve">for example </w:t>
      </w:r>
      <w:r w:rsidR="00EA5EAF" w:rsidRPr="00F117EB">
        <w:rPr>
          <w:rFonts w:ascii="Times New Roman" w:hAnsi="Times New Roman"/>
        </w:rPr>
        <w:t xml:space="preserve">through incompetence or </w:t>
      </w:r>
      <w:r w:rsidR="00030FA0" w:rsidRPr="00F117EB">
        <w:rPr>
          <w:rFonts w:ascii="Times New Roman" w:hAnsi="Times New Roman"/>
        </w:rPr>
        <w:t xml:space="preserve">a concern not to </w:t>
      </w:r>
      <w:r w:rsidR="007D6EEE" w:rsidRPr="00F117EB">
        <w:rPr>
          <w:rFonts w:ascii="Times New Roman" w:hAnsi="Times New Roman"/>
        </w:rPr>
        <w:t xml:space="preserve">jeopardise </w:t>
      </w:r>
      <w:r w:rsidR="00E56862" w:rsidRPr="00F117EB">
        <w:rPr>
          <w:rFonts w:ascii="Times New Roman" w:hAnsi="Times New Roman"/>
        </w:rPr>
        <w:t xml:space="preserve">the interests of another </w:t>
      </w:r>
      <w:r w:rsidR="006B59E6" w:rsidRPr="00F117EB">
        <w:rPr>
          <w:rFonts w:ascii="Times New Roman" w:hAnsi="Times New Roman"/>
        </w:rPr>
        <w:t>client</w:t>
      </w:r>
      <w:r w:rsidR="00EC3970" w:rsidRPr="00F117EB">
        <w:rPr>
          <w:rFonts w:ascii="Times New Roman" w:hAnsi="Times New Roman"/>
        </w:rPr>
        <w:t>,</w:t>
      </w:r>
      <w:r w:rsidR="00EA5EAF" w:rsidRPr="00F117EB">
        <w:rPr>
          <w:rFonts w:ascii="Times New Roman" w:hAnsi="Times New Roman"/>
        </w:rPr>
        <w:t xml:space="preserve"> failed to make such a</w:t>
      </w:r>
      <w:r w:rsidR="00416293" w:rsidRPr="00F117EB">
        <w:rPr>
          <w:rFonts w:ascii="Times New Roman" w:hAnsi="Times New Roman"/>
        </w:rPr>
        <w:t xml:space="preserve">n available </w:t>
      </w:r>
      <w:r w:rsidR="00EA5EAF" w:rsidRPr="00F117EB">
        <w:rPr>
          <w:rFonts w:ascii="Times New Roman" w:hAnsi="Times New Roman"/>
        </w:rPr>
        <w:t xml:space="preserve">submission or adduce relevant evidence </w:t>
      </w:r>
      <w:r w:rsidR="00416293" w:rsidRPr="00F117EB">
        <w:rPr>
          <w:rFonts w:ascii="Times New Roman" w:hAnsi="Times New Roman"/>
        </w:rPr>
        <w:t xml:space="preserve">on a topic of importance </w:t>
      </w:r>
      <w:r w:rsidR="00EA5EAF" w:rsidRPr="00F117EB">
        <w:rPr>
          <w:rFonts w:ascii="Times New Roman" w:hAnsi="Times New Roman"/>
        </w:rPr>
        <w:t>may</w:t>
      </w:r>
      <w:r w:rsidR="0008401A" w:rsidRPr="00F117EB">
        <w:rPr>
          <w:rFonts w:ascii="Times New Roman" w:hAnsi="Times New Roman"/>
        </w:rPr>
        <w:t>, depending on the circumstances,</w:t>
      </w:r>
      <w:r w:rsidR="00EA5EAF" w:rsidRPr="00F117EB">
        <w:rPr>
          <w:rFonts w:ascii="Times New Roman" w:hAnsi="Times New Roman"/>
        </w:rPr>
        <w:t xml:space="preserve"> not have had that opportunity. </w:t>
      </w:r>
    </w:p>
    <w:p w14:paraId="72A2FAAB" w14:textId="3ED13C44" w:rsidR="00EA5EAF" w:rsidRPr="00F117EB" w:rsidRDefault="00EA5EAF" w:rsidP="00F117EB">
      <w:pPr>
        <w:pStyle w:val="HeadingL1"/>
        <w:spacing w:after="260" w:line="280" w:lineRule="exact"/>
        <w:ind w:right="0"/>
        <w:jc w:val="both"/>
        <w:rPr>
          <w:rFonts w:ascii="Times New Roman" w:hAnsi="Times New Roman"/>
        </w:rPr>
      </w:pPr>
      <w:r w:rsidRPr="00F117EB">
        <w:rPr>
          <w:rFonts w:ascii="Times New Roman" w:hAnsi="Times New Roman"/>
        </w:rPr>
        <w:t xml:space="preserve">No </w:t>
      </w:r>
      <w:r w:rsidR="00061B6A" w:rsidRPr="00F117EB">
        <w:rPr>
          <w:rFonts w:ascii="Times New Roman" w:hAnsi="Times New Roman"/>
        </w:rPr>
        <w:t>p</w:t>
      </w:r>
      <w:r w:rsidRPr="00F117EB">
        <w:rPr>
          <w:rFonts w:ascii="Times New Roman" w:hAnsi="Times New Roman"/>
        </w:rPr>
        <w:t xml:space="preserve">rocedural </w:t>
      </w:r>
      <w:r w:rsidR="00061B6A" w:rsidRPr="00F117EB">
        <w:rPr>
          <w:rFonts w:ascii="Times New Roman" w:hAnsi="Times New Roman"/>
        </w:rPr>
        <w:t>i</w:t>
      </w:r>
      <w:r w:rsidRPr="00F117EB">
        <w:rPr>
          <w:rFonts w:ascii="Times New Roman" w:hAnsi="Times New Roman"/>
        </w:rPr>
        <w:t xml:space="preserve">rregularity </w:t>
      </w:r>
      <w:r w:rsidR="00061B6A" w:rsidRPr="00F117EB">
        <w:rPr>
          <w:rFonts w:ascii="Times New Roman" w:hAnsi="Times New Roman"/>
        </w:rPr>
        <w:t>d</w:t>
      </w:r>
      <w:r w:rsidRPr="00F117EB">
        <w:rPr>
          <w:rFonts w:ascii="Times New Roman" w:hAnsi="Times New Roman"/>
        </w:rPr>
        <w:t>emonstrated</w:t>
      </w:r>
    </w:p>
    <w:p w14:paraId="717773D2" w14:textId="02A5CA01" w:rsidR="00EA5EAF" w:rsidRPr="00F117EB" w:rsidRDefault="00061B6A"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In sentencing both the appellant and Mr</w:t>
      </w:r>
      <w:r w:rsidR="00026207" w:rsidRPr="00F117EB">
        <w:rPr>
          <w:rFonts w:ascii="Times New Roman" w:hAnsi="Times New Roman"/>
        </w:rPr>
        <w:t> </w:t>
      </w:r>
      <w:r w:rsidR="00EA5EAF" w:rsidRPr="00F117EB">
        <w:rPr>
          <w:rFonts w:ascii="Times New Roman" w:hAnsi="Times New Roman"/>
        </w:rPr>
        <w:t>Kanmaz</w:t>
      </w:r>
      <w:r w:rsidR="00605C28" w:rsidRPr="00F117EB">
        <w:rPr>
          <w:rFonts w:ascii="Times New Roman" w:hAnsi="Times New Roman"/>
        </w:rPr>
        <w:t>,</w:t>
      </w:r>
      <w:r w:rsidR="00EA5EAF" w:rsidRPr="00F117EB">
        <w:rPr>
          <w:rFonts w:ascii="Times New Roman" w:hAnsi="Times New Roman"/>
        </w:rPr>
        <w:t xml:space="preserve"> the sentencing judge was obliged to address parity by comparing the</w:t>
      </w:r>
      <w:r w:rsidR="00FC7649" w:rsidRPr="00F117EB">
        <w:rPr>
          <w:rFonts w:ascii="Times New Roman" w:hAnsi="Times New Roman"/>
        </w:rPr>
        <w:t xml:space="preserve"> co-offenders'</w:t>
      </w:r>
      <w:r w:rsidR="00EA5EAF" w:rsidRPr="00F117EB">
        <w:rPr>
          <w:rFonts w:ascii="Times New Roman" w:hAnsi="Times New Roman"/>
        </w:rPr>
        <w:t xml:space="preserve"> conduct and antecedents so as to avoid an unjustified disparity in </w:t>
      </w:r>
      <w:r w:rsidR="002719CA" w:rsidRPr="00F117EB">
        <w:rPr>
          <w:rFonts w:ascii="Times New Roman" w:hAnsi="Times New Roman"/>
        </w:rPr>
        <w:t xml:space="preserve">the </w:t>
      </w:r>
      <w:r w:rsidR="00EA5EAF" w:rsidRPr="00F117EB">
        <w:rPr>
          <w:rFonts w:ascii="Times New Roman" w:hAnsi="Times New Roman"/>
        </w:rPr>
        <w:t>punishment</w:t>
      </w:r>
      <w:r w:rsidR="002719CA" w:rsidRPr="00F117EB">
        <w:rPr>
          <w:rFonts w:ascii="Times New Roman" w:hAnsi="Times New Roman"/>
        </w:rPr>
        <w:t xml:space="preserve"> each was to be affor</w:t>
      </w:r>
      <w:r w:rsidR="00E93608" w:rsidRPr="00F117EB">
        <w:rPr>
          <w:rFonts w:ascii="Times New Roman" w:hAnsi="Times New Roman"/>
        </w:rPr>
        <w:t>d</w:t>
      </w:r>
      <w:r w:rsidR="002719CA" w:rsidRPr="00F117EB">
        <w:rPr>
          <w:rFonts w:ascii="Times New Roman" w:hAnsi="Times New Roman"/>
        </w:rPr>
        <w:t>ed</w:t>
      </w:r>
      <w:r w:rsidR="00EA5EAF" w:rsidRPr="00F117EB">
        <w:rPr>
          <w:rFonts w:ascii="Times New Roman" w:hAnsi="Times New Roman"/>
        </w:rPr>
        <w:t>.</w:t>
      </w:r>
      <w:r w:rsidRPr="00F117EB">
        <w:rPr>
          <w:rStyle w:val="FootnoteReference"/>
          <w:rFonts w:ascii="Times New Roman" w:hAnsi="Times New Roman"/>
          <w:sz w:val="24"/>
        </w:rPr>
        <w:footnoteReference w:id="90"/>
      </w:r>
      <w:r w:rsidR="00EA5EAF" w:rsidRPr="00F117EB">
        <w:rPr>
          <w:rFonts w:ascii="Times New Roman" w:hAnsi="Times New Roman"/>
        </w:rPr>
        <w:t xml:space="preserve"> In </w:t>
      </w:r>
      <w:r w:rsidR="00E93608" w:rsidRPr="00F117EB">
        <w:rPr>
          <w:rFonts w:ascii="Times New Roman" w:hAnsi="Times New Roman"/>
        </w:rPr>
        <w:t xml:space="preserve">addressing parity </w:t>
      </w:r>
      <w:r w:rsidR="00EA5EAF" w:rsidRPr="00F117EB">
        <w:rPr>
          <w:rFonts w:ascii="Times New Roman" w:hAnsi="Times New Roman"/>
        </w:rPr>
        <w:t xml:space="preserve">his Honour was required to consider matters </w:t>
      </w:r>
      <w:r w:rsidR="00F85709" w:rsidRPr="00F117EB">
        <w:rPr>
          <w:rFonts w:ascii="Times New Roman" w:hAnsi="Times New Roman"/>
        </w:rPr>
        <w:t xml:space="preserve">such </w:t>
      </w:r>
      <w:r w:rsidR="00EA5EAF" w:rsidRPr="00F117EB">
        <w:rPr>
          <w:rFonts w:ascii="Times New Roman" w:hAnsi="Times New Roman"/>
        </w:rPr>
        <w:t xml:space="preserve">as </w:t>
      </w:r>
      <w:r w:rsidR="00EE1EF5" w:rsidRPr="00F117EB">
        <w:rPr>
          <w:rFonts w:ascii="Times New Roman" w:hAnsi="Times New Roman"/>
        </w:rPr>
        <w:t xml:space="preserve">the co-offenders' </w:t>
      </w:r>
      <w:r w:rsidR="00EA5EAF" w:rsidRPr="00F117EB">
        <w:rPr>
          <w:rFonts w:ascii="Times New Roman" w:hAnsi="Times New Roman"/>
        </w:rPr>
        <w:t>ascending levels of participation in the criminal enterprise</w:t>
      </w:r>
      <w:r w:rsidR="00505B3C" w:rsidRPr="00F117EB">
        <w:rPr>
          <w:rFonts w:ascii="Times New Roman" w:hAnsi="Times New Roman"/>
        </w:rPr>
        <w:t>,</w:t>
      </w:r>
      <w:r w:rsidR="00EA5EAF" w:rsidRPr="00F117EB">
        <w:rPr>
          <w:rFonts w:ascii="Times New Roman" w:hAnsi="Times New Roman"/>
        </w:rPr>
        <w:t xml:space="preserve"> any differences in the applicable maximum sentences </w:t>
      </w:r>
      <w:r w:rsidR="00ED00E0" w:rsidRPr="00F117EB">
        <w:rPr>
          <w:rFonts w:ascii="Times New Roman" w:hAnsi="Times New Roman"/>
        </w:rPr>
        <w:t xml:space="preserve">for </w:t>
      </w:r>
      <w:r w:rsidR="00EC3970" w:rsidRPr="00F117EB">
        <w:rPr>
          <w:rFonts w:ascii="Times New Roman" w:hAnsi="Times New Roman"/>
        </w:rPr>
        <w:t xml:space="preserve">their offences </w:t>
      </w:r>
      <w:r w:rsidR="00EA5EAF" w:rsidRPr="00F117EB">
        <w:rPr>
          <w:rFonts w:ascii="Times New Roman" w:hAnsi="Times New Roman"/>
        </w:rPr>
        <w:t xml:space="preserve">and </w:t>
      </w:r>
      <w:r w:rsidR="00E93608" w:rsidRPr="00F117EB">
        <w:rPr>
          <w:rFonts w:ascii="Times New Roman" w:hAnsi="Times New Roman"/>
        </w:rPr>
        <w:t xml:space="preserve">their </w:t>
      </w:r>
      <w:r w:rsidR="00EE1EF5" w:rsidRPr="00F117EB">
        <w:rPr>
          <w:rFonts w:ascii="Times New Roman" w:hAnsi="Times New Roman"/>
        </w:rPr>
        <w:t xml:space="preserve">personal </w:t>
      </w:r>
      <w:r w:rsidR="00F85709" w:rsidRPr="00F117EB">
        <w:rPr>
          <w:rFonts w:ascii="Times New Roman" w:hAnsi="Times New Roman"/>
        </w:rPr>
        <w:t>circumstances</w:t>
      </w:r>
      <w:r w:rsidR="00EA5EAF" w:rsidRPr="00F117EB">
        <w:rPr>
          <w:rFonts w:ascii="Times New Roman" w:hAnsi="Times New Roman"/>
        </w:rPr>
        <w:t>.</w:t>
      </w:r>
      <w:r w:rsidR="002E0DA9" w:rsidRPr="00F117EB">
        <w:rPr>
          <w:rStyle w:val="FootnoteReference"/>
          <w:rFonts w:ascii="Times New Roman" w:hAnsi="Times New Roman"/>
          <w:sz w:val="24"/>
        </w:rPr>
        <w:footnoteReference w:id="91"/>
      </w:r>
      <w:r w:rsidR="00EA5EAF" w:rsidRPr="00F117EB">
        <w:rPr>
          <w:rFonts w:ascii="Times New Roman" w:hAnsi="Times New Roman"/>
        </w:rPr>
        <w:t xml:space="preserve">  </w:t>
      </w:r>
    </w:p>
    <w:p w14:paraId="0EA32951" w14:textId="6353A938" w:rsidR="00EA5EAF" w:rsidRPr="00F117EB" w:rsidRDefault="002E0DA9"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The proceedings in the Court of Criminal Appeal</w:t>
      </w:r>
      <w:r w:rsidR="00EB4508" w:rsidRPr="00F117EB">
        <w:rPr>
          <w:rFonts w:ascii="Times New Roman" w:hAnsi="Times New Roman"/>
        </w:rPr>
        <w:t>,</w:t>
      </w:r>
      <w:r w:rsidR="00EA5EAF" w:rsidRPr="00F117EB">
        <w:rPr>
          <w:rFonts w:ascii="Times New Roman" w:hAnsi="Times New Roman"/>
        </w:rPr>
        <w:t xml:space="preserve"> and in this </w:t>
      </w:r>
      <w:r w:rsidR="004E4A07" w:rsidRPr="00F117EB">
        <w:rPr>
          <w:rFonts w:ascii="Times New Roman" w:hAnsi="Times New Roman"/>
        </w:rPr>
        <w:t>C</w:t>
      </w:r>
      <w:r w:rsidR="00EA5EAF" w:rsidRPr="00F117EB">
        <w:rPr>
          <w:rFonts w:ascii="Times New Roman" w:hAnsi="Times New Roman"/>
        </w:rPr>
        <w:t>ourt</w:t>
      </w:r>
      <w:r w:rsidR="00EB4508" w:rsidRPr="00F117EB">
        <w:rPr>
          <w:rFonts w:ascii="Times New Roman" w:hAnsi="Times New Roman"/>
        </w:rPr>
        <w:t>,</w:t>
      </w:r>
      <w:r w:rsidR="00EA5EAF" w:rsidRPr="00F117EB">
        <w:rPr>
          <w:rFonts w:ascii="Times New Roman" w:hAnsi="Times New Roman"/>
        </w:rPr>
        <w:t xml:space="preserve"> </w:t>
      </w:r>
      <w:r w:rsidR="00DC0425" w:rsidRPr="00F117EB">
        <w:rPr>
          <w:rFonts w:ascii="Times New Roman" w:hAnsi="Times New Roman"/>
        </w:rPr>
        <w:t>were conducted</w:t>
      </w:r>
      <w:r w:rsidR="00EA5EAF" w:rsidRPr="00F117EB">
        <w:rPr>
          <w:rFonts w:ascii="Times New Roman" w:hAnsi="Times New Roman"/>
        </w:rPr>
        <w:t xml:space="preserve"> on the basis that Senior Counsel had no role in the preparation of the agreed facts but instead was briefed on the basis that </w:t>
      </w:r>
      <w:r w:rsidR="00D215C0" w:rsidRPr="00F117EB">
        <w:rPr>
          <w:rFonts w:ascii="Times New Roman" w:hAnsi="Times New Roman"/>
        </w:rPr>
        <w:t xml:space="preserve">the </w:t>
      </w:r>
      <w:r w:rsidR="00EA5EAF" w:rsidRPr="00F117EB">
        <w:rPr>
          <w:rFonts w:ascii="Times New Roman" w:hAnsi="Times New Roman"/>
        </w:rPr>
        <w:t xml:space="preserve">contents </w:t>
      </w:r>
      <w:r w:rsidR="00D215C0" w:rsidRPr="00F117EB">
        <w:rPr>
          <w:rFonts w:ascii="Times New Roman" w:hAnsi="Times New Roman"/>
        </w:rPr>
        <w:t xml:space="preserve">of the agreed facts </w:t>
      </w:r>
      <w:r w:rsidR="00EA5EAF" w:rsidRPr="00F117EB">
        <w:rPr>
          <w:rFonts w:ascii="Times New Roman" w:hAnsi="Times New Roman"/>
        </w:rPr>
        <w:t>w</w:t>
      </w:r>
      <w:r w:rsidR="00EB4508" w:rsidRPr="00F117EB">
        <w:rPr>
          <w:rFonts w:ascii="Times New Roman" w:hAnsi="Times New Roman"/>
        </w:rPr>
        <w:t>ere</w:t>
      </w:r>
      <w:r w:rsidR="00EA5EAF" w:rsidRPr="00F117EB">
        <w:rPr>
          <w:rFonts w:ascii="Times New Roman" w:hAnsi="Times New Roman"/>
        </w:rPr>
        <w:t xml:space="preserve"> not to be disputed. While it may have been open to Senior Counsel to adopt the </w:t>
      </w:r>
      <w:r w:rsidR="002D5CA7" w:rsidRPr="00F117EB">
        <w:rPr>
          <w:rFonts w:ascii="Times New Roman" w:hAnsi="Times New Roman"/>
        </w:rPr>
        <w:t>Crown's</w:t>
      </w:r>
      <w:r w:rsidR="00EA5EAF" w:rsidRPr="00F117EB">
        <w:rPr>
          <w:rFonts w:ascii="Times New Roman" w:hAnsi="Times New Roman"/>
        </w:rPr>
        <w:t xml:space="preserve"> initial submission on </w:t>
      </w:r>
      <w:r w:rsidR="00757780" w:rsidRPr="00F117EB">
        <w:rPr>
          <w:rFonts w:ascii="Times New Roman" w:hAnsi="Times New Roman"/>
        </w:rPr>
        <w:t xml:space="preserve">the </w:t>
      </w:r>
      <w:r w:rsidR="00EA5EAF" w:rsidRPr="00F117EB">
        <w:rPr>
          <w:rFonts w:ascii="Times New Roman" w:hAnsi="Times New Roman"/>
        </w:rPr>
        <w:t xml:space="preserve">relative </w:t>
      </w:r>
      <w:r w:rsidR="00B5075C" w:rsidRPr="00F117EB">
        <w:rPr>
          <w:rFonts w:ascii="Times New Roman" w:hAnsi="Times New Roman"/>
        </w:rPr>
        <w:t>seriousness of the appellant</w:t>
      </w:r>
      <w:r w:rsidR="00A57AF2" w:rsidRPr="00F117EB">
        <w:rPr>
          <w:rFonts w:ascii="Times New Roman" w:hAnsi="Times New Roman"/>
        </w:rPr>
        <w:t>'s</w:t>
      </w:r>
      <w:r w:rsidR="00B5075C" w:rsidRPr="00F117EB">
        <w:rPr>
          <w:rFonts w:ascii="Times New Roman" w:hAnsi="Times New Roman"/>
        </w:rPr>
        <w:t xml:space="preserve"> and Mr Kanmaz's offending</w:t>
      </w:r>
      <w:r w:rsidR="00EA5EAF" w:rsidRPr="00F117EB">
        <w:rPr>
          <w:rFonts w:ascii="Times New Roman" w:hAnsi="Times New Roman"/>
        </w:rPr>
        <w:t>, the contents of the agreed facts concerning the appellant's and Mr</w:t>
      </w:r>
      <w:r w:rsidR="00026207" w:rsidRPr="00F117EB">
        <w:rPr>
          <w:rFonts w:ascii="Times New Roman" w:hAnsi="Times New Roman"/>
        </w:rPr>
        <w:t> </w:t>
      </w:r>
      <w:r w:rsidR="00EA5EAF" w:rsidRPr="00F117EB">
        <w:rPr>
          <w:rFonts w:ascii="Times New Roman" w:hAnsi="Times New Roman"/>
        </w:rPr>
        <w:t>Kanm</w:t>
      </w:r>
      <w:r w:rsidR="00026207" w:rsidRPr="00F117EB">
        <w:rPr>
          <w:rFonts w:ascii="Times New Roman" w:hAnsi="Times New Roman"/>
        </w:rPr>
        <w:t>a</w:t>
      </w:r>
      <w:r w:rsidR="00EA5EAF" w:rsidRPr="00F117EB">
        <w:rPr>
          <w:rFonts w:ascii="Times New Roman" w:hAnsi="Times New Roman"/>
        </w:rPr>
        <w:t xml:space="preserve">z's role in the criminal enterprise and the reward they each derived </w:t>
      </w:r>
      <w:r w:rsidR="00A81E6F" w:rsidRPr="00F117EB">
        <w:rPr>
          <w:rFonts w:ascii="Times New Roman" w:hAnsi="Times New Roman"/>
        </w:rPr>
        <w:t>from that enterprise</w:t>
      </w:r>
      <w:r w:rsidR="00EA5EAF" w:rsidRPr="00F117EB">
        <w:rPr>
          <w:rFonts w:ascii="Times New Roman" w:hAnsi="Times New Roman"/>
        </w:rPr>
        <w:t xml:space="preserve"> made it far more likely that the sentencing judge would not accept </w:t>
      </w:r>
      <w:r w:rsidR="00A81E6F" w:rsidRPr="00F117EB">
        <w:rPr>
          <w:rFonts w:ascii="Times New Roman" w:hAnsi="Times New Roman"/>
        </w:rPr>
        <w:t xml:space="preserve">the </w:t>
      </w:r>
      <w:r w:rsidR="002D5CA7" w:rsidRPr="00F117EB">
        <w:rPr>
          <w:rFonts w:ascii="Times New Roman" w:hAnsi="Times New Roman"/>
        </w:rPr>
        <w:t>Crown</w:t>
      </w:r>
      <w:r w:rsidR="00DC6AC0" w:rsidRPr="00F117EB">
        <w:rPr>
          <w:rFonts w:ascii="Times New Roman" w:hAnsi="Times New Roman"/>
        </w:rPr>
        <w:t xml:space="preserve">'s initial submission </w:t>
      </w:r>
      <w:r w:rsidR="006D0DC3" w:rsidRPr="00F117EB">
        <w:rPr>
          <w:rFonts w:ascii="Times New Roman" w:hAnsi="Times New Roman"/>
        </w:rPr>
        <w:t>that</w:t>
      </w:r>
      <w:r w:rsidR="00DC6AC0" w:rsidRPr="00F117EB">
        <w:rPr>
          <w:rFonts w:ascii="Times New Roman" w:hAnsi="Times New Roman"/>
        </w:rPr>
        <w:t xml:space="preserve"> Mr Kanmaz's </w:t>
      </w:r>
      <w:r w:rsidR="006D0DC3" w:rsidRPr="00F117EB">
        <w:rPr>
          <w:rFonts w:ascii="Times New Roman" w:hAnsi="Times New Roman"/>
        </w:rPr>
        <w:t xml:space="preserve">offending </w:t>
      </w:r>
      <w:r w:rsidR="007604B5" w:rsidRPr="00F117EB">
        <w:rPr>
          <w:rFonts w:ascii="Times New Roman" w:hAnsi="Times New Roman"/>
        </w:rPr>
        <w:t xml:space="preserve">was </w:t>
      </w:r>
      <w:r w:rsidR="007604B5" w:rsidRPr="00F117EB">
        <w:rPr>
          <w:rFonts w:ascii="Times New Roman" w:hAnsi="Times New Roman"/>
        </w:rPr>
        <w:lastRenderedPageBreak/>
        <w:t>worse than</w:t>
      </w:r>
      <w:r w:rsidR="006209F7" w:rsidRPr="00F117EB">
        <w:rPr>
          <w:rFonts w:ascii="Times New Roman" w:hAnsi="Times New Roman"/>
        </w:rPr>
        <w:t xml:space="preserve"> </w:t>
      </w:r>
      <w:r w:rsidR="00745A54" w:rsidRPr="00F117EB">
        <w:rPr>
          <w:rFonts w:ascii="Times New Roman" w:hAnsi="Times New Roman"/>
        </w:rPr>
        <w:t>the appellant</w:t>
      </w:r>
      <w:r w:rsidR="006209F7" w:rsidRPr="00F117EB">
        <w:rPr>
          <w:rFonts w:ascii="Times New Roman" w:hAnsi="Times New Roman"/>
        </w:rPr>
        <w:t>'s offending</w:t>
      </w:r>
      <w:r w:rsidR="009A1454" w:rsidRPr="00F117EB">
        <w:rPr>
          <w:rFonts w:ascii="Times New Roman" w:hAnsi="Times New Roman"/>
        </w:rPr>
        <w:t xml:space="preserve">, </w:t>
      </w:r>
      <w:r w:rsidR="006E6FCE" w:rsidRPr="00F117EB">
        <w:rPr>
          <w:rFonts w:ascii="Times New Roman" w:hAnsi="Times New Roman"/>
        </w:rPr>
        <w:t xml:space="preserve">but would instead </w:t>
      </w:r>
      <w:r w:rsidR="00EA5EAF" w:rsidRPr="00F117EB">
        <w:rPr>
          <w:rFonts w:ascii="Times New Roman" w:hAnsi="Times New Roman"/>
        </w:rPr>
        <w:t xml:space="preserve">draw the opposite conclusion. </w:t>
      </w:r>
    </w:p>
    <w:p w14:paraId="2474BCCD" w14:textId="34E7B174" w:rsidR="00EA5EAF" w:rsidRPr="00F117EB" w:rsidRDefault="00EB4508"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755F15" w:rsidRPr="00F117EB">
        <w:rPr>
          <w:rFonts w:ascii="Times New Roman" w:hAnsi="Times New Roman"/>
        </w:rPr>
        <w:t xml:space="preserve">As noted, </w:t>
      </w:r>
      <w:r w:rsidR="00EA5EAF" w:rsidRPr="00F117EB">
        <w:rPr>
          <w:rFonts w:ascii="Times New Roman" w:hAnsi="Times New Roman"/>
        </w:rPr>
        <w:t>Senior Counsel</w:t>
      </w:r>
      <w:r w:rsidR="00635C11" w:rsidRPr="00F117EB">
        <w:rPr>
          <w:rFonts w:ascii="Times New Roman" w:hAnsi="Times New Roman"/>
        </w:rPr>
        <w:t>'s</w:t>
      </w:r>
      <w:r w:rsidR="00EA5EAF" w:rsidRPr="00F117EB">
        <w:rPr>
          <w:rFonts w:ascii="Times New Roman" w:hAnsi="Times New Roman"/>
        </w:rPr>
        <w:t xml:space="preserve"> </w:t>
      </w:r>
      <w:r w:rsidR="005C7CA2" w:rsidRPr="00F117EB">
        <w:rPr>
          <w:rFonts w:ascii="Times New Roman" w:hAnsi="Times New Roman"/>
        </w:rPr>
        <w:t>concession</w:t>
      </w:r>
      <w:r w:rsidR="00012012" w:rsidRPr="00F117EB">
        <w:rPr>
          <w:rFonts w:ascii="Times New Roman" w:hAnsi="Times New Roman"/>
        </w:rPr>
        <w:t xml:space="preserve"> to the sentencing judge</w:t>
      </w:r>
      <w:r w:rsidR="00EA5EAF" w:rsidRPr="00F117EB">
        <w:rPr>
          <w:rFonts w:ascii="Times New Roman" w:hAnsi="Times New Roman"/>
        </w:rPr>
        <w:t xml:space="preserve"> that the appellant</w:t>
      </w:r>
      <w:r w:rsidR="002068E4" w:rsidRPr="00F117EB">
        <w:rPr>
          <w:rFonts w:ascii="Times New Roman" w:hAnsi="Times New Roman"/>
        </w:rPr>
        <w:t>'s offending was more serious</w:t>
      </w:r>
      <w:r w:rsidR="00EA5EAF" w:rsidRPr="00F117EB">
        <w:rPr>
          <w:rFonts w:ascii="Times New Roman" w:hAnsi="Times New Roman"/>
        </w:rPr>
        <w:t xml:space="preserve"> than Mr</w:t>
      </w:r>
      <w:r w:rsidR="00026207" w:rsidRPr="00F117EB">
        <w:rPr>
          <w:rFonts w:ascii="Times New Roman" w:hAnsi="Times New Roman"/>
        </w:rPr>
        <w:t> </w:t>
      </w:r>
      <w:r w:rsidR="00EA5EAF" w:rsidRPr="00F117EB">
        <w:rPr>
          <w:rFonts w:ascii="Times New Roman" w:hAnsi="Times New Roman"/>
        </w:rPr>
        <w:t>Kanmaz</w:t>
      </w:r>
      <w:r w:rsidR="002068E4" w:rsidRPr="00F117EB">
        <w:rPr>
          <w:rFonts w:ascii="Times New Roman" w:hAnsi="Times New Roman"/>
        </w:rPr>
        <w:t>'s offending</w:t>
      </w:r>
      <w:r w:rsidR="00EA5EAF" w:rsidRPr="00F117EB">
        <w:rPr>
          <w:rFonts w:ascii="Times New Roman" w:hAnsi="Times New Roman"/>
        </w:rPr>
        <w:t xml:space="preserve"> was </w:t>
      </w:r>
      <w:r w:rsidR="00B34CBD" w:rsidRPr="00F117EB">
        <w:rPr>
          <w:rFonts w:ascii="Times New Roman" w:hAnsi="Times New Roman"/>
        </w:rPr>
        <w:t xml:space="preserve">accompanied by a submission </w:t>
      </w:r>
      <w:r w:rsidR="00EA5EAF" w:rsidRPr="00F117EB">
        <w:rPr>
          <w:rFonts w:ascii="Times New Roman" w:hAnsi="Times New Roman"/>
        </w:rPr>
        <w:t xml:space="preserve">that the objective seriousness of each of their offending was less than that contended for by the </w:t>
      </w:r>
      <w:r w:rsidR="005E3DF9" w:rsidRPr="00F117EB">
        <w:rPr>
          <w:rFonts w:ascii="Times New Roman" w:hAnsi="Times New Roman"/>
        </w:rPr>
        <w:t>Crown</w:t>
      </w:r>
      <w:r w:rsidR="00EA5EAF" w:rsidRPr="00F117EB">
        <w:rPr>
          <w:rFonts w:ascii="Times New Roman" w:hAnsi="Times New Roman"/>
        </w:rPr>
        <w:t xml:space="preserve">. </w:t>
      </w:r>
      <w:r w:rsidR="003622CF" w:rsidRPr="00F117EB">
        <w:rPr>
          <w:rFonts w:ascii="Times New Roman" w:hAnsi="Times New Roman"/>
        </w:rPr>
        <w:t xml:space="preserve">Senior Counsel did not </w:t>
      </w:r>
      <w:r w:rsidR="00EA5EAF" w:rsidRPr="00F117EB">
        <w:rPr>
          <w:rFonts w:ascii="Times New Roman" w:hAnsi="Times New Roman"/>
        </w:rPr>
        <w:t>submit</w:t>
      </w:r>
      <w:r w:rsidR="003622CF" w:rsidRPr="00F117EB">
        <w:rPr>
          <w:rFonts w:ascii="Times New Roman" w:hAnsi="Times New Roman"/>
        </w:rPr>
        <w:t xml:space="preserve"> </w:t>
      </w:r>
      <w:r w:rsidR="00EA5EAF" w:rsidRPr="00F117EB">
        <w:rPr>
          <w:rFonts w:ascii="Times New Roman" w:hAnsi="Times New Roman"/>
        </w:rPr>
        <w:t>that</w:t>
      </w:r>
      <w:r w:rsidR="00962FBA" w:rsidRPr="00F117EB">
        <w:rPr>
          <w:rFonts w:ascii="Times New Roman" w:hAnsi="Times New Roman"/>
        </w:rPr>
        <w:t>,</w:t>
      </w:r>
      <w:r w:rsidR="00EA5EAF" w:rsidRPr="00F117EB">
        <w:rPr>
          <w:rFonts w:ascii="Times New Roman" w:hAnsi="Times New Roman"/>
        </w:rPr>
        <w:t xml:space="preserve"> </w:t>
      </w:r>
      <w:r w:rsidR="00050D18" w:rsidRPr="00F117EB">
        <w:rPr>
          <w:rFonts w:ascii="Times New Roman" w:hAnsi="Times New Roman"/>
        </w:rPr>
        <w:t>overall,</w:t>
      </w:r>
      <w:r w:rsidR="00EA5EAF" w:rsidRPr="00F117EB">
        <w:rPr>
          <w:rFonts w:ascii="Times New Roman" w:hAnsi="Times New Roman"/>
        </w:rPr>
        <w:t xml:space="preserve"> the appellant should receive a longer sentence than Mr</w:t>
      </w:r>
      <w:r w:rsidR="00026207" w:rsidRPr="00F117EB">
        <w:rPr>
          <w:rFonts w:ascii="Times New Roman" w:hAnsi="Times New Roman"/>
        </w:rPr>
        <w:t> </w:t>
      </w:r>
      <w:proofErr w:type="spellStart"/>
      <w:r w:rsidR="00EA5EAF" w:rsidRPr="00F117EB">
        <w:rPr>
          <w:rFonts w:ascii="Times New Roman" w:hAnsi="Times New Roman"/>
        </w:rPr>
        <w:t>Kanmaz</w:t>
      </w:r>
      <w:proofErr w:type="spellEnd"/>
      <w:r w:rsidR="00EA5EAF" w:rsidRPr="00F117EB">
        <w:rPr>
          <w:rFonts w:ascii="Times New Roman" w:hAnsi="Times New Roman"/>
        </w:rPr>
        <w:t xml:space="preserve"> by reason of parity considerations or </w:t>
      </w:r>
      <w:r w:rsidR="007269AA" w:rsidRPr="00F117EB">
        <w:rPr>
          <w:rFonts w:ascii="Times New Roman" w:hAnsi="Times New Roman"/>
        </w:rPr>
        <w:t>any other matter</w:t>
      </w:r>
      <w:r w:rsidR="00EA5EAF" w:rsidRPr="00F117EB">
        <w:rPr>
          <w:rFonts w:ascii="Times New Roman" w:hAnsi="Times New Roman"/>
        </w:rPr>
        <w:t xml:space="preserve">. </w:t>
      </w:r>
      <w:r w:rsidR="00C75A86" w:rsidRPr="00F117EB">
        <w:rPr>
          <w:rFonts w:ascii="Times New Roman" w:hAnsi="Times New Roman"/>
        </w:rPr>
        <w:t>Given that</w:t>
      </w:r>
      <w:r w:rsidR="00EA5EAF" w:rsidRPr="00F117EB">
        <w:rPr>
          <w:rFonts w:ascii="Times New Roman" w:hAnsi="Times New Roman"/>
        </w:rPr>
        <w:t xml:space="preserve"> it was more likely that the sentencing judge would conclude that the agreed facts revealed the appellant</w:t>
      </w:r>
      <w:r w:rsidR="005A2C68" w:rsidRPr="00F117EB">
        <w:rPr>
          <w:rFonts w:ascii="Times New Roman" w:hAnsi="Times New Roman"/>
        </w:rPr>
        <w:t>'s offending</w:t>
      </w:r>
      <w:r w:rsidR="00EA5EAF" w:rsidRPr="00F117EB">
        <w:rPr>
          <w:rFonts w:ascii="Times New Roman" w:hAnsi="Times New Roman"/>
        </w:rPr>
        <w:t xml:space="preserve"> to be more </w:t>
      </w:r>
      <w:r w:rsidR="00993A2A" w:rsidRPr="00F117EB">
        <w:rPr>
          <w:rFonts w:ascii="Times New Roman" w:hAnsi="Times New Roman"/>
        </w:rPr>
        <w:t>ser</w:t>
      </w:r>
      <w:r w:rsidR="005A2C68" w:rsidRPr="00F117EB">
        <w:rPr>
          <w:rFonts w:ascii="Times New Roman" w:hAnsi="Times New Roman"/>
        </w:rPr>
        <w:t>ious than Mr Kanmaz's offending</w:t>
      </w:r>
      <w:r w:rsidR="00EA5EAF" w:rsidRPr="00F117EB">
        <w:rPr>
          <w:rFonts w:ascii="Times New Roman" w:hAnsi="Times New Roman"/>
        </w:rPr>
        <w:t xml:space="preserve">, Senior Counsel could reasonably have concluded that his submission </w:t>
      </w:r>
      <w:r w:rsidR="00140F69" w:rsidRPr="00F117EB">
        <w:rPr>
          <w:rFonts w:ascii="Times New Roman" w:hAnsi="Times New Roman"/>
        </w:rPr>
        <w:t>concerning</w:t>
      </w:r>
      <w:r w:rsidR="00EA5EAF" w:rsidRPr="00F117EB">
        <w:rPr>
          <w:rFonts w:ascii="Times New Roman" w:hAnsi="Times New Roman"/>
        </w:rPr>
        <w:t xml:space="preserve"> </w:t>
      </w:r>
      <w:r w:rsidR="00CF788E" w:rsidRPr="00F117EB">
        <w:rPr>
          <w:rFonts w:ascii="Times New Roman" w:hAnsi="Times New Roman"/>
        </w:rPr>
        <w:t xml:space="preserve">the </w:t>
      </w:r>
      <w:r w:rsidR="00EA5EAF" w:rsidRPr="00F117EB">
        <w:rPr>
          <w:rFonts w:ascii="Times New Roman" w:hAnsi="Times New Roman"/>
        </w:rPr>
        <w:t>objective seriousness of each of their offending was more likely to be persuasive if it were accompanied by an appropriate concession as to the</w:t>
      </w:r>
      <w:r w:rsidR="00FB0349" w:rsidRPr="00F117EB">
        <w:rPr>
          <w:rFonts w:ascii="Times New Roman" w:hAnsi="Times New Roman"/>
        </w:rPr>
        <w:t xml:space="preserve"> </w:t>
      </w:r>
      <w:r w:rsidR="00FB7D14" w:rsidRPr="00F117EB">
        <w:rPr>
          <w:rFonts w:ascii="Times New Roman" w:hAnsi="Times New Roman"/>
        </w:rPr>
        <w:t xml:space="preserve">relative </w:t>
      </w:r>
      <w:r w:rsidR="00FB0349" w:rsidRPr="00F117EB">
        <w:rPr>
          <w:rFonts w:ascii="Times New Roman" w:hAnsi="Times New Roman"/>
        </w:rPr>
        <w:t xml:space="preserve">seriousness of </w:t>
      </w:r>
      <w:r w:rsidR="00EA5EAF" w:rsidRPr="00F117EB">
        <w:rPr>
          <w:rFonts w:ascii="Times New Roman" w:hAnsi="Times New Roman"/>
        </w:rPr>
        <w:t>th</w:t>
      </w:r>
      <w:r w:rsidR="00014E2A" w:rsidRPr="00F117EB">
        <w:rPr>
          <w:rFonts w:ascii="Times New Roman" w:hAnsi="Times New Roman"/>
        </w:rPr>
        <w:t>at</w:t>
      </w:r>
      <w:r w:rsidR="001072E8" w:rsidRPr="00F117EB">
        <w:rPr>
          <w:rFonts w:ascii="Times New Roman" w:hAnsi="Times New Roman"/>
        </w:rPr>
        <w:t xml:space="preserve"> </w:t>
      </w:r>
      <w:r w:rsidR="00FB0349" w:rsidRPr="00F117EB">
        <w:rPr>
          <w:rFonts w:ascii="Times New Roman" w:hAnsi="Times New Roman"/>
        </w:rPr>
        <w:t>offending</w:t>
      </w:r>
      <w:r w:rsidR="00EA5EAF" w:rsidRPr="00F117EB">
        <w:rPr>
          <w:rFonts w:ascii="Times New Roman" w:hAnsi="Times New Roman"/>
        </w:rPr>
        <w:t xml:space="preserve">. Otherwise, Senior Counsel pursued different and appropriate routes in seeking to mitigate each of </w:t>
      </w:r>
      <w:r w:rsidR="0027575A" w:rsidRPr="00F117EB">
        <w:rPr>
          <w:rFonts w:ascii="Times New Roman" w:hAnsi="Times New Roman"/>
        </w:rPr>
        <w:t xml:space="preserve">the offenders' </w:t>
      </w:r>
      <w:r w:rsidR="00EA5EAF" w:rsidRPr="00F117EB">
        <w:rPr>
          <w:rFonts w:ascii="Times New Roman" w:hAnsi="Times New Roman"/>
        </w:rPr>
        <w:t>sentences.</w:t>
      </w:r>
      <w:r w:rsidR="00485122" w:rsidRPr="00F117EB">
        <w:rPr>
          <w:rStyle w:val="FootnoteReference"/>
          <w:rFonts w:ascii="Times New Roman" w:hAnsi="Times New Roman"/>
          <w:sz w:val="24"/>
        </w:rPr>
        <w:footnoteReference w:id="92"/>
      </w:r>
      <w:r w:rsidR="00EA5EAF" w:rsidRPr="00F117EB">
        <w:rPr>
          <w:rFonts w:ascii="Times New Roman" w:hAnsi="Times New Roman"/>
        </w:rPr>
        <w:t xml:space="preserve"> </w:t>
      </w:r>
    </w:p>
    <w:p w14:paraId="2D7BDD0A" w14:textId="1398CF65" w:rsidR="00EA5EAF" w:rsidRPr="00F117EB" w:rsidRDefault="008C2C46"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Further, the effect of the concession made </w:t>
      </w:r>
      <w:r w:rsidR="004D553B" w:rsidRPr="00F117EB">
        <w:rPr>
          <w:rFonts w:ascii="Times New Roman" w:hAnsi="Times New Roman"/>
        </w:rPr>
        <w:t>by the appellant's counsel</w:t>
      </w:r>
      <w:r w:rsidR="00EA5EAF" w:rsidRPr="00F117EB">
        <w:rPr>
          <w:rFonts w:ascii="Times New Roman" w:hAnsi="Times New Roman"/>
        </w:rPr>
        <w:t xml:space="preserve"> in the Court of Criminal Appeal was that the appellant was aware that a submission would be made </w:t>
      </w:r>
      <w:r w:rsidR="003D0E42" w:rsidRPr="00F117EB">
        <w:rPr>
          <w:rFonts w:ascii="Times New Roman" w:hAnsi="Times New Roman"/>
        </w:rPr>
        <w:t xml:space="preserve">at his sentencing hearing </w:t>
      </w:r>
      <w:r w:rsidR="00EA5EAF" w:rsidRPr="00F117EB">
        <w:rPr>
          <w:rFonts w:ascii="Times New Roman" w:hAnsi="Times New Roman"/>
        </w:rPr>
        <w:t xml:space="preserve">pitching </w:t>
      </w:r>
      <w:r w:rsidR="00FB0349" w:rsidRPr="00F117EB">
        <w:rPr>
          <w:rFonts w:ascii="Times New Roman" w:hAnsi="Times New Roman"/>
        </w:rPr>
        <w:t xml:space="preserve">the </w:t>
      </w:r>
      <w:r w:rsidR="00DB75BF" w:rsidRPr="00F117EB">
        <w:rPr>
          <w:rFonts w:ascii="Times New Roman" w:hAnsi="Times New Roman"/>
        </w:rPr>
        <w:t>objectiv</w:t>
      </w:r>
      <w:r w:rsidR="00776D05" w:rsidRPr="00F117EB">
        <w:rPr>
          <w:rFonts w:ascii="Times New Roman" w:hAnsi="Times New Roman"/>
        </w:rPr>
        <w:t>e</w:t>
      </w:r>
      <w:r w:rsidR="00DB75BF" w:rsidRPr="00F117EB">
        <w:rPr>
          <w:rFonts w:ascii="Times New Roman" w:hAnsi="Times New Roman"/>
        </w:rPr>
        <w:t xml:space="preserve"> </w:t>
      </w:r>
      <w:r w:rsidR="00FB0349" w:rsidRPr="00F117EB">
        <w:rPr>
          <w:rFonts w:ascii="Times New Roman" w:hAnsi="Times New Roman"/>
        </w:rPr>
        <w:t>seriousness of his offending as</w:t>
      </w:r>
      <w:r w:rsidR="00EA5EAF" w:rsidRPr="00F117EB">
        <w:rPr>
          <w:rFonts w:ascii="Times New Roman" w:hAnsi="Times New Roman"/>
        </w:rPr>
        <w:t xml:space="preserve"> </w:t>
      </w:r>
      <w:r w:rsidR="00FB0349" w:rsidRPr="00F117EB">
        <w:rPr>
          <w:rFonts w:ascii="Times New Roman" w:hAnsi="Times New Roman"/>
        </w:rPr>
        <w:t xml:space="preserve">greater than </w:t>
      </w:r>
      <w:r w:rsidR="00EA5EAF" w:rsidRPr="00F117EB">
        <w:rPr>
          <w:rFonts w:ascii="Times New Roman" w:hAnsi="Times New Roman"/>
        </w:rPr>
        <w:t>that of Mr</w:t>
      </w:r>
      <w:r w:rsidR="00026207" w:rsidRPr="00F117EB">
        <w:rPr>
          <w:rFonts w:ascii="Times New Roman" w:hAnsi="Times New Roman"/>
        </w:rPr>
        <w:t> </w:t>
      </w:r>
      <w:proofErr w:type="spellStart"/>
      <w:r w:rsidR="00EA5EAF" w:rsidRPr="00F117EB">
        <w:rPr>
          <w:rFonts w:ascii="Times New Roman" w:hAnsi="Times New Roman"/>
        </w:rPr>
        <w:t>Kanmaz</w:t>
      </w:r>
      <w:proofErr w:type="spellEnd"/>
      <w:r w:rsidR="00EA5EAF" w:rsidRPr="00F117EB">
        <w:rPr>
          <w:rFonts w:ascii="Times New Roman" w:hAnsi="Times New Roman"/>
        </w:rPr>
        <w:t xml:space="preserve"> and that he gave instructions to that effect. The </w:t>
      </w:r>
      <w:r w:rsidR="00DB75BF" w:rsidRPr="00F117EB">
        <w:rPr>
          <w:rFonts w:ascii="Times New Roman" w:hAnsi="Times New Roman"/>
        </w:rPr>
        <w:t xml:space="preserve">statement </w:t>
      </w:r>
      <w:r w:rsidR="00C34384" w:rsidRPr="00F117EB">
        <w:rPr>
          <w:rFonts w:ascii="Times New Roman" w:hAnsi="Times New Roman"/>
        </w:rPr>
        <w:t>by the appellant</w:t>
      </w:r>
      <w:r w:rsidR="006111DB" w:rsidRPr="00F117EB">
        <w:rPr>
          <w:rFonts w:ascii="Times New Roman" w:hAnsi="Times New Roman"/>
        </w:rPr>
        <w:t>'</w:t>
      </w:r>
      <w:r w:rsidR="00C34384" w:rsidRPr="00F117EB">
        <w:rPr>
          <w:rFonts w:ascii="Times New Roman" w:hAnsi="Times New Roman"/>
        </w:rPr>
        <w:t>s counsel to the</w:t>
      </w:r>
      <w:r w:rsidR="00DB75BF" w:rsidRPr="00F117EB">
        <w:rPr>
          <w:rFonts w:ascii="Times New Roman" w:hAnsi="Times New Roman"/>
        </w:rPr>
        <w:t xml:space="preserve"> Court of Criminal Appeal </w:t>
      </w:r>
      <w:r w:rsidR="00A04F75" w:rsidRPr="00F117EB">
        <w:rPr>
          <w:rFonts w:ascii="Times New Roman" w:hAnsi="Times New Roman"/>
        </w:rPr>
        <w:t xml:space="preserve">that the </w:t>
      </w:r>
      <w:r w:rsidR="00861028" w:rsidRPr="00F117EB">
        <w:rPr>
          <w:rFonts w:ascii="Times New Roman" w:hAnsi="Times New Roman"/>
        </w:rPr>
        <w:t xml:space="preserve">Court </w:t>
      </w:r>
      <w:r w:rsidR="00DB75BF" w:rsidRPr="00F117EB">
        <w:rPr>
          <w:rFonts w:ascii="Times New Roman" w:hAnsi="Times New Roman"/>
        </w:rPr>
        <w:t xml:space="preserve">should decide the application for leave to appeal on the </w:t>
      </w:r>
      <w:r w:rsidR="00EE38B9" w:rsidRPr="00F117EB">
        <w:rPr>
          <w:rFonts w:ascii="Times New Roman" w:hAnsi="Times New Roman"/>
        </w:rPr>
        <w:t>"</w:t>
      </w:r>
      <w:r w:rsidR="00DB75BF" w:rsidRPr="00F117EB">
        <w:rPr>
          <w:rFonts w:ascii="Times New Roman" w:hAnsi="Times New Roman"/>
        </w:rPr>
        <w:t>basis</w:t>
      </w:r>
      <w:r w:rsidR="00EE38B9" w:rsidRPr="00F117EB">
        <w:rPr>
          <w:rFonts w:ascii="Times New Roman" w:hAnsi="Times New Roman"/>
        </w:rPr>
        <w:t>"</w:t>
      </w:r>
      <w:r w:rsidR="00DB75BF" w:rsidRPr="00F117EB">
        <w:rPr>
          <w:rFonts w:ascii="Times New Roman" w:hAnsi="Times New Roman"/>
        </w:rPr>
        <w:t xml:space="preserve"> that</w:t>
      </w:r>
      <w:r w:rsidR="00EA5EAF" w:rsidRPr="00F117EB">
        <w:rPr>
          <w:rFonts w:ascii="Times New Roman" w:hAnsi="Times New Roman"/>
        </w:rPr>
        <w:t xml:space="preserve"> </w:t>
      </w:r>
      <w:r w:rsidR="00217B06" w:rsidRPr="00F117EB">
        <w:rPr>
          <w:rFonts w:ascii="Times New Roman" w:hAnsi="Times New Roman"/>
        </w:rPr>
        <w:t>the appellant was infor</w:t>
      </w:r>
      <w:r w:rsidR="000B3536" w:rsidRPr="00F117EB">
        <w:rPr>
          <w:rFonts w:ascii="Times New Roman" w:hAnsi="Times New Roman"/>
        </w:rPr>
        <w:t>med</w:t>
      </w:r>
      <w:r w:rsidR="00EA5EAF" w:rsidRPr="00F117EB">
        <w:rPr>
          <w:rFonts w:ascii="Times New Roman" w:hAnsi="Times New Roman"/>
        </w:rPr>
        <w:t xml:space="preserve"> "transparen</w:t>
      </w:r>
      <w:r w:rsidR="000B3536" w:rsidRPr="00F117EB">
        <w:rPr>
          <w:rFonts w:ascii="Times New Roman" w:hAnsi="Times New Roman"/>
        </w:rPr>
        <w:t>tly</w:t>
      </w:r>
      <w:r w:rsidR="00EA5EAF" w:rsidRPr="00F117EB">
        <w:rPr>
          <w:rFonts w:ascii="Times New Roman" w:hAnsi="Times New Roman"/>
        </w:rPr>
        <w:t xml:space="preserve">" </w:t>
      </w:r>
      <w:r w:rsidR="009977DC" w:rsidRPr="00F117EB">
        <w:rPr>
          <w:rFonts w:ascii="Times New Roman" w:hAnsi="Times New Roman"/>
        </w:rPr>
        <w:t xml:space="preserve">about the submission that would be made </w:t>
      </w:r>
      <w:r w:rsidR="00EA5EAF" w:rsidRPr="00F117EB">
        <w:rPr>
          <w:rFonts w:ascii="Times New Roman" w:hAnsi="Times New Roman"/>
        </w:rPr>
        <w:t>and that Senior Counsel would continue to act for Mr</w:t>
      </w:r>
      <w:r w:rsidR="00026207" w:rsidRPr="00F117EB">
        <w:rPr>
          <w:rFonts w:ascii="Times New Roman" w:hAnsi="Times New Roman"/>
        </w:rPr>
        <w:t> </w:t>
      </w:r>
      <w:proofErr w:type="spellStart"/>
      <w:r w:rsidR="00EA5EAF" w:rsidRPr="00F117EB">
        <w:rPr>
          <w:rFonts w:ascii="Times New Roman" w:hAnsi="Times New Roman"/>
        </w:rPr>
        <w:t>Kanmaz</w:t>
      </w:r>
      <w:proofErr w:type="spellEnd"/>
      <w:r w:rsidR="00EA5EAF" w:rsidRPr="00F117EB">
        <w:rPr>
          <w:rFonts w:ascii="Times New Roman" w:hAnsi="Times New Roman"/>
        </w:rPr>
        <w:t xml:space="preserve"> </w:t>
      </w:r>
      <w:r w:rsidR="00920AD8" w:rsidRPr="00F117EB">
        <w:rPr>
          <w:rFonts w:ascii="Times New Roman" w:hAnsi="Times New Roman"/>
        </w:rPr>
        <w:t>only invite</w:t>
      </w:r>
      <w:r w:rsidR="006A6B6C" w:rsidRPr="00F117EB">
        <w:rPr>
          <w:rFonts w:ascii="Times New Roman" w:hAnsi="Times New Roman"/>
        </w:rPr>
        <w:t>s</w:t>
      </w:r>
      <w:r w:rsidR="00920AD8" w:rsidRPr="00F117EB">
        <w:rPr>
          <w:rFonts w:ascii="Times New Roman" w:hAnsi="Times New Roman"/>
        </w:rPr>
        <w:t xml:space="preserve"> further inquiry</w:t>
      </w:r>
      <w:r w:rsidR="00EA5EAF" w:rsidRPr="00F117EB">
        <w:rPr>
          <w:rFonts w:ascii="Times New Roman" w:hAnsi="Times New Roman"/>
        </w:rPr>
        <w:t xml:space="preserve">. </w:t>
      </w:r>
      <w:r w:rsidR="00715959" w:rsidRPr="00F117EB">
        <w:rPr>
          <w:rFonts w:ascii="Times New Roman" w:hAnsi="Times New Roman"/>
        </w:rPr>
        <w:t xml:space="preserve">If </w:t>
      </w:r>
      <w:r w:rsidR="00A04F75" w:rsidRPr="00F117EB">
        <w:rPr>
          <w:rFonts w:ascii="Times New Roman" w:hAnsi="Times New Roman"/>
        </w:rPr>
        <w:t>that</w:t>
      </w:r>
      <w:r w:rsidR="001E3116" w:rsidRPr="00F117EB">
        <w:rPr>
          <w:rFonts w:ascii="Times New Roman" w:hAnsi="Times New Roman"/>
        </w:rPr>
        <w:t xml:space="preserve"> statement</w:t>
      </w:r>
      <w:r w:rsidR="00715959" w:rsidRPr="00F117EB">
        <w:rPr>
          <w:rFonts w:ascii="Times New Roman" w:hAnsi="Times New Roman"/>
        </w:rPr>
        <w:t xml:space="preserve"> was not </w:t>
      </w:r>
      <w:r w:rsidR="001E3116" w:rsidRPr="00F117EB">
        <w:rPr>
          <w:rFonts w:ascii="Times New Roman" w:hAnsi="Times New Roman"/>
        </w:rPr>
        <w:t xml:space="preserve">intended to </w:t>
      </w:r>
      <w:r w:rsidR="00715959" w:rsidRPr="00F117EB">
        <w:rPr>
          <w:rFonts w:ascii="Times New Roman" w:hAnsi="Times New Roman"/>
        </w:rPr>
        <w:t xml:space="preserve">be treated as a concession of </w:t>
      </w:r>
      <w:proofErr w:type="gramStart"/>
      <w:r w:rsidR="00715959" w:rsidRPr="00F117EB">
        <w:rPr>
          <w:rFonts w:ascii="Times New Roman" w:hAnsi="Times New Roman"/>
        </w:rPr>
        <w:t>fact</w:t>
      </w:r>
      <w:proofErr w:type="gramEnd"/>
      <w:r w:rsidR="00715959" w:rsidRPr="00F117EB">
        <w:rPr>
          <w:rFonts w:ascii="Times New Roman" w:hAnsi="Times New Roman"/>
        </w:rPr>
        <w:t xml:space="preserve"> then </w:t>
      </w:r>
      <w:r w:rsidR="00C15CB3" w:rsidRPr="00F117EB">
        <w:rPr>
          <w:rFonts w:ascii="Times New Roman" w:hAnsi="Times New Roman"/>
        </w:rPr>
        <w:t xml:space="preserve">its status </w:t>
      </w:r>
      <w:r w:rsidR="00014E2A" w:rsidRPr="00F117EB">
        <w:rPr>
          <w:rFonts w:ascii="Times New Roman" w:hAnsi="Times New Roman"/>
        </w:rPr>
        <w:t>is</w:t>
      </w:r>
      <w:r w:rsidR="00C15CB3" w:rsidRPr="00F117EB">
        <w:rPr>
          <w:rFonts w:ascii="Times New Roman" w:hAnsi="Times New Roman"/>
        </w:rPr>
        <w:t xml:space="preserve"> unclear. If </w:t>
      </w:r>
      <w:r w:rsidR="00960B13" w:rsidRPr="00F117EB">
        <w:rPr>
          <w:rFonts w:ascii="Times New Roman" w:hAnsi="Times New Roman"/>
        </w:rPr>
        <w:t xml:space="preserve">the statement </w:t>
      </w:r>
      <w:r w:rsidR="00C15CB3" w:rsidRPr="00F117EB">
        <w:rPr>
          <w:rFonts w:ascii="Times New Roman" w:hAnsi="Times New Roman"/>
        </w:rPr>
        <w:t>was</w:t>
      </w:r>
      <w:r w:rsidR="00960B13" w:rsidRPr="00F117EB">
        <w:rPr>
          <w:rFonts w:ascii="Times New Roman" w:hAnsi="Times New Roman"/>
        </w:rPr>
        <w:t xml:space="preserve"> a concession of </w:t>
      </w:r>
      <w:proofErr w:type="gramStart"/>
      <w:r w:rsidR="00960B13" w:rsidRPr="00F117EB">
        <w:rPr>
          <w:rFonts w:ascii="Times New Roman" w:hAnsi="Times New Roman"/>
        </w:rPr>
        <w:t>fact</w:t>
      </w:r>
      <w:proofErr w:type="gramEnd"/>
      <w:r w:rsidR="00C15CB3" w:rsidRPr="00F117EB">
        <w:rPr>
          <w:rFonts w:ascii="Times New Roman" w:hAnsi="Times New Roman"/>
        </w:rPr>
        <w:t xml:space="preserve"> then</w:t>
      </w:r>
      <w:r w:rsidR="00C52F21" w:rsidRPr="00F117EB">
        <w:rPr>
          <w:rFonts w:ascii="Times New Roman" w:hAnsi="Times New Roman"/>
        </w:rPr>
        <w:t xml:space="preserve"> it</w:t>
      </w:r>
      <w:r w:rsidR="00C15CB3" w:rsidRPr="00F117EB">
        <w:rPr>
          <w:rFonts w:ascii="Times New Roman" w:hAnsi="Times New Roman"/>
        </w:rPr>
        <w:t xml:space="preserve"> </w:t>
      </w:r>
      <w:r w:rsidR="00EA5EAF" w:rsidRPr="00F117EB">
        <w:rPr>
          <w:rFonts w:ascii="Times New Roman" w:hAnsi="Times New Roman"/>
        </w:rPr>
        <w:t>suggest</w:t>
      </w:r>
      <w:r w:rsidR="00EE38B9" w:rsidRPr="00F117EB">
        <w:rPr>
          <w:rFonts w:ascii="Times New Roman" w:hAnsi="Times New Roman"/>
        </w:rPr>
        <w:t>s</w:t>
      </w:r>
      <w:r w:rsidR="00EA5EAF" w:rsidRPr="00F117EB">
        <w:rPr>
          <w:rFonts w:ascii="Times New Roman" w:hAnsi="Times New Roman"/>
        </w:rPr>
        <w:t xml:space="preserve"> that the potential to make different submissions and seek different representation was raised with the appellant.</w:t>
      </w:r>
      <w:r w:rsidR="004872D9" w:rsidRPr="00F117EB">
        <w:rPr>
          <w:rFonts w:ascii="Times New Roman" w:hAnsi="Times New Roman"/>
        </w:rPr>
        <w:t xml:space="preserve"> </w:t>
      </w:r>
      <w:r w:rsidR="00BF2446" w:rsidRPr="00F117EB">
        <w:rPr>
          <w:rFonts w:ascii="Times New Roman" w:hAnsi="Times New Roman"/>
        </w:rPr>
        <w:t xml:space="preserve">Either way </w:t>
      </w:r>
      <w:r w:rsidR="00F440BA" w:rsidRPr="00F117EB">
        <w:rPr>
          <w:rFonts w:ascii="Times New Roman" w:hAnsi="Times New Roman"/>
        </w:rPr>
        <w:t xml:space="preserve">the statement </w:t>
      </w:r>
      <w:r w:rsidR="00BF2446" w:rsidRPr="00F117EB">
        <w:rPr>
          <w:rFonts w:ascii="Times New Roman" w:hAnsi="Times New Roman"/>
        </w:rPr>
        <w:t>only highlights the paucity of the evidence adduced by the appellant and weakens the contention that Senior Counsel was placed in a position of conflict</w:t>
      </w:r>
      <w:r w:rsidR="00C567B2" w:rsidRPr="00F117EB">
        <w:rPr>
          <w:rFonts w:ascii="Times New Roman" w:hAnsi="Times New Roman"/>
        </w:rPr>
        <w:t>.</w:t>
      </w:r>
      <w:r w:rsidR="00BF2446" w:rsidRPr="00F117EB">
        <w:rPr>
          <w:rFonts w:ascii="Times New Roman" w:hAnsi="Times New Roman"/>
        </w:rPr>
        <w:t xml:space="preserve"> </w:t>
      </w:r>
    </w:p>
    <w:p w14:paraId="03DB96F0" w14:textId="4D6C4893" w:rsidR="00EA5EAF" w:rsidRPr="00F117EB" w:rsidRDefault="00534466"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The appellant contended that the conflict between Senior Counsel's duty to the appellant and his duty to Mr</w:t>
      </w:r>
      <w:r w:rsidR="00026207" w:rsidRPr="00F117EB">
        <w:rPr>
          <w:rFonts w:ascii="Times New Roman" w:hAnsi="Times New Roman"/>
        </w:rPr>
        <w:t> </w:t>
      </w:r>
      <w:proofErr w:type="spellStart"/>
      <w:r w:rsidR="00EA5EAF" w:rsidRPr="00F117EB">
        <w:rPr>
          <w:rFonts w:ascii="Times New Roman" w:hAnsi="Times New Roman"/>
        </w:rPr>
        <w:t>Kanmaz</w:t>
      </w:r>
      <w:proofErr w:type="spellEnd"/>
      <w:r w:rsidR="00EA5EAF" w:rsidRPr="00F117EB">
        <w:rPr>
          <w:rFonts w:ascii="Times New Roman" w:hAnsi="Times New Roman"/>
        </w:rPr>
        <w:t xml:space="preserve"> was overt or obvious</w:t>
      </w:r>
      <w:r w:rsidRPr="00F117EB">
        <w:rPr>
          <w:rFonts w:ascii="Times New Roman" w:hAnsi="Times New Roman"/>
        </w:rPr>
        <w:t>.</w:t>
      </w:r>
      <w:r w:rsidR="00EA5EAF" w:rsidRPr="00F117EB">
        <w:rPr>
          <w:rFonts w:ascii="Times New Roman" w:hAnsi="Times New Roman"/>
        </w:rPr>
        <w:t xml:space="preserve"> </w:t>
      </w:r>
      <w:r w:rsidR="007461AC" w:rsidRPr="00F117EB">
        <w:rPr>
          <w:rFonts w:ascii="Times New Roman" w:hAnsi="Times New Roman"/>
        </w:rPr>
        <w:t>The appellant</w:t>
      </w:r>
      <w:r w:rsidR="00EA5EAF" w:rsidRPr="00F117EB">
        <w:rPr>
          <w:rFonts w:ascii="Times New Roman" w:hAnsi="Times New Roman"/>
        </w:rPr>
        <w:t xml:space="preserve"> submitted that </w:t>
      </w:r>
      <w:r w:rsidR="00853D12" w:rsidRPr="00F117EB">
        <w:rPr>
          <w:rFonts w:ascii="Times New Roman" w:hAnsi="Times New Roman"/>
        </w:rPr>
        <w:t>an</w:t>
      </w:r>
      <w:r w:rsidR="00F92F90" w:rsidRPr="00F117EB">
        <w:rPr>
          <w:rFonts w:ascii="Times New Roman" w:hAnsi="Times New Roman"/>
        </w:rPr>
        <w:t xml:space="preserve"> </w:t>
      </w:r>
      <w:r w:rsidR="00EA5EAF" w:rsidRPr="00F117EB">
        <w:rPr>
          <w:rFonts w:ascii="Times New Roman" w:hAnsi="Times New Roman"/>
        </w:rPr>
        <w:t>obvious conflict was conclusively demonstrated by the objective record of the sentenc</w:t>
      </w:r>
      <w:r w:rsidR="003C0E8A" w:rsidRPr="00F117EB">
        <w:rPr>
          <w:rFonts w:ascii="Times New Roman" w:hAnsi="Times New Roman"/>
        </w:rPr>
        <w:t>ing</w:t>
      </w:r>
      <w:r w:rsidR="00EA5EAF" w:rsidRPr="00F117EB">
        <w:rPr>
          <w:rFonts w:ascii="Times New Roman" w:hAnsi="Times New Roman"/>
        </w:rPr>
        <w:t xml:space="preserve"> proceedings</w:t>
      </w:r>
      <w:r w:rsidR="005A34F5" w:rsidRPr="00F117EB">
        <w:rPr>
          <w:rFonts w:ascii="Times New Roman" w:hAnsi="Times New Roman"/>
        </w:rPr>
        <w:t>,</w:t>
      </w:r>
      <w:r w:rsidR="00EA5EAF" w:rsidRPr="00F117EB">
        <w:rPr>
          <w:rFonts w:ascii="Times New Roman" w:hAnsi="Times New Roman"/>
        </w:rPr>
        <w:t xml:space="preserve"> specifically Senior Counsel's appearance for both parties when the issue of </w:t>
      </w:r>
      <w:r w:rsidR="00FB0349" w:rsidRPr="00F117EB">
        <w:rPr>
          <w:rFonts w:ascii="Times New Roman" w:hAnsi="Times New Roman"/>
        </w:rPr>
        <w:t xml:space="preserve">the </w:t>
      </w:r>
      <w:r w:rsidR="006A6B6C" w:rsidRPr="00F117EB">
        <w:rPr>
          <w:rFonts w:ascii="Times New Roman" w:hAnsi="Times New Roman"/>
        </w:rPr>
        <w:t xml:space="preserve">relative </w:t>
      </w:r>
      <w:r w:rsidR="00151071" w:rsidRPr="00F117EB">
        <w:rPr>
          <w:rFonts w:ascii="Times New Roman" w:hAnsi="Times New Roman"/>
        </w:rPr>
        <w:t xml:space="preserve">objective </w:t>
      </w:r>
      <w:r w:rsidR="00FB0349" w:rsidRPr="00F117EB">
        <w:rPr>
          <w:rFonts w:ascii="Times New Roman" w:hAnsi="Times New Roman"/>
        </w:rPr>
        <w:t xml:space="preserve">seriousness of the </w:t>
      </w:r>
      <w:r w:rsidR="00D4552E" w:rsidRPr="00F117EB">
        <w:rPr>
          <w:rFonts w:ascii="Times New Roman" w:hAnsi="Times New Roman"/>
        </w:rPr>
        <w:t>appellant's and Mr Kanmaz's</w:t>
      </w:r>
      <w:r w:rsidR="00FB0349" w:rsidRPr="00F117EB">
        <w:rPr>
          <w:rFonts w:ascii="Times New Roman" w:hAnsi="Times New Roman"/>
        </w:rPr>
        <w:t xml:space="preserve"> offending</w:t>
      </w:r>
      <w:r w:rsidR="00EA5EAF" w:rsidRPr="00F117EB">
        <w:rPr>
          <w:rFonts w:ascii="Times New Roman" w:hAnsi="Times New Roman"/>
        </w:rPr>
        <w:t xml:space="preserve"> was a live one. Accordingly, it was contended that the terms of </w:t>
      </w:r>
      <w:r w:rsidR="006A14F0" w:rsidRPr="00F117EB">
        <w:rPr>
          <w:rFonts w:ascii="Times New Roman" w:hAnsi="Times New Roman"/>
        </w:rPr>
        <w:t>any advice given to</w:t>
      </w:r>
      <w:r w:rsidR="008B6256" w:rsidRPr="00F117EB">
        <w:rPr>
          <w:rFonts w:ascii="Times New Roman" w:hAnsi="Times New Roman"/>
        </w:rPr>
        <w:t xml:space="preserve">, and </w:t>
      </w:r>
      <w:r w:rsidR="00EA5EAF" w:rsidRPr="00F117EB">
        <w:rPr>
          <w:rFonts w:ascii="Times New Roman" w:hAnsi="Times New Roman"/>
        </w:rPr>
        <w:t>instructions given</w:t>
      </w:r>
      <w:r w:rsidR="008B6256" w:rsidRPr="00F117EB">
        <w:rPr>
          <w:rFonts w:ascii="Times New Roman" w:hAnsi="Times New Roman"/>
        </w:rPr>
        <w:t xml:space="preserve"> by, the appellant</w:t>
      </w:r>
      <w:r w:rsidR="00D07B41" w:rsidRPr="00F117EB">
        <w:rPr>
          <w:rFonts w:ascii="Times New Roman" w:hAnsi="Times New Roman"/>
        </w:rPr>
        <w:t xml:space="preserve"> are</w:t>
      </w:r>
      <w:r w:rsidR="00EA5EAF" w:rsidRPr="00F117EB">
        <w:rPr>
          <w:rFonts w:ascii="Times New Roman" w:hAnsi="Times New Roman"/>
        </w:rPr>
        <w:t xml:space="preserve"> irrelevant </w:t>
      </w:r>
      <w:r w:rsidR="00EA5EAF" w:rsidRPr="00F117EB">
        <w:rPr>
          <w:rFonts w:ascii="Times New Roman" w:hAnsi="Times New Roman"/>
        </w:rPr>
        <w:lastRenderedPageBreak/>
        <w:t xml:space="preserve">and that </w:t>
      </w:r>
      <w:r w:rsidR="009427D3" w:rsidRPr="00F117EB">
        <w:rPr>
          <w:rFonts w:ascii="Times New Roman" w:hAnsi="Times New Roman"/>
        </w:rPr>
        <w:t>Senior C</w:t>
      </w:r>
      <w:r w:rsidR="00EA5EAF" w:rsidRPr="00F117EB">
        <w:rPr>
          <w:rFonts w:ascii="Times New Roman" w:hAnsi="Times New Roman"/>
        </w:rPr>
        <w:t>ounsel's conflict could not have been absolved by the appellant giving "fully informed consent" to any conflict</w:t>
      </w:r>
      <w:r w:rsidR="00EF6FD3" w:rsidRPr="00F117EB">
        <w:rPr>
          <w:rFonts w:ascii="Times New Roman" w:hAnsi="Times New Roman"/>
        </w:rPr>
        <w:t>.</w:t>
      </w:r>
      <w:r w:rsidR="00EA5EAF" w:rsidRPr="00F117EB">
        <w:rPr>
          <w:rFonts w:ascii="Times New Roman" w:hAnsi="Times New Roman"/>
        </w:rPr>
        <w:t xml:space="preserve">  </w:t>
      </w:r>
    </w:p>
    <w:p w14:paraId="0C7B76E6" w14:textId="474A7AC3" w:rsidR="00374FDB" w:rsidRPr="00F117EB" w:rsidRDefault="00EF6FD3"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682D59" w:rsidRPr="00F117EB">
        <w:rPr>
          <w:rFonts w:ascii="Times New Roman" w:hAnsi="Times New Roman"/>
        </w:rPr>
        <w:t>These content</w:t>
      </w:r>
      <w:r w:rsidR="00D54480" w:rsidRPr="00F117EB">
        <w:rPr>
          <w:rFonts w:ascii="Times New Roman" w:hAnsi="Times New Roman"/>
        </w:rPr>
        <w:t>ions should not be accepted. The</w:t>
      </w:r>
      <w:r w:rsidR="002E49E5" w:rsidRPr="00F117EB">
        <w:rPr>
          <w:rFonts w:ascii="Times New Roman" w:hAnsi="Times New Roman"/>
        </w:rPr>
        <w:t xml:space="preserve"> contents of the</w:t>
      </w:r>
      <w:r w:rsidR="00EA5EAF" w:rsidRPr="00F117EB">
        <w:rPr>
          <w:rFonts w:ascii="Times New Roman" w:hAnsi="Times New Roman"/>
        </w:rPr>
        <w:t xml:space="preserve"> agreed facts, the course of the sentencing hearing</w:t>
      </w:r>
      <w:r w:rsidR="006074D7" w:rsidRPr="00F117EB">
        <w:rPr>
          <w:rFonts w:ascii="Times New Roman" w:hAnsi="Times New Roman"/>
        </w:rPr>
        <w:t>,</w:t>
      </w:r>
      <w:r w:rsidR="00EA5EAF" w:rsidRPr="00F117EB">
        <w:rPr>
          <w:rFonts w:ascii="Times New Roman" w:hAnsi="Times New Roman"/>
        </w:rPr>
        <w:t xml:space="preserve"> and the concessions made in the Court of Criminal Appeal do not reveal that at any stage during the sentencing proceedings Senior Counsel was placed in a position of conflict that was overt or obvious</w:t>
      </w:r>
      <w:r w:rsidR="00045AC1" w:rsidRPr="00F117EB">
        <w:rPr>
          <w:rFonts w:ascii="Times New Roman" w:hAnsi="Times New Roman"/>
        </w:rPr>
        <w:t>,</w:t>
      </w:r>
      <w:r w:rsidR="00EA5EAF" w:rsidRPr="00F117EB">
        <w:rPr>
          <w:rFonts w:ascii="Times New Roman" w:hAnsi="Times New Roman"/>
        </w:rPr>
        <w:t xml:space="preserve"> much less so stark or obvious as to render the advice given to and instructions received from the appellant irrelevant. </w:t>
      </w:r>
      <w:r w:rsidR="002E49E5" w:rsidRPr="00F117EB">
        <w:rPr>
          <w:rFonts w:ascii="Times New Roman" w:hAnsi="Times New Roman"/>
        </w:rPr>
        <w:t>A</w:t>
      </w:r>
      <w:r w:rsidR="00EA5EAF" w:rsidRPr="00F117EB">
        <w:rPr>
          <w:rFonts w:ascii="Times New Roman" w:hAnsi="Times New Roman"/>
        </w:rPr>
        <w:t xml:space="preserve">s the passage from </w:t>
      </w:r>
      <w:r w:rsidR="00EA5EAF" w:rsidRPr="00F117EB">
        <w:rPr>
          <w:rFonts w:ascii="Times New Roman" w:hAnsi="Times New Roman"/>
          <w:i/>
          <w:iCs/>
        </w:rPr>
        <w:t>Mills</w:t>
      </w:r>
      <w:r w:rsidR="00EA5EAF" w:rsidRPr="00F117EB">
        <w:rPr>
          <w:rFonts w:ascii="Times New Roman" w:hAnsi="Times New Roman"/>
        </w:rPr>
        <w:t xml:space="preserve"> cited above confirms,</w:t>
      </w:r>
      <w:r w:rsidR="003C07F7" w:rsidRPr="00F117EB">
        <w:rPr>
          <w:rStyle w:val="FootnoteReference"/>
          <w:rFonts w:ascii="Times New Roman" w:hAnsi="Times New Roman"/>
          <w:sz w:val="24"/>
        </w:rPr>
        <w:footnoteReference w:id="93"/>
      </w:r>
      <w:r w:rsidR="00EA5EAF" w:rsidRPr="00F117EB">
        <w:rPr>
          <w:rFonts w:ascii="Times New Roman" w:hAnsi="Times New Roman"/>
        </w:rPr>
        <w:t xml:space="preserve"> those instructions </w:t>
      </w:r>
      <w:proofErr w:type="gramStart"/>
      <w:r w:rsidR="00EA5EAF" w:rsidRPr="00F117EB">
        <w:rPr>
          <w:rFonts w:ascii="Times New Roman" w:hAnsi="Times New Roman"/>
        </w:rPr>
        <w:t>were capable of bearing</w:t>
      </w:r>
      <w:proofErr w:type="gramEnd"/>
      <w:r w:rsidR="00EA5EAF" w:rsidRPr="00F117EB">
        <w:rPr>
          <w:rFonts w:ascii="Times New Roman" w:hAnsi="Times New Roman"/>
        </w:rPr>
        <w:t xml:space="preserve"> upon whether there was a conflict and not just whether </w:t>
      </w:r>
      <w:r w:rsidR="00A54B1B" w:rsidRPr="00F117EB">
        <w:rPr>
          <w:rFonts w:ascii="Times New Roman" w:hAnsi="Times New Roman"/>
        </w:rPr>
        <w:t xml:space="preserve">the appellant provided </w:t>
      </w:r>
      <w:r w:rsidR="00EA5EAF" w:rsidRPr="00F117EB">
        <w:rPr>
          <w:rFonts w:ascii="Times New Roman" w:hAnsi="Times New Roman"/>
        </w:rPr>
        <w:t>informed consent</w:t>
      </w:r>
      <w:r w:rsidR="00A54B1B" w:rsidRPr="00F117EB">
        <w:rPr>
          <w:rFonts w:ascii="Times New Roman" w:hAnsi="Times New Roman"/>
        </w:rPr>
        <w:t>.</w:t>
      </w:r>
      <w:r w:rsidR="00EA5EAF" w:rsidRPr="00F117EB">
        <w:rPr>
          <w:rFonts w:ascii="Times New Roman" w:hAnsi="Times New Roman"/>
        </w:rPr>
        <w:t xml:space="preserve"> </w:t>
      </w:r>
      <w:r w:rsidR="00C64F95" w:rsidRPr="00F117EB">
        <w:rPr>
          <w:rFonts w:ascii="Times New Roman" w:hAnsi="Times New Roman"/>
        </w:rPr>
        <w:t xml:space="preserve">Why should the views of the client be ignored in determining where that client's interests lay? </w:t>
      </w:r>
    </w:p>
    <w:p w14:paraId="433E2A2D" w14:textId="01E4B840" w:rsidR="00854090" w:rsidRPr="00F117EB" w:rsidRDefault="00DB6312"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For example, it may have been </w:t>
      </w:r>
      <w:r w:rsidR="003C29B4" w:rsidRPr="00F117EB">
        <w:rPr>
          <w:rFonts w:ascii="Times New Roman" w:hAnsi="Times New Roman"/>
        </w:rPr>
        <w:t xml:space="preserve">the case </w:t>
      </w:r>
      <w:r w:rsidR="00EA5EAF" w:rsidRPr="00F117EB">
        <w:rPr>
          <w:rFonts w:ascii="Times New Roman" w:hAnsi="Times New Roman"/>
        </w:rPr>
        <w:t xml:space="preserve">that </w:t>
      </w:r>
      <w:r w:rsidR="0025342F" w:rsidRPr="00F117EB">
        <w:rPr>
          <w:rFonts w:ascii="Times New Roman" w:hAnsi="Times New Roman"/>
        </w:rPr>
        <w:t>Senior C</w:t>
      </w:r>
      <w:r w:rsidR="00EA5EAF" w:rsidRPr="00F117EB">
        <w:rPr>
          <w:rFonts w:ascii="Times New Roman" w:hAnsi="Times New Roman"/>
        </w:rPr>
        <w:t xml:space="preserve">ounsel advised the appellant that he should be represented separately because another </w:t>
      </w:r>
      <w:r w:rsidR="00B36BB4" w:rsidRPr="00F117EB">
        <w:rPr>
          <w:rFonts w:ascii="Times New Roman" w:hAnsi="Times New Roman"/>
        </w:rPr>
        <w:t>c</w:t>
      </w:r>
      <w:r w:rsidR="00EA5EAF" w:rsidRPr="00F117EB">
        <w:rPr>
          <w:rFonts w:ascii="Times New Roman" w:hAnsi="Times New Roman"/>
        </w:rPr>
        <w:t>ounsel might adopt th</w:t>
      </w:r>
      <w:r w:rsidR="003E47BD" w:rsidRPr="00F117EB">
        <w:rPr>
          <w:rFonts w:ascii="Times New Roman" w:hAnsi="Times New Roman"/>
        </w:rPr>
        <w:t>e</w:t>
      </w:r>
      <w:r w:rsidR="00EA5EAF" w:rsidRPr="00F117EB">
        <w:rPr>
          <w:rFonts w:ascii="Times New Roman" w:hAnsi="Times New Roman"/>
        </w:rPr>
        <w:t xml:space="preserve"> </w:t>
      </w:r>
      <w:r w:rsidR="005E3DF9" w:rsidRPr="00F117EB">
        <w:rPr>
          <w:rFonts w:ascii="Times New Roman" w:hAnsi="Times New Roman"/>
        </w:rPr>
        <w:t>Crown</w:t>
      </w:r>
      <w:r w:rsidR="00EA5EAF" w:rsidRPr="00F117EB">
        <w:rPr>
          <w:rFonts w:ascii="Times New Roman" w:hAnsi="Times New Roman"/>
        </w:rPr>
        <w:t>'s initial submission</w:t>
      </w:r>
      <w:r w:rsidR="0068149D" w:rsidRPr="00F117EB">
        <w:rPr>
          <w:rFonts w:ascii="Times New Roman" w:hAnsi="Times New Roman"/>
        </w:rPr>
        <w:t>,</w:t>
      </w:r>
      <w:r w:rsidR="00EA5EAF" w:rsidRPr="00F117EB">
        <w:rPr>
          <w:rFonts w:ascii="Times New Roman" w:hAnsi="Times New Roman"/>
        </w:rPr>
        <w:t xml:space="preserve"> </w:t>
      </w:r>
      <w:r w:rsidR="00F6772F" w:rsidRPr="00F117EB">
        <w:rPr>
          <w:rFonts w:ascii="Times New Roman" w:hAnsi="Times New Roman"/>
        </w:rPr>
        <w:t>but</w:t>
      </w:r>
      <w:r w:rsidR="00EA5EAF" w:rsidRPr="00F117EB">
        <w:rPr>
          <w:rFonts w:ascii="Times New Roman" w:hAnsi="Times New Roman"/>
        </w:rPr>
        <w:t xml:space="preserve"> the appellant </w:t>
      </w:r>
      <w:r w:rsidR="003C29B4" w:rsidRPr="00F117EB">
        <w:rPr>
          <w:rFonts w:ascii="Times New Roman" w:hAnsi="Times New Roman"/>
        </w:rPr>
        <w:t xml:space="preserve">nonetheless instructed </w:t>
      </w:r>
      <w:r w:rsidR="0025342F" w:rsidRPr="00F117EB">
        <w:rPr>
          <w:rFonts w:ascii="Times New Roman" w:hAnsi="Times New Roman"/>
        </w:rPr>
        <w:t>Senior C</w:t>
      </w:r>
      <w:r w:rsidR="00E93EA4" w:rsidRPr="00F117EB">
        <w:rPr>
          <w:rFonts w:ascii="Times New Roman" w:hAnsi="Times New Roman"/>
        </w:rPr>
        <w:t xml:space="preserve">ounsel </w:t>
      </w:r>
      <w:r w:rsidR="00EA5EAF" w:rsidRPr="00F117EB">
        <w:rPr>
          <w:rFonts w:ascii="Times New Roman" w:hAnsi="Times New Roman"/>
        </w:rPr>
        <w:t xml:space="preserve">that </w:t>
      </w:r>
      <w:r w:rsidR="003C29B4" w:rsidRPr="00F117EB">
        <w:rPr>
          <w:rFonts w:ascii="Times New Roman" w:hAnsi="Times New Roman"/>
        </w:rPr>
        <w:t xml:space="preserve">he would not </w:t>
      </w:r>
      <w:r w:rsidR="00EA5EAF" w:rsidRPr="00F117EB">
        <w:rPr>
          <w:rFonts w:ascii="Times New Roman" w:hAnsi="Times New Roman"/>
        </w:rPr>
        <w:t xml:space="preserve">under </w:t>
      </w:r>
      <w:r w:rsidR="003C29B4" w:rsidRPr="00F117EB">
        <w:rPr>
          <w:rFonts w:ascii="Times New Roman" w:hAnsi="Times New Roman"/>
        </w:rPr>
        <w:t>any</w:t>
      </w:r>
      <w:r w:rsidR="00EA5EAF" w:rsidRPr="00F117EB">
        <w:rPr>
          <w:rFonts w:ascii="Times New Roman" w:hAnsi="Times New Roman"/>
        </w:rPr>
        <w:t xml:space="preserve"> circumstances countenance a submission </w:t>
      </w:r>
      <w:r w:rsidR="00F6772F" w:rsidRPr="00F117EB">
        <w:rPr>
          <w:rFonts w:ascii="Times New Roman" w:hAnsi="Times New Roman"/>
        </w:rPr>
        <w:t xml:space="preserve">being made on his behalf </w:t>
      </w:r>
      <w:r w:rsidR="00EA5EAF" w:rsidRPr="00F117EB">
        <w:rPr>
          <w:rFonts w:ascii="Times New Roman" w:hAnsi="Times New Roman"/>
        </w:rPr>
        <w:t>that might lead to a longer sentence for Mr</w:t>
      </w:r>
      <w:r w:rsidR="00483B24" w:rsidRPr="00F117EB">
        <w:rPr>
          <w:rFonts w:ascii="Times New Roman" w:hAnsi="Times New Roman"/>
        </w:rPr>
        <w:t> </w:t>
      </w:r>
      <w:proofErr w:type="spellStart"/>
      <w:r w:rsidR="00EA5EAF" w:rsidRPr="00F117EB">
        <w:rPr>
          <w:rFonts w:ascii="Times New Roman" w:hAnsi="Times New Roman"/>
        </w:rPr>
        <w:t>Kanmaz</w:t>
      </w:r>
      <w:proofErr w:type="spellEnd"/>
      <w:r w:rsidR="00EA5EAF" w:rsidRPr="00F117EB">
        <w:rPr>
          <w:rFonts w:ascii="Times New Roman" w:hAnsi="Times New Roman"/>
        </w:rPr>
        <w:t xml:space="preserve"> than himself. The appellant may have</w:t>
      </w:r>
      <w:r w:rsidR="00EC0AC6" w:rsidRPr="00F117EB">
        <w:rPr>
          <w:rFonts w:ascii="Times New Roman" w:hAnsi="Times New Roman"/>
        </w:rPr>
        <w:t xml:space="preserve"> had</w:t>
      </w:r>
      <w:r w:rsidR="00EA5EAF" w:rsidRPr="00F117EB">
        <w:rPr>
          <w:rFonts w:ascii="Times New Roman" w:hAnsi="Times New Roman"/>
        </w:rPr>
        <w:t xml:space="preserve"> his own reasons for taking that course</w:t>
      </w:r>
      <w:r w:rsidR="00F6772F" w:rsidRPr="00F117EB">
        <w:rPr>
          <w:rFonts w:ascii="Times New Roman" w:hAnsi="Times New Roman"/>
        </w:rPr>
        <w:t xml:space="preserve">. </w:t>
      </w:r>
      <w:r w:rsidR="006D2FE2" w:rsidRPr="00F117EB">
        <w:rPr>
          <w:rFonts w:ascii="Times New Roman" w:hAnsi="Times New Roman"/>
        </w:rPr>
        <w:t xml:space="preserve">While it can be accepted that the appellant had an "interest" in securing </w:t>
      </w:r>
      <w:r w:rsidR="0024399B" w:rsidRPr="00F117EB">
        <w:rPr>
          <w:rFonts w:ascii="Times New Roman" w:hAnsi="Times New Roman"/>
        </w:rPr>
        <w:t>a</w:t>
      </w:r>
      <w:r w:rsidR="00A021F4" w:rsidRPr="00F117EB">
        <w:rPr>
          <w:rFonts w:ascii="Times New Roman" w:hAnsi="Times New Roman"/>
        </w:rPr>
        <w:t>s</w:t>
      </w:r>
      <w:r w:rsidR="0024399B" w:rsidRPr="00F117EB">
        <w:rPr>
          <w:rFonts w:ascii="Times New Roman" w:hAnsi="Times New Roman"/>
        </w:rPr>
        <w:t xml:space="preserve"> short </w:t>
      </w:r>
      <w:r w:rsidR="00A021F4" w:rsidRPr="00F117EB">
        <w:rPr>
          <w:rFonts w:ascii="Times New Roman" w:hAnsi="Times New Roman"/>
        </w:rPr>
        <w:t>a</w:t>
      </w:r>
      <w:r w:rsidR="0024399B" w:rsidRPr="00F117EB">
        <w:rPr>
          <w:rFonts w:ascii="Times New Roman" w:hAnsi="Times New Roman"/>
        </w:rPr>
        <w:t xml:space="preserve"> custodial sentence as </w:t>
      </w:r>
      <w:r w:rsidR="00E92930" w:rsidRPr="00F117EB">
        <w:rPr>
          <w:rFonts w:ascii="Times New Roman" w:hAnsi="Times New Roman"/>
        </w:rPr>
        <w:t>he could,</w:t>
      </w:r>
      <w:r w:rsidR="00355EA9" w:rsidRPr="00F117EB">
        <w:rPr>
          <w:rStyle w:val="FootnoteReference"/>
          <w:rFonts w:ascii="Times New Roman" w:hAnsi="Times New Roman"/>
          <w:sz w:val="24"/>
        </w:rPr>
        <w:footnoteReference w:id="94"/>
      </w:r>
      <w:r w:rsidR="00E92930" w:rsidRPr="00F117EB">
        <w:rPr>
          <w:rFonts w:ascii="Times New Roman" w:hAnsi="Times New Roman"/>
        </w:rPr>
        <w:t xml:space="preserve"> that is not the same as having an "interest" in securing a lesser sentence </w:t>
      </w:r>
      <w:r w:rsidR="0048193F" w:rsidRPr="00F117EB">
        <w:rPr>
          <w:rFonts w:ascii="Times New Roman" w:hAnsi="Times New Roman"/>
        </w:rPr>
        <w:t xml:space="preserve">than </w:t>
      </w:r>
      <w:r w:rsidR="00EB25C5" w:rsidRPr="00F117EB">
        <w:rPr>
          <w:rFonts w:ascii="Times New Roman" w:hAnsi="Times New Roman"/>
        </w:rPr>
        <w:t xml:space="preserve">Mr Kanmaz. </w:t>
      </w:r>
    </w:p>
    <w:p w14:paraId="4325BFB7" w14:textId="7C6073C5" w:rsidR="00EA5EAF" w:rsidRPr="00F117EB" w:rsidRDefault="00EF5588"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In </w:t>
      </w:r>
      <w:proofErr w:type="gramStart"/>
      <w:r w:rsidR="00EA5EAF" w:rsidRPr="00F117EB">
        <w:rPr>
          <w:rFonts w:ascii="Times New Roman" w:hAnsi="Times New Roman"/>
        </w:rPr>
        <w:t>the end result</w:t>
      </w:r>
      <w:proofErr w:type="gramEnd"/>
      <w:r w:rsidR="00EA5EAF" w:rsidRPr="00F117EB">
        <w:rPr>
          <w:rFonts w:ascii="Times New Roman" w:hAnsi="Times New Roman"/>
        </w:rPr>
        <w:t xml:space="preserve"> the most that can be said is that it is possible that there was a conflict</w:t>
      </w:r>
      <w:r w:rsidR="00346EAA" w:rsidRPr="00F117EB">
        <w:rPr>
          <w:rFonts w:ascii="Times New Roman" w:hAnsi="Times New Roman"/>
        </w:rPr>
        <w:t xml:space="preserve"> but </w:t>
      </w:r>
      <w:r w:rsidR="00EA5EAF" w:rsidRPr="00F117EB">
        <w:rPr>
          <w:rFonts w:ascii="Times New Roman" w:hAnsi="Times New Roman"/>
        </w:rPr>
        <w:t xml:space="preserve">without </w:t>
      </w:r>
      <w:r w:rsidR="00346EAA" w:rsidRPr="00F117EB">
        <w:rPr>
          <w:rFonts w:ascii="Times New Roman" w:hAnsi="Times New Roman"/>
        </w:rPr>
        <w:t>evidence of</w:t>
      </w:r>
      <w:r w:rsidR="00EA5EAF" w:rsidRPr="00F117EB">
        <w:rPr>
          <w:rFonts w:ascii="Times New Roman" w:hAnsi="Times New Roman"/>
        </w:rPr>
        <w:t xml:space="preserve"> what advice and instructions were given and received the analysis cannot be taken further. </w:t>
      </w:r>
    </w:p>
    <w:p w14:paraId="0BE113A9" w14:textId="5575D85F" w:rsidR="00EA5EAF" w:rsidRPr="00F117EB" w:rsidRDefault="00AF6269"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 xml:space="preserve">The appellant sought to draw on an alleged analogy with cases dealing with incompetence of counsel in </w:t>
      </w:r>
      <w:r w:rsidR="0075200D" w:rsidRPr="00F117EB">
        <w:rPr>
          <w:rFonts w:ascii="Times New Roman" w:hAnsi="Times New Roman"/>
        </w:rPr>
        <w:t xml:space="preserve">appeals against </w:t>
      </w:r>
      <w:r w:rsidR="00EA5EAF" w:rsidRPr="00F117EB">
        <w:rPr>
          <w:rFonts w:ascii="Times New Roman" w:hAnsi="Times New Roman"/>
        </w:rPr>
        <w:t xml:space="preserve">convictions to support his contention that his complaint should only be judged </w:t>
      </w:r>
      <w:r w:rsidR="00736387" w:rsidRPr="00F117EB">
        <w:rPr>
          <w:rFonts w:ascii="Times New Roman" w:hAnsi="Times New Roman"/>
        </w:rPr>
        <w:t xml:space="preserve">by reference to </w:t>
      </w:r>
      <w:r w:rsidR="00EA5EAF" w:rsidRPr="00F117EB">
        <w:rPr>
          <w:rFonts w:ascii="Times New Roman" w:hAnsi="Times New Roman"/>
        </w:rPr>
        <w:t>the objective record of the sentencing proceedings</w:t>
      </w:r>
      <w:r w:rsidR="00736387" w:rsidRPr="00F117EB">
        <w:rPr>
          <w:rFonts w:ascii="Times New Roman" w:hAnsi="Times New Roman"/>
        </w:rPr>
        <w:t>,</w:t>
      </w:r>
      <w:r w:rsidR="00EA5EAF" w:rsidRPr="00F117EB">
        <w:rPr>
          <w:rFonts w:ascii="Times New Roman" w:hAnsi="Times New Roman"/>
        </w:rPr>
        <w:t xml:space="preserve"> and without regard to what </w:t>
      </w:r>
      <w:r w:rsidR="00736387" w:rsidRPr="00F117EB">
        <w:rPr>
          <w:rFonts w:ascii="Times New Roman" w:hAnsi="Times New Roman"/>
        </w:rPr>
        <w:t xml:space="preserve">communications </w:t>
      </w:r>
      <w:r w:rsidR="00EA5EAF" w:rsidRPr="00F117EB">
        <w:rPr>
          <w:rFonts w:ascii="Times New Roman" w:hAnsi="Times New Roman"/>
        </w:rPr>
        <w:t xml:space="preserve">could have transpired between him and </w:t>
      </w:r>
      <w:r w:rsidR="00EC0AC6" w:rsidRPr="00F117EB">
        <w:rPr>
          <w:rFonts w:ascii="Times New Roman" w:hAnsi="Times New Roman"/>
        </w:rPr>
        <w:t>Senior C</w:t>
      </w:r>
      <w:r w:rsidR="00EA5EAF" w:rsidRPr="00F117EB">
        <w:rPr>
          <w:rFonts w:ascii="Times New Roman" w:hAnsi="Times New Roman"/>
        </w:rPr>
        <w:t>ounsel. However, as discussed</w:t>
      </w:r>
      <w:r w:rsidRPr="00F117EB">
        <w:rPr>
          <w:rFonts w:ascii="Times New Roman" w:hAnsi="Times New Roman"/>
        </w:rPr>
        <w:t>,</w:t>
      </w:r>
      <w:r w:rsidR="00EA5EAF" w:rsidRPr="00F117EB">
        <w:rPr>
          <w:rFonts w:ascii="Times New Roman" w:hAnsi="Times New Roman"/>
        </w:rPr>
        <w:t xml:space="preserve"> those authorities accept that knowledge of the client's instructions can be of significance</w:t>
      </w:r>
      <w:r w:rsidR="007A6A68" w:rsidRPr="00F117EB">
        <w:rPr>
          <w:rFonts w:ascii="Times New Roman" w:hAnsi="Times New Roman"/>
        </w:rPr>
        <w:t xml:space="preserve"> </w:t>
      </w:r>
      <w:r w:rsidR="00902781" w:rsidRPr="00F117EB">
        <w:rPr>
          <w:rFonts w:ascii="Times New Roman" w:hAnsi="Times New Roman"/>
        </w:rPr>
        <w:t>in</w:t>
      </w:r>
      <w:r w:rsidR="007A6A68" w:rsidRPr="00F117EB">
        <w:rPr>
          <w:rFonts w:ascii="Times New Roman" w:hAnsi="Times New Roman"/>
        </w:rPr>
        <w:t xml:space="preserve"> determining whether </w:t>
      </w:r>
      <w:r w:rsidR="005A5F67" w:rsidRPr="00F117EB">
        <w:rPr>
          <w:rFonts w:ascii="Times New Roman" w:hAnsi="Times New Roman"/>
        </w:rPr>
        <w:t>counsel's conduct</w:t>
      </w:r>
      <w:r w:rsidR="00361E42" w:rsidRPr="00F117EB">
        <w:rPr>
          <w:rFonts w:ascii="Times New Roman" w:hAnsi="Times New Roman"/>
        </w:rPr>
        <w:t xml:space="preserve"> resulted in an unfair trial</w:t>
      </w:r>
      <w:r w:rsidR="00045B32" w:rsidRPr="00F117EB">
        <w:rPr>
          <w:rFonts w:ascii="Times New Roman" w:hAnsi="Times New Roman"/>
        </w:rPr>
        <w:t>.</w:t>
      </w:r>
      <w:r w:rsidR="002D3B17" w:rsidRPr="00F117EB">
        <w:rPr>
          <w:rStyle w:val="FootnoteReference"/>
          <w:rFonts w:ascii="Times New Roman" w:hAnsi="Times New Roman"/>
          <w:sz w:val="24"/>
        </w:rPr>
        <w:footnoteReference w:id="95"/>
      </w:r>
      <w:r w:rsidR="00EA5EAF" w:rsidRPr="00F117EB">
        <w:rPr>
          <w:rFonts w:ascii="Times New Roman" w:hAnsi="Times New Roman"/>
        </w:rPr>
        <w:t xml:space="preserve"> </w:t>
      </w:r>
      <w:r w:rsidR="00045B32" w:rsidRPr="00F117EB">
        <w:rPr>
          <w:rFonts w:ascii="Times New Roman" w:hAnsi="Times New Roman"/>
        </w:rPr>
        <w:t xml:space="preserve">Moreover, </w:t>
      </w:r>
      <w:r w:rsidR="00EA5EAF" w:rsidRPr="00F117EB">
        <w:rPr>
          <w:rFonts w:ascii="Times New Roman" w:hAnsi="Times New Roman"/>
          <w:i/>
          <w:iCs/>
        </w:rPr>
        <w:lastRenderedPageBreak/>
        <w:t>Mills</w:t>
      </w:r>
      <w:r w:rsidR="00EA5EAF" w:rsidRPr="00F117EB">
        <w:rPr>
          <w:rFonts w:ascii="Times New Roman" w:hAnsi="Times New Roman"/>
        </w:rPr>
        <w:t xml:space="preserve"> confirms that </w:t>
      </w:r>
      <w:r w:rsidR="00045B32" w:rsidRPr="00F117EB">
        <w:rPr>
          <w:rFonts w:ascii="Times New Roman" w:hAnsi="Times New Roman"/>
        </w:rPr>
        <w:t xml:space="preserve">where the standard </w:t>
      </w:r>
      <w:r w:rsidR="008C5745" w:rsidRPr="00F117EB">
        <w:rPr>
          <w:rFonts w:ascii="Times New Roman" w:hAnsi="Times New Roman"/>
        </w:rPr>
        <w:t xml:space="preserve">said to be </w:t>
      </w:r>
      <w:r w:rsidR="00E328F8" w:rsidRPr="00F117EB">
        <w:rPr>
          <w:rFonts w:ascii="Times New Roman" w:hAnsi="Times New Roman"/>
        </w:rPr>
        <w:t xml:space="preserve">contravened by </w:t>
      </w:r>
      <w:r w:rsidR="003B3FE5" w:rsidRPr="00F117EB">
        <w:rPr>
          <w:rFonts w:ascii="Times New Roman" w:hAnsi="Times New Roman"/>
        </w:rPr>
        <w:t>c</w:t>
      </w:r>
      <w:r w:rsidR="00E328F8" w:rsidRPr="00F117EB">
        <w:rPr>
          <w:rFonts w:ascii="Times New Roman" w:hAnsi="Times New Roman"/>
        </w:rPr>
        <w:t>ounsel is</w:t>
      </w:r>
      <w:r w:rsidR="00E46C58" w:rsidRPr="00F117EB">
        <w:rPr>
          <w:rFonts w:ascii="Times New Roman" w:hAnsi="Times New Roman"/>
        </w:rPr>
        <w:t xml:space="preserve"> the </w:t>
      </w:r>
      <w:r w:rsidR="0053422F" w:rsidRPr="00F117EB">
        <w:rPr>
          <w:rFonts w:ascii="Times New Roman" w:hAnsi="Times New Roman"/>
        </w:rPr>
        <w:t>obligation</w:t>
      </w:r>
      <w:r w:rsidR="00E46C58" w:rsidRPr="00F117EB">
        <w:rPr>
          <w:rFonts w:ascii="Times New Roman" w:hAnsi="Times New Roman"/>
        </w:rPr>
        <w:t xml:space="preserve"> to avoid </w:t>
      </w:r>
      <w:r w:rsidR="00EA5EAF" w:rsidRPr="00F117EB">
        <w:rPr>
          <w:rFonts w:ascii="Times New Roman" w:hAnsi="Times New Roman"/>
        </w:rPr>
        <w:t>conflicting duties</w:t>
      </w:r>
      <w:r w:rsidR="004D7F0A" w:rsidRPr="00F117EB">
        <w:rPr>
          <w:rFonts w:ascii="Times New Roman" w:hAnsi="Times New Roman"/>
        </w:rPr>
        <w:t>,</w:t>
      </w:r>
      <w:r w:rsidR="00E46C58" w:rsidRPr="00F117EB">
        <w:rPr>
          <w:rFonts w:ascii="Times New Roman" w:hAnsi="Times New Roman"/>
        </w:rPr>
        <w:t xml:space="preserve"> that will almost invariabl</w:t>
      </w:r>
      <w:r w:rsidR="00F4743F" w:rsidRPr="00F117EB">
        <w:rPr>
          <w:rFonts w:ascii="Times New Roman" w:hAnsi="Times New Roman"/>
        </w:rPr>
        <w:t>y</w:t>
      </w:r>
      <w:r w:rsidR="00E46C58" w:rsidRPr="00F117EB">
        <w:rPr>
          <w:rFonts w:ascii="Times New Roman" w:hAnsi="Times New Roman"/>
        </w:rPr>
        <w:t xml:space="preserve"> necessitate </w:t>
      </w:r>
      <w:r w:rsidR="003B3FE5" w:rsidRPr="00F117EB">
        <w:rPr>
          <w:rFonts w:ascii="Times New Roman" w:hAnsi="Times New Roman"/>
        </w:rPr>
        <w:t xml:space="preserve">the </w:t>
      </w:r>
      <w:r w:rsidR="00BF0F3F" w:rsidRPr="00F117EB">
        <w:rPr>
          <w:rFonts w:ascii="Times New Roman" w:hAnsi="Times New Roman"/>
        </w:rPr>
        <w:t xml:space="preserve">court </w:t>
      </w:r>
      <w:r w:rsidR="00E46C58" w:rsidRPr="00F117EB">
        <w:rPr>
          <w:rFonts w:ascii="Times New Roman" w:hAnsi="Times New Roman"/>
        </w:rPr>
        <w:t xml:space="preserve">being apprised of the </w:t>
      </w:r>
      <w:r w:rsidR="001E6FB4" w:rsidRPr="00F117EB">
        <w:rPr>
          <w:rFonts w:ascii="Times New Roman" w:hAnsi="Times New Roman"/>
        </w:rPr>
        <w:t>client's instructions</w:t>
      </w:r>
      <w:r w:rsidR="00164745" w:rsidRPr="00F117EB">
        <w:rPr>
          <w:rFonts w:ascii="Times New Roman" w:hAnsi="Times New Roman"/>
        </w:rPr>
        <w:t>, whether by direct evidence</w:t>
      </w:r>
      <w:r w:rsidR="00884633" w:rsidRPr="00F117EB">
        <w:rPr>
          <w:rFonts w:ascii="Times New Roman" w:hAnsi="Times New Roman"/>
        </w:rPr>
        <w:t xml:space="preserve"> or by inference from what trans</w:t>
      </w:r>
      <w:r w:rsidR="008A0869" w:rsidRPr="00F117EB">
        <w:rPr>
          <w:rFonts w:ascii="Times New Roman" w:hAnsi="Times New Roman"/>
        </w:rPr>
        <w:t>pire</w:t>
      </w:r>
      <w:r w:rsidR="00B87C19" w:rsidRPr="00F117EB">
        <w:rPr>
          <w:rFonts w:ascii="Times New Roman" w:hAnsi="Times New Roman"/>
        </w:rPr>
        <w:t>d</w:t>
      </w:r>
      <w:r w:rsidR="008A0869" w:rsidRPr="00F117EB">
        <w:rPr>
          <w:rFonts w:ascii="Times New Roman" w:hAnsi="Times New Roman"/>
        </w:rPr>
        <w:t xml:space="preserve"> in </w:t>
      </w:r>
      <w:r w:rsidR="00F51006" w:rsidRPr="00F117EB">
        <w:rPr>
          <w:rFonts w:ascii="Times New Roman" w:hAnsi="Times New Roman"/>
        </w:rPr>
        <w:t>the earlier proceedings</w:t>
      </w:r>
      <w:r w:rsidR="007B08CC" w:rsidRPr="00F117EB">
        <w:rPr>
          <w:rFonts w:ascii="Times New Roman" w:hAnsi="Times New Roman"/>
        </w:rPr>
        <w:t xml:space="preserve"> </w:t>
      </w:r>
      <w:r w:rsidR="00810D03" w:rsidRPr="00F117EB">
        <w:rPr>
          <w:rFonts w:ascii="Times New Roman" w:hAnsi="Times New Roman"/>
        </w:rPr>
        <w:t>(</w:t>
      </w:r>
      <w:r w:rsidR="007B08CC" w:rsidRPr="00F117EB">
        <w:rPr>
          <w:rFonts w:ascii="Times New Roman" w:hAnsi="Times New Roman"/>
        </w:rPr>
        <w:t xml:space="preserve">as occurred in </w:t>
      </w:r>
      <w:r w:rsidR="007B08CC" w:rsidRPr="00F117EB">
        <w:rPr>
          <w:rFonts w:ascii="Times New Roman" w:hAnsi="Times New Roman"/>
          <w:i/>
          <w:iCs/>
        </w:rPr>
        <w:t>Mills</w:t>
      </w:r>
      <w:r w:rsidR="00810D03" w:rsidRPr="00F117EB">
        <w:rPr>
          <w:rFonts w:ascii="Times New Roman" w:hAnsi="Times New Roman"/>
        </w:rPr>
        <w:t>)</w:t>
      </w:r>
      <w:r w:rsidR="008A0869" w:rsidRPr="00F117EB">
        <w:rPr>
          <w:rFonts w:ascii="Times New Roman" w:hAnsi="Times New Roman"/>
        </w:rPr>
        <w:t>.</w:t>
      </w:r>
      <w:r w:rsidR="0014799E" w:rsidRPr="00F117EB">
        <w:rPr>
          <w:rStyle w:val="FootnoteReference"/>
          <w:rFonts w:ascii="Times New Roman" w:hAnsi="Times New Roman"/>
          <w:sz w:val="24"/>
        </w:rPr>
        <w:footnoteReference w:id="96"/>
      </w:r>
      <w:r w:rsidR="002438FC" w:rsidRPr="00F117EB">
        <w:rPr>
          <w:rFonts w:ascii="Times New Roman" w:hAnsi="Times New Roman"/>
        </w:rPr>
        <w:t xml:space="preserve"> </w:t>
      </w:r>
      <w:r w:rsidR="00F836D5" w:rsidRPr="00F117EB">
        <w:rPr>
          <w:rFonts w:ascii="Times New Roman" w:hAnsi="Times New Roman"/>
        </w:rPr>
        <w:t>N</w:t>
      </w:r>
      <w:r w:rsidR="00051969" w:rsidRPr="00F117EB">
        <w:rPr>
          <w:rFonts w:ascii="Times New Roman" w:hAnsi="Times New Roman"/>
        </w:rPr>
        <w:t xml:space="preserve">othing in the above analysis involves ascertaining Senior Counsel's subjective reasons for why </w:t>
      </w:r>
      <w:r w:rsidR="00E04573" w:rsidRPr="00F117EB">
        <w:rPr>
          <w:rFonts w:ascii="Times New Roman" w:hAnsi="Times New Roman"/>
        </w:rPr>
        <w:t xml:space="preserve">he </w:t>
      </w:r>
      <w:r w:rsidR="00051969" w:rsidRPr="00F117EB">
        <w:rPr>
          <w:rFonts w:ascii="Times New Roman" w:hAnsi="Times New Roman"/>
        </w:rPr>
        <w:t xml:space="preserve">acted in the way </w:t>
      </w:r>
      <w:r w:rsidR="00E04573" w:rsidRPr="00F117EB">
        <w:rPr>
          <w:rFonts w:ascii="Times New Roman" w:hAnsi="Times New Roman"/>
        </w:rPr>
        <w:t>he</w:t>
      </w:r>
      <w:r w:rsidR="00051969" w:rsidRPr="00F117EB">
        <w:rPr>
          <w:rFonts w:ascii="Times New Roman" w:hAnsi="Times New Roman"/>
        </w:rPr>
        <w:t xml:space="preserve"> did</w:t>
      </w:r>
      <w:r w:rsidR="00775773" w:rsidRPr="00F117EB">
        <w:rPr>
          <w:rFonts w:ascii="Times New Roman" w:hAnsi="Times New Roman"/>
        </w:rPr>
        <w:t>,</w:t>
      </w:r>
      <w:r w:rsidR="00051969" w:rsidRPr="00F117EB">
        <w:rPr>
          <w:rFonts w:ascii="Times New Roman" w:hAnsi="Times New Roman"/>
        </w:rPr>
        <w:t xml:space="preserve"> as opposed to identifying the </w:t>
      </w:r>
      <w:r w:rsidR="004D62C0" w:rsidRPr="00F117EB">
        <w:rPr>
          <w:rFonts w:ascii="Times New Roman" w:hAnsi="Times New Roman"/>
        </w:rPr>
        <w:t xml:space="preserve">objective </w:t>
      </w:r>
      <w:r w:rsidR="00051969" w:rsidRPr="00F117EB">
        <w:rPr>
          <w:rFonts w:ascii="Times New Roman" w:hAnsi="Times New Roman"/>
        </w:rPr>
        <w:t>circumstances that Senior Counsel confronted</w:t>
      </w:r>
      <w:r w:rsidR="00D14502" w:rsidRPr="00F117EB">
        <w:rPr>
          <w:rFonts w:ascii="Times New Roman" w:hAnsi="Times New Roman"/>
        </w:rPr>
        <w:t xml:space="preserve"> including </w:t>
      </w:r>
      <w:r w:rsidR="001A6E6E" w:rsidRPr="00F117EB">
        <w:rPr>
          <w:rFonts w:ascii="Times New Roman" w:hAnsi="Times New Roman"/>
        </w:rPr>
        <w:t>his</w:t>
      </w:r>
      <w:r w:rsidR="00D14502" w:rsidRPr="00F117EB">
        <w:rPr>
          <w:rFonts w:ascii="Times New Roman" w:hAnsi="Times New Roman"/>
        </w:rPr>
        <w:t xml:space="preserve"> instructions</w:t>
      </w:r>
      <w:r w:rsidR="00051969" w:rsidRPr="00F117EB">
        <w:rPr>
          <w:rFonts w:ascii="Times New Roman" w:hAnsi="Times New Roman"/>
        </w:rPr>
        <w:t>.</w:t>
      </w:r>
    </w:p>
    <w:p w14:paraId="54BBFB6E" w14:textId="587E51E5" w:rsidR="00EA5EAF" w:rsidRPr="00F117EB" w:rsidRDefault="00C4431B"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The appellant also contended that</w:t>
      </w:r>
      <w:r w:rsidR="00B87C19" w:rsidRPr="00F117EB">
        <w:rPr>
          <w:rFonts w:ascii="Times New Roman" w:hAnsi="Times New Roman"/>
        </w:rPr>
        <w:t>,</w:t>
      </w:r>
      <w:r w:rsidR="00EA5EAF" w:rsidRPr="00F117EB">
        <w:rPr>
          <w:rFonts w:ascii="Times New Roman" w:hAnsi="Times New Roman"/>
        </w:rPr>
        <w:t xml:space="preserve"> </w:t>
      </w:r>
      <w:r w:rsidR="00C122B9" w:rsidRPr="00F117EB">
        <w:rPr>
          <w:rFonts w:ascii="Times New Roman" w:hAnsi="Times New Roman"/>
        </w:rPr>
        <w:t xml:space="preserve">were </w:t>
      </w:r>
      <w:r w:rsidR="001C7850" w:rsidRPr="00F117EB">
        <w:rPr>
          <w:rFonts w:ascii="Times New Roman" w:hAnsi="Times New Roman"/>
        </w:rPr>
        <w:t xml:space="preserve">an </w:t>
      </w:r>
      <w:r w:rsidR="001E6FB4" w:rsidRPr="00F117EB">
        <w:rPr>
          <w:rFonts w:ascii="Times New Roman" w:hAnsi="Times New Roman"/>
        </w:rPr>
        <w:t>inquir</w:t>
      </w:r>
      <w:r w:rsidR="007A73CF" w:rsidRPr="00F117EB">
        <w:rPr>
          <w:rFonts w:ascii="Times New Roman" w:hAnsi="Times New Roman"/>
        </w:rPr>
        <w:t xml:space="preserve">y to </w:t>
      </w:r>
      <w:r w:rsidR="00C122B9" w:rsidRPr="00F117EB">
        <w:rPr>
          <w:rFonts w:ascii="Times New Roman" w:hAnsi="Times New Roman"/>
        </w:rPr>
        <w:t xml:space="preserve">extend </w:t>
      </w:r>
      <w:r w:rsidR="00EA5EAF" w:rsidRPr="00F117EB">
        <w:rPr>
          <w:rFonts w:ascii="Times New Roman" w:hAnsi="Times New Roman"/>
        </w:rPr>
        <w:t>beyond the objective record of the sentencing proceedings</w:t>
      </w:r>
      <w:r w:rsidR="00C679F1" w:rsidRPr="00F117EB">
        <w:rPr>
          <w:rFonts w:ascii="Times New Roman" w:hAnsi="Times New Roman"/>
        </w:rPr>
        <w:t>, this</w:t>
      </w:r>
      <w:r w:rsidR="00EA5EAF" w:rsidRPr="00F117EB">
        <w:rPr>
          <w:rFonts w:ascii="Times New Roman" w:hAnsi="Times New Roman"/>
        </w:rPr>
        <w:t xml:space="preserve"> would undermine the privilege that attached to his </w:t>
      </w:r>
      <w:r w:rsidR="00670DE6" w:rsidRPr="00F117EB">
        <w:rPr>
          <w:rFonts w:ascii="Times New Roman" w:hAnsi="Times New Roman"/>
        </w:rPr>
        <w:t>c</w:t>
      </w:r>
      <w:r w:rsidR="00EA5EAF" w:rsidRPr="00F117EB">
        <w:rPr>
          <w:rFonts w:ascii="Times New Roman" w:hAnsi="Times New Roman"/>
        </w:rPr>
        <w:t xml:space="preserve">ommunications with </w:t>
      </w:r>
      <w:r w:rsidR="001C7850" w:rsidRPr="00F117EB">
        <w:rPr>
          <w:rFonts w:ascii="Times New Roman" w:hAnsi="Times New Roman"/>
        </w:rPr>
        <w:t xml:space="preserve">Senior </w:t>
      </w:r>
      <w:r w:rsidR="00B63979" w:rsidRPr="00F117EB">
        <w:rPr>
          <w:rFonts w:ascii="Times New Roman" w:hAnsi="Times New Roman"/>
        </w:rPr>
        <w:t>C</w:t>
      </w:r>
      <w:r w:rsidR="00EA5EAF" w:rsidRPr="00F117EB">
        <w:rPr>
          <w:rFonts w:ascii="Times New Roman" w:hAnsi="Times New Roman"/>
        </w:rPr>
        <w:t>ounsel</w:t>
      </w:r>
      <w:r w:rsidR="004A784B" w:rsidRPr="00F117EB">
        <w:rPr>
          <w:rFonts w:ascii="Times New Roman" w:hAnsi="Times New Roman"/>
        </w:rPr>
        <w:t xml:space="preserve"> (and his solicitor)</w:t>
      </w:r>
      <w:r w:rsidR="00EA5EAF" w:rsidRPr="00F117EB">
        <w:rPr>
          <w:rFonts w:ascii="Times New Roman" w:hAnsi="Times New Roman"/>
        </w:rPr>
        <w:t xml:space="preserve">. However, </w:t>
      </w:r>
      <w:r w:rsidR="007D4029" w:rsidRPr="00F117EB">
        <w:rPr>
          <w:rFonts w:ascii="Times New Roman" w:hAnsi="Times New Roman"/>
        </w:rPr>
        <w:t xml:space="preserve">this overlooks </w:t>
      </w:r>
      <w:r w:rsidR="00DD5A73" w:rsidRPr="00F117EB">
        <w:rPr>
          <w:rFonts w:ascii="Times New Roman" w:hAnsi="Times New Roman"/>
        </w:rPr>
        <w:t xml:space="preserve">the </w:t>
      </w:r>
      <w:r w:rsidR="00F82C29" w:rsidRPr="00F117EB">
        <w:rPr>
          <w:rFonts w:ascii="Times New Roman" w:hAnsi="Times New Roman"/>
        </w:rPr>
        <w:t>fact</w:t>
      </w:r>
      <w:r w:rsidR="007D4029" w:rsidRPr="00F117EB">
        <w:rPr>
          <w:rFonts w:ascii="Times New Roman" w:hAnsi="Times New Roman"/>
        </w:rPr>
        <w:t xml:space="preserve"> that the </w:t>
      </w:r>
      <w:r w:rsidR="00F41424" w:rsidRPr="00F117EB">
        <w:rPr>
          <w:rFonts w:ascii="Times New Roman" w:hAnsi="Times New Roman"/>
        </w:rPr>
        <w:t xml:space="preserve">persuasive and evidentiary </w:t>
      </w:r>
      <w:r w:rsidR="007D4029" w:rsidRPr="00F117EB">
        <w:rPr>
          <w:rFonts w:ascii="Times New Roman" w:hAnsi="Times New Roman"/>
        </w:rPr>
        <w:t xml:space="preserve">burden of </w:t>
      </w:r>
      <w:r w:rsidR="00745DAB" w:rsidRPr="00F117EB">
        <w:rPr>
          <w:rFonts w:ascii="Times New Roman" w:hAnsi="Times New Roman"/>
        </w:rPr>
        <w:t>demonstrating specific error was his</w:t>
      </w:r>
      <w:r w:rsidR="00EF6877" w:rsidRPr="00F117EB">
        <w:rPr>
          <w:rFonts w:ascii="Times New Roman" w:hAnsi="Times New Roman"/>
        </w:rPr>
        <w:t>.</w:t>
      </w:r>
      <w:r w:rsidR="00573FC9" w:rsidRPr="00F117EB">
        <w:rPr>
          <w:rStyle w:val="FootnoteReference"/>
          <w:rFonts w:ascii="Times New Roman" w:hAnsi="Times New Roman"/>
          <w:sz w:val="24"/>
        </w:rPr>
        <w:footnoteReference w:id="97"/>
      </w:r>
      <w:r w:rsidR="00EF6877" w:rsidRPr="00F117EB">
        <w:rPr>
          <w:rFonts w:ascii="Times New Roman" w:hAnsi="Times New Roman"/>
        </w:rPr>
        <w:t xml:space="preserve"> I</w:t>
      </w:r>
      <w:r w:rsidR="00745DAB" w:rsidRPr="00F117EB">
        <w:rPr>
          <w:rFonts w:ascii="Times New Roman" w:hAnsi="Times New Roman"/>
        </w:rPr>
        <w:t xml:space="preserve">n any event, </w:t>
      </w:r>
      <w:r w:rsidR="00614818" w:rsidRPr="00F117EB">
        <w:rPr>
          <w:rFonts w:ascii="Times New Roman" w:hAnsi="Times New Roman"/>
        </w:rPr>
        <w:t>in the Court of Criminal Appeal there was no relevant priv</w:t>
      </w:r>
      <w:r w:rsidR="00DF777F" w:rsidRPr="00F117EB">
        <w:rPr>
          <w:rFonts w:ascii="Times New Roman" w:hAnsi="Times New Roman"/>
        </w:rPr>
        <w:t>i</w:t>
      </w:r>
      <w:r w:rsidR="00614818" w:rsidRPr="00F117EB">
        <w:rPr>
          <w:rFonts w:ascii="Times New Roman" w:hAnsi="Times New Roman"/>
        </w:rPr>
        <w:t xml:space="preserve">lege </w:t>
      </w:r>
      <w:r w:rsidR="00EA5EAF" w:rsidRPr="00F117EB">
        <w:rPr>
          <w:rFonts w:ascii="Times New Roman" w:hAnsi="Times New Roman"/>
        </w:rPr>
        <w:t>to undermine</w:t>
      </w:r>
      <w:r w:rsidR="00614818" w:rsidRPr="00F117EB">
        <w:rPr>
          <w:rFonts w:ascii="Times New Roman" w:hAnsi="Times New Roman"/>
        </w:rPr>
        <w:t xml:space="preserve">. </w:t>
      </w:r>
      <w:r w:rsidR="00161F93" w:rsidRPr="00F117EB">
        <w:rPr>
          <w:rFonts w:ascii="Times New Roman" w:hAnsi="Times New Roman"/>
        </w:rPr>
        <w:t xml:space="preserve">As has been explained, </w:t>
      </w:r>
      <w:r w:rsidR="00163444" w:rsidRPr="00F117EB">
        <w:rPr>
          <w:rFonts w:ascii="Times New Roman" w:hAnsi="Times New Roman"/>
        </w:rPr>
        <w:t xml:space="preserve">contrary to the appellant's submissions </w:t>
      </w:r>
      <w:r w:rsidR="00161F93" w:rsidRPr="00F117EB">
        <w:rPr>
          <w:rFonts w:ascii="Times New Roman" w:hAnsi="Times New Roman"/>
        </w:rPr>
        <w:t xml:space="preserve">the </w:t>
      </w:r>
      <w:r w:rsidR="00163444" w:rsidRPr="00F117EB">
        <w:rPr>
          <w:rFonts w:ascii="Times New Roman" w:hAnsi="Times New Roman"/>
        </w:rPr>
        <w:t xml:space="preserve">communications between the appellant, Senior Counsel and </w:t>
      </w:r>
      <w:r w:rsidR="00AE2D15" w:rsidRPr="00F117EB">
        <w:rPr>
          <w:rFonts w:ascii="Times New Roman" w:hAnsi="Times New Roman"/>
        </w:rPr>
        <w:t xml:space="preserve">the </w:t>
      </w:r>
      <w:r w:rsidR="00163444" w:rsidRPr="00F117EB">
        <w:rPr>
          <w:rFonts w:ascii="Times New Roman" w:hAnsi="Times New Roman"/>
        </w:rPr>
        <w:t xml:space="preserve">instructing solicitor were relevant to an assessment of his claim that Senior Counsel was </w:t>
      </w:r>
      <w:r w:rsidR="00251B7A" w:rsidRPr="00F117EB">
        <w:rPr>
          <w:rFonts w:ascii="Times New Roman" w:hAnsi="Times New Roman"/>
        </w:rPr>
        <w:t xml:space="preserve">in a position of conflict. </w:t>
      </w:r>
      <w:r w:rsidR="005E49AC" w:rsidRPr="00F117EB">
        <w:rPr>
          <w:rFonts w:ascii="Times New Roman" w:hAnsi="Times New Roman"/>
        </w:rPr>
        <w:t xml:space="preserve">Given that, </w:t>
      </w:r>
      <w:r w:rsidR="004B5206" w:rsidRPr="00F117EB">
        <w:rPr>
          <w:rFonts w:ascii="Times New Roman" w:hAnsi="Times New Roman"/>
        </w:rPr>
        <w:t>the</w:t>
      </w:r>
      <w:r w:rsidR="00EA5EAF" w:rsidRPr="00F117EB">
        <w:rPr>
          <w:rFonts w:ascii="Times New Roman" w:hAnsi="Times New Roman"/>
        </w:rPr>
        <w:t xml:space="preserve"> appellant's </w:t>
      </w:r>
      <w:r w:rsidR="00614818" w:rsidRPr="00F117EB">
        <w:rPr>
          <w:rFonts w:ascii="Times New Roman" w:hAnsi="Times New Roman"/>
        </w:rPr>
        <w:t xml:space="preserve">conduct </w:t>
      </w:r>
      <w:r w:rsidR="000755FD" w:rsidRPr="00F117EB">
        <w:rPr>
          <w:rFonts w:ascii="Times New Roman" w:hAnsi="Times New Roman"/>
        </w:rPr>
        <w:t xml:space="preserve">in </w:t>
      </w:r>
      <w:r w:rsidR="00614818" w:rsidRPr="00F117EB">
        <w:rPr>
          <w:rFonts w:ascii="Times New Roman" w:hAnsi="Times New Roman"/>
        </w:rPr>
        <w:t xml:space="preserve">seeking </w:t>
      </w:r>
      <w:r w:rsidR="00EA5EAF" w:rsidRPr="00F117EB">
        <w:rPr>
          <w:rFonts w:ascii="Times New Roman" w:hAnsi="Times New Roman"/>
        </w:rPr>
        <w:t xml:space="preserve">to maintain a claim of privilege over communications </w:t>
      </w:r>
      <w:r w:rsidR="00006EDD" w:rsidRPr="00F117EB">
        <w:rPr>
          <w:rFonts w:ascii="Times New Roman" w:hAnsi="Times New Roman"/>
        </w:rPr>
        <w:t xml:space="preserve">that </w:t>
      </w:r>
      <w:r w:rsidR="005B091D" w:rsidRPr="00F117EB">
        <w:rPr>
          <w:rFonts w:ascii="Times New Roman" w:hAnsi="Times New Roman"/>
        </w:rPr>
        <w:t xml:space="preserve">bore upon </w:t>
      </w:r>
      <w:r w:rsidR="00CF1C5E" w:rsidRPr="00F117EB">
        <w:rPr>
          <w:rFonts w:ascii="Times New Roman" w:hAnsi="Times New Roman"/>
        </w:rPr>
        <w:t xml:space="preserve">the matters the </w:t>
      </w:r>
      <w:r w:rsidR="00EA5EAF" w:rsidRPr="00F117EB">
        <w:rPr>
          <w:rFonts w:ascii="Times New Roman" w:hAnsi="Times New Roman"/>
        </w:rPr>
        <w:t>subject</w:t>
      </w:r>
      <w:r w:rsidR="005E49AC" w:rsidRPr="00F117EB">
        <w:rPr>
          <w:rFonts w:ascii="Times New Roman" w:hAnsi="Times New Roman"/>
        </w:rPr>
        <w:t xml:space="preserve"> </w:t>
      </w:r>
      <w:r w:rsidR="0010536A" w:rsidRPr="00F117EB">
        <w:rPr>
          <w:rFonts w:ascii="Times New Roman" w:hAnsi="Times New Roman"/>
        </w:rPr>
        <w:t xml:space="preserve">of </w:t>
      </w:r>
      <w:r w:rsidR="00EA5EAF" w:rsidRPr="00F117EB">
        <w:rPr>
          <w:rFonts w:ascii="Times New Roman" w:hAnsi="Times New Roman"/>
        </w:rPr>
        <w:t xml:space="preserve">his </w:t>
      </w:r>
      <w:r w:rsidR="00F9492A" w:rsidRPr="00F117EB">
        <w:rPr>
          <w:rFonts w:ascii="Times New Roman" w:hAnsi="Times New Roman"/>
        </w:rPr>
        <w:t xml:space="preserve">application for leave to appeal </w:t>
      </w:r>
      <w:r w:rsidR="00EA5EAF" w:rsidRPr="00F117EB">
        <w:rPr>
          <w:rFonts w:ascii="Times New Roman" w:hAnsi="Times New Roman"/>
        </w:rPr>
        <w:t xml:space="preserve">was </w:t>
      </w:r>
      <w:r w:rsidR="00D65699" w:rsidRPr="00F117EB">
        <w:rPr>
          <w:rFonts w:ascii="Times New Roman" w:hAnsi="Times New Roman"/>
        </w:rPr>
        <w:t xml:space="preserve">necessarily </w:t>
      </w:r>
      <w:r w:rsidR="00EA5EAF" w:rsidRPr="00F117EB">
        <w:rPr>
          <w:rFonts w:ascii="Times New Roman" w:hAnsi="Times New Roman"/>
        </w:rPr>
        <w:t xml:space="preserve">inconsistent with the assertions </w:t>
      </w:r>
      <w:r w:rsidR="004C032A" w:rsidRPr="00F117EB">
        <w:rPr>
          <w:rFonts w:ascii="Times New Roman" w:hAnsi="Times New Roman"/>
        </w:rPr>
        <w:t>made</w:t>
      </w:r>
      <w:r w:rsidR="00EA5EAF" w:rsidRPr="00F117EB">
        <w:rPr>
          <w:rFonts w:ascii="Times New Roman" w:hAnsi="Times New Roman"/>
        </w:rPr>
        <w:t xml:space="preserve"> in his notice of appeal and submissions </w:t>
      </w:r>
      <w:r w:rsidR="008B2FC3" w:rsidRPr="00F117EB">
        <w:rPr>
          <w:rFonts w:ascii="Times New Roman" w:hAnsi="Times New Roman"/>
        </w:rPr>
        <w:t xml:space="preserve">contending </w:t>
      </w:r>
      <w:r w:rsidR="00EA5EAF" w:rsidRPr="00F117EB">
        <w:rPr>
          <w:rFonts w:ascii="Times New Roman" w:hAnsi="Times New Roman"/>
        </w:rPr>
        <w:t xml:space="preserve">that </w:t>
      </w:r>
      <w:r w:rsidR="00E0517B" w:rsidRPr="00F117EB">
        <w:rPr>
          <w:rFonts w:ascii="Times New Roman" w:hAnsi="Times New Roman"/>
        </w:rPr>
        <w:t>Senior C</w:t>
      </w:r>
      <w:r w:rsidR="00EA5EAF" w:rsidRPr="00F117EB">
        <w:rPr>
          <w:rFonts w:ascii="Times New Roman" w:hAnsi="Times New Roman"/>
        </w:rPr>
        <w:t xml:space="preserve">ounsel </w:t>
      </w:r>
      <w:r w:rsidR="00D65699" w:rsidRPr="00F117EB">
        <w:rPr>
          <w:rFonts w:ascii="Times New Roman" w:hAnsi="Times New Roman"/>
        </w:rPr>
        <w:t>was in a position of conflict</w:t>
      </w:r>
      <w:r w:rsidR="00EA5EAF" w:rsidRPr="00F117EB">
        <w:rPr>
          <w:rFonts w:ascii="Times New Roman" w:hAnsi="Times New Roman"/>
        </w:rPr>
        <w:t>.</w:t>
      </w:r>
      <w:r w:rsidR="008A0A8D" w:rsidRPr="00F117EB">
        <w:rPr>
          <w:rStyle w:val="FootnoteReference"/>
          <w:rFonts w:ascii="Times New Roman" w:hAnsi="Times New Roman"/>
          <w:sz w:val="24"/>
        </w:rPr>
        <w:footnoteReference w:id="98"/>
      </w:r>
      <w:r w:rsidR="00EA5EAF" w:rsidRPr="00F117EB">
        <w:rPr>
          <w:rFonts w:ascii="Times New Roman" w:hAnsi="Times New Roman"/>
        </w:rPr>
        <w:t xml:space="preserve"> Further</w:t>
      </w:r>
      <w:r w:rsidR="008A0A8D" w:rsidRPr="00F117EB">
        <w:rPr>
          <w:rFonts w:ascii="Times New Roman" w:hAnsi="Times New Roman"/>
        </w:rPr>
        <w:t>,</w:t>
      </w:r>
      <w:r w:rsidR="00EA5EAF" w:rsidRPr="00F117EB">
        <w:rPr>
          <w:rFonts w:ascii="Times New Roman" w:hAnsi="Times New Roman"/>
        </w:rPr>
        <w:t xml:space="preserve"> the concessions made on behalf of the appellant to the Court of Criminal Appeal concerning the effect of advice </w:t>
      </w:r>
      <w:r w:rsidR="00F566A0" w:rsidRPr="00F117EB">
        <w:rPr>
          <w:rFonts w:ascii="Times New Roman" w:hAnsi="Times New Roman"/>
        </w:rPr>
        <w:t>given by Senior Counsel</w:t>
      </w:r>
      <w:r w:rsidR="00EA5EAF" w:rsidRPr="00F117EB">
        <w:rPr>
          <w:rFonts w:ascii="Times New Roman" w:hAnsi="Times New Roman"/>
        </w:rPr>
        <w:t xml:space="preserve"> and the </w:t>
      </w:r>
      <w:r w:rsidR="005B6506" w:rsidRPr="00F117EB">
        <w:rPr>
          <w:rFonts w:ascii="Times New Roman" w:hAnsi="Times New Roman"/>
        </w:rPr>
        <w:t>appellant's</w:t>
      </w:r>
      <w:r w:rsidR="00EA5EAF" w:rsidRPr="00F117EB">
        <w:rPr>
          <w:rFonts w:ascii="Times New Roman" w:hAnsi="Times New Roman"/>
        </w:rPr>
        <w:t xml:space="preserve"> </w:t>
      </w:r>
      <w:r w:rsidR="005A5447" w:rsidRPr="00F117EB">
        <w:rPr>
          <w:rFonts w:ascii="Times New Roman" w:hAnsi="Times New Roman"/>
        </w:rPr>
        <w:t xml:space="preserve">instructions </w:t>
      </w:r>
      <w:r w:rsidR="00EA5EAF" w:rsidRPr="00F117EB">
        <w:rPr>
          <w:rFonts w:ascii="Times New Roman" w:hAnsi="Times New Roman"/>
        </w:rPr>
        <w:t>most likely effected a waiver over the contents of th</w:t>
      </w:r>
      <w:r w:rsidR="006605B5" w:rsidRPr="00F117EB">
        <w:rPr>
          <w:rFonts w:ascii="Times New Roman" w:hAnsi="Times New Roman"/>
        </w:rPr>
        <w:t>e</w:t>
      </w:r>
      <w:r w:rsidR="00EA5EAF" w:rsidRPr="00F117EB">
        <w:rPr>
          <w:rFonts w:ascii="Times New Roman" w:hAnsi="Times New Roman"/>
        </w:rPr>
        <w:t xml:space="preserve"> communications referable to that advice and</w:t>
      </w:r>
      <w:r w:rsidR="00760A27" w:rsidRPr="00F117EB">
        <w:rPr>
          <w:rFonts w:ascii="Times New Roman" w:hAnsi="Times New Roman"/>
        </w:rPr>
        <w:t xml:space="preserve"> those</w:t>
      </w:r>
      <w:r w:rsidR="00EA5EAF" w:rsidRPr="00F117EB">
        <w:rPr>
          <w:rFonts w:ascii="Times New Roman" w:hAnsi="Times New Roman"/>
        </w:rPr>
        <w:t xml:space="preserve"> </w:t>
      </w:r>
      <w:r w:rsidR="007D44AF" w:rsidRPr="00F117EB">
        <w:rPr>
          <w:rFonts w:ascii="Times New Roman" w:hAnsi="Times New Roman"/>
        </w:rPr>
        <w:t>instructions</w:t>
      </w:r>
      <w:r w:rsidR="00EA5EAF" w:rsidRPr="00F117EB">
        <w:rPr>
          <w:rFonts w:ascii="Times New Roman" w:hAnsi="Times New Roman"/>
        </w:rPr>
        <w:t>.</w:t>
      </w:r>
      <w:r w:rsidR="00AE154D" w:rsidRPr="00F117EB">
        <w:rPr>
          <w:rStyle w:val="FootnoteReference"/>
          <w:rFonts w:ascii="Times New Roman" w:hAnsi="Times New Roman"/>
          <w:sz w:val="24"/>
        </w:rPr>
        <w:footnoteReference w:id="99"/>
      </w:r>
      <w:r w:rsidR="00EA5EAF" w:rsidRPr="00F117EB">
        <w:rPr>
          <w:rFonts w:ascii="Times New Roman" w:hAnsi="Times New Roman"/>
        </w:rPr>
        <w:t xml:space="preserve"> </w:t>
      </w:r>
    </w:p>
    <w:p w14:paraId="6829D22C" w14:textId="0DD04DA1" w:rsidR="00EA5EAF" w:rsidRPr="00F117EB" w:rsidRDefault="00AE154D" w:rsidP="00F117EB">
      <w:pPr>
        <w:pStyle w:val="FixListStyle"/>
        <w:spacing w:after="260" w:line="280" w:lineRule="exact"/>
        <w:ind w:right="0"/>
        <w:jc w:val="both"/>
        <w:rPr>
          <w:rFonts w:ascii="Times New Roman" w:hAnsi="Times New Roman"/>
        </w:rPr>
      </w:pPr>
      <w:r w:rsidRPr="00F117EB">
        <w:rPr>
          <w:rFonts w:ascii="Times New Roman" w:hAnsi="Times New Roman"/>
        </w:rPr>
        <w:lastRenderedPageBreak/>
        <w:tab/>
      </w:r>
      <w:r w:rsidR="006A5E6C" w:rsidRPr="00F117EB">
        <w:rPr>
          <w:rFonts w:ascii="Times New Roman" w:hAnsi="Times New Roman"/>
        </w:rPr>
        <w:t>Ultimately</w:t>
      </w:r>
      <w:r w:rsidR="00C24508" w:rsidRPr="00F117EB">
        <w:rPr>
          <w:rFonts w:ascii="Times New Roman" w:hAnsi="Times New Roman"/>
        </w:rPr>
        <w:t>, t</w:t>
      </w:r>
      <w:r w:rsidR="006605B5" w:rsidRPr="00F117EB">
        <w:rPr>
          <w:rFonts w:ascii="Times New Roman" w:hAnsi="Times New Roman"/>
        </w:rPr>
        <w:t>o</w:t>
      </w:r>
      <w:r w:rsidR="00EA5EAF" w:rsidRPr="00F117EB">
        <w:rPr>
          <w:rFonts w:ascii="Times New Roman" w:hAnsi="Times New Roman"/>
        </w:rPr>
        <w:t xml:space="preserve"> demonstrate </w:t>
      </w:r>
      <w:r w:rsidR="00A479FE" w:rsidRPr="00F117EB">
        <w:rPr>
          <w:rFonts w:ascii="Times New Roman" w:hAnsi="Times New Roman"/>
        </w:rPr>
        <w:t>the</w:t>
      </w:r>
      <w:r w:rsidR="00EA5EAF" w:rsidRPr="00F117EB">
        <w:rPr>
          <w:rFonts w:ascii="Times New Roman" w:hAnsi="Times New Roman"/>
        </w:rPr>
        <w:t xml:space="preserve"> error or procedural irregularity</w:t>
      </w:r>
      <w:r w:rsidR="00A479FE" w:rsidRPr="00F117EB">
        <w:rPr>
          <w:rFonts w:ascii="Times New Roman" w:hAnsi="Times New Roman"/>
        </w:rPr>
        <w:t xml:space="preserve"> </w:t>
      </w:r>
      <w:r w:rsidR="001E6F8D" w:rsidRPr="00F117EB">
        <w:rPr>
          <w:rFonts w:ascii="Times New Roman" w:hAnsi="Times New Roman"/>
        </w:rPr>
        <w:t xml:space="preserve">for which </w:t>
      </w:r>
      <w:r w:rsidR="00A479FE" w:rsidRPr="00F117EB">
        <w:rPr>
          <w:rFonts w:ascii="Times New Roman" w:hAnsi="Times New Roman"/>
        </w:rPr>
        <w:t>he contended,</w:t>
      </w:r>
      <w:r w:rsidR="00EA5EAF" w:rsidRPr="00F117EB">
        <w:rPr>
          <w:rFonts w:ascii="Times New Roman" w:hAnsi="Times New Roman"/>
        </w:rPr>
        <w:t xml:space="preserve"> the appellant had to show he suffered a practical injustice in that</w:t>
      </w:r>
      <w:r w:rsidR="00A479FE" w:rsidRPr="00F117EB">
        <w:rPr>
          <w:rFonts w:ascii="Times New Roman" w:hAnsi="Times New Roman"/>
        </w:rPr>
        <w:t>,</w:t>
      </w:r>
      <w:r w:rsidR="00EA5EAF" w:rsidRPr="00F117EB">
        <w:rPr>
          <w:rFonts w:ascii="Times New Roman" w:hAnsi="Times New Roman"/>
        </w:rPr>
        <w:t xml:space="preserve"> by reason of an actual conflict or </w:t>
      </w:r>
      <w:r w:rsidR="00B53545" w:rsidRPr="00F117EB">
        <w:rPr>
          <w:rFonts w:ascii="Times New Roman" w:hAnsi="Times New Roman"/>
        </w:rPr>
        <w:t>a</w:t>
      </w:r>
      <w:r w:rsidR="004B5206" w:rsidRPr="00F117EB">
        <w:rPr>
          <w:rFonts w:ascii="Times New Roman" w:hAnsi="Times New Roman"/>
        </w:rPr>
        <w:t xml:space="preserve"> </w:t>
      </w:r>
      <w:r w:rsidR="00EA5EAF" w:rsidRPr="00F117EB">
        <w:rPr>
          <w:rFonts w:ascii="Times New Roman" w:hAnsi="Times New Roman"/>
        </w:rPr>
        <w:t>rea</w:t>
      </w:r>
      <w:r w:rsidR="00B53545" w:rsidRPr="00F117EB">
        <w:rPr>
          <w:rFonts w:ascii="Times New Roman" w:hAnsi="Times New Roman"/>
        </w:rPr>
        <w:t>l or substantial</w:t>
      </w:r>
      <w:r w:rsidR="00EA5EAF" w:rsidRPr="00F117EB">
        <w:rPr>
          <w:rFonts w:ascii="Times New Roman" w:hAnsi="Times New Roman"/>
        </w:rPr>
        <w:t xml:space="preserve"> possibility of such a conflict </w:t>
      </w:r>
      <w:r w:rsidR="006605B5" w:rsidRPr="00F117EB">
        <w:rPr>
          <w:rFonts w:ascii="Times New Roman" w:hAnsi="Times New Roman"/>
        </w:rPr>
        <w:t>on the part of Senior Counsel</w:t>
      </w:r>
      <w:r w:rsidR="00A479FE" w:rsidRPr="00F117EB">
        <w:rPr>
          <w:rFonts w:ascii="Times New Roman" w:hAnsi="Times New Roman"/>
        </w:rPr>
        <w:t xml:space="preserve">, </w:t>
      </w:r>
      <w:r w:rsidR="004B5206" w:rsidRPr="00F117EB">
        <w:rPr>
          <w:rFonts w:ascii="Times New Roman" w:hAnsi="Times New Roman"/>
        </w:rPr>
        <w:t>he</w:t>
      </w:r>
      <w:r w:rsidR="00EA5EAF" w:rsidRPr="00F117EB">
        <w:rPr>
          <w:rFonts w:ascii="Times New Roman" w:hAnsi="Times New Roman"/>
        </w:rPr>
        <w:t xml:space="preserve"> was effectively denied a reasonable opportunity to put his case </w:t>
      </w:r>
      <w:r w:rsidR="007F7AC5" w:rsidRPr="00F117EB">
        <w:rPr>
          <w:rFonts w:ascii="Times New Roman" w:hAnsi="Times New Roman"/>
        </w:rPr>
        <w:t>in mitigation</w:t>
      </w:r>
      <w:r w:rsidR="00EA5EAF" w:rsidRPr="00F117EB">
        <w:rPr>
          <w:rFonts w:ascii="Times New Roman" w:hAnsi="Times New Roman"/>
        </w:rPr>
        <w:t xml:space="preserve">. </w:t>
      </w:r>
      <w:r w:rsidR="00982314" w:rsidRPr="00F117EB">
        <w:rPr>
          <w:rFonts w:ascii="Times New Roman" w:hAnsi="Times New Roman"/>
        </w:rPr>
        <w:t>A</w:t>
      </w:r>
      <w:r w:rsidR="00EA5EAF" w:rsidRPr="00F117EB">
        <w:rPr>
          <w:rFonts w:ascii="Times New Roman" w:hAnsi="Times New Roman"/>
        </w:rPr>
        <w:t xml:space="preserve"> conclusion t</w:t>
      </w:r>
      <w:r w:rsidR="00982314" w:rsidRPr="00F117EB">
        <w:rPr>
          <w:rFonts w:ascii="Times New Roman" w:hAnsi="Times New Roman"/>
        </w:rPr>
        <w:t>o this effect</w:t>
      </w:r>
      <w:r w:rsidR="00EA5EAF" w:rsidRPr="00F117EB">
        <w:rPr>
          <w:rFonts w:ascii="Times New Roman" w:hAnsi="Times New Roman"/>
        </w:rPr>
        <w:t xml:space="preserve"> could not be reached </w:t>
      </w:r>
      <w:r w:rsidR="00330733" w:rsidRPr="00F117EB">
        <w:rPr>
          <w:rFonts w:ascii="Times New Roman" w:hAnsi="Times New Roman"/>
        </w:rPr>
        <w:t xml:space="preserve">in this case </w:t>
      </w:r>
      <w:r w:rsidR="00EA5EAF" w:rsidRPr="00F117EB">
        <w:rPr>
          <w:rFonts w:ascii="Times New Roman" w:hAnsi="Times New Roman"/>
        </w:rPr>
        <w:t>without evidence of the advice given to the appellant and the instructions received from him. The concessions that were made in the Court of Criminal Appeal weakened the suggestion of a rea</w:t>
      </w:r>
      <w:r w:rsidR="00697F09" w:rsidRPr="00F117EB">
        <w:rPr>
          <w:rFonts w:ascii="Times New Roman" w:hAnsi="Times New Roman"/>
        </w:rPr>
        <w:t>l or substantial</w:t>
      </w:r>
      <w:r w:rsidR="00EA5EAF" w:rsidRPr="00F117EB">
        <w:rPr>
          <w:rFonts w:ascii="Times New Roman" w:hAnsi="Times New Roman"/>
        </w:rPr>
        <w:t xml:space="preserve"> possibility of conflict. The evidence was </w:t>
      </w:r>
      <w:r w:rsidR="008973A5" w:rsidRPr="00F117EB">
        <w:rPr>
          <w:rFonts w:ascii="Times New Roman" w:hAnsi="Times New Roman"/>
        </w:rPr>
        <w:t xml:space="preserve">otherwise </w:t>
      </w:r>
      <w:r w:rsidR="00EA5EAF" w:rsidRPr="00F117EB">
        <w:rPr>
          <w:rFonts w:ascii="Times New Roman" w:hAnsi="Times New Roman"/>
        </w:rPr>
        <w:t xml:space="preserve">silent as </w:t>
      </w:r>
      <w:r w:rsidR="000276BF" w:rsidRPr="00F117EB">
        <w:rPr>
          <w:rFonts w:ascii="Times New Roman" w:hAnsi="Times New Roman"/>
        </w:rPr>
        <w:t xml:space="preserve">to </w:t>
      </w:r>
      <w:r w:rsidR="00EA5EAF" w:rsidRPr="00F117EB">
        <w:rPr>
          <w:rFonts w:ascii="Times New Roman" w:hAnsi="Times New Roman"/>
        </w:rPr>
        <w:t>the balance of what transpired between the appellant</w:t>
      </w:r>
      <w:r w:rsidR="00A127D4" w:rsidRPr="00F117EB">
        <w:rPr>
          <w:rFonts w:ascii="Times New Roman" w:hAnsi="Times New Roman"/>
        </w:rPr>
        <w:t xml:space="preserve">, </w:t>
      </w:r>
      <w:r w:rsidR="00B2302A" w:rsidRPr="00F117EB">
        <w:rPr>
          <w:rFonts w:ascii="Times New Roman" w:hAnsi="Times New Roman"/>
        </w:rPr>
        <w:t>Senior Counsel and the instructing solicitor</w:t>
      </w:r>
      <w:r w:rsidR="00EA5EAF" w:rsidRPr="00F117EB">
        <w:rPr>
          <w:rFonts w:ascii="Times New Roman" w:hAnsi="Times New Roman"/>
        </w:rPr>
        <w:t xml:space="preserve">. While the </w:t>
      </w:r>
      <w:r w:rsidR="005E3DF9" w:rsidRPr="00F117EB">
        <w:rPr>
          <w:rFonts w:ascii="Times New Roman" w:hAnsi="Times New Roman"/>
        </w:rPr>
        <w:t>Crown</w:t>
      </w:r>
      <w:r w:rsidR="00EA5EAF" w:rsidRPr="00F117EB">
        <w:rPr>
          <w:rFonts w:ascii="Times New Roman" w:hAnsi="Times New Roman"/>
        </w:rPr>
        <w:t xml:space="preserve"> did not press the appellant on </w:t>
      </w:r>
      <w:r w:rsidR="00155F1B" w:rsidRPr="00F117EB">
        <w:rPr>
          <w:rFonts w:ascii="Times New Roman" w:hAnsi="Times New Roman"/>
        </w:rPr>
        <w:t>his assertion of</w:t>
      </w:r>
      <w:r w:rsidR="00EA5EAF" w:rsidRPr="00F117EB">
        <w:rPr>
          <w:rFonts w:ascii="Times New Roman" w:hAnsi="Times New Roman"/>
        </w:rPr>
        <w:t xml:space="preserve"> privilege in the Court of Criminal Appeal, it was</w:t>
      </w:r>
      <w:r w:rsidR="00E07C09" w:rsidRPr="00F117EB">
        <w:rPr>
          <w:rFonts w:ascii="Times New Roman" w:hAnsi="Times New Roman"/>
        </w:rPr>
        <w:t>, as noted,</w:t>
      </w:r>
      <w:r w:rsidR="00EA5EAF" w:rsidRPr="00F117EB">
        <w:rPr>
          <w:rFonts w:ascii="Times New Roman" w:hAnsi="Times New Roman"/>
        </w:rPr>
        <w:t xml:space="preserve"> the appellant who bore the burden of demonstrating error.</w:t>
      </w:r>
      <w:r w:rsidR="000276BF" w:rsidRPr="00F117EB">
        <w:rPr>
          <w:rStyle w:val="FootnoteReference"/>
          <w:rFonts w:ascii="Times New Roman" w:hAnsi="Times New Roman"/>
          <w:sz w:val="24"/>
        </w:rPr>
        <w:footnoteReference w:id="100"/>
      </w:r>
      <w:r w:rsidR="00EA5EAF" w:rsidRPr="00F117EB">
        <w:rPr>
          <w:rFonts w:ascii="Times New Roman" w:hAnsi="Times New Roman"/>
        </w:rPr>
        <w:t xml:space="preserve"> He did not discharge that burden.  </w:t>
      </w:r>
    </w:p>
    <w:p w14:paraId="2770CDA8" w14:textId="03EA1088" w:rsidR="00EA5EAF" w:rsidRPr="00F117EB" w:rsidRDefault="000276BF"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It follows that the appellant</w:t>
      </w:r>
      <w:r w:rsidR="00073DC8" w:rsidRPr="00F117EB">
        <w:rPr>
          <w:rFonts w:ascii="Times New Roman" w:hAnsi="Times New Roman"/>
        </w:rPr>
        <w:t>'</w:t>
      </w:r>
      <w:r w:rsidR="00EA5EAF" w:rsidRPr="00F117EB">
        <w:rPr>
          <w:rFonts w:ascii="Times New Roman" w:hAnsi="Times New Roman"/>
        </w:rPr>
        <w:t xml:space="preserve">s appeal </w:t>
      </w:r>
      <w:r w:rsidR="00FB5EE6" w:rsidRPr="00F117EB">
        <w:rPr>
          <w:rFonts w:ascii="Times New Roman" w:hAnsi="Times New Roman"/>
        </w:rPr>
        <w:t xml:space="preserve">must be </w:t>
      </w:r>
      <w:r w:rsidR="00B621A2" w:rsidRPr="00F117EB">
        <w:rPr>
          <w:rFonts w:ascii="Times New Roman" w:hAnsi="Times New Roman"/>
        </w:rPr>
        <w:t>dismissed</w:t>
      </w:r>
      <w:r w:rsidR="00EA5EAF" w:rsidRPr="00F117EB">
        <w:rPr>
          <w:rFonts w:ascii="Times New Roman" w:hAnsi="Times New Roman"/>
        </w:rPr>
        <w:t>.</w:t>
      </w:r>
    </w:p>
    <w:p w14:paraId="71F94EFA" w14:textId="2F326DF1" w:rsidR="00EA5EAF" w:rsidRPr="00F117EB" w:rsidRDefault="00EA5EAF" w:rsidP="00F117EB">
      <w:pPr>
        <w:pStyle w:val="HeadingL1"/>
        <w:spacing w:after="260" w:line="280" w:lineRule="exact"/>
        <w:ind w:right="0"/>
        <w:jc w:val="both"/>
        <w:rPr>
          <w:rFonts w:ascii="Times New Roman" w:hAnsi="Times New Roman"/>
        </w:rPr>
      </w:pPr>
      <w:r w:rsidRPr="00F117EB">
        <w:rPr>
          <w:rFonts w:ascii="Times New Roman" w:hAnsi="Times New Roman"/>
        </w:rPr>
        <w:t xml:space="preserve">Power </w:t>
      </w:r>
      <w:r w:rsidR="00FF6EBB" w:rsidRPr="00F117EB">
        <w:rPr>
          <w:rFonts w:ascii="Times New Roman" w:hAnsi="Times New Roman"/>
        </w:rPr>
        <w:t>to</w:t>
      </w:r>
      <w:r w:rsidRPr="00F117EB">
        <w:rPr>
          <w:rFonts w:ascii="Times New Roman" w:hAnsi="Times New Roman"/>
        </w:rPr>
        <w:t xml:space="preserve"> </w:t>
      </w:r>
      <w:r w:rsidR="00C80451" w:rsidRPr="00F117EB">
        <w:rPr>
          <w:rFonts w:ascii="Times New Roman" w:hAnsi="Times New Roman"/>
        </w:rPr>
        <w:t xml:space="preserve">remit </w:t>
      </w:r>
      <w:r w:rsidR="00FF6EBB" w:rsidRPr="00F117EB">
        <w:rPr>
          <w:rFonts w:ascii="Times New Roman" w:hAnsi="Times New Roman"/>
        </w:rPr>
        <w:t>for resentencing</w:t>
      </w:r>
      <w:r w:rsidR="00C52367" w:rsidRPr="00F117EB">
        <w:rPr>
          <w:rFonts w:ascii="Times New Roman" w:hAnsi="Times New Roman"/>
        </w:rPr>
        <w:t>?</w:t>
      </w:r>
    </w:p>
    <w:p w14:paraId="3624FF27" w14:textId="5E17ED5B" w:rsidR="00EA5EAF" w:rsidRPr="00F117EB" w:rsidRDefault="00C616FF"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FF6EBB" w:rsidRPr="00F117EB">
        <w:rPr>
          <w:rFonts w:ascii="Times New Roman" w:hAnsi="Times New Roman"/>
        </w:rPr>
        <w:t xml:space="preserve">Section 12(2) of the </w:t>
      </w:r>
      <w:r w:rsidR="00FF6EBB" w:rsidRPr="00F117EB">
        <w:rPr>
          <w:rFonts w:ascii="Times New Roman" w:hAnsi="Times New Roman"/>
          <w:i/>
        </w:rPr>
        <w:t xml:space="preserve">Criminal Appeal Act </w:t>
      </w:r>
      <w:r w:rsidR="00A71916" w:rsidRPr="00F117EB">
        <w:rPr>
          <w:rFonts w:ascii="Times New Roman" w:hAnsi="Times New Roman"/>
        </w:rPr>
        <w:t xml:space="preserve">provides that the </w:t>
      </w:r>
      <w:r w:rsidR="00435DBB" w:rsidRPr="00F117EB">
        <w:rPr>
          <w:rFonts w:ascii="Times New Roman" w:hAnsi="Times New Roman"/>
        </w:rPr>
        <w:t>"Court of Criminal Appeal</w:t>
      </w:r>
      <w:r w:rsidR="00240FD8" w:rsidRPr="00F117EB">
        <w:rPr>
          <w:rFonts w:ascii="Times New Roman" w:hAnsi="Times New Roman"/>
        </w:rPr>
        <w:t xml:space="preserve"> may remit a matter or issue to a court of trial for determination and may, in doing so, give any directions subj</w:t>
      </w:r>
      <w:r w:rsidR="00AD0B8C" w:rsidRPr="00F117EB">
        <w:rPr>
          <w:rFonts w:ascii="Times New Roman" w:hAnsi="Times New Roman"/>
        </w:rPr>
        <w:t>ect to which the determination is to be made"</w:t>
      </w:r>
      <w:r w:rsidR="001521A1" w:rsidRPr="00F117EB">
        <w:rPr>
          <w:rFonts w:ascii="Times New Roman" w:hAnsi="Times New Roman"/>
        </w:rPr>
        <w:t>.</w:t>
      </w:r>
    </w:p>
    <w:p w14:paraId="0874449A" w14:textId="09C93542" w:rsidR="00AD0B8C" w:rsidRPr="00F117EB" w:rsidRDefault="00C616FF"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FB0EE8" w:rsidRPr="00F117EB">
        <w:rPr>
          <w:rFonts w:ascii="Times New Roman" w:hAnsi="Times New Roman"/>
        </w:rPr>
        <w:t>The context and origin</w:t>
      </w:r>
      <w:r w:rsidR="002432E1" w:rsidRPr="00F117EB">
        <w:rPr>
          <w:rFonts w:ascii="Times New Roman" w:hAnsi="Times New Roman"/>
        </w:rPr>
        <w:t xml:space="preserve"> of this provision was </w:t>
      </w:r>
      <w:r w:rsidR="00664014" w:rsidRPr="00F117EB">
        <w:rPr>
          <w:rFonts w:ascii="Times New Roman" w:hAnsi="Times New Roman"/>
        </w:rPr>
        <w:t xml:space="preserve">explained </w:t>
      </w:r>
      <w:r w:rsidR="00FB0EE8" w:rsidRPr="00F117EB">
        <w:rPr>
          <w:rFonts w:ascii="Times New Roman" w:hAnsi="Times New Roman"/>
        </w:rPr>
        <w:t xml:space="preserve">in </w:t>
      </w:r>
      <w:r w:rsidR="00FB0EE8" w:rsidRPr="00F117EB">
        <w:rPr>
          <w:rFonts w:ascii="Times New Roman" w:hAnsi="Times New Roman"/>
          <w:i/>
          <w:iCs/>
        </w:rPr>
        <w:t>Betts</w:t>
      </w:r>
      <w:r w:rsidR="00FB0EE8" w:rsidRPr="00F117EB">
        <w:rPr>
          <w:rFonts w:ascii="Times New Roman" w:hAnsi="Times New Roman"/>
        </w:rPr>
        <w:t>.</w:t>
      </w:r>
      <w:r w:rsidR="00FB0EE8" w:rsidRPr="00F117EB">
        <w:rPr>
          <w:rStyle w:val="FootnoteReference"/>
          <w:rFonts w:ascii="Times New Roman" w:hAnsi="Times New Roman"/>
          <w:sz w:val="24"/>
        </w:rPr>
        <w:footnoteReference w:id="101"/>
      </w:r>
      <w:r w:rsidR="00FB0EE8" w:rsidRPr="00F117EB">
        <w:rPr>
          <w:rFonts w:ascii="Times New Roman" w:hAnsi="Times New Roman"/>
        </w:rPr>
        <w:t xml:space="preserve"> </w:t>
      </w:r>
      <w:r w:rsidR="000157E4" w:rsidRPr="00F117EB">
        <w:rPr>
          <w:rFonts w:ascii="Times New Roman" w:hAnsi="Times New Roman"/>
        </w:rPr>
        <w:t>The Court noted th</w:t>
      </w:r>
      <w:r w:rsidR="000B692F" w:rsidRPr="00F117EB">
        <w:rPr>
          <w:rFonts w:ascii="Times New Roman" w:hAnsi="Times New Roman"/>
        </w:rPr>
        <w:t xml:space="preserve">e decision of the Court of Criminal Appeal in </w:t>
      </w:r>
      <w:r w:rsidR="002E1D30" w:rsidRPr="00F117EB">
        <w:rPr>
          <w:rFonts w:ascii="Times New Roman" w:hAnsi="Times New Roman"/>
          <w:i/>
          <w:iCs/>
        </w:rPr>
        <w:t>O'Neil-Shaw v The Queen</w:t>
      </w:r>
      <w:r w:rsidR="00C80451" w:rsidRPr="00F117EB">
        <w:rPr>
          <w:rFonts w:ascii="Times New Roman" w:hAnsi="Times New Roman"/>
        </w:rPr>
        <w:t>,</w:t>
      </w:r>
      <w:r w:rsidR="00ED3251" w:rsidRPr="00F117EB">
        <w:rPr>
          <w:rStyle w:val="FootnoteReference"/>
          <w:rFonts w:ascii="Times New Roman" w:hAnsi="Times New Roman"/>
          <w:sz w:val="24"/>
        </w:rPr>
        <w:footnoteReference w:id="102"/>
      </w:r>
      <w:r w:rsidR="00A5298F" w:rsidRPr="00F117EB">
        <w:rPr>
          <w:rFonts w:ascii="Times New Roman" w:hAnsi="Times New Roman"/>
        </w:rPr>
        <w:t xml:space="preserve"> </w:t>
      </w:r>
      <w:r w:rsidR="00114D18" w:rsidRPr="00F117EB">
        <w:rPr>
          <w:rFonts w:ascii="Times New Roman" w:hAnsi="Times New Roman"/>
        </w:rPr>
        <w:t>where</w:t>
      </w:r>
      <w:r w:rsidR="00C52367" w:rsidRPr="00F117EB">
        <w:rPr>
          <w:rFonts w:ascii="Times New Roman" w:hAnsi="Times New Roman"/>
        </w:rPr>
        <w:t>,</w:t>
      </w:r>
      <w:r w:rsidR="00A5298F" w:rsidRPr="00F117EB">
        <w:rPr>
          <w:rFonts w:ascii="Times New Roman" w:hAnsi="Times New Roman"/>
        </w:rPr>
        <w:t xml:space="preserve"> </w:t>
      </w:r>
      <w:r w:rsidR="005F167D" w:rsidRPr="00F117EB">
        <w:rPr>
          <w:rFonts w:ascii="Times New Roman" w:hAnsi="Times New Roman"/>
        </w:rPr>
        <w:t xml:space="preserve">following </w:t>
      </w:r>
      <w:r w:rsidR="00274FC2" w:rsidRPr="00F117EB">
        <w:rPr>
          <w:rFonts w:ascii="Times New Roman" w:hAnsi="Times New Roman"/>
        </w:rPr>
        <w:t xml:space="preserve">a finding </w:t>
      </w:r>
      <w:r w:rsidR="00795FBE" w:rsidRPr="00F117EB">
        <w:rPr>
          <w:rFonts w:ascii="Times New Roman" w:hAnsi="Times New Roman"/>
        </w:rPr>
        <w:t xml:space="preserve">that the exercise of the sentencing discretion at first instance </w:t>
      </w:r>
      <w:r w:rsidR="00521621" w:rsidRPr="00F117EB">
        <w:rPr>
          <w:rFonts w:ascii="Times New Roman" w:hAnsi="Times New Roman"/>
        </w:rPr>
        <w:t>was affected by a denial of procedural fairness</w:t>
      </w:r>
      <w:r w:rsidR="000608FD" w:rsidRPr="00F117EB">
        <w:rPr>
          <w:rFonts w:ascii="Times New Roman" w:hAnsi="Times New Roman"/>
        </w:rPr>
        <w:t>,</w:t>
      </w:r>
      <w:r w:rsidR="00795FBE" w:rsidRPr="00F117EB">
        <w:rPr>
          <w:rStyle w:val="FootnoteReference"/>
          <w:rFonts w:ascii="Times New Roman" w:hAnsi="Times New Roman"/>
          <w:sz w:val="24"/>
        </w:rPr>
        <w:footnoteReference w:id="103"/>
      </w:r>
      <w:r w:rsidR="000608FD" w:rsidRPr="00F117EB">
        <w:rPr>
          <w:rFonts w:ascii="Times New Roman" w:hAnsi="Times New Roman"/>
        </w:rPr>
        <w:t xml:space="preserve"> the </w:t>
      </w:r>
      <w:r w:rsidR="004D4471" w:rsidRPr="00F117EB">
        <w:rPr>
          <w:rFonts w:ascii="Times New Roman" w:hAnsi="Times New Roman"/>
        </w:rPr>
        <w:t>C</w:t>
      </w:r>
      <w:r w:rsidR="000608FD" w:rsidRPr="00F117EB">
        <w:rPr>
          <w:rFonts w:ascii="Times New Roman" w:hAnsi="Times New Roman"/>
        </w:rPr>
        <w:t>ourt</w:t>
      </w:r>
      <w:r w:rsidR="00983CE5" w:rsidRPr="00F117EB">
        <w:rPr>
          <w:rFonts w:ascii="Times New Roman" w:hAnsi="Times New Roman"/>
        </w:rPr>
        <w:t xml:space="preserve"> of Criminal Appeal</w:t>
      </w:r>
      <w:r w:rsidR="000608FD" w:rsidRPr="00F117EB">
        <w:rPr>
          <w:rFonts w:ascii="Times New Roman" w:hAnsi="Times New Roman"/>
        </w:rPr>
        <w:t xml:space="preserve"> </w:t>
      </w:r>
      <w:r w:rsidR="00171F5A" w:rsidRPr="00F117EB">
        <w:rPr>
          <w:rFonts w:ascii="Times New Roman" w:hAnsi="Times New Roman"/>
        </w:rPr>
        <w:t>conclu</w:t>
      </w:r>
      <w:r w:rsidR="00FA7CF5" w:rsidRPr="00F117EB">
        <w:rPr>
          <w:rFonts w:ascii="Times New Roman" w:hAnsi="Times New Roman"/>
        </w:rPr>
        <w:t xml:space="preserve">ded that it was not in a position to </w:t>
      </w:r>
      <w:r w:rsidR="003A7C6D" w:rsidRPr="00F117EB">
        <w:rPr>
          <w:rFonts w:ascii="Times New Roman" w:hAnsi="Times New Roman"/>
        </w:rPr>
        <w:t>sentence the appellant but</w:t>
      </w:r>
      <w:r w:rsidR="00D95C24" w:rsidRPr="00F117EB">
        <w:rPr>
          <w:rFonts w:ascii="Times New Roman" w:hAnsi="Times New Roman"/>
        </w:rPr>
        <w:t xml:space="preserve"> instead quashed the sentence and </w:t>
      </w:r>
      <w:r w:rsidR="005A5B6A" w:rsidRPr="00F117EB">
        <w:rPr>
          <w:rFonts w:ascii="Times New Roman" w:hAnsi="Times New Roman"/>
        </w:rPr>
        <w:t>remitted the matter for "retrial" pursuant to s 12(2)</w:t>
      </w:r>
      <w:r w:rsidR="00D40FB1" w:rsidRPr="00F117EB">
        <w:rPr>
          <w:rFonts w:ascii="Times New Roman" w:hAnsi="Times New Roman"/>
        </w:rPr>
        <w:t>.</w:t>
      </w:r>
      <w:r w:rsidR="00D40FB1" w:rsidRPr="00F117EB">
        <w:rPr>
          <w:rStyle w:val="FootnoteReference"/>
          <w:rFonts w:ascii="Times New Roman" w:hAnsi="Times New Roman"/>
          <w:sz w:val="24"/>
        </w:rPr>
        <w:footnoteReference w:id="104"/>
      </w:r>
      <w:r w:rsidR="00D40FB1" w:rsidRPr="00F117EB">
        <w:rPr>
          <w:rFonts w:ascii="Times New Roman" w:hAnsi="Times New Roman"/>
        </w:rPr>
        <w:t xml:space="preserve"> In </w:t>
      </w:r>
      <w:r w:rsidR="00D40FB1" w:rsidRPr="00F117EB">
        <w:rPr>
          <w:rFonts w:ascii="Times New Roman" w:hAnsi="Times New Roman"/>
          <w:i/>
          <w:iCs/>
        </w:rPr>
        <w:t>Betts</w:t>
      </w:r>
      <w:r w:rsidR="00D40FB1" w:rsidRPr="00F117EB">
        <w:rPr>
          <w:rFonts w:ascii="Times New Roman" w:hAnsi="Times New Roman"/>
        </w:rPr>
        <w:t xml:space="preserve"> </w:t>
      </w:r>
      <w:r w:rsidR="003603CB" w:rsidRPr="00F117EB">
        <w:rPr>
          <w:rFonts w:ascii="Times New Roman" w:hAnsi="Times New Roman"/>
        </w:rPr>
        <w:t>th</w:t>
      </w:r>
      <w:r w:rsidR="007812A6" w:rsidRPr="00F117EB">
        <w:rPr>
          <w:rFonts w:ascii="Times New Roman" w:hAnsi="Times New Roman"/>
        </w:rPr>
        <w:t xml:space="preserve">is Court accepted the </w:t>
      </w:r>
      <w:r w:rsidR="00555BB1" w:rsidRPr="00F117EB">
        <w:rPr>
          <w:rFonts w:ascii="Times New Roman" w:hAnsi="Times New Roman"/>
        </w:rPr>
        <w:t>utility of th</w:t>
      </w:r>
      <w:r w:rsidR="002A4F56" w:rsidRPr="00F117EB">
        <w:rPr>
          <w:rFonts w:ascii="Times New Roman" w:hAnsi="Times New Roman"/>
        </w:rPr>
        <w:t>at</w:t>
      </w:r>
      <w:r w:rsidR="00555BB1" w:rsidRPr="00F117EB">
        <w:rPr>
          <w:rFonts w:ascii="Times New Roman" w:hAnsi="Times New Roman"/>
        </w:rPr>
        <w:t xml:space="preserve"> course</w:t>
      </w:r>
      <w:r w:rsidR="008935E7" w:rsidRPr="00F117EB">
        <w:rPr>
          <w:rFonts w:ascii="Times New Roman" w:hAnsi="Times New Roman"/>
        </w:rPr>
        <w:t xml:space="preserve"> but did not decide </w:t>
      </w:r>
      <w:r w:rsidR="002C5009" w:rsidRPr="00F117EB">
        <w:rPr>
          <w:rFonts w:ascii="Times New Roman" w:hAnsi="Times New Roman"/>
        </w:rPr>
        <w:t xml:space="preserve">whether </w:t>
      </w:r>
      <w:r w:rsidR="00BC274A" w:rsidRPr="00F117EB">
        <w:rPr>
          <w:rFonts w:ascii="Times New Roman" w:hAnsi="Times New Roman"/>
        </w:rPr>
        <w:t>it</w:t>
      </w:r>
      <w:r w:rsidR="001B5798" w:rsidRPr="00F117EB">
        <w:rPr>
          <w:rFonts w:ascii="Times New Roman" w:hAnsi="Times New Roman"/>
        </w:rPr>
        <w:t xml:space="preserve"> was available</w:t>
      </w:r>
      <w:r w:rsidR="000411AD" w:rsidRPr="00F117EB">
        <w:rPr>
          <w:rFonts w:ascii="Times New Roman" w:hAnsi="Times New Roman"/>
        </w:rPr>
        <w:t xml:space="preserve"> under the </w:t>
      </w:r>
      <w:r w:rsidR="000411AD" w:rsidRPr="00F117EB">
        <w:rPr>
          <w:rFonts w:ascii="Times New Roman" w:hAnsi="Times New Roman"/>
          <w:i/>
          <w:iCs/>
        </w:rPr>
        <w:t>Criminal Appeal Act</w:t>
      </w:r>
      <w:r w:rsidR="001B5798" w:rsidRPr="00F117EB">
        <w:rPr>
          <w:rFonts w:ascii="Times New Roman" w:hAnsi="Times New Roman"/>
        </w:rPr>
        <w:t>.</w:t>
      </w:r>
      <w:r w:rsidR="00585EA7" w:rsidRPr="00F117EB">
        <w:rPr>
          <w:rFonts w:ascii="Times New Roman" w:hAnsi="Times New Roman"/>
        </w:rPr>
        <w:t xml:space="preserve"> </w:t>
      </w:r>
      <w:r w:rsidR="00113C94" w:rsidRPr="00F117EB">
        <w:rPr>
          <w:rFonts w:ascii="Times New Roman" w:hAnsi="Times New Roman"/>
        </w:rPr>
        <w:t>The Court observed that "</w:t>
      </w:r>
      <w:r w:rsidR="00A015B1" w:rsidRPr="00F117EB">
        <w:rPr>
          <w:rFonts w:ascii="Times New Roman" w:hAnsi="Times New Roman"/>
        </w:rPr>
        <w:t>[</w:t>
      </w:r>
      <w:proofErr w:type="spellStart"/>
      <w:r w:rsidR="00A015B1" w:rsidRPr="00F117EB">
        <w:rPr>
          <w:rFonts w:ascii="Times New Roman" w:hAnsi="Times New Roman"/>
        </w:rPr>
        <w:t>i</w:t>
      </w:r>
      <w:proofErr w:type="spellEnd"/>
      <w:r w:rsidR="00A015B1" w:rsidRPr="00F117EB">
        <w:rPr>
          <w:rFonts w:ascii="Times New Roman" w:hAnsi="Times New Roman"/>
        </w:rPr>
        <w:t xml:space="preserve">]t might be a </w:t>
      </w:r>
      <w:r w:rsidR="00A015B1" w:rsidRPr="00F117EB">
        <w:rPr>
          <w:rFonts w:ascii="Times New Roman" w:hAnsi="Times New Roman"/>
        </w:rPr>
        <w:lastRenderedPageBreak/>
        <w:t>matter for consideration by the le</w:t>
      </w:r>
      <w:r w:rsidR="00F5516B" w:rsidRPr="00F117EB">
        <w:rPr>
          <w:rFonts w:ascii="Times New Roman" w:hAnsi="Times New Roman"/>
        </w:rPr>
        <w:t>gislature".</w:t>
      </w:r>
      <w:r w:rsidR="00F5516B" w:rsidRPr="00F117EB">
        <w:rPr>
          <w:rStyle w:val="FootnoteReference"/>
          <w:rFonts w:ascii="Times New Roman" w:hAnsi="Times New Roman"/>
          <w:sz w:val="24"/>
        </w:rPr>
        <w:footnoteReference w:id="105"/>
      </w:r>
      <w:r w:rsidR="00F5516B" w:rsidRPr="00F117EB">
        <w:rPr>
          <w:rFonts w:ascii="Times New Roman" w:hAnsi="Times New Roman"/>
        </w:rPr>
        <w:t xml:space="preserve"> </w:t>
      </w:r>
      <w:r w:rsidR="00796925" w:rsidRPr="00F117EB">
        <w:rPr>
          <w:rFonts w:ascii="Times New Roman" w:hAnsi="Times New Roman"/>
        </w:rPr>
        <w:t>Many jurisdictions have</w:t>
      </w:r>
      <w:r w:rsidR="00584D67" w:rsidRPr="00F117EB">
        <w:rPr>
          <w:rFonts w:ascii="Times New Roman" w:hAnsi="Times New Roman"/>
        </w:rPr>
        <w:t xml:space="preserve"> legislated to make that power of remittal available </w:t>
      </w:r>
      <w:r w:rsidR="00A97E0C" w:rsidRPr="00F117EB">
        <w:rPr>
          <w:rFonts w:ascii="Times New Roman" w:hAnsi="Times New Roman"/>
        </w:rPr>
        <w:t xml:space="preserve">to </w:t>
      </w:r>
      <w:r w:rsidR="009E442B" w:rsidRPr="00F117EB">
        <w:rPr>
          <w:rFonts w:ascii="Times New Roman" w:hAnsi="Times New Roman"/>
        </w:rPr>
        <w:t>an</w:t>
      </w:r>
      <w:r w:rsidR="00A97E0C" w:rsidRPr="00F117EB">
        <w:rPr>
          <w:rFonts w:ascii="Times New Roman" w:hAnsi="Times New Roman"/>
        </w:rPr>
        <w:t xml:space="preserve"> appellate court</w:t>
      </w:r>
      <w:r w:rsidR="00584D67" w:rsidRPr="00F117EB">
        <w:rPr>
          <w:rFonts w:ascii="Times New Roman" w:hAnsi="Times New Roman"/>
        </w:rPr>
        <w:t xml:space="preserve"> in circumstances</w:t>
      </w:r>
      <w:r w:rsidR="006E5E0C" w:rsidRPr="00F117EB">
        <w:rPr>
          <w:rFonts w:ascii="Times New Roman" w:hAnsi="Times New Roman"/>
        </w:rPr>
        <w:t xml:space="preserve"> where a sentence is quashed</w:t>
      </w:r>
      <w:r w:rsidR="00584D67" w:rsidRPr="00F117EB">
        <w:rPr>
          <w:rFonts w:ascii="Times New Roman" w:hAnsi="Times New Roman"/>
        </w:rPr>
        <w:t>.</w:t>
      </w:r>
      <w:r w:rsidR="00584D67" w:rsidRPr="00F117EB">
        <w:rPr>
          <w:rStyle w:val="FootnoteReference"/>
          <w:rFonts w:ascii="Times New Roman" w:hAnsi="Times New Roman"/>
          <w:sz w:val="24"/>
        </w:rPr>
        <w:footnoteReference w:id="106"/>
      </w:r>
      <w:r w:rsidR="00584D67" w:rsidRPr="00F117EB">
        <w:rPr>
          <w:rFonts w:ascii="Times New Roman" w:hAnsi="Times New Roman"/>
        </w:rPr>
        <w:t xml:space="preserve"> </w:t>
      </w:r>
      <w:r w:rsidR="00AF78FA" w:rsidRPr="00F117EB">
        <w:rPr>
          <w:rFonts w:ascii="Times New Roman" w:hAnsi="Times New Roman"/>
        </w:rPr>
        <w:t xml:space="preserve">To date </w:t>
      </w:r>
      <w:r w:rsidR="00584D67" w:rsidRPr="00F117EB">
        <w:rPr>
          <w:rFonts w:ascii="Times New Roman" w:hAnsi="Times New Roman"/>
        </w:rPr>
        <w:t>New South Wales has not.</w:t>
      </w:r>
    </w:p>
    <w:p w14:paraId="4D726971" w14:textId="33695705" w:rsidR="003D598F" w:rsidRPr="00F117EB" w:rsidRDefault="00A00D2B"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5476FC" w:rsidRPr="00F117EB">
        <w:rPr>
          <w:rFonts w:ascii="Times New Roman" w:hAnsi="Times New Roman"/>
        </w:rPr>
        <w:t xml:space="preserve">As was the case in </w:t>
      </w:r>
      <w:r w:rsidR="005476FC" w:rsidRPr="00F117EB">
        <w:rPr>
          <w:rFonts w:ascii="Times New Roman" w:hAnsi="Times New Roman"/>
          <w:i/>
          <w:iCs/>
        </w:rPr>
        <w:t>Betts</w:t>
      </w:r>
      <w:r w:rsidR="003470FE" w:rsidRPr="00F117EB">
        <w:rPr>
          <w:rFonts w:ascii="Times New Roman" w:hAnsi="Times New Roman"/>
        </w:rPr>
        <w:t>,</w:t>
      </w:r>
      <w:r w:rsidR="005476FC" w:rsidRPr="00F117EB">
        <w:rPr>
          <w:rFonts w:ascii="Times New Roman" w:hAnsi="Times New Roman"/>
        </w:rPr>
        <w:t xml:space="preserve"> the question of whether the remittal power conferred by s 12(2) is available to be invoked </w:t>
      </w:r>
      <w:r w:rsidR="00C72A0C" w:rsidRPr="00F117EB">
        <w:rPr>
          <w:rFonts w:ascii="Times New Roman" w:hAnsi="Times New Roman"/>
        </w:rPr>
        <w:t xml:space="preserve">(along with a </w:t>
      </w:r>
      <w:r w:rsidR="002E1D30" w:rsidRPr="00F117EB">
        <w:rPr>
          <w:rFonts w:ascii="Times New Roman" w:hAnsi="Times New Roman"/>
        </w:rPr>
        <w:t>power</w:t>
      </w:r>
      <w:r w:rsidR="00C72A0C" w:rsidRPr="00F117EB">
        <w:rPr>
          <w:rFonts w:ascii="Times New Roman" w:hAnsi="Times New Roman"/>
        </w:rPr>
        <w:t xml:space="preserve"> to quash the sentence at first instance) </w:t>
      </w:r>
      <w:r w:rsidR="00BB6245" w:rsidRPr="00F117EB">
        <w:rPr>
          <w:rFonts w:ascii="Times New Roman" w:hAnsi="Times New Roman"/>
        </w:rPr>
        <w:t xml:space="preserve">in circumstances </w:t>
      </w:r>
      <w:r w:rsidR="005476FC" w:rsidRPr="00F117EB">
        <w:rPr>
          <w:rFonts w:ascii="Times New Roman" w:hAnsi="Times New Roman"/>
        </w:rPr>
        <w:t xml:space="preserve">where the Court </w:t>
      </w:r>
      <w:r w:rsidR="000B17E3" w:rsidRPr="00F117EB">
        <w:rPr>
          <w:rFonts w:ascii="Times New Roman" w:hAnsi="Times New Roman"/>
        </w:rPr>
        <w:t xml:space="preserve">concludes that a material procedural irregularity vitiates the sentence imposed at first </w:t>
      </w:r>
      <w:proofErr w:type="gramStart"/>
      <w:r w:rsidR="000B17E3" w:rsidRPr="00F117EB">
        <w:rPr>
          <w:rFonts w:ascii="Times New Roman" w:hAnsi="Times New Roman"/>
        </w:rPr>
        <w:t>instance</w:t>
      </w:r>
      <w:r w:rsidR="00BB6245" w:rsidRPr="00F117EB">
        <w:rPr>
          <w:rFonts w:ascii="Times New Roman" w:hAnsi="Times New Roman"/>
        </w:rPr>
        <w:t>,</w:t>
      </w:r>
      <w:r w:rsidR="000B17E3" w:rsidRPr="00F117EB">
        <w:rPr>
          <w:rFonts w:ascii="Times New Roman" w:hAnsi="Times New Roman"/>
        </w:rPr>
        <w:t xml:space="preserve"> </w:t>
      </w:r>
      <w:r w:rsidR="007F16A1" w:rsidRPr="00F117EB">
        <w:rPr>
          <w:rFonts w:ascii="Times New Roman" w:hAnsi="Times New Roman"/>
        </w:rPr>
        <w:t>but</w:t>
      </w:r>
      <w:proofErr w:type="gramEnd"/>
      <w:r w:rsidR="007F16A1" w:rsidRPr="00F117EB">
        <w:rPr>
          <w:rFonts w:ascii="Times New Roman" w:hAnsi="Times New Roman"/>
        </w:rPr>
        <w:t xml:space="preserve"> has not</w:t>
      </w:r>
      <w:r w:rsidR="001F60FD" w:rsidRPr="00F117EB">
        <w:rPr>
          <w:rFonts w:ascii="Times New Roman" w:hAnsi="Times New Roman"/>
        </w:rPr>
        <w:t xml:space="preserve"> concluded that a lesser sentence is warranted</w:t>
      </w:r>
      <w:r w:rsidR="00BB6245" w:rsidRPr="00F117EB">
        <w:rPr>
          <w:rFonts w:ascii="Times New Roman" w:hAnsi="Times New Roman"/>
        </w:rPr>
        <w:t>,</w:t>
      </w:r>
      <w:r w:rsidR="00DC0337" w:rsidRPr="00F117EB">
        <w:rPr>
          <w:rFonts w:ascii="Times New Roman" w:hAnsi="Times New Roman"/>
        </w:rPr>
        <w:t xml:space="preserve"> is not </w:t>
      </w:r>
      <w:r w:rsidR="007C70B8" w:rsidRPr="00F117EB">
        <w:rPr>
          <w:rFonts w:ascii="Times New Roman" w:hAnsi="Times New Roman"/>
        </w:rPr>
        <w:t>a question</w:t>
      </w:r>
      <w:r w:rsidR="00DC0337" w:rsidRPr="00F117EB">
        <w:rPr>
          <w:rFonts w:ascii="Times New Roman" w:hAnsi="Times New Roman"/>
        </w:rPr>
        <w:t xml:space="preserve"> </w:t>
      </w:r>
      <w:r w:rsidR="007C70B8" w:rsidRPr="00F117EB">
        <w:rPr>
          <w:rFonts w:ascii="Times New Roman" w:hAnsi="Times New Roman"/>
        </w:rPr>
        <w:t xml:space="preserve">that requires resolution </w:t>
      </w:r>
      <w:r w:rsidR="00DC0337" w:rsidRPr="00F117EB">
        <w:rPr>
          <w:rFonts w:ascii="Times New Roman" w:hAnsi="Times New Roman"/>
        </w:rPr>
        <w:t xml:space="preserve">in this case. </w:t>
      </w:r>
      <w:r w:rsidR="00F51006" w:rsidRPr="00F117EB">
        <w:rPr>
          <w:rFonts w:ascii="Times New Roman" w:hAnsi="Times New Roman"/>
        </w:rPr>
        <w:t>We</w:t>
      </w:r>
      <w:r w:rsidR="00BD6E18" w:rsidRPr="00F117EB">
        <w:rPr>
          <w:rFonts w:ascii="Times New Roman" w:hAnsi="Times New Roman"/>
        </w:rPr>
        <w:t xml:space="preserve"> reiterate </w:t>
      </w:r>
      <w:r w:rsidR="0000409B" w:rsidRPr="00F117EB">
        <w:rPr>
          <w:rFonts w:ascii="Times New Roman" w:hAnsi="Times New Roman"/>
        </w:rPr>
        <w:t xml:space="preserve">that this is a matter </w:t>
      </w:r>
      <w:r w:rsidR="004A6E55" w:rsidRPr="00F117EB">
        <w:rPr>
          <w:rFonts w:ascii="Times New Roman" w:hAnsi="Times New Roman"/>
        </w:rPr>
        <w:t>that might warrant the consideration of the New South Wales Parliament</w:t>
      </w:r>
      <w:r w:rsidR="00200183" w:rsidRPr="00F117EB">
        <w:rPr>
          <w:rFonts w:ascii="Times New Roman" w:hAnsi="Times New Roman"/>
        </w:rPr>
        <w:t xml:space="preserve">. </w:t>
      </w:r>
      <w:r w:rsidR="00C72A0C" w:rsidRPr="00F117EB">
        <w:rPr>
          <w:rFonts w:ascii="Times New Roman" w:hAnsi="Times New Roman"/>
        </w:rPr>
        <w:t xml:space="preserve"> </w:t>
      </w:r>
      <w:r w:rsidR="000B17E3" w:rsidRPr="00F117EB">
        <w:rPr>
          <w:rFonts w:ascii="Times New Roman" w:hAnsi="Times New Roman"/>
        </w:rPr>
        <w:t xml:space="preserve"> </w:t>
      </w:r>
      <w:r w:rsidR="00A7765F" w:rsidRPr="00F117EB">
        <w:rPr>
          <w:rFonts w:ascii="Times New Roman" w:hAnsi="Times New Roman"/>
        </w:rPr>
        <w:t xml:space="preserve"> </w:t>
      </w:r>
    </w:p>
    <w:p w14:paraId="445D547C" w14:textId="77777777" w:rsidR="00EA5EAF" w:rsidRPr="00F117EB" w:rsidRDefault="00EA5EAF" w:rsidP="00F117EB">
      <w:pPr>
        <w:pStyle w:val="HeadingL1"/>
        <w:spacing w:after="260" w:line="280" w:lineRule="exact"/>
        <w:ind w:right="0"/>
        <w:jc w:val="both"/>
        <w:rPr>
          <w:rFonts w:ascii="Times New Roman" w:hAnsi="Times New Roman"/>
        </w:rPr>
      </w:pPr>
      <w:r w:rsidRPr="00F117EB">
        <w:rPr>
          <w:rFonts w:ascii="Times New Roman" w:hAnsi="Times New Roman"/>
        </w:rPr>
        <w:t>Conclusion</w:t>
      </w:r>
    </w:p>
    <w:p w14:paraId="3B46A147" w14:textId="77777777" w:rsidR="005B483D" w:rsidRDefault="001E7DB5" w:rsidP="00F117EB">
      <w:pPr>
        <w:pStyle w:val="FixListStyle"/>
        <w:spacing w:after="260" w:line="280" w:lineRule="exact"/>
        <w:ind w:right="0"/>
        <w:jc w:val="both"/>
        <w:rPr>
          <w:rFonts w:ascii="Times New Roman" w:hAnsi="Times New Roman"/>
        </w:rPr>
      </w:pPr>
      <w:r w:rsidRPr="00F117EB">
        <w:rPr>
          <w:rFonts w:ascii="Times New Roman" w:hAnsi="Times New Roman"/>
        </w:rPr>
        <w:tab/>
      </w:r>
      <w:r w:rsidR="00EA5EAF" w:rsidRPr="00F117EB">
        <w:rPr>
          <w:rFonts w:ascii="Times New Roman" w:hAnsi="Times New Roman"/>
        </w:rPr>
        <w:t>The appeal should be dismissed.</w:t>
      </w:r>
    </w:p>
    <w:p w14:paraId="1FA5F816" w14:textId="77777777" w:rsidR="005B483D" w:rsidRDefault="005B483D" w:rsidP="00F117EB">
      <w:pPr>
        <w:pStyle w:val="FixListStyle"/>
        <w:spacing w:after="260" w:line="280" w:lineRule="exact"/>
        <w:ind w:right="0"/>
        <w:jc w:val="both"/>
        <w:rPr>
          <w:rFonts w:ascii="Times New Roman" w:hAnsi="Times New Roman"/>
        </w:rPr>
        <w:sectPr w:rsidR="005B483D" w:rsidSect="00F66ECC">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58157119" w14:textId="77777777" w:rsidR="005B483D" w:rsidRPr="00A10137" w:rsidRDefault="005B483D" w:rsidP="00A10137">
      <w:pPr>
        <w:pStyle w:val="NormalBody"/>
        <w:tabs>
          <w:tab w:val="clear" w:pos="720"/>
          <w:tab w:val="left" w:pos="0"/>
        </w:tabs>
        <w:spacing w:after="260" w:line="280" w:lineRule="exact"/>
        <w:ind w:right="0"/>
        <w:jc w:val="both"/>
        <w:rPr>
          <w:rFonts w:ascii="Times New Roman" w:hAnsi="Times New Roman"/>
        </w:rPr>
      </w:pPr>
      <w:r w:rsidRPr="00A10137">
        <w:rPr>
          <w:rFonts w:ascii="Times New Roman" w:hAnsi="Times New Roman"/>
        </w:rPr>
        <w:lastRenderedPageBreak/>
        <w:t xml:space="preserve">EDELMAN J.   </w:t>
      </w:r>
    </w:p>
    <w:p w14:paraId="49A0C431" w14:textId="77777777" w:rsidR="005B483D" w:rsidRPr="00A10137" w:rsidRDefault="005B483D" w:rsidP="00A10137">
      <w:pPr>
        <w:pStyle w:val="HeadingL1"/>
        <w:spacing w:after="260" w:line="280" w:lineRule="exact"/>
        <w:ind w:right="0"/>
        <w:jc w:val="both"/>
        <w:rPr>
          <w:rFonts w:ascii="Times New Roman" w:hAnsi="Times New Roman"/>
        </w:rPr>
      </w:pPr>
      <w:r w:rsidRPr="00A10137">
        <w:rPr>
          <w:rFonts w:ascii="Times New Roman" w:hAnsi="Times New Roman"/>
        </w:rPr>
        <w:t>Introduction: apparent conflict, potential conflict, and actual conflict</w:t>
      </w:r>
    </w:p>
    <w:p w14:paraId="37936C29"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Can counsel represent two offenders in sentencing where it is open to argue that either offender should receive a more substantial penalty than the other? That is the simple question on this appeal. The simple answer is "no".   </w:t>
      </w:r>
    </w:p>
    <w:p w14:paraId="2DA92B00"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Mr Farrugia and Mr </w:t>
      </w:r>
      <w:proofErr w:type="spellStart"/>
      <w:r w:rsidRPr="00A10137">
        <w:rPr>
          <w:rFonts w:ascii="Times New Roman" w:hAnsi="Times New Roman"/>
        </w:rPr>
        <w:t>Kanmaz</w:t>
      </w:r>
      <w:proofErr w:type="spellEnd"/>
      <w:r w:rsidRPr="00A10137">
        <w:rPr>
          <w:rFonts w:ascii="Times New Roman" w:hAnsi="Times New Roman"/>
        </w:rPr>
        <w:t xml:space="preserve"> were represented by the same Senior Counsel at a sentencing hearing. Both had pleaded guilty to a charge of conspiring to traffic a commercial quantity of controlled drugs.</w:t>
      </w:r>
      <w:r w:rsidRPr="00A10137">
        <w:rPr>
          <w:rStyle w:val="FootnoteReference"/>
          <w:rFonts w:ascii="Times New Roman" w:hAnsi="Times New Roman"/>
          <w:sz w:val="24"/>
        </w:rPr>
        <w:footnoteReference w:id="107"/>
      </w:r>
      <w:r w:rsidRPr="00A10137">
        <w:rPr>
          <w:rFonts w:ascii="Times New Roman" w:hAnsi="Times New Roman"/>
        </w:rPr>
        <w:t xml:space="preserve"> Both had also pleaded guilty to a charge of dealing with proceeds of crime: Mr Farrugia to an offence for proceeds valued at $100,000 or more and Mr </w:t>
      </w:r>
      <w:proofErr w:type="spellStart"/>
      <w:r w:rsidRPr="00A10137">
        <w:rPr>
          <w:rFonts w:ascii="Times New Roman" w:hAnsi="Times New Roman"/>
        </w:rPr>
        <w:t>Kanmaz</w:t>
      </w:r>
      <w:proofErr w:type="spellEnd"/>
      <w:r w:rsidRPr="00A10137">
        <w:rPr>
          <w:rFonts w:ascii="Times New Roman" w:hAnsi="Times New Roman"/>
        </w:rPr>
        <w:t xml:space="preserve"> to a more serious offence for proceeds valued at $1,000,000 or more.</w:t>
      </w:r>
      <w:r w:rsidRPr="00A10137">
        <w:rPr>
          <w:rStyle w:val="FootnoteReference"/>
          <w:rFonts w:ascii="Times New Roman" w:hAnsi="Times New Roman"/>
          <w:sz w:val="24"/>
        </w:rPr>
        <w:footnoteReference w:id="108"/>
      </w:r>
      <w:r w:rsidRPr="00A10137">
        <w:rPr>
          <w:rFonts w:ascii="Times New Roman" w:hAnsi="Times New Roman"/>
        </w:rPr>
        <w:t xml:space="preserve"> </w:t>
      </w:r>
    </w:p>
    <w:p w14:paraId="4DE36B20"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The written submissions of the Crown for the sentencing hearing made plain the apparent conflict of duty that existed for Senior Counsel representing both offenders. The written submissions of the Crown asserted that Mr </w:t>
      </w:r>
      <w:proofErr w:type="spellStart"/>
      <w:r w:rsidRPr="00A10137">
        <w:rPr>
          <w:rFonts w:ascii="Times New Roman" w:hAnsi="Times New Roman"/>
        </w:rPr>
        <w:t>Kanmaz</w:t>
      </w:r>
      <w:proofErr w:type="spellEnd"/>
      <w:r w:rsidRPr="00A10137">
        <w:rPr>
          <w:rFonts w:ascii="Times New Roman" w:hAnsi="Times New Roman"/>
        </w:rPr>
        <w:t xml:space="preserve"> "should receive a more substantial penalty" than Mr Farrugia. That submission was reasonably open. As the Crown noted: Mr </w:t>
      </w:r>
      <w:proofErr w:type="spellStart"/>
      <w:r w:rsidRPr="00A10137">
        <w:rPr>
          <w:rFonts w:ascii="Times New Roman" w:hAnsi="Times New Roman"/>
        </w:rPr>
        <w:t>Kanmaz</w:t>
      </w:r>
      <w:proofErr w:type="spellEnd"/>
      <w:r w:rsidRPr="00A10137">
        <w:rPr>
          <w:rFonts w:ascii="Times New Roman" w:hAnsi="Times New Roman"/>
        </w:rPr>
        <w:t xml:space="preserve"> had a more extensive criminal record; Mr </w:t>
      </w:r>
      <w:proofErr w:type="spellStart"/>
      <w:r w:rsidRPr="00A10137">
        <w:rPr>
          <w:rFonts w:ascii="Times New Roman" w:hAnsi="Times New Roman"/>
        </w:rPr>
        <w:t>Kanmaz</w:t>
      </w:r>
      <w:proofErr w:type="spellEnd"/>
      <w:r w:rsidRPr="00A10137">
        <w:rPr>
          <w:rFonts w:ascii="Times New Roman" w:hAnsi="Times New Roman"/>
        </w:rPr>
        <w:t xml:space="preserve"> had pleaded guilty to offences concerning more drug transactions and more proceeds of crime transactions; and Mr Kanmaz's offences involved larger quantities of drugs and substantially greater proceeds of crime. Further, Mr </w:t>
      </w:r>
      <w:proofErr w:type="spellStart"/>
      <w:r w:rsidRPr="00A10137">
        <w:rPr>
          <w:rFonts w:ascii="Times New Roman" w:hAnsi="Times New Roman"/>
        </w:rPr>
        <w:t>Kanmaz</w:t>
      </w:r>
      <w:proofErr w:type="spellEnd"/>
      <w:r w:rsidRPr="00A10137">
        <w:rPr>
          <w:rFonts w:ascii="Times New Roman" w:hAnsi="Times New Roman"/>
        </w:rPr>
        <w:t xml:space="preserve"> had provided much of the intellectual capital for the drug enterprise. He had set up and maintained the front company and business which concealed the drug enterprise. </w:t>
      </w:r>
    </w:p>
    <w:p w14:paraId="28919972"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These matters, together with Mr Farrugia's contrasting circumstances, which included his reliance upon submissions of non-exculpatory duress (that he had committed the offences under threat of violence), mental health concerns, and a disadvantaged upbringing, meant that it was reasonably and fairly open to Senior</w:t>
      </w:r>
      <w:r>
        <w:rPr>
          <w:rFonts w:ascii="Times New Roman" w:hAnsi="Times New Roman"/>
        </w:rPr>
        <w:t> </w:t>
      </w:r>
      <w:r w:rsidRPr="00A10137">
        <w:rPr>
          <w:rFonts w:ascii="Times New Roman" w:hAnsi="Times New Roman"/>
        </w:rPr>
        <w:t xml:space="preserve">Counsel for Mr Farrugia to accept the Crown submission that Mr </w:t>
      </w:r>
      <w:proofErr w:type="spellStart"/>
      <w:r w:rsidRPr="00A10137">
        <w:rPr>
          <w:rFonts w:ascii="Times New Roman" w:hAnsi="Times New Roman"/>
        </w:rPr>
        <w:t>Kanmaz</w:t>
      </w:r>
      <w:proofErr w:type="spellEnd"/>
      <w:r w:rsidRPr="00A10137">
        <w:rPr>
          <w:rFonts w:ascii="Times New Roman" w:hAnsi="Times New Roman"/>
        </w:rPr>
        <w:t xml:space="preserve"> should receive a more substantial penalty. If the sentencing judge had accepted that submission, Mr Farrugia might have received a lower penalty than he would otherwise have received. But that submission would not have assisted, and might have been to the detriment of, Mr Kanmaz. </w:t>
      </w:r>
    </w:p>
    <w:p w14:paraId="74B876B0"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Senior Counsel representing both Mr Farrugia and Mr </w:t>
      </w:r>
      <w:proofErr w:type="spellStart"/>
      <w:r w:rsidRPr="00A10137">
        <w:rPr>
          <w:rFonts w:ascii="Times New Roman" w:hAnsi="Times New Roman"/>
        </w:rPr>
        <w:t>Kanmaz</w:t>
      </w:r>
      <w:proofErr w:type="spellEnd"/>
      <w:r w:rsidRPr="00A10137">
        <w:rPr>
          <w:rFonts w:ascii="Times New Roman" w:hAnsi="Times New Roman"/>
        </w:rPr>
        <w:t xml:space="preserve"> disputed the Crown submission, arguing that his other client, Mr Farrugia, </w:t>
      </w:r>
      <w:r>
        <w:rPr>
          <w:rFonts w:ascii="Times New Roman" w:hAnsi="Times New Roman"/>
        </w:rPr>
        <w:t xml:space="preserve">was more culpable (a submission with the inevitable consequence in this case that Mr Farrugia </w:t>
      </w:r>
      <w:r w:rsidRPr="00A10137">
        <w:rPr>
          <w:rFonts w:ascii="Times New Roman" w:hAnsi="Times New Roman"/>
        </w:rPr>
        <w:t xml:space="preserve">should receive greater punishment than Mr </w:t>
      </w:r>
      <w:proofErr w:type="spellStart"/>
      <w:r w:rsidRPr="00A10137">
        <w:rPr>
          <w:rFonts w:ascii="Times New Roman" w:hAnsi="Times New Roman"/>
        </w:rPr>
        <w:t>Kanmaz</w:t>
      </w:r>
      <w:proofErr w:type="spellEnd"/>
      <w:r>
        <w:rPr>
          <w:rFonts w:ascii="Times New Roman" w:hAnsi="Times New Roman"/>
        </w:rPr>
        <w:t>)</w:t>
      </w:r>
      <w:r w:rsidRPr="00A10137">
        <w:rPr>
          <w:rFonts w:ascii="Times New Roman" w:hAnsi="Times New Roman"/>
        </w:rPr>
        <w:t xml:space="preserve">. The Crown changed position and </w:t>
      </w:r>
      <w:r w:rsidRPr="00A10137">
        <w:rPr>
          <w:rFonts w:ascii="Times New Roman" w:hAnsi="Times New Roman"/>
        </w:rPr>
        <w:lastRenderedPageBreak/>
        <w:t>agreed. After initial doubts about the correct position, the sentencing judge in the District</w:t>
      </w:r>
      <w:r>
        <w:rPr>
          <w:rFonts w:ascii="Times New Roman" w:hAnsi="Times New Roman"/>
        </w:rPr>
        <w:t> </w:t>
      </w:r>
      <w:r w:rsidRPr="00A10137">
        <w:rPr>
          <w:rFonts w:ascii="Times New Roman" w:hAnsi="Times New Roman"/>
        </w:rPr>
        <w:t xml:space="preserve">Court of New South Wales (Acting Judge Berman SC) also agreed. The sentencing judge </w:t>
      </w:r>
      <w:proofErr w:type="gramStart"/>
      <w:r w:rsidRPr="00A10137">
        <w:rPr>
          <w:rFonts w:ascii="Times New Roman" w:hAnsi="Times New Roman"/>
        </w:rPr>
        <w:t>took into account</w:t>
      </w:r>
      <w:proofErr w:type="gramEnd"/>
      <w:r w:rsidRPr="00A10137">
        <w:rPr>
          <w:rFonts w:ascii="Times New Roman" w:hAnsi="Times New Roman"/>
        </w:rPr>
        <w:t xml:space="preserve"> the proceeds of crime offences when sentencing for the conspiracy offences</w:t>
      </w:r>
      <w:r w:rsidRPr="00A10137">
        <w:rPr>
          <w:rStyle w:val="FootnoteReference"/>
          <w:rFonts w:ascii="Times New Roman" w:hAnsi="Times New Roman"/>
          <w:sz w:val="24"/>
        </w:rPr>
        <w:footnoteReference w:id="109"/>
      </w:r>
      <w:r w:rsidRPr="00A10137">
        <w:rPr>
          <w:rFonts w:ascii="Times New Roman" w:hAnsi="Times New Roman"/>
        </w:rPr>
        <w:t xml:space="preserve"> and sentenced Mr Farrugia to 11 years' imprisonment with a non-parole period of seven years and six months. Mr </w:t>
      </w:r>
      <w:proofErr w:type="spellStart"/>
      <w:r w:rsidRPr="00A10137">
        <w:rPr>
          <w:rFonts w:ascii="Times New Roman" w:hAnsi="Times New Roman"/>
        </w:rPr>
        <w:t>Kanmaz</w:t>
      </w:r>
      <w:proofErr w:type="spellEnd"/>
      <w:r w:rsidRPr="00A10137">
        <w:rPr>
          <w:rFonts w:ascii="Times New Roman" w:hAnsi="Times New Roman"/>
        </w:rPr>
        <w:t xml:space="preserve"> was sentenced to a lesser term of nine years' imprisonment with a non-parole period of six years and six months. Mr Farrugia was aggrieved by his sentence. He appealed to the Court of Criminal Appeal</w:t>
      </w:r>
      <w:r w:rsidRPr="00A10137" w:rsidDel="00094701">
        <w:rPr>
          <w:rFonts w:ascii="Times New Roman" w:hAnsi="Times New Roman"/>
        </w:rPr>
        <w:t xml:space="preserve"> of New South Wales</w:t>
      </w:r>
      <w:r w:rsidRPr="00A10137">
        <w:rPr>
          <w:rFonts w:ascii="Times New Roman" w:hAnsi="Times New Roman"/>
        </w:rPr>
        <w:t>. The Court of Criminal Appeal (Hamill J; Price A-JA and Campbell J agreeing) unanimously dismissed his appeal.</w:t>
      </w:r>
    </w:p>
    <w:p w14:paraId="63AE3AB1"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From the perspective of a reasonable observer without knowledge of all the information confidential to Mr Farrugia, Senior Counsel representing Mr Farrugia and Mr </w:t>
      </w:r>
      <w:proofErr w:type="spellStart"/>
      <w:r w:rsidRPr="00A10137">
        <w:rPr>
          <w:rFonts w:ascii="Times New Roman" w:hAnsi="Times New Roman"/>
        </w:rPr>
        <w:t>Kanmaz</w:t>
      </w:r>
      <w:proofErr w:type="spellEnd"/>
      <w:r w:rsidRPr="00A10137">
        <w:rPr>
          <w:rFonts w:ascii="Times New Roman" w:hAnsi="Times New Roman"/>
        </w:rPr>
        <w:t xml:space="preserve"> was in a position of apparent conflict of duty. But an apparent conflict is not a potential or actual conflict: "[a]</w:t>
      </w:r>
      <w:proofErr w:type="spellStart"/>
      <w:r w:rsidRPr="00A10137">
        <w:rPr>
          <w:rFonts w:ascii="Times New Roman" w:hAnsi="Times New Roman"/>
        </w:rPr>
        <w:t>pparent</w:t>
      </w:r>
      <w:proofErr w:type="spellEnd"/>
      <w:r w:rsidRPr="00A10137">
        <w:rPr>
          <w:rFonts w:ascii="Times New Roman" w:hAnsi="Times New Roman"/>
        </w:rPr>
        <w:t xml:space="preserve"> conflicts of [duty] (strictly so-called) are no more conflicts of [duty] than counterfeit money is money".</w:t>
      </w:r>
      <w:r w:rsidRPr="00A10137">
        <w:rPr>
          <w:rStyle w:val="FootnoteReference"/>
          <w:rFonts w:ascii="Times New Roman" w:hAnsi="Times New Roman"/>
          <w:sz w:val="24"/>
        </w:rPr>
        <w:footnoteReference w:id="110"/>
      </w:r>
      <w:r w:rsidRPr="00A10137">
        <w:rPr>
          <w:rFonts w:ascii="Times New Roman" w:hAnsi="Times New Roman"/>
        </w:rPr>
        <w:t xml:space="preserve"> The question in this appeal is whether that apparent conflict solidified (at the time Senior Counsel was instructed) into a potential conflict or (at the time that submissions of the Crown were filed) into an actual conflict. A majority of this Court concludes that no potential or actual conflict has been proved without sufficient evidence of the instructions given by Mr Farrugia to Senior Counsel. With respect, I disagree. </w:t>
      </w:r>
    </w:p>
    <w:p w14:paraId="2E0E82C6"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In the absence of evidence of Senior Counsel's instructions, it is not possible to know the content of any </w:t>
      </w:r>
      <w:r w:rsidRPr="00A10137">
        <w:rPr>
          <w:rFonts w:ascii="Times New Roman" w:hAnsi="Times New Roman"/>
          <w:i/>
          <w:iCs/>
        </w:rPr>
        <w:t xml:space="preserve">assumed </w:t>
      </w:r>
      <w:r w:rsidRPr="00A10137">
        <w:rPr>
          <w:rFonts w:ascii="Times New Roman" w:hAnsi="Times New Roman"/>
        </w:rPr>
        <w:t xml:space="preserve">obligations that Senior Counsel had to avoid potential and actual conflicts of duties. But the obligations to avoid potential and actual conflicts are not merely assumed duties based on instructions. Those obligations are also imposed by the law, relevantly for counsel under the </w:t>
      </w:r>
      <w:r w:rsidRPr="00A10137">
        <w:rPr>
          <w:rFonts w:ascii="Times New Roman" w:hAnsi="Times New Roman"/>
          <w:i/>
          <w:iCs/>
        </w:rPr>
        <w:t xml:space="preserve">Legal Profession Uniform Conduct (Barristers) Rules 2015 </w:t>
      </w:r>
      <w:r w:rsidRPr="00A10137">
        <w:rPr>
          <w:rFonts w:ascii="Times New Roman" w:hAnsi="Times New Roman"/>
        </w:rPr>
        <w:t xml:space="preserve">(NSW). Those imposed obligations required Senior Counsel to use the best of his skill and diligence to promote and protect the best interests of both Mr Farrugia and Mr Kanmaz, not merely what either of those clients perceived to be their best interests and not necessarily always based upon what those clients had instructed Senior Counsel. </w:t>
      </w:r>
    </w:p>
    <w:p w14:paraId="7DBBC409"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When faced with a choice </w:t>
      </w:r>
      <w:r>
        <w:rPr>
          <w:rFonts w:ascii="Times New Roman" w:hAnsi="Times New Roman"/>
        </w:rPr>
        <w:t>about how to respond to submissions concerning</w:t>
      </w:r>
      <w:r w:rsidRPr="00A10137">
        <w:rPr>
          <w:rFonts w:ascii="Times New Roman" w:hAnsi="Times New Roman"/>
        </w:rPr>
        <w:t xml:space="preserve"> which client should receive a more substantial penalty, Senior Counsel was in a position of actual conflict of the duties imposed upon him. The submissions made by Senior Counsel could realistically have affected the reasoning process of the </w:t>
      </w:r>
      <w:r w:rsidRPr="00A10137">
        <w:rPr>
          <w:rFonts w:ascii="Times New Roman" w:hAnsi="Times New Roman"/>
        </w:rPr>
        <w:lastRenderedPageBreak/>
        <w:t xml:space="preserve">sentencing judge. The exercise of the sentencing discretion was vitiated. The appeal should be allowed.      </w:t>
      </w:r>
    </w:p>
    <w:p w14:paraId="275C92DE" w14:textId="77777777" w:rsidR="005B483D" w:rsidRPr="00A10137" w:rsidRDefault="005B483D" w:rsidP="00A10137">
      <w:pPr>
        <w:pStyle w:val="HeadingL1"/>
        <w:spacing w:after="260" w:line="280" w:lineRule="exact"/>
        <w:ind w:right="0"/>
        <w:jc w:val="both"/>
        <w:rPr>
          <w:rFonts w:ascii="Times New Roman" w:hAnsi="Times New Roman"/>
        </w:rPr>
      </w:pPr>
      <w:r w:rsidRPr="00A10137">
        <w:rPr>
          <w:rFonts w:ascii="Times New Roman" w:hAnsi="Times New Roman"/>
        </w:rPr>
        <w:t>The agreed facts and Crown position in written sentencing submissions</w:t>
      </w:r>
    </w:p>
    <w:p w14:paraId="257B2365"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Neither Mr Farrugia nor Mr </w:t>
      </w:r>
      <w:proofErr w:type="spellStart"/>
      <w:r w:rsidRPr="00A10137">
        <w:rPr>
          <w:rFonts w:ascii="Times New Roman" w:hAnsi="Times New Roman"/>
        </w:rPr>
        <w:t>Kanmaz</w:t>
      </w:r>
      <w:proofErr w:type="spellEnd"/>
      <w:r w:rsidRPr="00A10137">
        <w:rPr>
          <w:rFonts w:ascii="Times New Roman" w:hAnsi="Times New Roman"/>
        </w:rPr>
        <w:t xml:space="preserve"> was alleged to be a "lead </w:t>
      </w:r>
      <w:proofErr w:type="gramStart"/>
      <w:r w:rsidRPr="00A10137">
        <w:rPr>
          <w:rFonts w:ascii="Times New Roman" w:hAnsi="Times New Roman"/>
        </w:rPr>
        <w:t>member[</w:t>
      </w:r>
      <w:proofErr w:type="gramEnd"/>
      <w:r w:rsidRPr="00A10137">
        <w:rPr>
          <w:rFonts w:ascii="Times New Roman" w:hAnsi="Times New Roman"/>
        </w:rPr>
        <w:t>]" of the criminal group that had organised the trafficking operation to which Mr</w:t>
      </w:r>
      <w:r>
        <w:rPr>
          <w:rFonts w:ascii="Times New Roman" w:hAnsi="Times New Roman"/>
        </w:rPr>
        <w:t> </w:t>
      </w:r>
      <w:r w:rsidRPr="00A10137">
        <w:rPr>
          <w:rFonts w:ascii="Times New Roman" w:hAnsi="Times New Roman"/>
        </w:rPr>
        <w:t xml:space="preserve">Farrugia's and Mr Kanmaz's offending related. The agreed facts and common ground included the following with respect to Mr Farrugia and Mr Kanmaz. </w:t>
      </w:r>
    </w:p>
    <w:p w14:paraId="00099DE1" w14:textId="77777777" w:rsidR="005B483D" w:rsidRPr="00A10137" w:rsidRDefault="005B483D" w:rsidP="00A10137">
      <w:pPr>
        <w:pStyle w:val="HeadingL2"/>
        <w:spacing w:after="260" w:line="280" w:lineRule="exact"/>
        <w:ind w:right="0"/>
        <w:jc w:val="both"/>
        <w:rPr>
          <w:rFonts w:ascii="Times New Roman" w:hAnsi="Times New Roman"/>
        </w:rPr>
      </w:pPr>
      <w:r w:rsidRPr="00A10137">
        <w:rPr>
          <w:rFonts w:ascii="Times New Roman" w:hAnsi="Times New Roman"/>
        </w:rPr>
        <w:t>Mr Farrugia</w:t>
      </w:r>
    </w:p>
    <w:p w14:paraId="0BFA7F75" w14:textId="77777777" w:rsidR="005B483D" w:rsidRPr="00A10137" w:rsidRDefault="005B483D" w:rsidP="00A10137">
      <w:pPr>
        <w:pStyle w:val="NormalBody"/>
        <w:spacing w:after="260" w:line="280" w:lineRule="exact"/>
        <w:ind w:right="0"/>
        <w:jc w:val="both"/>
        <w:rPr>
          <w:rFonts w:ascii="Times New Roman" w:hAnsi="Times New Roman"/>
        </w:rPr>
      </w:pPr>
      <w:r w:rsidRPr="00A10137">
        <w:rPr>
          <w:rFonts w:ascii="Times New Roman" w:hAnsi="Times New Roman"/>
        </w:rPr>
        <w:t>Mr Farrugia had a limited criminal history with no prior convictions for drug offences. Mr Farrugia obtained drugs for, and received drugs from, the criminal group. He was involved in six drug transactions over an 11-month period in respect of 20.0 kg of MDMA and 3.0 kg of methamphetamine. Mr Farrugia also supplied and received large amounts of cash. He dealt with proceeds of crime of $957,217, including by way of deposits into his bank account, in six transactions over a ten-month period.</w:t>
      </w:r>
    </w:p>
    <w:p w14:paraId="23F86042" w14:textId="77777777" w:rsidR="005B483D" w:rsidRPr="00A10137" w:rsidRDefault="005B483D" w:rsidP="00A10137">
      <w:pPr>
        <w:pStyle w:val="HeadingL2"/>
        <w:spacing w:after="260" w:line="280" w:lineRule="exact"/>
        <w:ind w:right="0"/>
        <w:jc w:val="both"/>
        <w:rPr>
          <w:rFonts w:ascii="Times New Roman" w:hAnsi="Times New Roman"/>
        </w:rPr>
      </w:pPr>
      <w:r w:rsidRPr="00A10137">
        <w:rPr>
          <w:rFonts w:ascii="Times New Roman" w:hAnsi="Times New Roman"/>
        </w:rPr>
        <w:t xml:space="preserve">Mr </w:t>
      </w:r>
      <w:proofErr w:type="spellStart"/>
      <w:r w:rsidRPr="00A10137">
        <w:rPr>
          <w:rFonts w:ascii="Times New Roman" w:hAnsi="Times New Roman"/>
        </w:rPr>
        <w:t>Kanmaz</w:t>
      </w:r>
      <w:proofErr w:type="spellEnd"/>
      <w:r w:rsidRPr="00A10137">
        <w:rPr>
          <w:rFonts w:ascii="Times New Roman" w:hAnsi="Times New Roman"/>
        </w:rPr>
        <w:t xml:space="preserve"> </w:t>
      </w:r>
    </w:p>
    <w:p w14:paraId="0A918051" w14:textId="77777777" w:rsidR="005B483D" w:rsidRPr="00A10137" w:rsidRDefault="005B483D" w:rsidP="00A10137">
      <w:pPr>
        <w:pStyle w:val="NormalBody"/>
        <w:spacing w:after="260" w:line="280" w:lineRule="exact"/>
        <w:ind w:right="0"/>
        <w:jc w:val="both"/>
        <w:rPr>
          <w:rFonts w:ascii="Times New Roman" w:hAnsi="Times New Roman"/>
        </w:rPr>
      </w:pPr>
      <w:r w:rsidRPr="00A10137">
        <w:rPr>
          <w:rFonts w:ascii="Times New Roman" w:hAnsi="Times New Roman"/>
        </w:rPr>
        <w:t xml:space="preserve">Mr </w:t>
      </w:r>
      <w:proofErr w:type="spellStart"/>
      <w:r w:rsidRPr="00A10137">
        <w:rPr>
          <w:rFonts w:ascii="Times New Roman" w:hAnsi="Times New Roman"/>
        </w:rPr>
        <w:t>Kanmaz</w:t>
      </w:r>
      <w:proofErr w:type="spellEnd"/>
      <w:r w:rsidRPr="00A10137">
        <w:rPr>
          <w:rFonts w:ascii="Times New Roman" w:hAnsi="Times New Roman"/>
        </w:rPr>
        <w:t xml:space="preserve"> had a criminal history including imprisonment for the offences of possessing an unauthorised pistol and knowingly dealing with proceeds of crime. Mr </w:t>
      </w:r>
      <w:proofErr w:type="spellStart"/>
      <w:r w:rsidRPr="00A10137">
        <w:rPr>
          <w:rFonts w:ascii="Times New Roman" w:hAnsi="Times New Roman"/>
        </w:rPr>
        <w:t>Kanmaz</w:t>
      </w:r>
      <w:proofErr w:type="spellEnd"/>
      <w:r w:rsidRPr="00A10137">
        <w:rPr>
          <w:rFonts w:ascii="Times New Roman" w:hAnsi="Times New Roman"/>
        </w:rPr>
        <w:t xml:space="preserve"> stored drugs and cash for the criminal group at his home or at premises in Kings Park, New South Wales, for which he received a wage rather than a share of the profit. Mr </w:t>
      </w:r>
      <w:proofErr w:type="spellStart"/>
      <w:r w:rsidRPr="00A10137">
        <w:rPr>
          <w:rFonts w:ascii="Times New Roman" w:hAnsi="Times New Roman"/>
        </w:rPr>
        <w:t>Kanmaz</w:t>
      </w:r>
      <w:proofErr w:type="spellEnd"/>
      <w:r w:rsidRPr="00A10137">
        <w:rPr>
          <w:rFonts w:ascii="Times New Roman" w:hAnsi="Times New Roman"/>
        </w:rPr>
        <w:t xml:space="preserve"> also performed stocktakes and audits, and prepared and delivered drugs and cash, as well as making drugs and cash available to other members of the criminal group on instruction. Mr </w:t>
      </w:r>
      <w:proofErr w:type="spellStart"/>
      <w:r w:rsidRPr="00A10137">
        <w:rPr>
          <w:rFonts w:ascii="Times New Roman" w:hAnsi="Times New Roman"/>
        </w:rPr>
        <w:t>Kanmaz</w:t>
      </w:r>
      <w:proofErr w:type="spellEnd"/>
      <w:r w:rsidRPr="00A10137">
        <w:rPr>
          <w:rFonts w:ascii="Times New Roman" w:hAnsi="Times New Roman"/>
        </w:rPr>
        <w:t xml:space="preserve"> also set up a company of which he was the sole director and shareholder, Overstock Solutions Pty Ltd ("Overstock"), for the sole purpose of storing and distributing drugs and proceeds of crime for the criminal group. Overstock was the lessee of the premises in Kings</w:t>
      </w:r>
      <w:r>
        <w:rPr>
          <w:rFonts w:ascii="Times New Roman" w:hAnsi="Times New Roman"/>
        </w:rPr>
        <w:t> </w:t>
      </w:r>
      <w:r w:rsidRPr="00A10137">
        <w:rPr>
          <w:rFonts w:ascii="Times New Roman" w:hAnsi="Times New Roman"/>
        </w:rPr>
        <w:t xml:space="preserve">Park, and Mr </w:t>
      </w:r>
      <w:proofErr w:type="spellStart"/>
      <w:r w:rsidRPr="00A10137">
        <w:rPr>
          <w:rFonts w:ascii="Times New Roman" w:hAnsi="Times New Roman"/>
        </w:rPr>
        <w:t>Kanmaz</w:t>
      </w:r>
      <w:proofErr w:type="spellEnd"/>
      <w:r w:rsidRPr="00A10137">
        <w:rPr>
          <w:rFonts w:ascii="Times New Roman" w:hAnsi="Times New Roman"/>
        </w:rPr>
        <w:t xml:space="preserve"> signed the lease for that premises as guarantor. Overstock had a website, corporate branded uniforms, email accounts, an Australian Business Number, bank accounts, back to base alarm monitoring, invoice books, and invoices with false customer and work details. Mr </w:t>
      </w:r>
      <w:proofErr w:type="spellStart"/>
      <w:r w:rsidRPr="00A10137">
        <w:rPr>
          <w:rFonts w:ascii="Times New Roman" w:hAnsi="Times New Roman"/>
        </w:rPr>
        <w:t>Kanmaz</w:t>
      </w:r>
      <w:proofErr w:type="spellEnd"/>
      <w:r w:rsidRPr="00A10137">
        <w:rPr>
          <w:rFonts w:ascii="Times New Roman" w:hAnsi="Times New Roman"/>
        </w:rPr>
        <w:t xml:space="preserve"> was involved in seven drug transactions over an eight-month period in respect of 21.0</w:t>
      </w:r>
      <w:r>
        <w:rPr>
          <w:rFonts w:ascii="Times New Roman" w:hAnsi="Times New Roman"/>
        </w:rPr>
        <w:t> </w:t>
      </w:r>
      <w:r w:rsidRPr="00A10137">
        <w:rPr>
          <w:rFonts w:ascii="Times New Roman" w:hAnsi="Times New Roman"/>
        </w:rPr>
        <w:t xml:space="preserve">kg of MDMA and 9.18 kg of methamphetamine. Mr </w:t>
      </w:r>
      <w:proofErr w:type="spellStart"/>
      <w:r w:rsidRPr="00A10137">
        <w:rPr>
          <w:rFonts w:ascii="Times New Roman" w:hAnsi="Times New Roman"/>
        </w:rPr>
        <w:t>Kanmaz</w:t>
      </w:r>
      <w:proofErr w:type="spellEnd"/>
      <w:r w:rsidRPr="00A10137">
        <w:rPr>
          <w:rFonts w:ascii="Times New Roman" w:hAnsi="Times New Roman"/>
        </w:rPr>
        <w:t xml:space="preserve"> dealt with proceeds of crime of approximately $1,785,000 in 13 transactions over a 12-month period. </w:t>
      </w:r>
    </w:p>
    <w:p w14:paraId="0AF45781"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In written submissions for the sentencing hearing, the Crown said the following.</w:t>
      </w:r>
    </w:p>
    <w:p w14:paraId="5ACDAC8E" w14:textId="77777777" w:rsidR="005B483D" w:rsidRPr="00A10137" w:rsidRDefault="005B483D" w:rsidP="00A10137">
      <w:pPr>
        <w:pStyle w:val="HeadingL2"/>
        <w:spacing w:after="260" w:line="280" w:lineRule="exact"/>
        <w:ind w:right="0"/>
        <w:jc w:val="both"/>
        <w:rPr>
          <w:rFonts w:ascii="Times New Roman" w:hAnsi="Times New Roman"/>
        </w:rPr>
      </w:pPr>
      <w:r w:rsidRPr="00A10137">
        <w:rPr>
          <w:rFonts w:ascii="Times New Roman" w:hAnsi="Times New Roman"/>
        </w:rPr>
        <w:lastRenderedPageBreak/>
        <w:t>Mr Farrugia</w:t>
      </w:r>
    </w:p>
    <w:p w14:paraId="1F61A25F" w14:textId="77777777" w:rsidR="005B483D" w:rsidRPr="00A10137" w:rsidRDefault="005B483D" w:rsidP="00A10137">
      <w:pPr>
        <w:pStyle w:val="NormalBody"/>
        <w:spacing w:after="260" w:line="280" w:lineRule="exact"/>
        <w:ind w:right="0"/>
        <w:jc w:val="both"/>
        <w:rPr>
          <w:rFonts w:ascii="Times New Roman" w:hAnsi="Times New Roman"/>
        </w:rPr>
      </w:pPr>
      <w:r w:rsidRPr="00A10137">
        <w:rPr>
          <w:rFonts w:ascii="Times New Roman" w:hAnsi="Times New Roman"/>
        </w:rPr>
        <w:t xml:space="preserve">Mr Farrugia's conduct fell "within the mid-point of the mid-range" of seriousness for the conspiracy offence (for which he was an "entrusted member" of the criminal group, acquiring and supplying drugs for substantial profit in six transactions) and his conduct was in the "high range" of seriousness for the proceeds of crime offence with the quantum involved being "just below the statutory threshold beyond which he would have been guilty of the [then] most serious of the money laundering offences". </w:t>
      </w:r>
    </w:p>
    <w:p w14:paraId="7F9EE7BB" w14:textId="77777777" w:rsidR="005B483D" w:rsidRPr="00A10137" w:rsidRDefault="005B483D" w:rsidP="00A10137">
      <w:pPr>
        <w:pStyle w:val="HeadingL2"/>
        <w:spacing w:after="260" w:line="280" w:lineRule="exact"/>
        <w:ind w:right="0"/>
        <w:jc w:val="both"/>
        <w:rPr>
          <w:rFonts w:ascii="Times New Roman" w:hAnsi="Times New Roman"/>
        </w:rPr>
      </w:pPr>
      <w:r w:rsidRPr="00A10137">
        <w:rPr>
          <w:rFonts w:ascii="Times New Roman" w:hAnsi="Times New Roman"/>
        </w:rPr>
        <w:t xml:space="preserve">Mr </w:t>
      </w:r>
      <w:proofErr w:type="spellStart"/>
      <w:r w:rsidRPr="00A10137">
        <w:rPr>
          <w:rFonts w:ascii="Times New Roman" w:hAnsi="Times New Roman"/>
        </w:rPr>
        <w:t>Kanmaz</w:t>
      </w:r>
      <w:proofErr w:type="spellEnd"/>
    </w:p>
    <w:p w14:paraId="0E2CED3E" w14:textId="77777777" w:rsidR="005B483D" w:rsidRPr="00A10137" w:rsidRDefault="005B483D" w:rsidP="00A10137">
      <w:pPr>
        <w:pStyle w:val="NormalBody"/>
        <w:spacing w:after="260" w:line="280" w:lineRule="exact"/>
        <w:ind w:right="0"/>
        <w:jc w:val="both"/>
        <w:rPr>
          <w:rFonts w:ascii="Times New Roman" w:hAnsi="Times New Roman"/>
        </w:rPr>
      </w:pPr>
      <w:r w:rsidRPr="00A10137">
        <w:rPr>
          <w:rFonts w:ascii="Times New Roman" w:hAnsi="Times New Roman"/>
        </w:rPr>
        <w:t xml:space="preserve">Mr Kanmaz's conduct "approach[ed] the higher end of the mid-range" of seriousness for the conspiracy offence and was in the "high range" of seriousness for the proceeds of crime offence, "noting [that] the [proceeds of crime] offence to be taken into account in relation to [Mr] </w:t>
      </w:r>
      <w:proofErr w:type="spellStart"/>
      <w:r w:rsidRPr="00A10137">
        <w:rPr>
          <w:rFonts w:ascii="Times New Roman" w:hAnsi="Times New Roman"/>
        </w:rPr>
        <w:t>Kanmaz</w:t>
      </w:r>
      <w:proofErr w:type="spellEnd"/>
      <w:r w:rsidRPr="00A10137">
        <w:rPr>
          <w:rFonts w:ascii="Times New Roman" w:hAnsi="Times New Roman"/>
        </w:rPr>
        <w:t xml:space="preserve"> [was] a more serious offence" than the proceeds of crime offence committed by Mr Farrugia. Mr </w:t>
      </w:r>
      <w:proofErr w:type="spellStart"/>
      <w:r w:rsidRPr="00A10137">
        <w:rPr>
          <w:rFonts w:ascii="Times New Roman" w:hAnsi="Times New Roman"/>
        </w:rPr>
        <w:t>Kanmaz</w:t>
      </w:r>
      <w:proofErr w:type="spellEnd"/>
      <w:r w:rsidRPr="00A10137">
        <w:rPr>
          <w:rFonts w:ascii="Times New Roman" w:hAnsi="Times New Roman"/>
        </w:rPr>
        <w:t xml:space="preserve"> was also an entrusted member of the criminal group with direct involvement in seven drug transactions and had "control and operation" of Overstock, which "concealed the group's criminal activities" and existed for the sole purpose of storing and distributing drugs and proceeds of crime for the criminal group's benefit. With respect to the proceeds of crime offence, Mr </w:t>
      </w:r>
      <w:proofErr w:type="spellStart"/>
      <w:r w:rsidRPr="00A10137">
        <w:rPr>
          <w:rFonts w:ascii="Times New Roman" w:hAnsi="Times New Roman"/>
        </w:rPr>
        <w:t>Kanmaz</w:t>
      </w:r>
      <w:proofErr w:type="spellEnd"/>
      <w:r w:rsidRPr="00A10137">
        <w:rPr>
          <w:rFonts w:ascii="Times New Roman" w:hAnsi="Times New Roman"/>
        </w:rPr>
        <w:t xml:space="preserve"> was in possession of large amounts of cash, and was responsible for collecting and distributing cash on instructions from members of the criminal group.</w:t>
      </w:r>
    </w:p>
    <w:p w14:paraId="6C96242F"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The Crown's written submission that Mr </w:t>
      </w:r>
      <w:proofErr w:type="spellStart"/>
      <w:r w:rsidRPr="00A10137">
        <w:rPr>
          <w:rFonts w:ascii="Times New Roman" w:hAnsi="Times New Roman"/>
        </w:rPr>
        <w:t>Kanmaz</w:t>
      </w:r>
      <w:proofErr w:type="spellEnd"/>
      <w:r w:rsidRPr="00A10137">
        <w:rPr>
          <w:rFonts w:ascii="Times New Roman" w:hAnsi="Times New Roman"/>
        </w:rPr>
        <w:t xml:space="preserve"> "should receive a more substantial penalty" than Mr Farrugia relied upon the following: (</w:t>
      </w:r>
      <w:proofErr w:type="spellStart"/>
      <w:r w:rsidRPr="00A10137">
        <w:rPr>
          <w:rFonts w:ascii="Times New Roman" w:hAnsi="Times New Roman"/>
        </w:rPr>
        <w:t>i</w:t>
      </w:r>
      <w:proofErr w:type="spellEnd"/>
      <w:r w:rsidRPr="00A10137">
        <w:rPr>
          <w:rFonts w:ascii="Times New Roman" w:hAnsi="Times New Roman"/>
        </w:rPr>
        <w:t>) Mr Kanmaz's conspiracy offence involving a greater quantity of drugs than Mr Farrugia's; (ii)</w:t>
      </w:r>
      <w:r>
        <w:rPr>
          <w:rFonts w:ascii="Times New Roman" w:hAnsi="Times New Roman"/>
        </w:rPr>
        <w:t> </w:t>
      </w:r>
      <w:r w:rsidRPr="00A10137">
        <w:rPr>
          <w:rFonts w:ascii="Times New Roman" w:hAnsi="Times New Roman"/>
        </w:rPr>
        <w:t>Mr</w:t>
      </w:r>
      <w:r>
        <w:rPr>
          <w:rFonts w:ascii="Times New Roman" w:hAnsi="Times New Roman"/>
        </w:rPr>
        <w:t> </w:t>
      </w:r>
      <w:r w:rsidRPr="00A10137">
        <w:rPr>
          <w:rFonts w:ascii="Times New Roman" w:hAnsi="Times New Roman"/>
        </w:rPr>
        <w:t xml:space="preserve">Kanmaz's proceeds of crime offence carrying a greater maximum penalty than Mr Farrugia's; (iii) Mr </w:t>
      </w:r>
      <w:proofErr w:type="spellStart"/>
      <w:r w:rsidRPr="00A10137">
        <w:rPr>
          <w:rFonts w:ascii="Times New Roman" w:hAnsi="Times New Roman"/>
        </w:rPr>
        <w:t>Kanmaz</w:t>
      </w:r>
      <w:proofErr w:type="spellEnd"/>
      <w:r w:rsidRPr="00A10137">
        <w:rPr>
          <w:rFonts w:ascii="Times New Roman" w:hAnsi="Times New Roman"/>
        </w:rPr>
        <w:t xml:space="preserve"> having dealt with $1,785,000 in respect of the proceeds of crime offence compared with the $957,217 with which Mr Farrugia had dealt; (iv) Mr </w:t>
      </w:r>
      <w:proofErr w:type="spellStart"/>
      <w:r w:rsidRPr="00A10137">
        <w:rPr>
          <w:rFonts w:ascii="Times New Roman" w:hAnsi="Times New Roman"/>
        </w:rPr>
        <w:t>Kanmaz</w:t>
      </w:r>
      <w:proofErr w:type="spellEnd"/>
      <w:r w:rsidRPr="00A10137">
        <w:rPr>
          <w:rFonts w:ascii="Times New Roman" w:hAnsi="Times New Roman"/>
        </w:rPr>
        <w:t xml:space="preserve"> having been involved in more drug supply and proceeds of crime transactions than Mr Farrugia; and (v) Mr </w:t>
      </w:r>
      <w:proofErr w:type="spellStart"/>
      <w:r w:rsidRPr="00A10137">
        <w:rPr>
          <w:rFonts w:ascii="Times New Roman" w:hAnsi="Times New Roman"/>
        </w:rPr>
        <w:t>Kanmaz</w:t>
      </w:r>
      <w:proofErr w:type="spellEnd"/>
      <w:r w:rsidRPr="00A10137">
        <w:rPr>
          <w:rFonts w:ascii="Times New Roman" w:hAnsi="Times New Roman"/>
        </w:rPr>
        <w:t xml:space="preserve"> having a more extensive criminal record than Mr Farrugia. </w:t>
      </w:r>
    </w:p>
    <w:p w14:paraId="56F715E9" w14:textId="77777777" w:rsidR="005B483D" w:rsidRPr="00A10137" w:rsidRDefault="005B483D" w:rsidP="00A10137">
      <w:pPr>
        <w:pStyle w:val="HeadingL1"/>
        <w:spacing w:after="260" w:line="280" w:lineRule="exact"/>
        <w:ind w:right="0"/>
        <w:jc w:val="both"/>
        <w:rPr>
          <w:rFonts w:ascii="Times New Roman" w:hAnsi="Times New Roman"/>
        </w:rPr>
      </w:pPr>
      <w:r w:rsidRPr="00A10137">
        <w:rPr>
          <w:rFonts w:ascii="Times New Roman" w:hAnsi="Times New Roman"/>
        </w:rPr>
        <w:t>The issues in the Court of Criminal Appeal and this Court</w:t>
      </w:r>
    </w:p>
    <w:p w14:paraId="601068C7"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The Court of Criminal Appeal dismissed Mr Farrugia's appeal. Hamill J (with whom Price A-JA and Campbell J agreed) held that there was no "conflict of interest". Price A-JA (with whom Campbell J also agreed) added that there was no significant possibility that the joint representation had adversely affected the sentence imposed upon Mr Farrugia and, therefore, there was no practical injustice </w:t>
      </w:r>
      <w:r w:rsidRPr="00A10137">
        <w:rPr>
          <w:rFonts w:ascii="Times New Roman" w:hAnsi="Times New Roman"/>
        </w:rPr>
        <w:lastRenderedPageBreak/>
        <w:t>and no miscarriage of justice.</w:t>
      </w:r>
      <w:r w:rsidRPr="00A10137">
        <w:rPr>
          <w:rStyle w:val="FootnoteReference"/>
          <w:rFonts w:ascii="Times New Roman" w:hAnsi="Times New Roman"/>
          <w:sz w:val="24"/>
        </w:rPr>
        <w:footnoteReference w:id="111"/>
      </w:r>
      <w:r w:rsidRPr="00A10137">
        <w:rPr>
          <w:rFonts w:ascii="Times New Roman" w:hAnsi="Times New Roman"/>
        </w:rPr>
        <w:t xml:space="preserve"> This aspect of Price A-JA's reasoning is addressed later in these reasons. </w:t>
      </w:r>
    </w:p>
    <w:p w14:paraId="70909207"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As to the issue of "conflict of interest", the case before the Court of Criminal</w:t>
      </w:r>
      <w:r>
        <w:rPr>
          <w:rFonts w:ascii="Times New Roman" w:hAnsi="Times New Roman"/>
        </w:rPr>
        <w:t> </w:t>
      </w:r>
      <w:r w:rsidRPr="00A10137">
        <w:rPr>
          <w:rFonts w:ascii="Times New Roman" w:hAnsi="Times New Roman"/>
        </w:rPr>
        <w:t>Appeal may have been put in those generic terms, although at least at one point in the submissions of counsel for Mr Farrugia to the Court of Criminal</w:t>
      </w:r>
      <w:r>
        <w:rPr>
          <w:rFonts w:ascii="Times New Roman" w:hAnsi="Times New Roman"/>
        </w:rPr>
        <w:t> </w:t>
      </w:r>
      <w:r w:rsidRPr="00A10137">
        <w:rPr>
          <w:rFonts w:ascii="Times New Roman" w:hAnsi="Times New Roman"/>
        </w:rPr>
        <w:t>Appeal, counsel separated the two duties of counsel: (</w:t>
      </w:r>
      <w:proofErr w:type="spellStart"/>
      <w:r w:rsidRPr="00A10137">
        <w:rPr>
          <w:rFonts w:ascii="Times New Roman" w:hAnsi="Times New Roman"/>
        </w:rPr>
        <w:t>i</w:t>
      </w:r>
      <w:proofErr w:type="spellEnd"/>
      <w:r w:rsidRPr="00A10137">
        <w:rPr>
          <w:rFonts w:ascii="Times New Roman" w:hAnsi="Times New Roman"/>
        </w:rPr>
        <w:t>) not to place themselves in a position of potentially conflicting duties; and (ii) not to have an actual conflict of duties. Counsel in the Court of Criminal Appeal relied upon both "a possibility" of conflict and "an actual conflict" of duties.</w:t>
      </w:r>
      <w:r w:rsidRPr="00A10137">
        <w:rPr>
          <w:rStyle w:val="FootnoteReference"/>
          <w:rFonts w:ascii="Times New Roman" w:hAnsi="Times New Roman"/>
          <w:sz w:val="24"/>
        </w:rPr>
        <w:footnoteReference w:id="112"/>
      </w:r>
      <w:r w:rsidRPr="00A10137">
        <w:rPr>
          <w:rFonts w:ascii="Times New Roman" w:hAnsi="Times New Roman"/>
        </w:rPr>
        <w:t xml:space="preserve"> In any event, both allegations of conflict were rejected by the Court of Criminal Appeal's reasoning that no "conflict of interest" was established. The reason for that rejection was, as Hamill J explained:</w:t>
      </w:r>
      <w:r w:rsidRPr="00A10137">
        <w:rPr>
          <w:rStyle w:val="FootnoteReference"/>
          <w:rFonts w:ascii="Times New Roman" w:hAnsi="Times New Roman"/>
          <w:sz w:val="24"/>
        </w:rPr>
        <w:footnoteReference w:id="113"/>
      </w:r>
    </w:p>
    <w:p w14:paraId="753EFA6B" w14:textId="77777777" w:rsidR="005B483D" w:rsidRDefault="005B483D" w:rsidP="00A10137">
      <w:pPr>
        <w:pStyle w:val="LeftrightafterHC"/>
        <w:spacing w:before="0" w:after="260" w:line="280" w:lineRule="exact"/>
        <w:ind w:right="0"/>
        <w:jc w:val="both"/>
        <w:rPr>
          <w:rFonts w:ascii="Times New Roman" w:hAnsi="Times New Roman"/>
        </w:rPr>
      </w:pPr>
      <w:r w:rsidRPr="00A10137">
        <w:rPr>
          <w:rFonts w:ascii="Times New Roman" w:hAnsi="Times New Roman"/>
        </w:rPr>
        <w:t xml:space="preserve">"There is no evidence as to [Mr Farrugia's] instructions to his solicitor and barrister, and no evidence as to the discussions between Mr Farrugia, his solicitor and senior counsel as to what [Mr Farrugia] said about his role, and what submissions were to be made in relation to his role and objective criminality relative to Mr </w:t>
      </w:r>
      <w:proofErr w:type="spellStart"/>
      <w:r w:rsidRPr="00A10137">
        <w:rPr>
          <w:rFonts w:ascii="Times New Roman" w:hAnsi="Times New Roman"/>
        </w:rPr>
        <w:t>Kanmaz</w:t>
      </w:r>
      <w:proofErr w:type="spellEnd"/>
      <w:r w:rsidRPr="00A10137">
        <w:rPr>
          <w:rFonts w:ascii="Times New Roman" w:hAnsi="Times New Roman"/>
        </w:rPr>
        <w:t xml:space="preserve"> or otherwise. There is no evidence of the advice provided by counsel and nothing to suggest that [Mr Farrugia] was not provided with advice as to his representation."</w:t>
      </w:r>
    </w:p>
    <w:p w14:paraId="0C19E006"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In this Court, Senior Counsel for Mr Farrugia (who was a different counsel from his sentencing hearing) submitted that a potential conflict of duty arose "[a]t the very outset of the sentencing proceeding" due to the "potential for differences between views of available arguments ... arguments [that] have the potential to go in opposite directions". This potential conflict of duty was said to arise in any case where multiple clients are represented jointly unless there was a "sufficient and obvious difference" which made relative culpability "unarguable". </w:t>
      </w:r>
    </w:p>
    <w:p w14:paraId="57B3F11D"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Nevertheless, perhaps due to the difficulty that there may be no practical injustice if a potential conflict of duty does not manifest as an actual conflict of duty, Senior Counsel for Mr Farrugia accepted that the practical injustice of Mr</w:t>
      </w:r>
      <w:r>
        <w:rPr>
          <w:rFonts w:ascii="Times New Roman" w:hAnsi="Times New Roman"/>
        </w:rPr>
        <w:t> </w:t>
      </w:r>
      <w:r w:rsidRPr="00A10137">
        <w:rPr>
          <w:rFonts w:ascii="Times New Roman" w:hAnsi="Times New Roman"/>
        </w:rPr>
        <w:t>Farrugia's case lay in the failure to make (or adopt) the submission that was "broadly articulated" in the written submissions of the Crown concerning relative culpability. The vitiation of the exercise of the sentencing discretion, as alleged in this Court, was therefore one of a potential conflict of duties that became an actual conflict of duties.</w:t>
      </w:r>
    </w:p>
    <w:p w14:paraId="2D35C273" w14:textId="77777777" w:rsidR="005B483D" w:rsidRPr="00A10137" w:rsidRDefault="005B483D" w:rsidP="00A10137">
      <w:pPr>
        <w:pStyle w:val="HeadingL1"/>
        <w:spacing w:after="260" w:line="280" w:lineRule="exact"/>
        <w:ind w:right="0"/>
        <w:jc w:val="both"/>
        <w:rPr>
          <w:rFonts w:ascii="Times New Roman" w:hAnsi="Times New Roman"/>
        </w:rPr>
      </w:pPr>
      <w:r w:rsidRPr="00A10137">
        <w:rPr>
          <w:rFonts w:ascii="Times New Roman" w:hAnsi="Times New Roman"/>
        </w:rPr>
        <w:lastRenderedPageBreak/>
        <w:t>Counsel's obligations to avoid potential and actual conflicts of duty to a client</w:t>
      </w:r>
    </w:p>
    <w:p w14:paraId="02717240" w14:textId="77777777" w:rsidR="005B483D" w:rsidRPr="00A10137" w:rsidRDefault="005B483D" w:rsidP="00A10137">
      <w:pPr>
        <w:pStyle w:val="HeadingL2"/>
        <w:spacing w:after="260" w:line="280" w:lineRule="exact"/>
        <w:ind w:right="0"/>
        <w:jc w:val="both"/>
        <w:rPr>
          <w:rFonts w:ascii="Times New Roman" w:hAnsi="Times New Roman"/>
        </w:rPr>
      </w:pPr>
      <w:r w:rsidRPr="00A10137">
        <w:rPr>
          <w:rFonts w:ascii="Times New Roman" w:hAnsi="Times New Roman"/>
        </w:rPr>
        <w:t xml:space="preserve">Two different obligations </w:t>
      </w:r>
    </w:p>
    <w:p w14:paraId="5538A4C4"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i/>
          <w:iCs/>
        </w:rPr>
        <w:tab/>
      </w:r>
      <w:r w:rsidRPr="00A10137">
        <w:rPr>
          <w:rFonts w:ascii="Times New Roman" w:hAnsi="Times New Roman"/>
        </w:rPr>
        <w:t>Where an alleged or apparent conflict is identified between a principal's duties to two or more persons, it is necessary to identify the scope of those duties to determine whether the principal has a potential conflict or an actual conflict in breach of their obligations. There are two relevant obligations: (</w:t>
      </w:r>
      <w:proofErr w:type="spellStart"/>
      <w:r w:rsidRPr="00A10137">
        <w:rPr>
          <w:rFonts w:ascii="Times New Roman" w:hAnsi="Times New Roman"/>
        </w:rPr>
        <w:t>i</w:t>
      </w:r>
      <w:proofErr w:type="spellEnd"/>
      <w:r w:rsidRPr="00A10137">
        <w:rPr>
          <w:rFonts w:ascii="Times New Roman" w:hAnsi="Times New Roman"/>
        </w:rPr>
        <w:t>) an obligation upon a person not to place themself in a position of potential conflict of duty and duty; and (ii) an obligation upon a person not to act in a position of actual conflict of duty and duty. The distinction between those obligations has been cogently explained as follows:</w:t>
      </w:r>
      <w:r w:rsidRPr="00A10137">
        <w:rPr>
          <w:rStyle w:val="FootnoteReference"/>
          <w:rFonts w:ascii="Times New Roman" w:hAnsi="Times New Roman"/>
          <w:sz w:val="24"/>
        </w:rPr>
        <w:footnoteReference w:id="114"/>
      </w:r>
    </w:p>
    <w:p w14:paraId="7915D0CA" w14:textId="77777777" w:rsidR="005B483D" w:rsidRDefault="005B483D" w:rsidP="00A10137">
      <w:pPr>
        <w:pStyle w:val="LRIndentafterHC"/>
        <w:spacing w:before="0" w:after="260" w:line="280" w:lineRule="exact"/>
        <w:ind w:right="0"/>
        <w:jc w:val="both"/>
        <w:rPr>
          <w:rFonts w:ascii="Times New Roman" w:hAnsi="Times New Roman"/>
        </w:rPr>
      </w:pPr>
      <w:r w:rsidRPr="00A10137">
        <w:rPr>
          <w:rFonts w:ascii="Times New Roman" w:hAnsi="Times New Roman"/>
        </w:rPr>
        <w:t>"Generally, conflicts of [duty] are easier to tolerate when they are 'potential' rather than 'actual'. A conflict of [duty] is potential if and only if P has a conflict of [duty] with respect to a certain judgment but is not yet in a situation in which [they] must make that judgment. Potential conflicts of [duty], like time bombs, may or may not go off. A conflict of [duty] is actual if and only if P has a conflict of [duty] with respect to a certain judgment and is in a situation in which [they] must make that judgment."</w:t>
      </w:r>
    </w:p>
    <w:p w14:paraId="54F7C134" w14:textId="77777777" w:rsidR="005B483D" w:rsidRPr="00A10137" w:rsidRDefault="005B483D" w:rsidP="00A10137">
      <w:pPr>
        <w:pStyle w:val="HeadingL2"/>
        <w:spacing w:after="260" w:line="280" w:lineRule="exact"/>
        <w:ind w:right="0"/>
        <w:jc w:val="both"/>
        <w:rPr>
          <w:rFonts w:ascii="Times New Roman" w:hAnsi="Times New Roman"/>
        </w:rPr>
      </w:pPr>
      <w:r w:rsidRPr="00A10137">
        <w:rPr>
          <w:rFonts w:ascii="Times New Roman" w:hAnsi="Times New Roman"/>
        </w:rPr>
        <w:t>The sources and types of conflict obligations owed to a client</w:t>
      </w:r>
    </w:p>
    <w:p w14:paraId="3FBBD06A"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The issues raised by the parties before this Court concern only whether conduct in breach of either of the conflict obligations discussed above vitiated the exercise of sentencing discretion because the conduct could realistically have had an effect upon a process of reasoning in the sentencing of Mr Farrugia. In this case, involving procedure in New South Wales, there are two different sources and types of relevant conflict obligations which can have different content. </w:t>
      </w:r>
    </w:p>
    <w:p w14:paraId="23375B42" w14:textId="77777777" w:rsidR="005B483D" w:rsidRPr="00A10137" w:rsidRDefault="005B483D" w:rsidP="00A10137">
      <w:pPr>
        <w:pStyle w:val="HeadingL3"/>
        <w:spacing w:after="260" w:line="280" w:lineRule="exact"/>
        <w:ind w:right="0"/>
        <w:jc w:val="both"/>
        <w:rPr>
          <w:rFonts w:ascii="Times New Roman" w:hAnsi="Times New Roman"/>
        </w:rPr>
      </w:pPr>
      <w:r w:rsidRPr="00A10137">
        <w:rPr>
          <w:rFonts w:ascii="Times New Roman" w:hAnsi="Times New Roman"/>
        </w:rPr>
        <w:t>Assumed obligations recognised at general law</w:t>
      </w:r>
    </w:p>
    <w:p w14:paraId="1DB4CA45"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The first type of conflict obligations is obligations that are assumed by a principal, and recognised in equity. Rule 7 of the </w:t>
      </w:r>
      <w:r w:rsidRPr="00A10137">
        <w:rPr>
          <w:rFonts w:ascii="Times New Roman" w:hAnsi="Times New Roman"/>
          <w:i/>
          <w:iCs/>
        </w:rPr>
        <w:t xml:space="preserve">Legal Profession Uniform Conduct (Barristers) Rules </w:t>
      </w:r>
      <w:r w:rsidRPr="00A10137">
        <w:rPr>
          <w:rFonts w:ascii="Times New Roman" w:hAnsi="Times New Roman"/>
        </w:rPr>
        <w:t xml:space="preserve">expressly preserves rules that arise from the general law, which includes equity. The equitable obligations are based upon what a principal undertakes and assumes responsibility to do. A principal who is a legal counsel and who accepts a brief to act for a client is often described, at a high level of generality, as having undertaken to act in the best interests of the client. However, "[t]he duty of loyalty is not a duty in the air. It is attached to the </w:t>
      </w:r>
      <w:r w:rsidRPr="00A10137">
        <w:rPr>
          <w:rFonts w:ascii="Times New Roman" w:hAnsi="Times New Roman"/>
        </w:rPr>
        <w:lastRenderedPageBreak/>
        <w:t>obligations the lawyer has undertaken pursuant to the retainer."</w:t>
      </w:r>
      <w:r w:rsidRPr="00A10137">
        <w:rPr>
          <w:rStyle w:val="FootnoteReference"/>
          <w:rFonts w:ascii="Times New Roman" w:hAnsi="Times New Roman"/>
          <w:sz w:val="24"/>
        </w:rPr>
        <w:footnoteReference w:id="115"/>
      </w:r>
      <w:r w:rsidRPr="00A10137">
        <w:rPr>
          <w:rFonts w:ascii="Times New Roman" w:hAnsi="Times New Roman"/>
        </w:rPr>
        <w:t xml:space="preserve"> The precise content of counsel's undertaking, and the duties that it involves, can be inferred from the common nature of a relationship between counsel and client based upon the matters that, "in general, [the client] is entitled to expect".</w:t>
      </w:r>
      <w:r w:rsidRPr="00A10137">
        <w:rPr>
          <w:rStyle w:val="FootnoteReference"/>
          <w:rFonts w:ascii="Times New Roman" w:hAnsi="Times New Roman"/>
          <w:sz w:val="24"/>
        </w:rPr>
        <w:footnoteReference w:id="116"/>
      </w:r>
      <w:r w:rsidRPr="00A10137">
        <w:rPr>
          <w:rFonts w:ascii="Times New Roman" w:hAnsi="Times New Roman"/>
        </w:rPr>
        <w:t xml:space="preserve"> The undertaking will rarely involve a strict duty for counsel to </w:t>
      </w:r>
      <w:r w:rsidRPr="00A10137">
        <w:rPr>
          <w:rFonts w:ascii="Times New Roman" w:hAnsi="Times New Roman"/>
          <w:i/>
          <w:iCs/>
        </w:rPr>
        <w:t>ensure</w:t>
      </w:r>
      <w:r w:rsidRPr="00A10137">
        <w:rPr>
          <w:rFonts w:ascii="Times New Roman" w:hAnsi="Times New Roman"/>
        </w:rPr>
        <w:t xml:space="preserve"> that they act solely in the best interests of the client,</w:t>
      </w:r>
      <w:r w:rsidRPr="00A10137">
        <w:rPr>
          <w:rStyle w:val="FootnoteReference"/>
          <w:rFonts w:ascii="Times New Roman" w:hAnsi="Times New Roman"/>
          <w:sz w:val="24"/>
        </w:rPr>
        <w:footnoteReference w:id="117"/>
      </w:r>
      <w:r w:rsidRPr="00A10137">
        <w:rPr>
          <w:rFonts w:ascii="Times New Roman" w:hAnsi="Times New Roman"/>
        </w:rPr>
        <w:t xml:space="preserve"> although the undertaking will generally involve a non-fiduciary duty, with the same content as other duties of care undertaken at common law,</w:t>
      </w:r>
      <w:r w:rsidRPr="00A10137">
        <w:rPr>
          <w:rStyle w:val="FootnoteReference"/>
          <w:rFonts w:ascii="Times New Roman" w:hAnsi="Times New Roman"/>
          <w:sz w:val="24"/>
        </w:rPr>
        <w:footnoteReference w:id="118"/>
      </w:r>
      <w:r w:rsidRPr="00A10137">
        <w:rPr>
          <w:rFonts w:ascii="Times New Roman" w:hAnsi="Times New Roman"/>
        </w:rPr>
        <w:t xml:space="preserve"> to make a reasonable attempt to pursue the best interests of the client based on the client's instructions.</w:t>
      </w:r>
      <w:r w:rsidRPr="00A10137">
        <w:rPr>
          <w:rStyle w:val="FootnoteReference"/>
          <w:rFonts w:ascii="Times New Roman" w:hAnsi="Times New Roman"/>
          <w:sz w:val="24"/>
        </w:rPr>
        <w:footnoteReference w:id="119"/>
      </w:r>
      <w:r w:rsidRPr="00A10137">
        <w:rPr>
          <w:rFonts w:ascii="Times New Roman" w:hAnsi="Times New Roman"/>
        </w:rPr>
        <w:t xml:space="preserve"> The fiduciary duties that are encompassed within what is sometimes described at a high level of generality as a duty of loyalty</w:t>
      </w:r>
      <w:r w:rsidRPr="00A10137">
        <w:rPr>
          <w:rStyle w:val="FootnoteReference"/>
          <w:rFonts w:ascii="Times New Roman" w:hAnsi="Times New Roman"/>
          <w:sz w:val="24"/>
        </w:rPr>
        <w:footnoteReference w:id="120"/>
      </w:r>
      <w:r w:rsidRPr="00A10137">
        <w:rPr>
          <w:rFonts w:ascii="Times New Roman" w:hAnsi="Times New Roman"/>
        </w:rPr>
        <w:t xml:space="preserve"> are more precisely expressed as including fiduciary duties not to profit from the relationship and not to act in a position of potential or actual conflict.</w:t>
      </w:r>
      <w:r w:rsidRPr="00A10137">
        <w:rPr>
          <w:rStyle w:val="FootnoteReference"/>
          <w:rFonts w:ascii="Times New Roman" w:hAnsi="Times New Roman"/>
          <w:sz w:val="24"/>
        </w:rPr>
        <w:footnoteReference w:id="121"/>
      </w:r>
      <w:r w:rsidRPr="00A10137">
        <w:rPr>
          <w:rFonts w:ascii="Times New Roman" w:hAnsi="Times New Roman"/>
        </w:rPr>
        <w:t xml:space="preserve"> </w:t>
      </w:r>
    </w:p>
    <w:p w14:paraId="3BC083FF" w14:textId="77777777" w:rsidR="005B483D" w:rsidRPr="00A10137" w:rsidRDefault="005B483D" w:rsidP="00A10137">
      <w:pPr>
        <w:pStyle w:val="HeadingL3"/>
        <w:spacing w:after="260" w:line="280" w:lineRule="exact"/>
        <w:ind w:right="0"/>
        <w:jc w:val="both"/>
        <w:rPr>
          <w:rFonts w:ascii="Times New Roman" w:hAnsi="Times New Roman"/>
        </w:rPr>
      </w:pPr>
      <w:r w:rsidRPr="00A10137">
        <w:rPr>
          <w:rFonts w:ascii="Times New Roman" w:hAnsi="Times New Roman"/>
        </w:rPr>
        <w:lastRenderedPageBreak/>
        <w:t xml:space="preserve">Imposed obligations </w:t>
      </w:r>
    </w:p>
    <w:p w14:paraId="639499B0"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The second type of obligations concerning conflicts of duty is those imposed by law, independently of an assumption of responsibility undertaken by the principal. The source of those imposed obligations in this case is legislative.</w:t>
      </w:r>
      <w:r w:rsidRPr="00A10137">
        <w:rPr>
          <w:rStyle w:val="FootnoteReference"/>
          <w:rFonts w:ascii="Times New Roman" w:hAnsi="Times New Roman"/>
          <w:sz w:val="24"/>
        </w:rPr>
        <w:footnoteReference w:id="122"/>
      </w:r>
      <w:r w:rsidRPr="00A10137">
        <w:rPr>
          <w:rFonts w:ascii="Times New Roman" w:hAnsi="Times New Roman"/>
        </w:rPr>
        <w:t xml:space="preserve"> It is unnecessary in this case to explore the extent to which these legislative obligations reflect imposed obligations at general law. As to the obligation concerning potential conflicts, r 119 of the </w:t>
      </w:r>
      <w:r w:rsidRPr="00A10137">
        <w:rPr>
          <w:rFonts w:ascii="Times New Roman" w:hAnsi="Times New Roman"/>
          <w:i/>
          <w:iCs/>
        </w:rPr>
        <w:t xml:space="preserve">Legal Profession Uniform Conduct (Barristers) Rules </w:t>
      </w:r>
      <w:r w:rsidRPr="00A10137">
        <w:rPr>
          <w:rFonts w:ascii="Times New Roman" w:hAnsi="Times New Roman"/>
        </w:rPr>
        <w:t>provides that a "barrister who is briefed to appear for two or more parties in any case must determine as soon as possible whether the interests of the clients may, as a real possibility, conflict" and "if so" the barrister must return all briefs in cases of confidentiality or otherwise return the brief for one or more of the clients "so as to remove that possibility of conflict". This rule contains two obligations. The first is an obligation upon a barrister to consider, as soon as possible, whether there is a potential conflict (a "real possibility" of conflict) of duty and duty. But a barrister does not satisfy r 119 simply by prompt and good faith consideration. There is a further obligation, where a real possibility of conflict of duty and duty arises, for the barrister to return the brief for one or more clients.</w:t>
      </w:r>
      <w:r w:rsidRPr="00A10137">
        <w:rPr>
          <w:rStyle w:val="FootnoteReference"/>
          <w:rFonts w:ascii="Times New Roman" w:hAnsi="Times New Roman"/>
          <w:sz w:val="24"/>
        </w:rPr>
        <w:footnoteReference w:id="123"/>
      </w:r>
      <w:r w:rsidRPr="00A10137">
        <w:rPr>
          <w:rFonts w:ascii="Times New Roman" w:hAnsi="Times New Roman"/>
        </w:rPr>
        <w:t xml:space="preserve"> </w:t>
      </w:r>
    </w:p>
    <w:p w14:paraId="56D8DCC9"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The obligations concerning conflicts created by the </w:t>
      </w:r>
      <w:r w:rsidRPr="00A10137">
        <w:rPr>
          <w:rFonts w:ascii="Times New Roman" w:hAnsi="Times New Roman"/>
          <w:i/>
          <w:iCs/>
        </w:rPr>
        <w:t>Legal Profession Uniform Conduct (Barristers) Rules</w:t>
      </w:r>
      <w:r w:rsidRPr="00A10137">
        <w:rPr>
          <w:rFonts w:ascii="Times New Roman" w:hAnsi="Times New Roman"/>
        </w:rPr>
        <w:t xml:space="preserve"> are not co-extensive with any assumption of responsibility by counsel. The duties exist independently of those which are expressly or impliedly assumed and are, in that sense, imposed by law.</w:t>
      </w:r>
      <w:r w:rsidRPr="00A10137">
        <w:rPr>
          <w:rStyle w:val="FootnoteReference"/>
          <w:rFonts w:ascii="Times New Roman" w:hAnsi="Times New Roman"/>
          <w:sz w:val="24"/>
        </w:rPr>
        <w:footnoteReference w:id="124"/>
      </w:r>
      <w:r w:rsidRPr="00A10137">
        <w:rPr>
          <w:rFonts w:ascii="Times New Roman" w:hAnsi="Times New Roman"/>
        </w:rPr>
        <w:t xml:space="preserve"> Moreover, the duties are public duties owed by counsel to the court, not private duties owed to the client which are entirely shaped by instructions from the client.</w:t>
      </w:r>
      <w:r w:rsidRPr="00A10137">
        <w:rPr>
          <w:rStyle w:val="FootnoteReference"/>
          <w:rFonts w:ascii="Times New Roman" w:hAnsi="Times New Roman"/>
          <w:sz w:val="24"/>
        </w:rPr>
        <w:footnoteReference w:id="125"/>
      </w:r>
      <w:r w:rsidRPr="00A10137">
        <w:rPr>
          <w:rFonts w:ascii="Times New Roman" w:hAnsi="Times New Roman"/>
        </w:rPr>
        <w:t xml:space="preserve"> Although instructions from a client will have a role in ascertaining the extent of counsel's obligations, there are limits to client autonomy.</w:t>
      </w:r>
      <w:r w:rsidRPr="00A10137">
        <w:rPr>
          <w:rStyle w:val="FootnoteReference"/>
          <w:rFonts w:ascii="Times New Roman" w:hAnsi="Times New Roman"/>
          <w:sz w:val="24"/>
        </w:rPr>
        <w:footnoteReference w:id="126"/>
      </w:r>
      <w:r w:rsidRPr="00A10137">
        <w:rPr>
          <w:rFonts w:ascii="Times New Roman" w:hAnsi="Times New Roman"/>
        </w:rPr>
        <w:t xml:space="preserve"> A court would be entitled to assume, for instance, that counsel acting for a client in a sentencing hearing was not making submissions in accordance with instructions to obtain the highest possible penalty for their client.  </w:t>
      </w:r>
    </w:p>
    <w:p w14:paraId="589B01C8"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As to the obligation concerning actual conflicts, r 35 of the </w:t>
      </w:r>
      <w:r w:rsidRPr="00A10137">
        <w:rPr>
          <w:rFonts w:ascii="Times New Roman" w:hAnsi="Times New Roman"/>
          <w:i/>
          <w:iCs/>
        </w:rPr>
        <w:t>Legal Profession Uniform Conduct (Barristers) Rules</w:t>
      </w:r>
      <w:r w:rsidRPr="00A10137">
        <w:rPr>
          <w:rFonts w:ascii="Times New Roman" w:hAnsi="Times New Roman"/>
        </w:rPr>
        <w:t xml:space="preserve"> provides that a "barrister must promote and </w:t>
      </w:r>
      <w:r w:rsidRPr="00A10137">
        <w:rPr>
          <w:rFonts w:ascii="Times New Roman" w:hAnsi="Times New Roman"/>
        </w:rPr>
        <w:lastRenderedPageBreak/>
        <w:t>protect fearlessly and by all proper and lawful means the client's best interests to the best of the barrister's skill and diligence, and do so without regard to his or her own interest or to any consequences to the barrister or to any other person". An actual conflict of duty breaches r 35 where the promotion of one client's best interests to the best of the barrister's skill and diligence is inconsistent with the promotion, in the same way, of the best interests of "any other person" (any other client).</w:t>
      </w:r>
    </w:p>
    <w:p w14:paraId="4DA02BAC" w14:textId="77777777" w:rsidR="005B483D" w:rsidRPr="00A10137" w:rsidRDefault="005B483D" w:rsidP="00A10137">
      <w:pPr>
        <w:pStyle w:val="HeadingL2"/>
        <w:spacing w:after="260" w:line="280" w:lineRule="exact"/>
        <w:ind w:right="0"/>
        <w:jc w:val="both"/>
        <w:rPr>
          <w:rFonts w:ascii="Times New Roman" w:hAnsi="Times New Roman"/>
        </w:rPr>
      </w:pPr>
      <w:r w:rsidRPr="00A10137">
        <w:rPr>
          <w:rFonts w:ascii="Times New Roman" w:hAnsi="Times New Roman"/>
        </w:rPr>
        <w:t xml:space="preserve">Obligations concerning conflicts at general law (equity) are determined by the scope of the principal's undertakings </w:t>
      </w:r>
    </w:p>
    <w:p w14:paraId="14B85368"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A preliminary step in all instances of obligations concerning conflicts is to identify the terms and scope of the duties that are said to be in potential or actual conflict. Where those duties depend upon an assumption of responsibility by an undertaking, such as in relationships of counsel and client, the terms and scope of the undertaking made by counsel must be identified. This requires consideration of the instructions given by the client (usually through a solicitor). Hence, the necessity for the "conflicting duty ... [to] be identified" requires identification with "specificity [of] the existence of any prior or concurrent engagement or undertaking".</w:t>
      </w:r>
      <w:r w:rsidRPr="00A10137">
        <w:rPr>
          <w:rStyle w:val="FootnoteReference"/>
          <w:rFonts w:ascii="Times New Roman" w:hAnsi="Times New Roman"/>
          <w:sz w:val="24"/>
        </w:rPr>
        <w:footnoteReference w:id="127"/>
      </w:r>
      <w:r w:rsidRPr="00A10137">
        <w:rPr>
          <w:rFonts w:ascii="Times New Roman" w:hAnsi="Times New Roman"/>
        </w:rPr>
        <w:t xml:space="preserve"> </w:t>
      </w:r>
    </w:p>
    <w:p w14:paraId="7E648229"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The basic role of a principal's undertaking </w:t>
      </w:r>
      <w:r>
        <w:rPr>
          <w:rFonts w:ascii="Times New Roman" w:hAnsi="Times New Roman"/>
        </w:rPr>
        <w:t>in</w:t>
      </w:r>
      <w:r w:rsidRPr="00A10137">
        <w:rPr>
          <w:rFonts w:ascii="Times New Roman" w:hAnsi="Times New Roman"/>
        </w:rPr>
        <w:t xml:space="preserve"> determin</w:t>
      </w:r>
      <w:r>
        <w:rPr>
          <w:rFonts w:ascii="Times New Roman" w:hAnsi="Times New Roman"/>
        </w:rPr>
        <w:t>ing</w:t>
      </w:r>
      <w:r w:rsidRPr="00A10137">
        <w:rPr>
          <w:rFonts w:ascii="Times New Roman" w:hAnsi="Times New Roman"/>
        </w:rPr>
        <w:t xml:space="preserve"> the scope of the duties owed in these cases can be illustrated by simple examples from well-known fiduciary relationships. For instance, where an undertaking in a trust deed requires a trustee to make a gift of trust funds to a third party, the trustee will have no potential conflict between that duty to the third party and the trustee's duty to beneficiaries.</w:t>
      </w:r>
      <w:r w:rsidRPr="00A10137">
        <w:rPr>
          <w:rStyle w:val="FootnoteReference"/>
          <w:rFonts w:ascii="Times New Roman" w:hAnsi="Times New Roman"/>
          <w:sz w:val="24"/>
        </w:rPr>
        <w:footnoteReference w:id="128"/>
      </w:r>
      <w:r w:rsidRPr="00A10137">
        <w:rPr>
          <w:rFonts w:ascii="Times New Roman" w:hAnsi="Times New Roman"/>
        </w:rPr>
        <w:t xml:space="preserve"> So too, where a person undertakes to act as a company director in a contract of engagement which expressly or impliedly (including by generally accepted practice</w:t>
      </w:r>
      <w:r w:rsidRPr="00A10137">
        <w:rPr>
          <w:rStyle w:val="FootnoteReference"/>
          <w:rFonts w:ascii="Times New Roman" w:hAnsi="Times New Roman"/>
          <w:sz w:val="24"/>
        </w:rPr>
        <w:footnoteReference w:id="129"/>
      </w:r>
      <w:r w:rsidRPr="00A10137">
        <w:rPr>
          <w:rFonts w:ascii="Times New Roman" w:hAnsi="Times New Roman"/>
        </w:rPr>
        <w:t>) permits that person to serve on the board of a rival company, no conflict arises from that service for the rival company within the terms of the undertaking. That is why it is commonly said that merely acting as a director for a rival company is not a breach of fiduciary duty.</w:t>
      </w:r>
      <w:r w:rsidRPr="00A10137">
        <w:rPr>
          <w:rStyle w:val="FootnoteReference"/>
          <w:rFonts w:ascii="Times New Roman" w:hAnsi="Times New Roman"/>
          <w:sz w:val="24"/>
        </w:rPr>
        <w:footnoteReference w:id="130"/>
      </w:r>
      <w:r w:rsidRPr="00A10137">
        <w:rPr>
          <w:rFonts w:ascii="Times New Roman" w:hAnsi="Times New Roman"/>
        </w:rPr>
        <w:t xml:space="preserve"> So too, the terms and scope of </w:t>
      </w:r>
      <w:r w:rsidRPr="00A10137">
        <w:rPr>
          <w:rFonts w:ascii="Times New Roman" w:hAnsi="Times New Roman"/>
        </w:rPr>
        <w:lastRenderedPageBreak/>
        <w:t>the undertaking by counsel to act for a client are an essential consideration in the identification of potential or actual conflict.</w:t>
      </w:r>
      <w:r w:rsidRPr="00A10137">
        <w:rPr>
          <w:rStyle w:val="FootnoteReference"/>
          <w:rFonts w:ascii="Times New Roman" w:hAnsi="Times New Roman"/>
          <w:sz w:val="24"/>
        </w:rPr>
        <w:footnoteReference w:id="131"/>
      </w:r>
    </w:p>
    <w:p w14:paraId="70E266BD"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An example of a case in which no potential conflict arose from the terms of counsel's undertaking in the course of joint representation is the decision of the Privy Council in </w:t>
      </w:r>
      <w:r w:rsidRPr="00A10137">
        <w:rPr>
          <w:rFonts w:ascii="Times New Roman" w:hAnsi="Times New Roman"/>
          <w:i/>
          <w:iCs/>
        </w:rPr>
        <w:t>Mills v The Queen.</w:t>
      </w:r>
      <w:r w:rsidRPr="00A10137">
        <w:rPr>
          <w:rStyle w:val="FootnoteReference"/>
          <w:rFonts w:ascii="Times New Roman" w:hAnsi="Times New Roman"/>
          <w:sz w:val="24"/>
        </w:rPr>
        <w:footnoteReference w:id="132"/>
      </w:r>
      <w:r w:rsidRPr="00A10137">
        <w:rPr>
          <w:rFonts w:ascii="Times New Roman" w:hAnsi="Times New Roman"/>
          <w:i/>
          <w:iCs/>
        </w:rPr>
        <w:t xml:space="preserve"> </w:t>
      </w:r>
      <w:r w:rsidRPr="00A10137">
        <w:rPr>
          <w:rFonts w:ascii="Times New Roman" w:hAnsi="Times New Roman"/>
        </w:rPr>
        <w:t>In that case, counsel represented a father and his three sons, who were all accused of the murder of a man who had been killed by a group of men armed with machetes. A central issue was identification. One of the sons was alleged to have admitted to the police that he struck the victim after being provoked and was alleged to have invited the police to speak to another of the sons. There may have been potential for a conflict of duty for counsel representing all four men if one or more of the men blamed one or more of the others. But, on the assumption that the undertaking of counsel, based on instructions, was concerned only with making submissions on issues raising a common interest in the central issue of identification, their Lordships concluded that there was no potential conflict of duty.</w:t>
      </w:r>
      <w:r w:rsidRPr="00A10137">
        <w:rPr>
          <w:rStyle w:val="FootnoteReference"/>
          <w:rFonts w:ascii="Times New Roman" w:hAnsi="Times New Roman"/>
          <w:sz w:val="24"/>
        </w:rPr>
        <w:footnoteReference w:id="133"/>
      </w:r>
    </w:p>
    <w:p w14:paraId="388C46A3"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An example of a case where the opposite result was reached and a conviction quashed due to an actual conflict is the decision of the Supreme Court of the United States in </w:t>
      </w:r>
      <w:r w:rsidRPr="00A10137">
        <w:rPr>
          <w:rFonts w:ascii="Times New Roman" w:hAnsi="Times New Roman"/>
          <w:i/>
          <w:iCs/>
        </w:rPr>
        <w:t>Holloway v Arkansas</w:t>
      </w:r>
      <w:r w:rsidRPr="00A10137">
        <w:rPr>
          <w:rFonts w:ascii="Times New Roman" w:hAnsi="Times New Roman"/>
        </w:rPr>
        <w:t>.</w:t>
      </w:r>
      <w:r w:rsidRPr="00A10137">
        <w:rPr>
          <w:rStyle w:val="FootnoteReference"/>
          <w:rFonts w:ascii="Times New Roman" w:hAnsi="Times New Roman"/>
          <w:sz w:val="24"/>
        </w:rPr>
        <w:footnoteReference w:id="134"/>
      </w:r>
      <w:r w:rsidRPr="00A10137">
        <w:rPr>
          <w:rFonts w:ascii="Times New Roman" w:hAnsi="Times New Roman"/>
          <w:i/>
          <w:iCs/>
        </w:rPr>
        <w:t xml:space="preserve"> </w:t>
      </w:r>
      <w:r w:rsidRPr="00A10137">
        <w:rPr>
          <w:rFonts w:ascii="Times New Roman" w:hAnsi="Times New Roman"/>
        </w:rPr>
        <w:t>That case concerned the robbery of a restaurant during which two women were raped. The prosecution in that case charged each of the three accused men with one count of robbery and with two counts of rape. A central aspect of the prosecution case concerned identification evidence. Despite an obvious potential for cut-throat defences, the trial judge did not appoint separate counsel for the three accused men. When counsel was appointed to represent all three men, the counsel filed a motion seeking separate representation due to a potential conflict of duty arising from his instructions. As it turned out, the potential conflict became an actual conflict. As counsel explained to the trial judge, "[t]his conflict will probably be now coming up since each one of [the three accused men] wants to testify".</w:t>
      </w:r>
      <w:r w:rsidRPr="00A10137">
        <w:rPr>
          <w:rStyle w:val="FootnoteReference"/>
          <w:rFonts w:ascii="Times New Roman" w:hAnsi="Times New Roman"/>
          <w:sz w:val="24"/>
        </w:rPr>
        <w:footnoteReference w:id="135"/>
      </w:r>
      <w:r w:rsidRPr="00A10137">
        <w:rPr>
          <w:rFonts w:ascii="Times New Roman" w:hAnsi="Times New Roman"/>
        </w:rPr>
        <w:t xml:space="preserve"> The Supreme Court did not need to resolve the question of "how strong a showing of conflict must be made, or how </w:t>
      </w:r>
      <w:r w:rsidRPr="00A10137">
        <w:rPr>
          <w:rFonts w:ascii="Times New Roman" w:hAnsi="Times New Roman"/>
        </w:rPr>
        <w:lastRenderedPageBreak/>
        <w:t>certain the reviewing court must be that the asserted conflict existed".</w:t>
      </w:r>
      <w:r w:rsidRPr="00A10137">
        <w:rPr>
          <w:rStyle w:val="FootnoteReference"/>
          <w:rFonts w:ascii="Times New Roman" w:hAnsi="Times New Roman"/>
          <w:sz w:val="24"/>
        </w:rPr>
        <w:footnoteReference w:id="136"/>
      </w:r>
      <w:r w:rsidRPr="00A10137">
        <w:rPr>
          <w:rFonts w:ascii="Times New Roman" w:hAnsi="Times New Roman"/>
        </w:rPr>
        <w:t xml:space="preserve"> The objection by counsel established the actual conflict by which the accused men had been deprived of the undertaken assistance of counsel. </w:t>
      </w:r>
    </w:p>
    <w:p w14:paraId="787EBD4B" w14:textId="77777777" w:rsidR="005B483D" w:rsidRPr="00A10137" w:rsidRDefault="005B483D" w:rsidP="00A10137">
      <w:pPr>
        <w:pStyle w:val="HeadingL2"/>
        <w:spacing w:after="260" w:line="280" w:lineRule="exact"/>
        <w:ind w:right="0"/>
        <w:jc w:val="both"/>
        <w:rPr>
          <w:rFonts w:ascii="Times New Roman" w:hAnsi="Times New Roman"/>
        </w:rPr>
      </w:pPr>
      <w:r w:rsidRPr="00A10137">
        <w:rPr>
          <w:rFonts w:ascii="Times New Roman" w:hAnsi="Times New Roman"/>
        </w:rPr>
        <w:t>Obligations concerning conflicts under legislation can extend beyond the scope of the principal's undertakings</w:t>
      </w:r>
    </w:p>
    <w:p w14:paraId="3130DD88"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 xml:space="preserve"> </w:t>
      </w:r>
      <w:r w:rsidRPr="00A10137">
        <w:rPr>
          <w:rFonts w:ascii="Times New Roman" w:hAnsi="Times New Roman"/>
        </w:rPr>
        <w:tab/>
        <w:t xml:space="preserve">Since the conflict obligations concerning multiple clients under </w:t>
      </w:r>
      <w:proofErr w:type="spellStart"/>
      <w:r w:rsidRPr="00A10137">
        <w:rPr>
          <w:rFonts w:ascii="Times New Roman" w:hAnsi="Times New Roman"/>
        </w:rPr>
        <w:t>rr</w:t>
      </w:r>
      <w:proofErr w:type="spellEnd"/>
      <w:r w:rsidRPr="00A10137">
        <w:rPr>
          <w:rFonts w:ascii="Times New Roman" w:hAnsi="Times New Roman"/>
        </w:rPr>
        <w:t xml:space="preserve"> 35 and 119 of the </w:t>
      </w:r>
      <w:r w:rsidRPr="00A10137">
        <w:rPr>
          <w:rFonts w:ascii="Times New Roman" w:hAnsi="Times New Roman"/>
          <w:i/>
          <w:iCs/>
        </w:rPr>
        <w:t xml:space="preserve">Legal Profession Uniform Conduct (Barristers) Rules </w:t>
      </w:r>
      <w:r w:rsidRPr="00A10137">
        <w:rPr>
          <w:rFonts w:ascii="Times New Roman" w:hAnsi="Times New Roman"/>
        </w:rPr>
        <w:t>are imposed by law, they can differ in scope from those that arise in equity from an assumption of responsibility. For instance, the obligation in r 35 to promote the client's "best interests" to the best of the barrister's skill and diligence applies "without regard to ... any consequences to ... any other person". A client's instructions to have regard to the consequences to any other person will not be conclusive of the scope of r</w:t>
      </w:r>
      <w:r>
        <w:rPr>
          <w:rFonts w:ascii="Times New Roman" w:hAnsi="Times New Roman"/>
        </w:rPr>
        <w:t> </w:t>
      </w:r>
      <w:r w:rsidRPr="00A10137">
        <w:rPr>
          <w:rFonts w:ascii="Times New Roman" w:hAnsi="Times New Roman"/>
        </w:rPr>
        <w:t xml:space="preserve">35. Although it will usually be in the best interests of a client for a barrister to follow the client's expressed intentions, r 35 is a public duty which is not necessarily satisfied by the barrister following whatever a client considers to be in the client's best interests. As Lord Reid said in </w:t>
      </w:r>
      <w:r w:rsidRPr="00A10137">
        <w:rPr>
          <w:rFonts w:ascii="Times New Roman" w:hAnsi="Times New Roman"/>
          <w:i/>
          <w:iCs/>
        </w:rPr>
        <w:t>Rondel v Worsley</w:t>
      </w:r>
      <w:r w:rsidRPr="00A10137">
        <w:rPr>
          <w:rFonts w:ascii="Times New Roman" w:hAnsi="Times New Roman"/>
        </w:rPr>
        <w:t>:</w:t>
      </w:r>
      <w:r w:rsidRPr="00A10137">
        <w:rPr>
          <w:rStyle w:val="FootnoteReference"/>
          <w:rFonts w:ascii="Times New Roman" w:hAnsi="Times New Roman"/>
          <w:sz w:val="24"/>
        </w:rPr>
        <w:footnoteReference w:id="137"/>
      </w:r>
    </w:p>
    <w:p w14:paraId="3AAF8AD7" w14:textId="77777777" w:rsidR="005B483D" w:rsidRDefault="005B483D" w:rsidP="00A10137">
      <w:pPr>
        <w:pStyle w:val="LeftrightafterHC"/>
        <w:spacing w:before="0" w:after="260" w:line="280" w:lineRule="exact"/>
        <w:ind w:right="0"/>
        <w:jc w:val="both"/>
        <w:rPr>
          <w:rFonts w:ascii="Times New Roman" w:hAnsi="Times New Roman"/>
        </w:rPr>
      </w:pPr>
      <w:r w:rsidRPr="00A10137">
        <w:rPr>
          <w:rFonts w:ascii="Times New Roman" w:hAnsi="Times New Roman"/>
        </w:rPr>
        <w:t xml:space="preserve">"as an officer of the court concerned in the administration of justice, [the barrister] has an overriding duty to the court, to the standards of [the] profession, and to the public, which may and often does lead to a conflict with [the] client's wishes or with what the client thinks are [their] personal interests". </w:t>
      </w:r>
    </w:p>
    <w:p w14:paraId="7B6E2B2D"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A number of other provisions of the </w:t>
      </w:r>
      <w:r w:rsidRPr="00A10137">
        <w:rPr>
          <w:rFonts w:ascii="Times New Roman" w:hAnsi="Times New Roman"/>
          <w:i/>
          <w:iCs/>
        </w:rPr>
        <w:t xml:space="preserve">Legal Profession Uniform Conduct (Barristers) Rules </w:t>
      </w:r>
      <w:r w:rsidRPr="00A10137">
        <w:rPr>
          <w:rFonts w:ascii="Times New Roman" w:hAnsi="Times New Roman"/>
        </w:rPr>
        <w:t xml:space="preserve">confirm that the content of r 35 is not co-extensive with what the client thinks are their best interests. Rule 42 provides that a barrister "must not act as the mere mouthpiece of the client or of the instructing solicitor and must exercise the forensic judgments called for during the case independently, after the appropriate consideration of the client's and the instructing solicitor's wishes where practicable". And r 23 confirms that the barrister's overriding duty is to "the court to act with independence in the interests of the administration of justice". </w:t>
      </w:r>
    </w:p>
    <w:p w14:paraId="4C7B4BB7"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Due to the scope of a similar imposed obligation for solicitors that a solicitor "must not act" where the clients' interests are adverse and there is a potential or actual conflict of the duties to act in the best interests of each client (subject to an exception for consent), McMurdo P counselled prudence in </w:t>
      </w:r>
      <w:r w:rsidRPr="00A10137">
        <w:rPr>
          <w:rFonts w:ascii="Times New Roman" w:hAnsi="Times New Roman"/>
          <w:i/>
          <w:iCs/>
        </w:rPr>
        <w:t>R v Pham</w:t>
      </w:r>
      <w:r w:rsidRPr="00A10137">
        <w:rPr>
          <w:rFonts w:ascii="Times New Roman" w:hAnsi="Times New Roman"/>
        </w:rPr>
        <w:t>:</w:t>
      </w:r>
      <w:r w:rsidRPr="00A10137">
        <w:rPr>
          <w:rStyle w:val="FootnoteReference"/>
          <w:rFonts w:ascii="Times New Roman" w:hAnsi="Times New Roman"/>
          <w:sz w:val="24"/>
        </w:rPr>
        <w:footnoteReference w:id="138"/>
      </w:r>
      <w:r w:rsidRPr="00A10137">
        <w:rPr>
          <w:rFonts w:ascii="Times New Roman" w:hAnsi="Times New Roman"/>
        </w:rPr>
        <w:t xml:space="preserve"> "[u]</w:t>
      </w:r>
      <w:proofErr w:type="spellStart"/>
      <w:r w:rsidRPr="00A10137">
        <w:rPr>
          <w:rFonts w:ascii="Times New Roman" w:hAnsi="Times New Roman"/>
        </w:rPr>
        <w:t>nless</w:t>
      </w:r>
      <w:proofErr w:type="spellEnd"/>
      <w:r w:rsidRPr="00A10137">
        <w:rPr>
          <w:rFonts w:ascii="Times New Roman" w:hAnsi="Times New Roman"/>
        </w:rPr>
        <w:t xml:space="preserve"> </w:t>
      </w:r>
      <w:r w:rsidRPr="00A10137">
        <w:rPr>
          <w:rFonts w:ascii="Times New Roman" w:hAnsi="Times New Roman"/>
        </w:rPr>
        <w:lastRenderedPageBreak/>
        <w:t xml:space="preserve">there is no possibility of a conflict existing or emerging, and such cases will be rare, co-defendants should have separate legal representation".    </w:t>
      </w:r>
    </w:p>
    <w:p w14:paraId="31149AC0" w14:textId="77777777" w:rsidR="005B483D" w:rsidRPr="00A10137" w:rsidRDefault="005B483D" w:rsidP="00A10137">
      <w:pPr>
        <w:pStyle w:val="HeadingL2"/>
        <w:spacing w:after="260" w:line="280" w:lineRule="exact"/>
        <w:ind w:right="0"/>
        <w:jc w:val="both"/>
        <w:rPr>
          <w:rFonts w:ascii="Times New Roman" w:hAnsi="Times New Roman"/>
        </w:rPr>
      </w:pPr>
      <w:r w:rsidRPr="00A10137">
        <w:rPr>
          <w:rFonts w:ascii="Times New Roman" w:hAnsi="Times New Roman"/>
        </w:rPr>
        <w:t>Onus of proof</w:t>
      </w:r>
    </w:p>
    <w:p w14:paraId="7E818778"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 xml:space="preserve"> </w:t>
      </w:r>
      <w:r w:rsidRPr="00A10137">
        <w:rPr>
          <w:rFonts w:ascii="Times New Roman" w:hAnsi="Times New Roman"/>
        </w:rPr>
        <w:tab/>
        <w:t>Unless legislation provides otherwise, the onus of proof to establish a potential or actual conflict, whether arising from an assumed or an imposed obligation, is upon the party who asserts that the potential or actual conflict exists. On the other hand, once a potential or actual conflict has been established, at general law the onus falls to the other party (here, the Crown) to establish that, in the circumstances of the breach by the principal by being in a position of potential or actual conflict, the client waived the conflict and "absolved" the principal by "the giving of fully informed consent".</w:t>
      </w:r>
      <w:r w:rsidRPr="00A10137">
        <w:rPr>
          <w:rStyle w:val="FootnoteReference"/>
          <w:rFonts w:ascii="Times New Roman" w:hAnsi="Times New Roman"/>
          <w:sz w:val="24"/>
        </w:rPr>
        <w:footnoteReference w:id="139"/>
      </w:r>
      <w:r w:rsidRPr="00A10137">
        <w:rPr>
          <w:rFonts w:ascii="Times New Roman" w:hAnsi="Times New Roman"/>
        </w:rPr>
        <w:t xml:space="preserve"> </w:t>
      </w:r>
    </w:p>
    <w:p w14:paraId="4A3710FC" w14:textId="77777777" w:rsidR="005B483D" w:rsidRPr="00A10137" w:rsidRDefault="005B483D" w:rsidP="00A10137">
      <w:pPr>
        <w:pStyle w:val="HeadingL2"/>
        <w:spacing w:after="260" w:line="280" w:lineRule="exact"/>
        <w:ind w:right="0"/>
        <w:jc w:val="both"/>
        <w:rPr>
          <w:rFonts w:ascii="Times New Roman" w:hAnsi="Times New Roman"/>
        </w:rPr>
      </w:pPr>
      <w:r w:rsidRPr="00A10137">
        <w:rPr>
          <w:rFonts w:ascii="Times New Roman" w:hAnsi="Times New Roman"/>
        </w:rPr>
        <w:t>When a breach of conflict obligations is material</w:t>
      </w:r>
    </w:p>
    <w:p w14:paraId="3D938045"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For an appeal against conviction under s 5(1)(a) or s 5(1)(b) of the </w:t>
      </w:r>
      <w:r w:rsidRPr="00A10137">
        <w:rPr>
          <w:rFonts w:ascii="Times New Roman" w:hAnsi="Times New Roman"/>
          <w:i/>
          <w:iCs/>
        </w:rPr>
        <w:t xml:space="preserve">Criminal Appeal Act 1912 </w:t>
      </w:r>
      <w:r w:rsidRPr="00A10137">
        <w:rPr>
          <w:rFonts w:ascii="Times New Roman" w:hAnsi="Times New Roman"/>
        </w:rPr>
        <w:t xml:space="preserve">(NSW), the common form provision in s 6(1) of the </w:t>
      </w:r>
      <w:r w:rsidRPr="00A10137">
        <w:rPr>
          <w:rFonts w:ascii="Times New Roman" w:hAnsi="Times New Roman"/>
          <w:i/>
          <w:iCs/>
        </w:rPr>
        <w:t>Criminal Appeal Act</w:t>
      </w:r>
      <w:r w:rsidRPr="00A10137">
        <w:rPr>
          <w:rFonts w:ascii="Times New Roman" w:hAnsi="Times New Roman"/>
        </w:rPr>
        <w:t xml:space="preserve"> recognises a difference between the lower threshold of materiality before allowing the appeal on the ground of an error of law or a miscarriage of justice and the higher threshold (unfortunately also sometimes described as "materiality") for the application of the proviso to s 6(1), which nevertheless permits the dismissal of the appeal if there has been no </w:t>
      </w:r>
      <w:r w:rsidRPr="00A10137">
        <w:rPr>
          <w:rFonts w:ascii="Times New Roman" w:hAnsi="Times New Roman"/>
          <w:i/>
          <w:iCs/>
        </w:rPr>
        <w:t>substantial</w:t>
      </w:r>
      <w:r w:rsidRPr="00A10137">
        <w:rPr>
          <w:rFonts w:ascii="Times New Roman" w:hAnsi="Times New Roman"/>
        </w:rPr>
        <w:t xml:space="preserve"> miscarriage of justice.</w:t>
      </w:r>
    </w:p>
    <w:p w14:paraId="5EACA00C"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Putting to one side those fundamental errors or irregularities which will always be substantial miscarriages of justice, an appellant must establish practical injustice in order to demonstrate an error of law or a miscarriage of justice within s 6(1). Establishing practical injustice requires the appellant to establish that the error or irregularity had the </w:t>
      </w:r>
      <w:r w:rsidRPr="00A10137">
        <w:rPr>
          <w:rFonts w:ascii="Times New Roman" w:hAnsi="Times New Roman"/>
          <w:i/>
          <w:iCs/>
        </w:rPr>
        <w:t>capacity</w:t>
      </w:r>
      <w:r w:rsidRPr="00A10137">
        <w:rPr>
          <w:rFonts w:ascii="Times New Roman" w:hAnsi="Times New Roman"/>
        </w:rPr>
        <w:t xml:space="preserve"> to affect the result that occurred or, put more precisely, that the error or irregularity could realistically have affected the reasoning process to the result that occurred.</w:t>
      </w:r>
      <w:r w:rsidRPr="00A10137">
        <w:rPr>
          <w:rStyle w:val="FootnoteReference"/>
          <w:rFonts w:ascii="Times New Roman" w:hAnsi="Times New Roman"/>
          <w:sz w:val="24"/>
        </w:rPr>
        <w:footnoteReference w:id="140"/>
      </w:r>
      <w:r w:rsidRPr="00A10137">
        <w:rPr>
          <w:rFonts w:ascii="Times New Roman" w:hAnsi="Times New Roman"/>
        </w:rPr>
        <w:t xml:space="preserve"> In short, practical injustice is concerned with whether there could realistically have been an effect on the reasoning process. It is not concerned with any effect on the actual result. By contrast, once an error of law or a miscarriage of justice is established, the onus falls upon the Crown to satisfy the proviso and show that no substantial miscarriage </w:t>
      </w:r>
      <w:r w:rsidRPr="00A10137">
        <w:rPr>
          <w:rFonts w:ascii="Times New Roman" w:hAnsi="Times New Roman"/>
        </w:rPr>
        <w:lastRenderedPageBreak/>
        <w:t>of justice occurred.</w:t>
      </w:r>
      <w:r w:rsidRPr="00A10137">
        <w:rPr>
          <w:rStyle w:val="FootnoteReference"/>
          <w:rFonts w:ascii="Times New Roman" w:hAnsi="Times New Roman"/>
          <w:sz w:val="24"/>
        </w:rPr>
        <w:footnoteReference w:id="141"/>
      </w:r>
      <w:r w:rsidRPr="00A10137">
        <w:rPr>
          <w:rFonts w:ascii="Times New Roman" w:hAnsi="Times New Roman"/>
        </w:rPr>
        <w:t xml:space="preserve"> The focus upon a lack of substantiality requires the Crown to establish that (whatever the reasoning process that was adopted) the result was inevitable.</w:t>
      </w:r>
      <w:r w:rsidRPr="00A10137">
        <w:rPr>
          <w:rStyle w:val="FootnoteReference"/>
          <w:rFonts w:ascii="Times New Roman" w:hAnsi="Times New Roman"/>
          <w:sz w:val="24"/>
        </w:rPr>
        <w:footnoteReference w:id="142"/>
      </w:r>
    </w:p>
    <w:p w14:paraId="1F84C30E"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Although the provision is differently expressed, a similar approach is taken when considering an appeal against sentence under s 5(1)(c) of the </w:t>
      </w:r>
      <w:r w:rsidRPr="00A10137">
        <w:rPr>
          <w:rFonts w:ascii="Times New Roman" w:hAnsi="Times New Roman"/>
          <w:i/>
          <w:iCs/>
        </w:rPr>
        <w:t>Criminal Appeal Act</w:t>
      </w:r>
      <w:r w:rsidRPr="00A10137">
        <w:rPr>
          <w:rFonts w:ascii="Times New Roman" w:hAnsi="Times New Roman"/>
        </w:rPr>
        <w:t xml:space="preserve">. Section 6(3) of the </w:t>
      </w:r>
      <w:r w:rsidRPr="00A10137">
        <w:rPr>
          <w:rFonts w:ascii="Times New Roman" w:hAnsi="Times New Roman"/>
          <w:i/>
          <w:iCs/>
        </w:rPr>
        <w:t>Criminal Appeal Act</w:t>
      </w:r>
      <w:r w:rsidRPr="00A10137">
        <w:rPr>
          <w:rFonts w:ascii="Times New Roman" w:hAnsi="Times New Roman"/>
        </w:rPr>
        <w:t xml:space="preserve"> empowers the Court</w:t>
      </w:r>
      <w:r>
        <w:rPr>
          <w:rFonts w:ascii="Times New Roman" w:hAnsi="Times New Roman"/>
        </w:rPr>
        <w:t> </w:t>
      </w:r>
      <w:r w:rsidRPr="00A10137">
        <w:rPr>
          <w:rFonts w:ascii="Times New Roman" w:hAnsi="Times New Roman"/>
        </w:rPr>
        <w:t>of</w:t>
      </w:r>
      <w:r>
        <w:rPr>
          <w:rFonts w:ascii="Times New Roman" w:hAnsi="Times New Roman"/>
        </w:rPr>
        <w:t> </w:t>
      </w:r>
      <w:r w:rsidRPr="00A10137">
        <w:rPr>
          <w:rFonts w:ascii="Times New Roman" w:hAnsi="Times New Roman"/>
        </w:rPr>
        <w:t xml:space="preserve">Criminal Appeal to allow an appeal against sentence where the Court is "of opinion that some other sentence ... is warranted in law and should have been passed". Otherwise, the Court of Criminal Appeal "shall dismiss the appeal". Although s 6(3) is expressed, in part, by reference to the outcome (the other "sentence ... warranted in law"), it is necessary also to establish that the other sentence "should have been passed". This requires an error or irregularity to be demonstrated on the appeal. </w:t>
      </w:r>
    </w:p>
    <w:p w14:paraId="433BA9A2"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Where the allegation is one of manifest excess or manifest inadequacy of sentence, the outcome must be considered. But where the error alleged and established is a specific matter of principle, a fresh exercise of the sentencing discretion is required irrespective of whether the outcome will be the same. As French CJ, Hayne, Bell and Keane JJ, referring to specific errors by a sentencing</w:t>
      </w:r>
      <w:r>
        <w:rPr>
          <w:rFonts w:ascii="Times New Roman" w:hAnsi="Times New Roman"/>
        </w:rPr>
        <w:t> </w:t>
      </w:r>
      <w:r w:rsidRPr="00A10137">
        <w:rPr>
          <w:rFonts w:ascii="Times New Roman" w:hAnsi="Times New Roman"/>
        </w:rPr>
        <w:t>judge, said in</w:t>
      </w:r>
      <w:r w:rsidRPr="00A10137">
        <w:rPr>
          <w:rFonts w:ascii="Times New Roman" w:hAnsi="Times New Roman"/>
          <w:i/>
          <w:iCs/>
        </w:rPr>
        <w:t xml:space="preserve"> </w:t>
      </w:r>
      <w:proofErr w:type="spellStart"/>
      <w:r w:rsidRPr="00A10137">
        <w:rPr>
          <w:rFonts w:ascii="Times New Roman" w:hAnsi="Times New Roman"/>
          <w:i/>
          <w:iCs/>
        </w:rPr>
        <w:t>Kentwell</w:t>
      </w:r>
      <w:proofErr w:type="spellEnd"/>
      <w:r w:rsidRPr="00A10137">
        <w:rPr>
          <w:rFonts w:ascii="Times New Roman" w:hAnsi="Times New Roman"/>
          <w:i/>
          <w:iCs/>
        </w:rPr>
        <w:t xml:space="preserve"> v The Queen</w:t>
      </w:r>
      <w:r w:rsidRPr="00A10137">
        <w:rPr>
          <w:rFonts w:ascii="Times New Roman" w:hAnsi="Times New Roman"/>
        </w:rPr>
        <w:t>:</w:t>
      </w:r>
      <w:r w:rsidRPr="00A10137">
        <w:rPr>
          <w:rStyle w:val="FootnoteReference"/>
          <w:rFonts w:ascii="Times New Roman" w:hAnsi="Times New Roman"/>
          <w:sz w:val="24"/>
        </w:rPr>
        <w:footnoteReference w:id="143"/>
      </w:r>
      <w:r w:rsidRPr="00A10137">
        <w:rPr>
          <w:rFonts w:ascii="Times New Roman" w:hAnsi="Times New Roman"/>
        </w:rPr>
        <w:t xml:space="preserve"> </w:t>
      </w:r>
    </w:p>
    <w:p w14:paraId="62E77282" w14:textId="77777777" w:rsidR="005B483D" w:rsidRDefault="005B483D" w:rsidP="00A10137">
      <w:pPr>
        <w:pStyle w:val="LeftrightafterHC"/>
        <w:spacing w:before="0" w:after="260" w:line="280" w:lineRule="exact"/>
        <w:ind w:right="0"/>
        <w:jc w:val="both"/>
        <w:rPr>
          <w:rFonts w:ascii="Times New Roman" w:hAnsi="Times New Roman"/>
        </w:rPr>
      </w:pPr>
      <w:r w:rsidRPr="00A10137">
        <w:rPr>
          <w:rFonts w:ascii="Times New Roman" w:hAnsi="Times New Roman"/>
        </w:rPr>
        <w:t>"When a judge acts upon wrong principle, allows extraneous or irrelevant matters to guide or affect the determination, mistakes the facts or does not take into account some material consideration</w:t>
      </w:r>
      <w:r w:rsidRPr="00A10137">
        <w:rPr>
          <w:rStyle w:val="FootnoteReference"/>
          <w:rFonts w:ascii="Times New Roman" w:hAnsi="Times New Roman"/>
          <w:sz w:val="24"/>
        </w:rPr>
        <w:footnoteReference w:id="144"/>
      </w:r>
      <w:r w:rsidRPr="00A10137">
        <w:rPr>
          <w:rFonts w:ascii="Times New Roman" w:hAnsi="Times New Roman"/>
        </w:rPr>
        <w:t>, the Court of Criminal</w:t>
      </w:r>
      <w:r>
        <w:rPr>
          <w:rFonts w:ascii="Times New Roman" w:hAnsi="Times New Roman"/>
        </w:rPr>
        <w:t> </w:t>
      </w:r>
      <w:r w:rsidRPr="00A10137">
        <w:rPr>
          <w:rFonts w:ascii="Times New Roman" w:hAnsi="Times New Roman"/>
        </w:rPr>
        <w:t xml:space="preserve">Appeal does not assess whether and to what degree the error influenced the outcome." </w:t>
      </w:r>
    </w:p>
    <w:p w14:paraId="6420CA14"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In each of these instances, the specific error has incorporated a threshold of practical injustice, namely that the error is fundamental or that it could realistically </w:t>
      </w:r>
      <w:r w:rsidRPr="00A10137">
        <w:rPr>
          <w:rFonts w:ascii="Times New Roman" w:hAnsi="Times New Roman"/>
        </w:rPr>
        <w:lastRenderedPageBreak/>
        <w:t>have affected the reasoning process.</w:t>
      </w:r>
      <w:r w:rsidRPr="00A10137">
        <w:rPr>
          <w:rStyle w:val="FootnoteReference"/>
          <w:rFonts w:ascii="Times New Roman" w:hAnsi="Times New Roman"/>
          <w:sz w:val="24"/>
        </w:rPr>
        <w:footnoteReference w:id="145"/>
      </w:r>
      <w:r w:rsidRPr="00A10137">
        <w:rPr>
          <w:rFonts w:ascii="Times New Roman" w:hAnsi="Times New Roman"/>
        </w:rPr>
        <w:t xml:space="preserve"> For instance, a sentencing judge who mistakes a fact that is irrelevant to their reasoning process will not have committed a relevant error of law. So too, in the example given in the joint reasons in </w:t>
      </w:r>
      <w:proofErr w:type="spellStart"/>
      <w:r w:rsidRPr="00A10137">
        <w:rPr>
          <w:rFonts w:ascii="Times New Roman" w:hAnsi="Times New Roman"/>
          <w:i/>
          <w:iCs/>
        </w:rPr>
        <w:t>Kentwell</w:t>
      </w:r>
      <w:proofErr w:type="spellEnd"/>
      <w:r w:rsidRPr="00A10137">
        <w:rPr>
          <w:rFonts w:ascii="Times New Roman" w:hAnsi="Times New Roman"/>
        </w:rPr>
        <w:t>, there will be no practical injustice leading to a need to re-sentence if a sentencing judge, contrary to a legislative rule, sets a term of imprisonment before, rather than after, setting a non-parole period.</w:t>
      </w:r>
      <w:r w:rsidRPr="00A10137">
        <w:rPr>
          <w:rStyle w:val="FootnoteReference"/>
          <w:rFonts w:ascii="Times New Roman" w:hAnsi="Times New Roman"/>
          <w:sz w:val="24"/>
        </w:rPr>
        <w:footnoteReference w:id="146"/>
      </w:r>
    </w:p>
    <w:p w14:paraId="58F54DD6"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It may be that s 6(3) assumes that the Court of Criminal Appeal will itself re-exercise the sentencing discretion once it concludes that any error or irregularity is material (either fundamental or could realistically have affected the reasoning process of the sentencing judge). But whether or not that is so, the exercise of a sentencing discretion will be vitiated by any error or irregularity which is material. The appeal is to be allowed unless the same sentence will be imposed on the</w:t>
      </w:r>
      <w:r>
        <w:rPr>
          <w:rFonts w:ascii="Times New Roman" w:hAnsi="Times New Roman"/>
        </w:rPr>
        <w:t> </w:t>
      </w:r>
      <w:r w:rsidRPr="00A10137">
        <w:rPr>
          <w:rFonts w:ascii="Times New Roman" w:hAnsi="Times New Roman"/>
        </w:rPr>
        <w:t>re</w:t>
      </w:r>
      <w:r>
        <w:rPr>
          <w:rFonts w:ascii="Times New Roman" w:hAnsi="Times New Roman"/>
        </w:rPr>
        <w:t>-</w:t>
      </w:r>
      <w:r w:rsidRPr="00A10137">
        <w:rPr>
          <w:rFonts w:ascii="Times New Roman" w:hAnsi="Times New Roman"/>
        </w:rPr>
        <w:t>exercise</w:t>
      </w:r>
      <w:r>
        <w:rPr>
          <w:rFonts w:ascii="Times New Roman" w:hAnsi="Times New Roman"/>
        </w:rPr>
        <w:t> </w:t>
      </w:r>
      <w:r w:rsidRPr="00A10137">
        <w:rPr>
          <w:rFonts w:ascii="Times New Roman" w:hAnsi="Times New Roman"/>
        </w:rPr>
        <w:t xml:space="preserve">of the sentencing discretion.  </w:t>
      </w:r>
    </w:p>
    <w:p w14:paraId="55B7EC26"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Although most actual conflicts will be a material irregularity which will vitiate the exercise of a sentencing discretion, the same is not true of potential conflicts. A potential conflict will only vitiate the exercise of a sentencing discretion if it is a fundamental irregularity</w:t>
      </w:r>
      <w:r w:rsidRPr="00A10137">
        <w:rPr>
          <w:rStyle w:val="FootnoteReference"/>
          <w:rFonts w:ascii="Times New Roman" w:hAnsi="Times New Roman"/>
          <w:sz w:val="24"/>
        </w:rPr>
        <w:footnoteReference w:id="147"/>
      </w:r>
      <w:r w:rsidRPr="00A10137">
        <w:rPr>
          <w:rFonts w:ascii="Times New Roman" w:hAnsi="Times New Roman"/>
        </w:rPr>
        <w:t xml:space="preserve"> or if it has caused practical injustice by manifesting as an actual conflict that might affect the reasoning process of the sentencing judge.</w:t>
      </w:r>
      <w:r w:rsidRPr="00A10137">
        <w:rPr>
          <w:rStyle w:val="FootnoteReference"/>
          <w:rFonts w:ascii="Times New Roman" w:hAnsi="Times New Roman"/>
          <w:sz w:val="24"/>
        </w:rPr>
        <w:footnoteReference w:id="148"/>
      </w:r>
      <w:r w:rsidRPr="00A10137">
        <w:rPr>
          <w:rFonts w:ascii="Times New Roman" w:hAnsi="Times New Roman"/>
        </w:rPr>
        <w:t xml:space="preserve"> Unlike instances of apprehended or actual bias concerning a judge or juror's impartial discharge of the task of adjudication,</w:t>
      </w:r>
      <w:r w:rsidRPr="00A10137">
        <w:rPr>
          <w:rStyle w:val="FootnoteReference"/>
          <w:rFonts w:ascii="Times New Roman" w:hAnsi="Times New Roman"/>
          <w:sz w:val="24"/>
        </w:rPr>
        <w:footnoteReference w:id="149"/>
      </w:r>
      <w:r w:rsidRPr="00A10137">
        <w:rPr>
          <w:rFonts w:ascii="Times New Roman" w:hAnsi="Times New Roman"/>
        </w:rPr>
        <w:t xml:space="preserve"> the range of circumstances of potential conflict, and the effect of those circumstances, are so diverse that it is impossible to say that in every instance of a potential conflict, whether in adjudication of guilt or in sentencing, there will be a fundamental irregularity that dispenses with the need to consider whether there could realistically have been an effect on the reasoning process. In relation to a sentencing discretion, therefore, unless the potential conflict is fundamental, the exercise of discretion will not be vitiated without the practical injustice of the </w:t>
      </w:r>
      <w:r w:rsidRPr="00A10137">
        <w:rPr>
          <w:rFonts w:ascii="Times New Roman" w:hAnsi="Times New Roman"/>
        </w:rPr>
        <w:lastRenderedPageBreak/>
        <w:t>potential conflict manifesting as an actual conflict that "could realistically have affected the reasoning" of the sentencing judge.</w:t>
      </w:r>
      <w:r w:rsidRPr="00A10137">
        <w:rPr>
          <w:rStyle w:val="FootnoteReference"/>
          <w:rFonts w:ascii="Times New Roman" w:hAnsi="Times New Roman"/>
          <w:sz w:val="24"/>
        </w:rPr>
        <w:footnoteReference w:id="150"/>
      </w:r>
    </w:p>
    <w:p w14:paraId="0BEB4CBE"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This reasoning is not to deny that there are many instances of potential conflict that involve actual conflict. Indeed, it will be rare that a potential conflict between duties to clients does not manifest itself in some actual conflict, however slight. A potential conflict might manifest as an actual conflict in the most subtle or even unconscious of ways: a slight influence upon the manner in which a submission is put; a slight influence upon a decision to tender evidence or to ask a question in cross-examination; even the unconscious fear of the unknown impact upon one client of a forensic course taken for the other client. </w:t>
      </w:r>
    </w:p>
    <w:p w14:paraId="5CEBCDD1" w14:textId="77777777" w:rsidR="005B483D" w:rsidRPr="00A10137" w:rsidRDefault="005B483D" w:rsidP="00A10137">
      <w:pPr>
        <w:pStyle w:val="HeadingL1"/>
        <w:spacing w:after="260" w:line="280" w:lineRule="exact"/>
        <w:ind w:right="0"/>
        <w:jc w:val="both"/>
        <w:rPr>
          <w:rFonts w:ascii="Times New Roman" w:hAnsi="Times New Roman"/>
        </w:rPr>
      </w:pPr>
      <w:r w:rsidRPr="00A10137">
        <w:rPr>
          <w:rFonts w:ascii="Times New Roman" w:hAnsi="Times New Roman"/>
        </w:rPr>
        <w:t>No potential or actual conflict proved at general law but an actual conflict under legislation</w:t>
      </w:r>
    </w:p>
    <w:p w14:paraId="5D43BEFD" w14:textId="77777777" w:rsidR="005B483D" w:rsidRPr="00A10137" w:rsidRDefault="005B483D" w:rsidP="00A10137">
      <w:pPr>
        <w:pStyle w:val="HeadingL2"/>
        <w:spacing w:after="260" w:line="280" w:lineRule="exact"/>
        <w:ind w:right="0"/>
        <w:jc w:val="both"/>
        <w:rPr>
          <w:rFonts w:ascii="Times New Roman" w:hAnsi="Times New Roman"/>
        </w:rPr>
      </w:pPr>
      <w:r w:rsidRPr="00A10137">
        <w:rPr>
          <w:rFonts w:ascii="Times New Roman" w:hAnsi="Times New Roman"/>
        </w:rPr>
        <w:t>Assumed obligations at general law</w:t>
      </w:r>
    </w:p>
    <w:p w14:paraId="0B02D79D"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There was plainly an apparent conflict of duties in this case. Joint representation of multiple clients in a criminal trial or sentencing hearing will invariably give rise to an apparent conflict and is ripe to give rise to a potential conflict of duties. It has been said that the mere fact of joint representation in a criminal trial "may lead the jury to link the co-accused together".</w:t>
      </w:r>
      <w:r w:rsidRPr="00A10137">
        <w:rPr>
          <w:rStyle w:val="FootnoteReference"/>
          <w:rFonts w:ascii="Times New Roman" w:hAnsi="Times New Roman"/>
          <w:sz w:val="24"/>
        </w:rPr>
        <w:footnoteReference w:id="151"/>
      </w:r>
      <w:r w:rsidRPr="00A10137">
        <w:rPr>
          <w:rFonts w:ascii="Times New Roman" w:hAnsi="Times New Roman"/>
        </w:rPr>
        <w:t xml:space="preserve"> And the potential for conflicting duties can also have unnoticed effects by manifesting as a subtle but pernicious actual conflict. Counsel might, even unconsciously, "refrain from doing certain things for one client by reason of [their] concern that [their] action might adversely affect [their] other client".</w:t>
      </w:r>
      <w:r w:rsidRPr="00A10137">
        <w:rPr>
          <w:rStyle w:val="FootnoteReference"/>
          <w:rFonts w:ascii="Times New Roman" w:hAnsi="Times New Roman"/>
          <w:sz w:val="24"/>
        </w:rPr>
        <w:footnoteReference w:id="152"/>
      </w:r>
      <w:r w:rsidRPr="00A10137">
        <w:rPr>
          <w:rFonts w:ascii="Times New Roman" w:hAnsi="Times New Roman"/>
        </w:rPr>
        <w:t xml:space="preserve"> </w:t>
      </w:r>
    </w:p>
    <w:p w14:paraId="07166480"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But in order to establish that the apparent conflict of duties in this case was a potential or actual conflict of duties at general law, it was necessary to know the content of the allegedly conflicting duties. That content depended on the undertaking given by Senior Counsel for Mr Farrugia, which, in turn, depended upon the instructions given to Senior Counsel. This was not a case in which it could be said that the potential conflict or actual conflict was so clear from the facts that no evidence of counsel's undertaking was required beyond the existing record of counsel's appearance and submissions. In other words, although I do not accept the submission of the Commonwealth Director of Public Prosecutions that a submission that Mr Farrugia should receive a more substantial penalty than Mr</w:t>
      </w:r>
      <w:r>
        <w:rPr>
          <w:rFonts w:ascii="Times New Roman" w:hAnsi="Times New Roman"/>
        </w:rPr>
        <w:t> </w:t>
      </w:r>
      <w:proofErr w:type="spellStart"/>
      <w:r w:rsidRPr="00A10137">
        <w:rPr>
          <w:rFonts w:ascii="Times New Roman" w:hAnsi="Times New Roman"/>
        </w:rPr>
        <w:t>Kanmaz</w:t>
      </w:r>
      <w:proofErr w:type="spellEnd"/>
      <w:r w:rsidRPr="00A10137">
        <w:rPr>
          <w:rFonts w:ascii="Times New Roman" w:hAnsi="Times New Roman"/>
        </w:rPr>
        <w:t xml:space="preserve"> was the </w:t>
      </w:r>
      <w:r w:rsidRPr="00A10137">
        <w:rPr>
          <w:rFonts w:ascii="Times New Roman" w:hAnsi="Times New Roman"/>
          <w:i/>
          <w:iCs/>
        </w:rPr>
        <w:t xml:space="preserve">only </w:t>
      </w:r>
      <w:r w:rsidRPr="00A10137">
        <w:rPr>
          <w:rFonts w:ascii="Times New Roman" w:hAnsi="Times New Roman"/>
        </w:rPr>
        <w:t xml:space="preserve">submission that was open to Senior Counsel having regard to his duty to the court, if the submission had been made on Mr Farrugia's </w:t>
      </w:r>
      <w:r w:rsidRPr="00A10137">
        <w:rPr>
          <w:rFonts w:ascii="Times New Roman" w:hAnsi="Times New Roman"/>
        </w:rPr>
        <w:lastRenderedPageBreak/>
        <w:t>instructions then no potential or actual conflict would arise from any assumed obligation.</w:t>
      </w:r>
    </w:p>
    <w:p w14:paraId="011A3A67"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The absence of evidence of instructions from which to ascertain the undertaking of Senior Counsel and the content of the two duties in apparent conflict is therefore fatal to Mr Farrugia's appeal so far as it relies on the general law. This point, which generally aligns with the reasoning of Hamill J in the Court of Criminal Appeal quoted above,</w:t>
      </w:r>
      <w:r w:rsidRPr="00A10137">
        <w:rPr>
          <w:rStyle w:val="FootnoteReference"/>
          <w:rFonts w:ascii="Times New Roman" w:hAnsi="Times New Roman"/>
          <w:sz w:val="24"/>
        </w:rPr>
        <w:footnoteReference w:id="153"/>
      </w:r>
      <w:r w:rsidRPr="00A10137">
        <w:rPr>
          <w:rFonts w:ascii="Times New Roman" w:hAnsi="Times New Roman"/>
        </w:rPr>
        <w:t xml:space="preserve"> means, however, that so far as Mr Farrugia relied on the general law, he was placed on the horns of a dilemma in the Court of Criminal Appeal. He may not have wished to waive legal professional privilege over any of the instructions that he gave to his solicitors or Senior Counsel, but he could only establish that Senior Counsel had a conflict of duties at general law by introducing at least some evidence of the instructions that were given to Senior</w:t>
      </w:r>
      <w:r>
        <w:rPr>
          <w:rFonts w:ascii="Times New Roman" w:hAnsi="Times New Roman"/>
        </w:rPr>
        <w:t> </w:t>
      </w:r>
      <w:r w:rsidRPr="00A10137">
        <w:rPr>
          <w:rFonts w:ascii="Times New Roman" w:hAnsi="Times New Roman"/>
        </w:rPr>
        <w:t xml:space="preserve">Counsel. </w:t>
      </w:r>
    </w:p>
    <w:p w14:paraId="663F21DC" w14:textId="77777777" w:rsidR="005B483D" w:rsidRPr="00A10137" w:rsidRDefault="005B483D" w:rsidP="000D42C3">
      <w:pPr>
        <w:pStyle w:val="FixListStyle"/>
        <w:numPr>
          <w:ilvl w:val="0"/>
          <w:numId w:val="0"/>
        </w:numPr>
        <w:spacing w:after="260" w:line="280" w:lineRule="exact"/>
        <w:ind w:right="0"/>
        <w:jc w:val="both"/>
        <w:rPr>
          <w:rFonts w:ascii="Times New Roman" w:hAnsi="Times New Roman"/>
          <w:i/>
          <w:iCs/>
        </w:rPr>
      </w:pPr>
      <w:r w:rsidRPr="00A10137">
        <w:rPr>
          <w:rFonts w:ascii="Times New Roman" w:hAnsi="Times New Roman"/>
          <w:i/>
          <w:iCs/>
        </w:rPr>
        <w:t>Imposed obligations under legislation</w:t>
      </w:r>
    </w:p>
    <w:p w14:paraId="1F02E7B7"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As explained above, the public duties imposed by </w:t>
      </w:r>
      <w:proofErr w:type="spellStart"/>
      <w:r w:rsidRPr="00A10137">
        <w:rPr>
          <w:rFonts w:ascii="Times New Roman" w:hAnsi="Times New Roman"/>
        </w:rPr>
        <w:t>rr</w:t>
      </w:r>
      <w:proofErr w:type="spellEnd"/>
      <w:r w:rsidRPr="00A10137">
        <w:rPr>
          <w:rFonts w:ascii="Times New Roman" w:hAnsi="Times New Roman"/>
        </w:rPr>
        <w:t xml:space="preserve"> 35 and 119 of the </w:t>
      </w:r>
      <w:r w:rsidRPr="00A10137">
        <w:rPr>
          <w:rFonts w:ascii="Times New Roman" w:hAnsi="Times New Roman"/>
          <w:i/>
          <w:iCs/>
        </w:rPr>
        <w:t xml:space="preserve">Legal Profession Uniform Conduct (Barristers) Rules </w:t>
      </w:r>
      <w:r w:rsidRPr="00A10137">
        <w:rPr>
          <w:rFonts w:ascii="Times New Roman" w:hAnsi="Times New Roman"/>
        </w:rPr>
        <w:t>are not confined to those undertakings made by the barrister in accordance with a "client's wishes or with what the client thinks are [their] personal interests".</w:t>
      </w:r>
      <w:r w:rsidRPr="00A10137">
        <w:rPr>
          <w:rStyle w:val="FootnoteReference"/>
          <w:rFonts w:ascii="Times New Roman" w:hAnsi="Times New Roman"/>
          <w:sz w:val="24"/>
        </w:rPr>
        <w:footnoteReference w:id="154"/>
      </w:r>
      <w:r w:rsidRPr="00A10137">
        <w:rPr>
          <w:rFonts w:ascii="Times New Roman" w:hAnsi="Times New Roman"/>
        </w:rPr>
        <w:t xml:space="preserve"> Hence, this appeal cannot necessarily be dismissed on the basis that Mr Farrugia failed to waive legal professional privilege and sufficiently reveal his instructions to his solicitors or Senior Counsel.</w:t>
      </w:r>
    </w:p>
    <w:p w14:paraId="4D8020E9"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Any breach of r 119 can also be put to one side. As Senior Counsel for Mr</w:t>
      </w:r>
      <w:r>
        <w:rPr>
          <w:rFonts w:ascii="Times New Roman" w:hAnsi="Times New Roman"/>
        </w:rPr>
        <w:t> </w:t>
      </w:r>
      <w:r w:rsidRPr="00A10137">
        <w:rPr>
          <w:rFonts w:ascii="Times New Roman" w:hAnsi="Times New Roman"/>
        </w:rPr>
        <w:t xml:space="preserve">Farrugia in this Court properly conceded, any potential conflict of duty was not so fundamental that it vitiated the exercise of the sentencing discretion without the need to consider whether there could realistically have been an effect on the reasoning process of the sentencing judge. An actual conflict was required. That actual conflict arose when Senior Counsel received the submissions of the Crown which argued that Mr </w:t>
      </w:r>
      <w:proofErr w:type="spellStart"/>
      <w:r w:rsidRPr="00A10137">
        <w:rPr>
          <w:rFonts w:ascii="Times New Roman" w:hAnsi="Times New Roman"/>
        </w:rPr>
        <w:t>Kanmaz</w:t>
      </w:r>
      <w:proofErr w:type="spellEnd"/>
      <w:r w:rsidRPr="00A10137">
        <w:rPr>
          <w:rFonts w:ascii="Times New Roman" w:hAnsi="Times New Roman"/>
        </w:rPr>
        <w:t xml:space="preserve"> "should receive a more substantial penalty" than Mr Farrugia. In responding to that submission, Senior Counsel had a public duty to advance each of the cases of Mr Farrugia and Mr </w:t>
      </w:r>
      <w:proofErr w:type="spellStart"/>
      <w:r w:rsidRPr="00A10137">
        <w:rPr>
          <w:rFonts w:ascii="Times New Roman" w:hAnsi="Times New Roman"/>
        </w:rPr>
        <w:t>Kanmaz</w:t>
      </w:r>
      <w:proofErr w:type="spellEnd"/>
      <w:r w:rsidRPr="00A10137">
        <w:rPr>
          <w:rFonts w:ascii="Times New Roman" w:hAnsi="Times New Roman"/>
        </w:rPr>
        <w:t xml:space="preserve"> in the best interests of each client to the best of his skill and diligence without regard to the consequences to the other client. In light of a barrister's overriding duty to the court to act independently in the interests of the administration of justice, and a barrister's duty not to "act as the mere mouthpiece of the client", the court should have been entitled to assume that Senior Counsel for Mr Farrugia and Mr </w:t>
      </w:r>
      <w:proofErr w:type="spellStart"/>
      <w:r w:rsidRPr="00A10137">
        <w:rPr>
          <w:rFonts w:ascii="Times New Roman" w:hAnsi="Times New Roman"/>
        </w:rPr>
        <w:t>Kanmaz</w:t>
      </w:r>
      <w:proofErr w:type="spellEnd"/>
      <w:r w:rsidRPr="00A10137">
        <w:rPr>
          <w:rFonts w:ascii="Times New Roman" w:hAnsi="Times New Roman"/>
        </w:rPr>
        <w:t xml:space="preserve"> had made </w:t>
      </w:r>
      <w:r w:rsidRPr="00A10137">
        <w:rPr>
          <w:rFonts w:ascii="Times New Roman" w:hAnsi="Times New Roman"/>
        </w:rPr>
        <w:lastRenderedPageBreak/>
        <w:t xml:space="preserve">submissions for each client in a manner which reasonably and fairly presented their cases in the most favourable light, urging the lowest </w:t>
      </w:r>
      <w:r>
        <w:rPr>
          <w:rFonts w:ascii="Times New Roman" w:hAnsi="Times New Roman"/>
        </w:rPr>
        <w:t>appropriate</w:t>
      </w:r>
      <w:r w:rsidRPr="00A10137">
        <w:rPr>
          <w:rFonts w:ascii="Times New Roman" w:hAnsi="Times New Roman"/>
        </w:rPr>
        <w:t xml:space="preserve"> penalty. </w:t>
      </w:r>
    </w:p>
    <w:p w14:paraId="477B64C8"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The actual conflict for Senior Counsel is clear once it is appreciated that the submissions of the Crown presented Senior Counsel for Mr Farrugia and Mr</w:t>
      </w:r>
      <w:r>
        <w:rPr>
          <w:rFonts w:ascii="Times New Roman" w:hAnsi="Times New Roman"/>
        </w:rPr>
        <w:t> </w:t>
      </w:r>
      <w:proofErr w:type="spellStart"/>
      <w:r w:rsidRPr="00A10137">
        <w:rPr>
          <w:rFonts w:ascii="Times New Roman" w:hAnsi="Times New Roman"/>
        </w:rPr>
        <w:t>Kanmaz</w:t>
      </w:r>
      <w:proofErr w:type="spellEnd"/>
      <w:r w:rsidRPr="00A10137">
        <w:rPr>
          <w:rFonts w:ascii="Times New Roman" w:hAnsi="Times New Roman"/>
        </w:rPr>
        <w:t xml:space="preserve"> with a choice. Senior Counsel could have: (</w:t>
      </w:r>
      <w:proofErr w:type="spellStart"/>
      <w:r w:rsidRPr="00A10137">
        <w:rPr>
          <w:rFonts w:ascii="Times New Roman" w:hAnsi="Times New Roman"/>
        </w:rPr>
        <w:t>i</w:t>
      </w:r>
      <w:proofErr w:type="spellEnd"/>
      <w:r w:rsidRPr="00A10137">
        <w:rPr>
          <w:rFonts w:ascii="Times New Roman" w:hAnsi="Times New Roman"/>
        </w:rPr>
        <w:t>) accepted the Crown submission and, consistently with the best interests of Mr Farrugia, argued that Mr</w:t>
      </w:r>
      <w:r>
        <w:rPr>
          <w:rFonts w:ascii="Times New Roman" w:hAnsi="Times New Roman"/>
        </w:rPr>
        <w:t> </w:t>
      </w:r>
      <w:proofErr w:type="spellStart"/>
      <w:r w:rsidRPr="00A10137">
        <w:rPr>
          <w:rFonts w:ascii="Times New Roman" w:hAnsi="Times New Roman"/>
        </w:rPr>
        <w:t>Kanmaz</w:t>
      </w:r>
      <w:proofErr w:type="spellEnd"/>
      <w:r w:rsidRPr="00A10137">
        <w:rPr>
          <w:rFonts w:ascii="Times New Roman" w:hAnsi="Times New Roman"/>
        </w:rPr>
        <w:t xml:space="preserve"> should receive a more substantial penalty; or (ii) disputed the Crown submission and, consistently with the best interests of Mr Kanmaz, argued that Mr</w:t>
      </w:r>
      <w:r>
        <w:rPr>
          <w:rFonts w:ascii="Times New Roman" w:hAnsi="Times New Roman"/>
        </w:rPr>
        <w:t> </w:t>
      </w:r>
      <w:r w:rsidRPr="00A10137">
        <w:rPr>
          <w:rFonts w:ascii="Times New Roman" w:hAnsi="Times New Roman"/>
        </w:rPr>
        <w:t xml:space="preserve">Farrugia should receive a more substantial penalty.  </w:t>
      </w:r>
    </w:p>
    <w:p w14:paraId="63D63A33"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The test for whether the exercise of the sentencing discretion was vitiated by an actual conflict was not correctly identified by Price A-JA (with whom Campbell J agreed) in the Court of Criminal Appeal. As explained above, the test to be applied was not whether there was a significant possibility that Senior</w:t>
      </w:r>
      <w:r>
        <w:rPr>
          <w:rFonts w:ascii="Times New Roman" w:hAnsi="Times New Roman"/>
        </w:rPr>
        <w:t> </w:t>
      </w:r>
      <w:r w:rsidRPr="00A10137">
        <w:rPr>
          <w:rFonts w:ascii="Times New Roman" w:hAnsi="Times New Roman"/>
        </w:rPr>
        <w:t xml:space="preserve">Counsel's joint representation adversely affected the sentence imposed upon Mr Farrugia. The test to be applied was whether a conflict by Senior Counsel could realistically have affected the reasoning process of the sentencing judge. Since the actual conflict could realistically have had a substantial effect upon the submissions made by Senior Counsel, the conflict could also realistically have affected the reasoning process of the sentencing judge. The exercise of the sentencing discretion by the sentencing judge was vitiated by Senior Counsel's actual conflict of duties.  </w:t>
      </w:r>
    </w:p>
    <w:p w14:paraId="2C83A5CC" w14:textId="77777777" w:rsidR="005B483D" w:rsidRPr="00A10137" w:rsidRDefault="005B483D" w:rsidP="00A10137">
      <w:pPr>
        <w:pStyle w:val="HeadingL1"/>
        <w:spacing w:after="260" w:line="280" w:lineRule="exact"/>
        <w:ind w:right="0"/>
        <w:jc w:val="both"/>
        <w:rPr>
          <w:rFonts w:ascii="Times New Roman" w:hAnsi="Times New Roman"/>
        </w:rPr>
      </w:pPr>
      <w:r w:rsidRPr="00A10137">
        <w:rPr>
          <w:rFonts w:ascii="Times New Roman" w:hAnsi="Times New Roman"/>
        </w:rPr>
        <w:t>Conclusion and orders</w:t>
      </w:r>
    </w:p>
    <w:p w14:paraId="517C52D5"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The appeal must be allowed on the basis that an actual conflict of duties was established. The issue which then arises is the order that should be made. Two possibilities were raised in this Court: remittal of the matter for re-sentencing in the Court of Criminal Appeal or, alternatively, remittal for re-sentencing in the District Court of New South Wales. The Director of Public Prosecutions for New South Wales, intervening, made powerful submissions to the effect that the supplemental power in s 12(2) of the </w:t>
      </w:r>
      <w:r w:rsidRPr="00A10137">
        <w:rPr>
          <w:rFonts w:ascii="Times New Roman" w:hAnsi="Times New Roman"/>
          <w:i/>
          <w:iCs/>
        </w:rPr>
        <w:t xml:space="preserve">Criminal Appeal Act </w:t>
      </w:r>
      <w:r w:rsidRPr="00A10137">
        <w:rPr>
          <w:rFonts w:ascii="Times New Roman" w:hAnsi="Times New Roman"/>
        </w:rPr>
        <w:t>did not provide power for the Court of Criminal Appeal, following the vitiation of the exercise of a sentencing discretion, to remit the matter to the District Court of New South Wales</w:t>
      </w:r>
      <w:r>
        <w:rPr>
          <w:rFonts w:ascii="Times New Roman" w:hAnsi="Times New Roman"/>
        </w:rPr>
        <w:t xml:space="preserve"> for re-sentencing</w:t>
      </w:r>
      <w:r w:rsidRPr="00A10137">
        <w:rPr>
          <w:rFonts w:ascii="Times New Roman" w:hAnsi="Times New Roman"/>
        </w:rPr>
        <w:t xml:space="preserve">. </w:t>
      </w:r>
    </w:p>
    <w:p w14:paraId="29829969"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In part for reasons briefly explained above,</w:t>
      </w:r>
      <w:r w:rsidRPr="00A10137">
        <w:rPr>
          <w:rStyle w:val="FootnoteReference"/>
          <w:rFonts w:ascii="Times New Roman" w:hAnsi="Times New Roman"/>
          <w:sz w:val="24"/>
        </w:rPr>
        <w:footnoteReference w:id="155"/>
      </w:r>
      <w:r w:rsidRPr="00A10137">
        <w:rPr>
          <w:rFonts w:ascii="Times New Roman" w:hAnsi="Times New Roman"/>
        </w:rPr>
        <w:t xml:space="preserve"> I have serious doubts whether the Court of Criminal Appeal, and therefore this Court making the orders that the Court of Criminal Appeal ought to have made,</w:t>
      </w:r>
      <w:r w:rsidRPr="00A10137">
        <w:rPr>
          <w:rStyle w:val="FootnoteReference"/>
          <w:rFonts w:ascii="Times New Roman" w:hAnsi="Times New Roman"/>
          <w:sz w:val="24"/>
        </w:rPr>
        <w:footnoteReference w:id="156"/>
      </w:r>
      <w:r w:rsidRPr="00A10137">
        <w:rPr>
          <w:rFonts w:ascii="Times New Roman" w:hAnsi="Times New Roman"/>
        </w:rPr>
        <w:t xml:space="preserve"> has a power to remit the matter for re-sentencing at first instance</w:t>
      </w:r>
      <w:r>
        <w:rPr>
          <w:rFonts w:ascii="Times New Roman" w:hAnsi="Times New Roman"/>
        </w:rPr>
        <w:t xml:space="preserve">, rather than for this Court or (on remittal) the </w:t>
      </w:r>
      <w:r>
        <w:rPr>
          <w:rFonts w:ascii="Times New Roman" w:hAnsi="Times New Roman"/>
        </w:rPr>
        <w:lastRenderedPageBreak/>
        <w:t xml:space="preserve">Court of Criminal Appeal to re-sentence under the </w:t>
      </w:r>
      <w:r>
        <w:rPr>
          <w:rFonts w:ascii="Times New Roman" w:hAnsi="Times New Roman"/>
          <w:i/>
          <w:iCs/>
        </w:rPr>
        <w:t>Criminal Appeal Act</w:t>
      </w:r>
      <w:r w:rsidRPr="00A10137">
        <w:rPr>
          <w:rFonts w:ascii="Times New Roman" w:hAnsi="Times New Roman"/>
        </w:rPr>
        <w:t>. Nevertheless, I recognise that: (</w:t>
      </w:r>
      <w:proofErr w:type="spellStart"/>
      <w:r w:rsidRPr="00A10137">
        <w:rPr>
          <w:rFonts w:ascii="Times New Roman" w:hAnsi="Times New Roman"/>
        </w:rPr>
        <w:t>i</w:t>
      </w:r>
      <w:proofErr w:type="spellEnd"/>
      <w:r w:rsidRPr="00A10137">
        <w:rPr>
          <w:rFonts w:ascii="Times New Roman" w:hAnsi="Times New Roman"/>
        </w:rPr>
        <w:t>) this issue is "controversial";</w:t>
      </w:r>
      <w:r w:rsidRPr="00A10137">
        <w:rPr>
          <w:rStyle w:val="FootnoteReference"/>
          <w:rFonts w:ascii="Times New Roman" w:hAnsi="Times New Roman"/>
          <w:sz w:val="24"/>
        </w:rPr>
        <w:footnoteReference w:id="157"/>
      </w:r>
      <w:r w:rsidRPr="00A10137">
        <w:rPr>
          <w:rFonts w:ascii="Times New Roman" w:hAnsi="Times New Roman"/>
        </w:rPr>
        <w:t xml:space="preserve"> (ii)</w:t>
      </w:r>
      <w:r>
        <w:rPr>
          <w:rFonts w:ascii="Times New Roman" w:hAnsi="Times New Roman"/>
        </w:rPr>
        <w:t> </w:t>
      </w:r>
      <w:r w:rsidRPr="00A10137">
        <w:rPr>
          <w:rFonts w:ascii="Times New Roman" w:hAnsi="Times New Roman"/>
        </w:rPr>
        <w:t>Mr</w:t>
      </w:r>
      <w:r>
        <w:rPr>
          <w:rFonts w:ascii="Times New Roman" w:hAnsi="Times New Roman"/>
        </w:rPr>
        <w:t> </w:t>
      </w:r>
      <w:r w:rsidRPr="00A10137">
        <w:rPr>
          <w:rFonts w:ascii="Times New Roman" w:hAnsi="Times New Roman"/>
        </w:rPr>
        <w:t>Farrugia has raised cogent arguments in favour of such a power; (iii)</w:t>
      </w:r>
      <w:r>
        <w:rPr>
          <w:rFonts w:ascii="Times New Roman" w:hAnsi="Times New Roman"/>
        </w:rPr>
        <w:t> </w:t>
      </w:r>
      <w:r w:rsidRPr="00A10137">
        <w:rPr>
          <w:rFonts w:ascii="Times New Roman" w:hAnsi="Times New Roman"/>
        </w:rPr>
        <w:t>a</w:t>
      </w:r>
      <w:r>
        <w:rPr>
          <w:rFonts w:ascii="Times New Roman" w:hAnsi="Times New Roman"/>
        </w:rPr>
        <w:t> </w:t>
      </w:r>
      <w:r w:rsidRPr="00A10137">
        <w:rPr>
          <w:rFonts w:ascii="Times New Roman" w:hAnsi="Times New Roman"/>
        </w:rPr>
        <w:t>narrow interpretation which denied that power to the Court of Criminal Appeal would be contrary to the existing state of authority;</w:t>
      </w:r>
      <w:r w:rsidRPr="00A10137">
        <w:rPr>
          <w:rStyle w:val="FootnoteReference"/>
          <w:rFonts w:ascii="Times New Roman" w:hAnsi="Times New Roman"/>
          <w:sz w:val="24"/>
        </w:rPr>
        <w:footnoteReference w:id="158"/>
      </w:r>
      <w:r w:rsidRPr="00A10137">
        <w:rPr>
          <w:rFonts w:ascii="Times New Roman" w:hAnsi="Times New Roman"/>
        </w:rPr>
        <w:t xml:space="preserve"> and (iv) such a narrow interpretation could have unfortunate consequences. </w:t>
      </w:r>
    </w:p>
    <w:p w14:paraId="1244176E"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The unfortunate consequences of this narrow interpretation include the consequence that the Court of Criminal Appeal would need to hear full sentencing submissions in every case in which a sentencing judge's exercise of discretion had been vitiated. Even after a very lengthy trial when the most efficient course would be for the matter to be remitted to the trial judge for re-sentencin</w:t>
      </w:r>
      <w:r>
        <w:rPr>
          <w:rFonts w:ascii="Times New Roman" w:hAnsi="Times New Roman"/>
        </w:rPr>
        <w:t>g</w:t>
      </w:r>
      <w:r w:rsidRPr="00A10137">
        <w:rPr>
          <w:rFonts w:ascii="Times New Roman" w:hAnsi="Times New Roman"/>
        </w:rPr>
        <w:t>, the Court of Criminal Appeal would be required to conduct a fresh sentencing hearing and re-exercise the sentencing discretion itself, albeit with supplemental powers including to remit a matter or issue in the sentencing (including any matter or issue in dispute) to the trial judge as part of the re-sentencing hearing.</w:t>
      </w:r>
      <w:r w:rsidRPr="00A10137">
        <w:rPr>
          <w:rStyle w:val="FootnoteReference"/>
          <w:rFonts w:ascii="Times New Roman" w:hAnsi="Times New Roman"/>
          <w:sz w:val="24"/>
        </w:rPr>
        <w:footnoteReference w:id="159"/>
      </w:r>
    </w:p>
    <w:p w14:paraId="594398F9" w14:textId="77777777" w:rsidR="005B483D" w:rsidRPr="00A10137" w:rsidRDefault="005B483D" w:rsidP="00A10137">
      <w:pPr>
        <w:pStyle w:val="FixListStyle"/>
        <w:spacing w:after="260" w:line="280" w:lineRule="exact"/>
        <w:ind w:right="0"/>
        <w:jc w:val="both"/>
        <w:rPr>
          <w:rFonts w:ascii="Times New Roman" w:hAnsi="Times New Roman"/>
        </w:rPr>
      </w:pPr>
      <w:r w:rsidRPr="00A10137">
        <w:rPr>
          <w:rFonts w:ascii="Times New Roman" w:hAnsi="Times New Roman"/>
        </w:rPr>
        <w:tab/>
        <w:t xml:space="preserve">It is both unnecessary and undesirable in this case to attempt to resolve this issue. It is unnecessary to do so because, even if I were to conclude that the Court of Criminal Appeal had power to remit a matter for re-sentencing under s 12(2) of the </w:t>
      </w:r>
      <w:r w:rsidRPr="00A10137">
        <w:rPr>
          <w:rFonts w:ascii="Times New Roman" w:hAnsi="Times New Roman"/>
          <w:i/>
          <w:iCs/>
        </w:rPr>
        <w:t>Criminal Appeal Act</w:t>
      </w:r>
      <w:r w:rsidRPr="00A10137">
        <w:rPr>
          <w:rFonts w:ascii="Times New Roman" w:hAnsi="Times New Roman"/>
        </w:rPr>
        <w:t>,</w:t>
      </w:r>
      <w:r w:rsidRPr="00A10137">
        <w:rPr>
          <w:rFonts w:ascii="Times New Roman" w:hAnsi="Times New Roman"/>
          <w:i/>
          <w:iCs/>
        </w:rPr>
        <w:t xml:space="preserve"> </w:t>
      </w:r>
      <w:r w:rsidRPr="00A10137">
        <w:rPr>
          <w:rFonts w:ascii="Times New Roman" w:hAnsi="Times New Roman"/>
        </w:rPr>
        <w:t>the order that I would make would be to remit the matter to the Court of Criminal Appeal to decide whether the best course of case management in that Court would be to remit the matter to the District Court of New South Wales for a fresh sentencing hearing. And it is undesirable to attempt to do so in circumstances in which: (</w:t>
      </w:r>
      <w:proofErr w:type="spellStart"/>
      <w:r w:rsidRPr="00A10137">
        <w:rPr>
          <w:rFonts w:ascii="Times New Roman" w:hAnsi="Times New Roman"/>
        </w:rPr>
        <w:t>i</w:t>
      </w:r>
      <w:proofErr w:type="spellEnd"/>
      <w:r w:rsidRPr="00A10137">
        <w:rPr>
          <w:rFonts w:ascii="Times New Roman" w:hAnsi="Times New Roman"/>
        </w:rPr>
        <w:t>) (in light of the majority's conclusion) this issue will not be resolved by this Court; and (ii) denying that power to the Court of Criminal Appeal would have the potential to undermine the existing state of authority with potentially deleterious effects for case management of appeals against sentence.</w:t>
      </w:r>
    </w:p>
    <w:p w14:paraId="3FFCA7A9" w14:textId="77777777" w:rsidR="00FC5642" w:rsidRDefault="005B483D" w:rsidP="00FC5642">
      <w:pPr>
        <w:pStyle w:val="FixListStyle"/>
        <w:spacing w:after="260" w:line="280" w:lineRule="exact"/>
        <w:ind w:right="0"/>
        <w:jc w:val="both"/>
        <w:rPr>
          <w:rFonts w:ascii="Times New Roman" w:hAnsi="Times New Roman"/>
        </w:rPr>
      </w:pPr>
      <w:r w:rsidRPr="00A10137">
        <w:rPr>
          <w:rFonts w:ascii="Times New Roman" w:hAnsi="Times New Roman"/>
        </w:rPr>
        <w:tab/>
        <w:t>The appeal should be allowed and the matter remitted to the Court of Criminal Appeal.</w:t>
      </w:r>
    </w:p>
    <w:p w14:paraId="5AB8CBF2" w14:textId="77777777" w:rsidR="00FC5642" w:rsidRDefault="00FC5642" w:rsidP="00FC5642">
      <w:pPr>
        <w:pStyle w:val="FixListStyle"/>
        <w:spacing w:after="260" w:line="280" w:lineRule="exact"/>
        <w:ind w:right="0"/>
        <w:jc w:val="both"/>
        <w:rPr>
          <w:rFonts w:ascii="Times New Roman" w:hAnsi="Times New Roman"/>
        </w:rPr>
        <w:sectPr w:rsidR="00FC5642" w:rsidSect="00FC5642">
          <w:headerReference w:type="even" r:id="rId23"/>
          <w:headerReference w:type="default" r:id="rId24"/>
          <w:footerReference w:type="even" r:id="rId25"/>
          <w:footerReference w:type="default" r:id="rId26"/>
          <w:headerReference w:type="first" r:id="rId27"/>
          <w:footerReference w:type="first" r:id="rId28"/>
          <w:pgSz w:w="11907" w:h="16839" w:code="9"/>
          <w:pgMar w:top="1440" w:right="1701" w:bottom="1984" w:left="1701" w:header="720" w:footer="720" w:gutter="0"/>
          <w:cols w:space="720"/>
          <w:docGrid w:linePitch="354"/>
        </w:sectPr>
      </w:pPr>
    </w:p>
    <w:p w14:paraId="1FF76189" w14:textId="77777777" w:rsidR="00FC5642" w:rsidRPr="00B516EB" w:rsidRDefault="00FC5642" w:rsidP="00B516EB">
      <w:pPr>
        <w:pStyle w:val="NormalBody"/>
        <w:tabs>
          <w:tab w:val="clear" w:pos="720"/>
          <w:tab w:val="left" w:pos="0"/>
        </w:tabs>
        <w:spacing w:after="260" w:line="280" w:lineRule="exact"/>
        <w:ind w:right="0"/>
        <w:jc w:val="both"/>
        <w:rPr>
          <w:rFonts w:ascii="Times New Roman" w:hAnsi="Times New Roman"/>
        </w:rPr>
      </w:pPr>
      <w:r w:rsidRPr="00B516EB">
        <w:rPr>
          <w:rFonts w:ascii="Times New Roman" w:hAnsi="Times New Roman"/>
        </w:rPr>
        <w:lastRenderedPageBreak/>
        <w:t xml:space="preserve">JAGOT J.   </w:t>
      </w:r>
    </w:p>
    <w:p w14:paraId="706588BB" w14:textId="77777777" w:rsidR="00FC5642" w:rsidRPr="00B516EB" w:rsidRDefault="00FC5642" w:rsidP="00B516EB">
      <w:pPr>
        <w:pStyle w:val="HeadingL1"/>
        <w:spacing w:after="260" w:line="280" w:lineRule="exact"/>
        <w:ind w:right="0"/>
        <w:jc w:val="both"/>
        <w:rPr>
          <w:rFonts w:ascii="Times New Roman" w:hAnsi="Times New Roman"/>
        </w:rPr>
      </w:pPr>
      <w:r w:rsidRPr="00B516EB">
        <w:rPr>
          <w:rFonts w:ascii="Times New Roman" w:hAnsi="Times New Roman"/>
        </w:rPr>
        <w:t>The appeal and its resolution – overview</w:t>
      </w:r>
    </w:p>
    <w:p w14:paraId="023B551D"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This appeal arises from unusual facts. The appellant and a co-accused each indicated that they would enter a plea of guilty to offences of conspiring to traffic a commercial quantity of a controlled drug and dealing with the proceeds of crime. The appellant and the co-accused were committed for arraignment and sentence in the District Court of New South Wales. Agreed Facts were signed and filed. Before the trial on sentence the Crown filed written submissions prepared by two counsel "on behalf of the CDPP [the Commonwealth Director of Public Prosecutions]". By reference to the Agreed Facts, the Crown submitted that the appellant's offending was less objectively serious than the offending of the co-accused and the appellant was therefore less culpable than the co-accused so that the co-accused "should receive a more substantial penalty than ... [the appellant]". Trial counsel retained for the appellant filed written submissions in response and appeared at the trial on sentence. Rather than adopting the written submissions of the Crown, trial counsel submitted that the Crown was wrong and that the appellant's offending was more objectively serious than the offending of the co-accused and the appellant was therefore more culpable than the co-accused. At the trial on sentence Crown counsel reversed the Crown's position and adopted the position put by trial counsel for the appellant. The appellant was thereafter sentenced to a materially longer period of imprisonment than the co-accused. </w:t>
      </w:r>
    </w:p>
    <w:p w14:paraId="393CF1A8"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As will be explained, there can be no real doubt that the submissions trial counsel for the appellant made reflected trial counsel's genuine view of the relative objective seriousness of the offending of the appellant and the co-accused and their consequential relative culpability. Otherwise, trial counsel's conduct would be wholly inexplicable. Equally, there can be no real doubt that trial counsel did not perceive that, as the Crown's written submissions involved a reasonably arguable position based on the Agreed Facts, there was available to trial counsel an obvious proper and lawful means by which trial counsel could advance the best interests of the appellant in the appellant's cause, which, in the circumstances, it was trial counsel's duty to do. That obvious proper and lawful means was for trial counsel, whatever else trial counsel may have chosen to submit on the appellant's behalf, to adopt the effect of the Crown's written submissions that the appellant's offending was less serious than that of the co-accused and the appellant was therefore less culpable than the co-accused so that, as the Crown had submitted, the appellant's sentence should be less than the sentence of the co-accused. </w:t>
      </w:r>
    </w:p>
    <w:p w14:paraId="720F95BE"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Finally, there can be no real doubt that trial counsel did not perceive this to be his duty to the appellant (and, as will be explained, his duty to the sentencing court) because trial counsel had also been retained by and was acting in the trial for the co-accused. </w:t>
      </w:r>
    </w:p>
    <w:p w14:paraId="5AF09774"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lastRenderedPageBreak/>
        <w:tab/>
        <w:t>In these circumstances the appeal is to be resolved on the basis that: (</w:t>
      </w:r>
      <w:proofErr w:type="spellStart"/>
      <w:r w:rsidRPr="00B516EB">
        <w:rPr>
          <w:rFonts w:ascii="Times New Roman" w:hAnsi="Times New Roman"/>
        </w:rPr>
        <w:t>i</w:t>
      </w:r>
      <w:proofErr w:type="spellEnd"/>
      <w:r w:rsidRPr="00B516EB">
        <w:rPr>
          <w:rFonts w:ascii="Times New Roman" w:hAnsi="Times New Roman"/>
        </w:rPr>
        <w:t>) the sentencing of the appellant miscarried as the appellant's trial counsel was subject to an irreconcilable conflict of duties arising from the fact that trial counsel was also representing a co-accused in that trial; (ii) trial counsel's representation of the appellant in the trial on sentence involved a material procedural error or irregularity in that trial counsel's conflict of duties could realistically have affected the outcome,</w:t>
      </w:r>
      <w:r w:rsidRPr="00B516EB">
        <w:rPr>
          <w:rStyle w:val="FootnoteReference"/>
          <w:rFonts w:ascii="Times New Roman" w:hAnsi="Times New Roman"/>
          <w:sz w:val="24"/>
        </w:rPr>
        <w:footnoteReference w:id="160"/>
      </w:r>
      <w:r w:rsidRPr="00B516EB">
        <w:rPr>
          <w:rFonts w:ascii="Times New Roman" w:hAnsi="Times New Roman"/>
        </w:rPr>
        <w:t xml:space="preserve"> being the sentence imposed on the appellant; and (iii) it follows that the sentence imposed on the appellant is vitiated and "some other sentence, whether more or less severe is warranted in law" within the meaning of s 6(3) of the </w:t>
      </w:r>
      <w:r w:rsidRPr="00B516EB">
        <w:rPr>
          <w:rFonts w:ascii="Times New Roman" w:hAnsi="Times New Roman"/>
          <w:i/>
          <w:iCs/>
        </w:rPr>
        <w:t xml:space="preserve">Criminal Appeal Act 1912 </w:t>
      </w:r>
      <w:r w:rsidRPr="00B516EB">
        <w:rPr>
          <w:rFonts w:ascii="Times New Roman" w:hAnsi="Times New Roman"/>
        </w:rPr>
        <w:t xml:space="preserve">(NSW). </w:t>
      </w:r>
    </w:p>
    <w:p w14:paraId="5AEF19AD"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 significance of the Crown's written submissions is evidentiary. They made manifest that it was reasonably arguable on the Agreed Facts that the appellant's offending was less objectively serious and the appellant was therefore less culpable than the co-accused, and that the appellant in all of the circumstances as considered by the Crown should be subjected to a lesser sentence than the co-accused. They also provided trial counsel with an obvious opportunity to adopt the effect of those submissions on behalf of the appellant. That trial counsel did not do </w:t>
      </w:r>
      <w:proofErr w:type="gramStart"/>
      <w:r w:rsidRPr="00B516EB">
        <w:rPr>
          <w:rFonts w:ascii="Times New Roman" w:hAnsi="Times New Roman"/>
        </w:rPr>
        <w:t>so, but</w:t>
      </w:r>
      <w:proofErr w:type="gramEnd"/>
      <w:r w:rsidRPr="00B516EB">
        <w:rPr>
          <w:rFonts w:ascii="Times New Roman" w:hAnsi="Times New Roman"/>
        </w:rPr>
        <w:t xml:space="preserve"> instead submitted the opposite (against the interests of the appellant in the appellant's cause and in the interests of the co-accused in the co-accused's cause), proves that trial counsel could not satisfy his duty to the appellant, his duty to the co-accused, and his duty to the court in the trial on sentence. Rather, the only available inference is that because trial counsel did not recognise the conflict of duties, trial counsel also did not recognise that, in his representation of the appellant, trial counsel subordinated the best interests of the appellant in the appellant's cause to the best interests of the co-accused in the co-accused's cause. That circumstance constitutes a material irregularity in the trial on sentence the effect of which is to vitiate the sentence imposed on the appellant. </w:t>
      </w:r>
    </w:p>
    <w:p w14:paraId="21B8E834"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While counsel is not prohibited from acting on behalf of more than one co-accused in a criminal trial, judicial expressions of concern about counsel doing so reflect that irreconcilable conflicts of interest between co-accused may well arise through the criminal trial process and are not readily predictable. Moreover, when there is a potential or actual conflict of interest between co-accused, which is real and not merely fanciful or far-fetched, it is the very existence of the resulting potential or actual conflict of duties of counsel which can prevent counsel from perceiving the conflict and its consequences. That which appears obvious with hindsight to a third party often may not appear at all to counsel </w:t>
      </w:r>
      <w:proofErr w:type="gramStart"/>
      <w:r w:rsidRPr="00B516EB">
        <w:rPr>
          <w:rFonts w:ascii="Times New Roman" w:hAnsi="Times New Roman"/>
        </w:rPr>
        <w:t>in the midst of</w:t>
      </w:r>
      <w:proofErr w:type="gramEnd"/>
      <w:r w:rsidRPr="00B516EB">
        <w:rPr>
          <w:rFonts w:ascii="Times New Roman" w:hAnsi="Times New Roman"/>
        </w:rPr>
        <w:t xml:space="preserve"> the conflict of duties unless counsel is consciously vigilant about avoiding the risk of such a conflict in the first place. </w:t>
      </w:r>
    </w:p>
    <w:p w14:paraId="4DB0CB03"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The test to be applied by counsel is predictive and protective of the interests of justice. Unless counsel in a criminal trial can act in the best interests of each co-</w:t>
      </w:r>
      <w:r w:rsidRPr="00B516EB">
        <w:rPr>
          <w:rFonts w:ascii="Times New Roman" w:hAnsi="Times New Roman"/>
        </w:rPr>
        <w:lastRenderedPageBreak/>
        <w:t xml:space="preserve">accused </w:t>
      </w:r>
      <w:r w:rsidRPr="00B516EB">
        <w:rPr>
          <w:rFonts w:ascii="Times New Roman" w:hAnsi="Times New Roman"/>
          <w:i/>
          <w:iCs/>
        </w:rPr>
        <w:t>as if each co-accused were counsel's only client</w:t>
      </w:r>
      <w:r w:rsidRPr="00B516EB">
        <w:rPr>
          <w:rFonts w:ascii="Times New Roman" w:hAnsi="Times New Roman"/>
        </w:rPr>
        <w:t xml:space="preserve">, counsel cannot act for more than one co-accused, including in a trial on sentence. Therefore, if there is a real risk or real chance that counsel may not be able to act in the best interests of each co-accused </w:t>
      </w:r>
      <w:r w:rsidRPr="00B516EB">
        <w:rPr>
          <w:rFonts w:ascii="Times New Roman" w:hAnsi="Times New Roman"/>
          <w:i/>
          <w:iCs/>
        </w:rPr>
        <w:t>as if each co-accused were counsel's only client</w:t>
      </w:r>
      <w:r w:rsidRPr="00B516EB">
        <w:rPr>
          <w:rFonts w:ascii="Times New Roman" w:hAnsi="Times New Roman"/>
        </w:rPr>
        <w:t xml:space="preserve"> counsel cannot act for more than one co-accused. The test for intervention to be applied by a criminal trial judge before whom counsel is appearing is the same. If the trial judge considers that there is a real risk or real chance that counsel may not be able to act in the best interests of each co-accused </w:t>
      </w:r>
      <w:r w:rsidRPr="00B516EB">
        <w:rPr>
          <w:rFonts w:ascii="Times New Roman" w:hAnsi="Times New Roman"/>
          <w:i/>
          <w:iCs/>
        </w:rPr>
        <w:t>as if each co-accused were counsel's only client</w:t>
      </w:r>
      <w:r w:rsidRPr="00B516EB">
        <w:rPr>
          <w:rFonts w:ascii="Times New Roman" w:hAnsi="Times New Roman"/>
        </w:rPr>
        <w:t xml:space="preserve"> the trial judge should intervene to prevent that occurring.</w:t>
      </w:r>
      <w:r w:rsidRPr="00B516EB">
        <w:rPr>
          <w:rStyle w:val="FootnoteReference"/>
          <w:rFonts w:ascii="Times New Roman" w:hAnsi="Times New Roman"/>
          <w:sz w:val="24"/>
        </w:rPr>
        <w:footnoteReference w:id="161"/>
      </w:r>
      <w:r w:rsidRPr="00B516EB">
        <w:rPr>
          <w:rFonts w:ascii="Times New Roman" w:hAnsi="Times New Roman"/>
        </w:rPr>
        <w:t xml:space="preserve"> The test to be applied by an appellate court on appeal from a verdict or sentence is that counsel in fact having acted under a conflict of duties is an error or irregularity in a criminal trial which vitiates a verdict or sentence if it is "shown that the error or irregularity was material in the sense that the error or irregularity could realistically have affected the reasoning"</w:t>
      </w:r>
      <w:r w:rsidRPr="00B516EB">
        <w:rPr>
          <w:rStyle w:val="FootnoteReference"/>
          <w:rFonts w:ascii="Times New Roman" w:hAnsi="Times New Roman"/>
          <w:sz w:val="24"/>
        </w:rPr>
        <w:footnoteReference w:id="162"/>
      </w:r>
      <w:r w:rsidRPr="00B516EB">
        <w:rPr>
          <w:rFonts w:ascii="Times New Roman" w:hAnsi="Times New Roman"/>
        </w:rPr>
        <w:t xml:space="preserve"> to the verdict or sentence. That test is satisfied in this case. </w:t>
      </w:r>
    </w:p>
    <w:p w14:paraId="12690DCE"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The Crown's contention in this appeal, that trial counsel's conflict of duties (if any) had been negated by the appellant failing to prove that he had not given "fully informed consent" to trial counsel acting for both the appellant and the co-accused, must be rejected. The position of counsel and an accused in a criminal trial, including a trial on sentence, is not comparable to the position of a solicitor acting on behalf of more than one client in a commercial transaction. It is still less comparable to a general fiduciary in the multiplicity of circumstances in which "different minds may reach different conclusions as to the presence or absence of a real or substantial possibility of conflict between duty and interest or between duty and duty".</w:t>
      </w:r>
      <w:r w:rsidRPr="00B516EB">
        <w:rPr>
          <w:rStyle w:val="FootnoteReference"/>
          <w:rFonts w:ascii="Times New Roman" w:hAnsi="Times New Roman"/>
          <w:sz w:val="24"/>
        </w:rPr>
        <w:footnoteReference w:id="163"/>
      </w:r>
      <w:r w:rsidRPr="00B516EB">
        <w:rPr>
          <w:rFonts w:ascii="Times New Roman" w:hAnsi="Times New Roman"/>
        </w:rPr>
        <w:t xml:space="preserve"> </w:t>
      </w:r>
    </w:p>
    <w:p w14:paraId="634357E6"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As explained below, counsel appearing in court is not merely in a fiduciary relationship to counsel's client. In the context of a criminal trial, it will be a rare case in which the risk to the integrity of a criminal trial process, including as to sentence, would justify counsel acting on behalf of a co-accused where it appears that real potential exists for a conflict of duties to arise as between the best interests of each co-accused. It will also be a rare case in which counsel's disclosure to an accused of the circumstances giving rise to counsel's potential or actual conflict of </w:t>
      </w:r>
      <w:r w:rsidRPr="00B516EB">
        <w:rPr>
          <w:rFonts w:ascii="Times New Roman" w:hAnsi="Times New Roman"/>
        </w:rPr>
        <w:lastRenderedPageBreak/>
        <w:t xml:space="preserve">duties, and an accused's continued retainer of counsel despite that disclosure, should be taken to constitute an accused's "fully informed consent" to the conflict such as to negate or qualify counsel's duty to act in the best interests of that accused alone. </w:t>
      </w:r>
    </w:p>
    <w:p w14:paraId="298FF802"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Relatedly, an accused's maintenance of legal professional privilege over the accused's communications with counsel does not permit any inference to be drawn adverse to the accused. </w:t>
      </w:r>
      <w:proofErr w:type="gramStart"/>
      <w:r w:rsidRPr="00B516EB">
        <w:rPr>
          <w:rFonts w:ascii="Times New Roman" w:hAnsi="Times New Roman"/>
        </w:rPr>
        <w:t>In particular, it</w:t>
      </w:r>
      <w:proofErr w:type="gramEnd"/>
      <w:r w:rsidRPr="00B516EB">
        <w:rPr>
          <w:rFonts w:ascii="Times New Roman" w:hAnsi="Times New Roman"/>
        </w:rPr>
        <w:t xml:space="preserve"> does not permit an inference to be drawn to the effect that counsel made "full disclosure" of the conflict of duties and its full suite of potential consequences and that the accused provided "fully informed consent" to counsel acting subject to the conflict of duties. In the present case, moreover, it is relevant that the Crown did not challenge the appellant's claim of legal professional privilege over his communications with trial counsel, so that the issue remained undecided before the Court below. The Crown succeeded before the Court of Criminal Appeal of the Supreme Court of New South Wales only on the basis of the appellant's failure to discharge his onus of proof – that is, in effect, that the appellant had not proved that he had not provided "fully informed consent" to trial counsel acting under the conflict of duties.</w:t>
      </w:r>
      <w:r w:rsidRPr="00B516EB">
        <w:rPr>
          <w:rStyle w:val="FootnoteReference"/>
          <w:rFonts w:ascii="Times New Roman" w:hAnsi="Times New Roman"/>
          <w:sz w:val="24"/>
        </w:rPr>
        <w:footnoteReference w:id="164"/>
      </w:r>
      <w:r w:rsidRPr="00B516EB">
        <w:rPr>
          <w:rFonts w:ascii="Times New Roman" w:hAnsi="Times New Roman"/>
        </w:rPr>
        <w:t xml:space="preserve"> This conclusion assumes both that trial counsel could have provided to the appellant "full disclosure" of the true nature of the conflict of duties and its consequences and that the appellant could in response provide "fully informed consent" to counsel continuing to act under that conflict of duties. As discussed below, no such assumptions can be made. </w:t>
      </w:r>
    </w:p>
    <w:p w14:paraId="132A3C52" w14:textId="77777777" w:rsidR="00FC5642" w:rsidRPr="00B516EB" w:rsidRDefault="00FC5642" w:rsidP="00B516EB">
      <w:pPr>
        <w:pStyle w:val="HeadingL1"/>
        <w:spacing w:after="260" w:line="280" w:lineRule="exact"/>
        <w:ind w:right="0"/>
        <w:jc w:val="both"/>
        <w:rPr>
          <w:rFonts w:ascii="Times New Roman" w:hAnsi="Times New Roman"/>
        </w:rPr>
      </w:pPr>
      <w:r w:rsidRPr="00B516EB">
        <w:rPr>
          <w:rFonts w:ascii="Times New Roman" w:hAnsi="Times New Roman"/>
        </w:rPr>
        <w:t>Counsel's duty to an accused</w:t>
      </w:r>
    </w:p>
    <w:p w14:paraId="5658D63A"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It may be accepted that, as a general proposition, a client's instructions to a lawyer will affect the nature, scope and extent of the lawyer's duties to the client. The flexibility inherent in this general proposition reflects the breadth and variety of circumstances in which a person may engage a lawyer to act on their behalf. In some cases, such as a lawyer representing a client in a commercial transaction, it may well be possible for a lawyer to provide a client with "a conscientious disclosure of all material circumstances, and everything known to [the lawyer] relating to the proposed transaction which might influence the conduct of the client".</w:t>
      </w:r>
      <w:r w:rsidRPr="00B516EB">
        <w:rPr>
          <w:rStyle w:val="FootnoteReference"/>
          <w:rFonts w:ascii="Times New Roman" w:hAnsi="Times New Roman"/>
          <w:sz w:val="24"/>
        </w:rPr>
        <w:footnoteReference w:id="165"/>
      </w:r>
      <w:r w:rsidRPr="00B516EB">
        <w:rPr>
          <w:rFonts w:ascii="Times New Roman" w:hAnsi="Times New Roman"/>
        </w:rPr>
        <w:t xml:space="preserve"> It may also be possible for a client to provide the lawyer with "fully informed consent" to the lawyer's conflict of interest, thereby negating what would otherwise be the lawyer's duty to act exclusively in the best interests of the client.</w:t>
      </w:r>
      <w:r w:rsidRPr="00B516EB">
        <w:rPr>
          <w:rStyle w:val="FootnoteReference"/>
          <w:rFonts w:ascii="Times New Roman" w:hAnsi="Times New Roman"/>
          <w:sz w:val="24"/>
        </w:rPr>
        <w:footnoteReference w:id="166"/>
      </w:r>
      <w:r w:rsidRPr="00B516EB">
        <w:rPr>
          <w:rFonts w:ascii="Times New Roman" w:hAnsi="Times New Roman"/>
        </w:rPr>
        <w:t xml:space="preserve"> As Spigelman CJ, Sheller and Stein JJA explained in </w:t>
      </w:r>
      <w:r w:rsidRPr="00B516EB">
        <w:rPr>
          <w:rFonts w:ascii="Times New Roman" w:hAnsi="Times New Roman"/>
          <w:i/>
          <w:iCs/>
        </w:rPr>
        <w:t xml:space="preserve">Beach Petroleum NL v </w:t>
      </w:r>
      <w:r w:rsidRPr="00B516EB">
        <w:rPr>
          <w:rFonts w:ascii="Times New Roman" w:hAnsi="Times New Roman"/>
          <w:i/>
          <w:iCs/>
        </w:rPr>
        <w:lastRenderedPageBreak/>
        <w:t>Kennedy</w:t>
      </w:r>
      <w:r w:rsidRPr="00B516EB">
        <w:rPr>
          <w:rFonts w:ascii="Times New Roman" w:hAnsi="Times New Roman"/>
        </w:rPr>
        <w:t>,</w:t>
      </w:r>
      <w:r w:rsidRPr="00B516EB">
        <w:rPr>
          <w:rStyle w:val="FootnoteReference"/>
          <w:rFonts w:ascii="Times New Roman" w:hAnsi="Times New Roman"/>
          <w:sz w:val="24"/>
        </w:rPr>
        <w:footnoteReference w:id="167"/>
      </w:r>
      <w:r w:rsidRPr="00B516EB">
        <w:rPr>
          <w:rFonts w:ascii="Times New Roman" w:hAnsi="Times New Roman"/>
        </w:rPr>
        <w:t xml:space="preserve"> the general position with respect to a lawyer's fiduciary duty to a client is that the nature, scope and extent of the duty "is derived from what the [lawyer] undertakes, or is deemed to have undertaken, to do in the particular circumstances".</w:t>
      </w:r>
      <w:r w:rsidRPr="00B516EB">
        <w:rPr>
          <w:rStyle w:val="FootnoteReference"/>
          <w:rFonts w:ascii="Times New Roman" w:hAnsi="Times New Roman"/>
          <w:sz w:val="24"/>
        </w:rPr>
        <w:footnoteReference w:id="168"/>
      </w:r>
      <w:r w:rsidRPr="00B516EB">
        <w:rPr>
          <w:rFonts w:ascii="Times New Roman" w:hAnsi="Times New Roman"/>
        </w:rPr>
        <w:t xml:space="preserve"> </w:t>
      </w:r>
    </w:p>
    <w:p w14:paraId="291F5101"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What a lawyer undertakes, or is deemed to have undertaken, to do in the circumstances of a commercial transaction, or even in civil litigation, may well involve greater scope for a lawyer to act in the best interests of multiple clients. In contrast to a commercial transaction or civil litigation, where the legitimate interests of a party may embrace a range of outcomes, the legitimate interests of an accused in a criminal trial are more confined. In a trial for an offence, the principal legitimate interest of an accused is an acquittal or conviction on some lesser charge than might otherwise have been the case. In a trial on sentence, the principal legitimate interest of an accused is the imposition of the sentence the least severe in form and for as short a period as possible. It follows that in determining if a real potential for a conflict of interest exists between co-accused, the primary consideration must be the principal legitimate interest of each co-accused to obtain an acquittal or conviction on some lesser charge than might otherwise have been the case or imposition of the sentence the least severe in form and for as short a period as possible.</w:t>
      </w:r>
    </w:p>
    <w:p w14:paraId="3173565A"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The function of counsel in a criminal trial, however, is neither defined by nor exhausted by the fiduciary duties counsel owes to an accused. "The role of counsel in a criminal trial is so important that it hardly needs argument to conclude that his or her conduct of the trial can bring about a miscarriage of justice".</w:t>
      </w:r>
      <w:r w:rsidRPr="00B516EB">
        <w:rPr>
          <w:rStyle w:val="FootnoteReference"/>
          <w:rFonts w:ascii="Times New Roman" w:hAnsi="Times New Roman"/>
          <w:sz w:val="24"/>
        </w:rPr>
        <w:footnoteReference w:id="169"/>
      </w:r>
      <w:r w:rsidRPr="00B516EB">
        <w:rPr>
          <w:rFonts w:ascii="Times New Roman" w:hAnsi="Times New Roman"/>
        </w:rPr>
        <w:t xml:space="preserve"> This follows from the fact that "[n]o matter how strong the prosecution case appears to be, an accused person is entitled to the trial [including on sentence] that the law requires".</w:t>
      </w:r>
      <w:r w:rsidRPr="00B516EB">
        <w:rPr>
          <w:rStyle w:val="FootnoteReference"/>
          <w:rFonts w:ascii="Times New Roman" w:hAnsi="Times New Roman"/>
          <w:sz w:val="24"/>
        </w:rPr>
        <w:footnoteReference w:id="170"/>
      </w:r>
    </w:p>
    <w:p w14:paraId="30C47D02"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Throughout a criminal trial, including a trial on sentence,</w:t>
      </w:r>
      <w:r w:rsidRPr="00B516EB">
        <w:rPr>
          <w:rStyle w:val="FootnoteReference"/>
          <w:rFonts w:ascii="Times New Roman" w:hAnsi="Times New Roman"/>
          <w:sz w:val="24"/>
        </w:rPr>
        <w:footnoteReference w:id="171"/>
      </w:r>
      <w:r w:rsidRPr="00B516EB">
        <w:rPr>
          <w:rFonts w:ascii="Times New Roman" w:hAnsi="Times New Roman"/>
        </w:rPr>
        <w:t xml:space="preserve"> there is an overriding requirement that the trial be conducted in accordance with procedures, standards and rules that have come to be accepted as essential to fairness, including </w:t>
      </w:r>
      <w:r w:rsidRPr="00B516EB">
        <w:rPr>
          <w:rFonts w:ascii="Times New Roman" w:hAnsi="Times New Roman"/>
        </w:rPr>
        <w:lastRenderedPageBreak/>
        <w:t>fairness to an accused.</w:t>
      </w:r>
      <w:r w:rsidRPr="00B516EB">
        <w:rPr>
          <w:rStyle w:val="FootnoteReference"/>
          <w:rFonts w:ascii="Times New Roman" w:hAnsi="Times New Roman"/>
          <w:sz w:val="24"/>
        </w:rPr>
        <w:footnoteReference w:id="172"/>
      </w:r>
      <w:r w:rsidRPr="00B516EB">
        <w:rPr>
          <w:rFonts w:ascii="Times New Roman" w:hAnsi="Times New Roman"/>
        </w:rPr>
        <w:t xml:space="preserve"> An accused "is entitled to be sentenced according to law".</w:t>
      </w:r>
      <w:r w:rsidRPr="00B516EB">
        <w:rPr>
          <w:rStyle w:val="FootnoteReference"/>
          <w:rFonts w:ascii="Times New Roman" w:hAnsi="Times New Roman"/>
          <w:sz w:val="24"/>
        </w:rPr>
        <w:footnoteReference w:id="173"/>
      </w:r>
      <w:r w:rsidRPr="00B516EB">
        <w:rPr>
          <w:rFonts w:ascii="Times New Roman" w:hAnsi="Times New Roman"/>
        </w:rPr>
        <w:t xml:space="preserve"> In particular, in the conduct of the cause of an accused, be it in a trial relating to acquittal or conviction or to sentence, it is axiomatic that the duty of counsel is to "adduce any evidence which is relevant to [that cause] and assists [the] client, </w:t>
      </w:r>
      <w:r w:rsidRPr="00B516EB">
        <w:rPr>
          <w:rFonts w:ascii="Times New Roman" w:hAnsi="Times New Roman"/>
          <w:i/>
          <w:iCs/>
        </w:rPr>
        <w:t>whether or not it prejudices anyone else</w:t>
      </w:r>
      <w:r w:rsidRPr="00B516EB">
        <w:rPr>
          <w:rFonts w:ascii="Times New Roman" w:hAnsi="Times New Roman"/>
        </w:rPr>
        <w:t>".</w:t>
      </w:r>
      <w:r w:rsidRPr="00B516EB">
        <w:rPr>
          <w:rStyle w:val="FootnoteReference"/>
          <w:rFonts w:ascii="Times New Roman" w:hAnsi="Times New Roman"/>
          <w:sz w:val="24"/>
        </w:rPr>
        <w:footnoteReference w:id="174"/>
      </w:r>
      <w:r w:rsidRPr="00B516EB">
        <w:rPr>
          <w:rFonts w:ascii="Times New Roman" w:hAnsi="Times New Roman"/>
        </w:rPr>
        <w:t xml:space="preserve"> Equally, as an accused must be able to adduce "all relevant and admissible evidence" in their own cause,</w:t>
      </w:r>
      <w:r w:rsidRPr="00B516EB">
        <w:rPr>
          <w:rStyle w:val="FootnoteReference"/>
          <w:rFonts w:ascii="Times New Roman" w:hAnsi="Times New Roman"/>
          <w:sz w:val="24"/>
        </w:rPr>
        <w:footnoteReference w:id="175"/>
      </w:r>
      <w:r w:rsidRPr="00B516EB">
        <w:rPr>
          <w:rFonts w:ascii="Times New Roman" w:hAnsi="Times New Roman"/>
        </w:rPr>
        <w:t xml:space="preserve"> an accused's counsel must be free from any conflict of duties preventing, inhibiting or impairing counsel's capacity to do so. It follows that an accused's counsel must also be free from any conflict of duties preventing, inhibiting or impairing them from making all submissions, properly and lawfully able to be made, in the best interests of the accused in the accused's cause. </w:t>
      </w:r>
    </w:p>
    <w:p w14:paraId="7CFC860C"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Accordingly, it cannot be said that the obligations of counsel for an accused in a criminal trial are mere fiduciary obligations of the kind equity imposes on a fiduciary, being "proscriptive rather than prescriptive in nature" and owed solely to the accused "not to obtain any unauthorised benefit from the relationship and not to be in a position of conflict".</w:t>
      </w:r>
      <w:r w:rsidRPr="00B516EB">
        <w:rPr>
          <w:rStyle w:val="FootnoteReference"/>
          <w:rFonts w:ascii="Times New Roman" w:hAnsi="Times New Roman"/>
          <w:sz w:val="24"/>
        </w:rPr>
        <w:footnoteReference w:id="176"/>
      </w:r>
      <w:r w:rsidRPr="00B516EB">
        <w:rPr>
          <w:rFonts w:ascii="Times New Roman" w:hAnsi="Times New Roman"/>
        </w:rPr>
        <w:t xml:space="preserve"> Recognition of this reality may explain in part why some academic commentators have expressed doubt about the role of "fully informed consent" to negate counsel's conflict of duties in a criminal trial context.</w:t>
      </w:r>
      <w:r w:rsidRPr="00B516EB">
        <w:rPr>
          <w:rStyle w:val="FootnoteReference"/>
          <w:rFonts w:ascii="Times New Roman" w:hAnsi="Times New Roman"/>
          <w:sz w:val="24"/>
        </w:rPr>
        <w:footnoteReference w:id="177"/>
      </w:r>
    </w:p>
    <w:p w14:paraId="7EAF6FC5"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It is because of the overriding requirement that a criminal trial be fair that the common law doctrine of finality in adversarial litigation, that "parties are bound by the conduct of their legal representatives",</w:t>
      </w:r>
      <w:r w:rsidRPr="00B516EB">
        <w:rPr>
          <w:rStyle w:val="FootnoteReference"/>
          <w:rFonts w:ascii="Times New Roman" w:hAnsi="Times New Roman"/>
          <w:sz w:val="24"/>
        </w:rPr>
        <w:footnoteReference w:id="178"/>
      </w:r>
      <w:r w:rsidRPr="00B516EB">
        <w:rPr>
          <w:rFonts w:ascii="Times New Roman" w:hAnsi="Times New Roman"/>
        </w:rPr>
        <w:t xml:space="preserve"> is not absolute in the criminal trial context.</w:t>
      </w:r>
      <w:r w:rsidRPr="00B516EB">
        <w:rPr>
          <w:rStyle w:val="FootnoteReference"/>
          <w:rFonts w:ascii="Times New Roman" w:hAnsi="Times New Roman"/>
          <w:sz w:val="24"/>
        </w:rPr>
        <w:footnoteReference w:id="179"/>
      </w:r>
      <w:r w:rsidRPr="00B516EB">
        <w:rPr>
          <w:rFonts w:ascii="Times New Roman" w:hAnsi="Times New Roman"/>
        </w:rPr>
        <w:t xml:space="preserve"> That rule yields in a case where counsel's conduct: (</w:t>
      </w:r>
      <w:proofErr w:type="spellStart"/>
      <w:r w:rsidRPr="00B516EB">
        <w:rPr>
          <w:rFonts w:ascii="Times New Roman" w:hAnsi="Times New Roman"/>
        </w:rPr>
        <w:t>i</w:t>
      </w:r>
      <w:proofErr w:type="spellEnd"/>
      <w:r w:rsidRPr="00B516EB">
        <w:rPr>
          <w:rFonts w:ascii="Times New Roman" w:hAnsi="Times New Roman"/>
        </w:rPr>
        <w:t xml:space="preserve">) is such that it can be said that an accused has been deprived of the fundamental opportunity for a fair trial, in which event the threshold of materiality for appellate </w:t>
      </w:r>
      <w:r w:rsidRPr="00B516EB">
        <w:rPr>
          <w:rFonts w:ascii="Times New Roman" w:hAnsi="Times New Roman"/>
        </w:rPr>
        <w:lastRenderedPageBreak/>
        <w:t>intervention is necessarily satisfied; or (ii) has resulted in a procedural error or irregularity in the trial process which could realistically have affected the outcome,</w:t>
      </w:r>
      <w:r w:rsidRPr="00B516EB">
        <w:rPr>
          <w:rStyle w:val="FootnoteReference"/>
          <w:rFonts w:ascii="Times New Roman" w:hAnsi="Times New Roman"/>
          <w:sz w:val="24"/>
        </w:rPr>
        <w:footnoteReference w:id="180"/>
      </w:r>
      <w:r w:rsidRPr="00B516EB">
        <w:rPr>
          <w:rFonts w:ascii="Times New Roman" w:hAnsi="Times New Roman"/>
        </w:rPr>
        <w:t xml:space="preserve"> be that outcome an accused's conviction of or sentencing for an offence. </w:t>
      </w:r>
    </w:p>
    <w:p w14:paraId="2B5FCAAF"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That counsel retained to act on behalf of an accused has a wide discretion to conduct the case for the accused as counsel "may think best for the interests of [the] client in the conduct of the [client's] cause" may be accepted.</w:t>
      </w:r>
      <w:r w:rsidRPr="00B516EB">
        <w:rPr>
          <w:rStyle w:val="FootnoteReference"/>
          <w:rFonts w:ascii="Times New Roman" w:hAnsi="Times New Roman"/>
          <w:sz w:val="24"/>
        </w:rPr>
        <w:footnoteReference w:id="181"/>
      </w:r>
      <w:r w:rsidRPr="00B516EB">
        <w:rPr>
          <w:rFonts w:ascii="Times New Roman" w:hAnsi="Times New Roman"/>
        </w:rPr>
        <w:t xml:space="preserve"> The consequence is that the "wisdom of [counsel's] decisions can rarely be the proper concern of appeal courts".</w:t>
      </w:r>
      <w:r w:rsidRPr="00B516EB">
        <w:rPr>
          <w:rStyle w:val="FootnoteReference"/>
          <w:rFonts w:ascii="Times New Roman" w:hAnsi="Times New Roman"/>
          <w:sz w:val="24"/>
        </w:rPr>
        <w:footnoteReference w:id="182"/>
      </w:r>
      <w:r w:rsidRPr="00B516EB">
        <w:rPr>
          <w:rFonts w:ascii="Times New Roman" w:hAnsi="Times New Roman"/>
        </w:rPr>
        <w:t xml:space="preserve"> Accordingly, while it is for counsel to decide "what issues to contest, what witnesses to call, what evidence to lead or to seek to have excluded, and what lines of argument to pursue",</w:t>
      </w:r>
      <w:r w:rsidRPr="00B516EB">
        <w:rPr>
          <w:rStyle w:val="FootnoteReference"/>
          <w:rFonts w:ascii="Times New Roman" w:hAnsi="Times New Roman"/>
          <w:sz w:val="24"/>
        </w:rPr>
        <w:footnoteReference w:id="183"/>
      </w:r>
      <w:r w:rsidRPr="00B516EB">
        <w:rPr>
          <w:rFonts w:ascii="Times New Roman" w:hAnsi="Times New Roman"/>
        </w:rPr>
        <w:t xml:space="preserve"> the critical point for present purposes is that counsel must so decide in the best interests of the accused "in the conduct of the cause",</w:t>
      </w:r>
      <w:r w:rsidRPr="00B516EB">
        <w:rPr>
          <w:rStyle w:val="FootnoteReference"/>
          <w:rFonts w:ascii="Times New Roman" w:hAnsi="Times New Roman"/>
          <w:sz w:val="24"/>
        </w:rPr>
        <w:footnoteReference w:id="184"/>
      </w:r>
      <w:r w:rsidRPr="00B516EB">
        <w:rPr>
          <w:rFonts w:ascii="Times New Roman" w:hAnsi="Times New Roman"/>
        </w:rPr>
        <w:t xml:space="preserve"> the relevant cause being that of the accused alone. </w:t>
      </w:r>
    </w:p>
    <w:p w14:paraId="14EF67A1"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Appellate courts traditionally exercise restraint when considering whether counsel's forensic decisions require a conviction (or sentence) to be set aside. The reason for this is that the scope for such decisions to be reasonably made is wide and must be flexible so that counsel may respond effectively to the exigencies of a trial as and when they arise. The question whether counsel in a criminal trial is subject to a conflict of duties preventing, inhibiting or impairing counsel from acting in the best interests of each co-accused as if each co-accused were counsel's only client is not a forensic decision and is not comparable to the position of an ordinary fiduciary. In contrast to the position of an ordinary fiduciary, the question whether counsel in a criminal trial is subject to a conflict of duties preventing, inhibiting or impairing counsel from acting in the best interests of each co-accused as if each co-accused were counsel's only client permits of but one correct legal answer.</w:t>
      </w:r>
      <w:r w:rsidRPr="00B516EB">
        <w:rPr>
          <w:rStyle w:val="FootnoteReference"/>
          <w:rFonts w:ascii="Times New Roman" w:hAnsi="Times New Roman"/>
          <w:sz w:val="24"/>
        </w:rPr>
        <w:footnoteReference w:id="185"/>
      </w:r>
      <w:r w:rsidRPr="00B516EB">
        <w:rPr>
          <w:rFonts w:ascii="Times New Roman" w:hAnsi="Times New Roman"/>
        </w:rPr>
        <w:t xml:space="preserve"> </w:t>
      </w:r>
    </w:p>
    <w:p w14:paraId="3F674CFA"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It is, of course, for counsel to decide a question of conflict of duties initially </w:t>
      </w:r>
      <w:proofErr w:type="gramStart"/>
      <w:r w:rsidRPr="00B516EB">
        <w:rPr>
          <w:rFonts w:ascii="Times New Roman" w:hAnsi="Times New Roman"/>
        </w:rPr>
        <w:t>in light of</w:t>
      </w:r>
      <w:proofErr w:type="gramEnd"/>
      <w:r w:rsidRPr="00B516EB">
        <w:rPr>
          <w:rFonts w:ascii="Times New Roman" w:hAnsi="Times New Roman"/>
        </w:rPr>
        <w:t xml:space="preserve"> the circumstances known to counsel at the time. But there is no comparison that can be drawn between the wide scope of forensic options </w:t>
      </w:r>
      <w:r w:rsidRPr="00B516EB">
        <w:rPr>
          <w:rFonts w:ascii="Times New Roman" w:hAnsi="Times New Roman"/>
        </w:rPr>
        <w:lastRenderedPageBreak/>
        <w:t>reasonably available to counsel in acting for an accused in an accused's cause and the existence or otherwise of a conflict of duties on the part of counsel by reason of counsel's simultaneous retainer by a co-accused. The rub is, if a conflict of duties exists, all of counsel's forensic decisions are potentially affected. Moreover, counsel, as the person subject to the unrecognised conflict of duties, is unlikely to be able to recognise how that conflict is affecting counsel's forensic decision-making. In this sense, for an accused to be represented by counsel acting under an unrecognised conflict of duties is more harmful to the interests of the accused and the interests of the administration of justice than an accused being unrepresented, in which event the trial judge knows that the accused is under a disadvantage.</w:t>
      </w:r>
    </w:p>
    <w:p w14:paraId="7900E337"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That there is no absolute rule prohibiting counsel from acting for more than one co-accused in a trial on guilt or sentence must be acknowledged. However, this is because, within the sweep of criminal trials, it is not every case in which there is potential for a conflict to arise between the best interests of co-accused in their respective causes. This said, judicial observations that co-accused jointly retaining counsel is "fraught with danger" reflect the reality that "[e]</w:t>
      </w:r>
      <w:proofErr w:type="spellStart"/>
      <w:r w:rsidRPr="00B516EB">
        <w:rPr>
          <w:rFonts w:ascii="Times New Roman" w:hAnsi="Times New Roman"/>
        </w:rPr>
        <w:t>ven</w:t>
      </w:r>
      <w:proofErr w:type="spellEnd"/>
      <w:r w:rsidRPr="00B516EB">
        <w:rPr>
          <w:rFonts w:ascii="Times New Roman" w:hAnsi="Times New Roman"/>
        </w:rPr>
        <w:t xml:space="preserve"> if there is no immediately apparent conflict of duties concerning the co-defendants, conflicts can easily arise during trials, which are notoriously unpredictable".</w:t>
      </w:r>
      <w:r w:rsidRPr="00B516EB">
        <w:rPr>
          <w:rStyle w:val="FootnoteReference"/>
          <w:rFonts w:ascii="Times New Roman" w:hAnsi="Times New Roman"/>
          <w:sz w:val="24"/>
        </w:rPr>
        <w:footnoteReference w:id="186"/>
      </w:r>
      <w:r w:rsidRPr="00B516EB">
        <w:rPr>
          <w:rFonts w:ascii="Times New Roman" w:hAnsi="Times New Roman"/>
        </w:rPr>
        <w:t xml:space="preserve"> A previously unrecognised potential conflict of interest between co-accused may crystallise into an actual conflict of interest at any time during the criminal trial process, resulting in counsel being subject to an irreconcilable conflict of duties. This is why, as Lord Steyn explained in </w:t>
      </w:r>
      <w:r w:rsidRPr="00B516EB">
        <w:rPr>
          <w:rFonts w:ascii="Times New Roman" w:hAnsi="Times New Roman"/>
          <w:i/>
          <w:iCs/>
        </w:rPr>
        <w:t>Mills v The Queen</w:t>
      </w:r>
      <w:r w:rsidRPr="00B516EB">
        <w:rPr>
          <w:rFonts w:ascii="Times New Roman" w:hAnsi="Times New Roman"/>
        </w:rPr>
        <w:t>:</w:t>
      </w:r>
      <w:r w:rsidRPr="00B516EB">
        <w:rPr>
          <w:rStyle w:val="FootnoteReference"/>
          <w:rFonts w:ascii="Times New Roman" w:hAnsi="Times New Roman"/>
          <w:sz w:val="24"/>
        </w:rPr>
        <w:footnoteReference w:id="187"/>
      </w:r>
    </w:p>
    <w:p w14:paraId="3219B15D" w14:textId="77777777" w:rsidR="00FC5642" w:rsidRDefault="00FC5642" w:rsidP="00B516EB">
      <w:pPr>
        <w:pStyle w:val="LRIndentafterHC"/>
        <w:spacing w:before="0" w:after="260" w:line="280" w:lineRule="exact"/>
        <w:ind w:right="0"/>
        <w:jc w:val="both"/>
        <w:rPr>
          <w:rFonts w:ascii="Times New Roman" w:hAnsi="Times New Roman"/>
        </w:rPr>
      </w:pPr>
      <w:r w:rsidRPr="00B516EB">
        <w:rPr>
          <w:rFonts w:ascii="Times New Roman" w:hAnsi="Times New Roman"/>
        </w:rPr>
        <w:t xml:space="preserve">"It is axiomatic that counsel engaged on behalf of more than one defendant in a criminal case must consider whether there is a conflict of interest between them which might inhibit [counsel's] proper and effective defence of one of them. Counsel must consider the matter in the light of the prosecution </w:t>
      </w:r>
      <w:proofErr w:type="gramStart"/>
      <w:r w:rsidRPr="00B516EB">
        <w:rPr>
          <w:rFonts w:ascii="Times New Roman" w:hAnsi="Times New Roman"/>
        </w:rPr>
        <w:t>case</w:t>
      </w:r>
      <w:proofErr w:type="gramEnd"/>
      <w:r w:rsidRPr="00B516EB">
        <w:rPr>
          <w:rFonts w:ascii="Times New Roman" w:hAnsi="Times New Roman"/>
        </w:rPr>
        <w:t xml:space="preserve"> and the instructions [counsel] receives from the defendants. If there is, or might be, a conflict of interest, [counsel] must promptly advise separate representation. Any doubt must be resolved in favour of separate representation. Those duties of counsel arise as soon as [counsel] is engaged. It is, however, a continuous duty. If at any time before the trial a conflict arises, counsel must advise separate representation of the defendants. If contrary to all expectations such a position arises at trial, counsel may be obliged to seek a discharge of the jury </w:t>
      </w:r>
      <w:proofErr w:type="gramStart"/>
      <w:r w:rsidRPr="00B516EB">
        <w:rPr>
          <w:rFonts w:ascii="Times New Roman" w:hAnsi="Times New Roman"/>
        </w:rPr>
        <w:t>in order to</w:t>
      </w:r>
      <w:proofErr w:type="gramEnd"/>
      <w:r w:rsidRPr="00B516EB">
        <w:rPr>
          <w:rFonts w:ascii="Times New Roman" w:hAnsi="Times New Roman"/>
        </w:rPr>
        <w:t xml:space="preserve"> enable separate representation at a new trial. These propositions flow from the right of a defendant to have [the defendant's] defence properly and effectively placed before the jury. It is an integral part of [the defendant's] constitutional right to a fair trial. But their Lordships add one qualification. </w:t>
      </w:r>
      <w:r w:rsidRPr="00B516EB">
        <w:rPr>
          <w:rFonts w:ascii="Times New Roman" w:hAnsi="Times New Roman"/>
        </w:rPr>
        <w:lastRenderedPageBreak/>
        <w:t xml:space="preserve">The province of the law is practical affairs. The question is whether there is, or might be, a real risk of a </w:t>
      </w:r>
      <w:proofErr w:type="gramStart"/>
      <w:r w:rsidRPr="00B516EB">
        <w:rPr>
          <w:rFonts w:ascii="Times New Roman" w:hAnsi="Times New Roman"/>
        </w:rPr>
        <w:t>conflict of interest</w:t>
      </w:r>
      <w:proofErr w:type="gramEnd"/>
      <w:r w:rsidRPr="00B516EB">
        <w:rPr>
          <w:rFonts w:ascii="Times New Roman" w:hAnsi="Times New Roman"/>
        </w:rPr>
        <w:t xml:space="preserve"> inhibiting counsel in the discharge of [counsel's] duties on behalf of one or more defendants. In a practical world wholly theoretical or fanciful risks can be disregarded."</w:t>
      </w:r>
    </w:p>
    <w:p w14:paraId="1EB60458"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Lord Steyn's point in </w:t>
      </w:r>
      <w:r w:rsidRPr="00B516EB">
        <w:rPr>
          <w:rFonts w:ascii="Times New Roman" w:hAnsi="Times New Roman"/>
          <w:i/>
          <w:iCs/>
        </w:rPr>
        <w:t xml:space="preserve">Mills v The Queen </w:t>
      </w:r>
      <w:r w:rsidRPr="00B516EB">
        <w:rPr>
          <w:rFonts w:ascii="Times New Roman" w:hAnsi="Times New Roman"/>
        </w:rPr>
        <w:t>is that an accused's instructions will be relevant to counsel determining whether a real, and not a mere fanciful or theoretical, potential conflict of interest exists between the accused and a co-accused.</w:t>
      </w:r>
      <w:r w:rsidRPr="00B516EB">
        <w:rPr>
          <w:rStyle w:val="FootnoteReference"/>
          <w:rFonts w:ascii="Times New Roman" w:hAnsi="Times New Roman"/>
          <w:sz w:val="24"/>
        </w:rPr>
        <w:footnoteReference w:id="188"/>
      </w:r>
      <w:r w:rsidRPr="00B516EB">
        <w:rPr>
          <w:rFonts w:ascii="Times New Roman" w:hAnsi="Times New Roman"/>
        </w:rPr>
        <w:t xml:space="preserve"> No doubt this must be so, but in assessing whether such a potential conflict of interest exists no counsel could rely on an accused's instructions alone. It is the duty of counsel to assess the potential for a conflict of interest to arise between co-accused during the trial by reference to all relevant circumstances known to counsel, including counsel's knowledge and experience of the inherent unpredictability of the trial process. Nor is Lord Steyn suggesting that an accused's instructions can go so far as to negate counsel's duty to act in the best interests of each co-accused in each co-accused's cause. </w:t>
      </w:r>
    </w:p>
    <w:p w14:paraId="47D1695A"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Even if the only duty to which counsel for an accused in a criminal trial is subject were a fiduciary duty to the accused – which is not so – counsel cannot make "full disclosure" of and an accused cannot give "fully informed consent" to counsel subordinating the best interests of the accused in the accused's cause to the best interests of a co-accused in a co-accused's cause. Adopting the language of Professor Finn, "even if informed consents are obtained, they will not absolve the fiduciary [counsel] from liability to one master [an accused] if [counsel] cannot properly discharge [counsel's] duties to [the accused] because of conflicting duties owed to the other [the co-accused]".</w:t>
      </w:r>
      <w:r w:rsidRPr="00B516EB">
        <w:rPr>
          <w:rStyle w:val="FootnoteReference"/>
          <w:rFonts w:ascii="Times New Roman" w:hAnsi="Times New Roman"/>
          <w:sz w:val="24"/>
        </w:rPr>
        <w:footnoteReference w:id="189"/>
      </w:r>
      <w:r w:rsidRPr="00B516EB">
        <w:rPr>
          <w:rFonts w:ascii="Times New Roman" w:hAnsi="Times New Roman"/>
        </w:rPr>
        <w:t xml:space="preserve"> </w:t>
      </w:r>
    </w:p>
    <w:p w14:paraId="47C3832D"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 fundamental duties that the common law imposes on counsel are reflected in the </w:t>
      </w:r>
      <w:r w:rsidRPr="00B516EB">
        <w:rPr>
          <w:rFonts w:ascii="Times New Roman" w:hAnsi="Times New Roman"/>
          <w:i/>
          <w:iCs/>
        </w:rPr>
        <w:t xml:space="preserve">Legal Profession Uniform Conduct (Barristers) Rules 2015 </w:t>
      </w:r>
      <w:r w:rsidRPr="00B516EB">
        <w:rPr>
          <w:rFonts w:ascii="Times New Roman" w:hAnsi="Times New Roman"/>
        </w:rPr>
        <w:t xml:space="preserve">(NSW) ("the </w:t>
      </w:r>
      <w:r w:rsidRPr="00B516EB">
        <w:rPr>
          <w:rFonts w:ascii="Times New Roman" w:hAnsi="Times New Roman"/>
          <w:i/>
          <w:iCs/>
        </w:rPr>
        <w:t>Uniform Barristers Rules</w:t>
      </w:r>
      <w:r w:rsidRPr="00B516EB">
        <w:rPr>
          <w:rFonts w:ascii="Times New Roman" w:hAnsi="Times New Roman"/>
        </w:rPr>
        <w:t>"), which applied to trial counsel in this case. The relevant rules include:</w:t>
      </w:r>
    </w:p>
    <w:p w14:paraId="328C3B40" w14:textId="77777777" w:rsidR="00FC5642" w:rsidRPr="00B516EB" w:rsidRDefault="00FC5642" w:rsidP="00B516EB">
      <w:pPr>
        <w:pStyle w:val="leftright"/>
        <w:spacing w:before="0" w:after="260" w:line="280" w:lineRule="exact"/>
        <w:ind w:right="0"/>
        <w:jc w:val="both"/>
        <w:rPr>
          <w:rFonts w:ascii="Times New Roman" w:hAnsi="Times New Roman"/>
          <w:b/>
          <w:bCs/>
        </w:rPr>
      </w:pPr>
      <w:r w:rsidRPr="00B516EB">
        <w:rPr>
          <w:rFonts w:ascii="Times New Roman" w:hAnsi="Times New Roman"/>
        </w:rPr>
        <w:t>"</w:t>
      </w:r>
      <w:r w:rsidRPr="00B516EB">
        <w:rPr>
          <w:rFonts w:ascii="Times New Roman" w:hAnsi="Times New Roman"/>
          <w:b/>
          <w:bCs/>
        </w:rPr>
        <w:t xml:space="preserve">23 </w:t>
      </w:r>
      <w:r w:rsidRPr="00B516EB">
        <w:rPr>
          <w:rFonts w:ascii="Times New Roman" w:hAnsi="Times New Roman"/>
          <w:b/>
          <w:bCs/>
        </w:rPr>
        <w:tab/>
        <w:t>Duty to the court</w:t>
      </w:r>
    </w:p>
    <w:p w14:paraId="48C9E14A" w14:textId="77777777" w:rsidR="00FC5642" w:rsidRPr="00B516EB" w:rsidRDefault="00FC5642" w:rsidP="00B516EB">
      <w:pPr>
        <w:pStyle w:val="leftright"/>
        <w:spacing w:before="0" w:after="260" w:line="280" w:lineRule="exact"/>
        <w:ind w:left="1440" w:right="0"/>
        <w:jc w:val="both"/>
        <w:rPr>
          <w:rFonts w:ascii="Times New Roman" w:hAnsi="Times New Roman"/>
        </w:rPr>
      </w:pPr>
      <w:r w:rsidRPr="00B516EB">
        <w:rPr>
          <w:rFonts w:ascii="Times New Roman" w:hAnsi="Times New Roman"/>
        </w:rPr>
        <w:t>A barrister has an overriding duty to the court to act with independence in the interests of the administration of justice.</w:t>
      </w:r>
    </w:p>
    <w:p w14:paraId="03D4A1F6"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w:t>
      </w:r>
    </w:p>
    <w:p w14:paraId="0F561830" w14:textId="77777777" w:rsidR="00FC5642" w:rsidRPr="00B516EB" w:rsidRDefault="00FC5642" w:rsidP="00B516EB">
      <w:pPr>
        <w:pStyle w:val="leftright"/>
        <w:spacing w:before="0" w:after="260" w:line="280" w:lineRule="exact"/>
        <w:ind w:right="0"/>
        <w:jc w:val="both"/>
        <w:rPr>
          <w:rFonts w:ascii="Times New Roman" w:hAnsi="Times New Roman"/>
          <w:b/>
          <w:bCs/>
        </w:rPr>
      </w:pPr>
      <w:r w:rsidRPr="00B516EB">
        <w:rPr>
          <w:rFonts w:ascii="Times New Roman" w:hAnsi="Times New Roman"/>
          <w:b/>
          <w:bCs/>
        </w:rPr>
        <w:lastRenderedPageBreak/>
        <w:t xml:space="preserve">35 </w:t>
      </w:r>
      <w:r w:rsidRPr="00B516EB">
        <w:rPr>
          <w:rFonts w:ascii="Times New Roman" w:hAnsi="Times New Roman"/>
          <w:b/>
          <w:bCs/>
        </w:rPr>
        <w:tab/>
        <w:t>Duty to the client</w:t>
      </w:r>
    </w:p>
    <w:p w14:paraId="74EA974A" w14:textId="77777777" w:rsidR="00FC5642" w:rsidRPr="00B516EB" w:rsidRDefault="00FC5642" w:rsidP="00B516EB">
      <w:pPr>
        <w:pStyle w:val="leftright"/>
        <w:spacing w:before="0" w:after="260" w:line="280" w:lineRule="exact"/>
        <w:ind w:left="1440" w:right="0"/>
        <w:jc w:val="both"/>
        <w:rPr>
          <w:rFonts w:ascii="Times New Roman" w:hAnsi="Times New Roman"/>
        </w:rPr>
      </w:pPr>
      <w:r w:rsidRPr="00B516EB">
        <w:rPr>
          <w:rFonts w:ascii="Times New Roman" w:hAnsi="Times New Roman"/>
        </w:rPr>
        <w:t>A barrister must promote and protect fearlessly and by all proper and lawful means the client's best interests to the best of the barrister's skill and diligence, and do so without regard to his or her own interest or to any consequences to the barrister or to any other person.</w:t>
      </w:r>
    </w:p>
    <w:p w14:paraId="66BAF861"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w:t>
      </w:r>
    </w:p>
    <w:p w14:paraId="2DD77CE1" w14:textId="77777777" w:rsidR="00FC5642" w:rsidRPr="00B516EB" w:rsidRDefault="00FC5642" w:rsidP="00B516EB">
      <w:pPr>
        <w:pStyle w:val="leftright"/>
        <w:spacing w:before="0" w:after="260" w:line="280" w:lineRule="exact"/>
        <w:ind w:right="0"/>
        <w:jc w:val="both"/>
        <w:rPr>
          <w:rFonts w:ascii="Times New Roman" w:hAnsi="Times New Roman"/>
          <w:b/>
          <w:bCs/>
        </w:rPr>
      </w:pPr>
      <w:r w:rsidRPr="00B516EB">
        <w:rPr>
          <w:rFonts w:ascii="Times New Roman" w:hAnsi="Times New Roman"/>
          <w:b/>
          <w:bCs/>
        </w:rPr>
        <w:t xml:space="preserve">42 </w:t>
      </w:r>
      <w:r w:rsidRPr="00B516EB">
        <w:rPr>
          <w:rFonts w:ascii="Times New Roman" w:hAnsi="Times New Roman"/>
          <w:b/>
          <w:bCs/>
        </w:rPr>
        <w:tab/>
        <w:t>Independence</w:t>
      </w:r>
    </w:p>
    <w:p w14:paraId="3EDE7CD6" w14:textId="77777777" w:rsidR="00FC5642" w:rsidRPr="00B516EB" w:rsidRDefault="00FC5642" w:rsidP="00B516EB">
      <w:pPr>
        <w:pStyle w:val="leftright"/>
        <w:spacing w:before="0" w:after="260" w:line="280" w:lineRule="exact"/>
        <w:ind w:left="1440" w:right="0"/>
        <w:jc w:val="both"/>
        <w:rPr>
          <w:rFonts w:ascii="Times New Roman" w:hAnsi="Times New Roman"/>
        </w:rPr>
      </w:pPr>
      <w:r w:rsidRPr="00B516EB">
        <w:rPr>
          <w:rFonts w:ascii="Times New Roman" w:hAnsi="Times New Roman"/>
        </w:rPr>
        <w:t>A barrister must not act as the mere mouthpiece of the client or of the instructing solicitor and must exercise the forensic judgments called for during the case independently, after the appropriate consideration of the client's and the instructing solicitor's wishes where practicable.</w:t>
      </w:r>
    </w:p>
    <w:p w14:paraId="7867E0F3" w14:textId="77777777" w:rsidR="00FC5642" w:rsidRPr="00B516EB" w:rsidRDefault="00FC5642" w:rsidP="00B516EB">
      <w:pPr>
        <w:pStyle w:val="leftright"/>
        <w:spacing w:before="0" w:after="260" w:line="280" w:lineRule="exact"/>
        <w:ind w:left="1440" w:right="0" w:hanging="720"/>
        <w:jc w:val="both"/>
        <w:rPr>
          <w:rFonts w:ascii="Times New Roman" w:hAnsi="Times New Roman"/>
        </w:rPr>
      </w:pPr>
      <w:r w:rsidRPr="00B516EB">
        <w:rPr>
          <w:rFonts w:ascii="Times New Roman" w:hAnsi="Times New Roman"/>
          <w:b/>
          <w:bCs/>
        </w:rPr>
        <w:t xml:space="preserve">43 </w:t>
      </w:r>
      <w:r w:rsidRPr="00B516EB">
        <w:rPr>
          <w:rFonts w:ascii="Times New Roman" w:hAnsi="Times New Roman"/>
          <w:b/>
          <w:bCs/>
        </w:rPr>
        <w:tab/>
      </w:r>
      <w:r w:rsidRPr="00B516EB">
        <w:rPr>
          <w:rFonts w:ascii="Times New Roman" w:hAnsi="Times New Roman"/>
        </w:rPr>
        <w:t>A barrister does not breach the barrister's duty to the client, and will not have failed to give appropriate consideration to the client's or the instructing solicitor's wishes, simply by choosing, contrary to those wishes, to exercise the forensic judgments called for during the case so as to:</w:t>
      </w:r>
    </w:p>
    <w:p w14:paraId="442DC7DB"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(a)</w:t>
      </w:r>
      <w:r w:rsidRPr="00B516EB">
        <w:rPr>
          <w:rFonts w:ascii="Times New Roman" w:hAnsi="Times New Roman"/>
        </w:rPr>
        <w:tab/>
        <w:t>confine any hearing to those issues which the barrister believes to be the real issues,</w:t>
      </w:r>
    </w:p>
    <w:p w14:paraId="2B5906E2"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(b)</w:t>
      </w:r>
      <w:r w:rsidRPr="00B516EB">
        <w:rPr>
          <w:rFonts w:ascii="Times New Roman" w:hAnsi="Times New Roman"/>
        </w:rPr>
        <w:tab/>
        <w:t>present the client's case as quickly and simply as may be consistent with its robust advancement, or</w:t>
      </w:r>
    </w:p>
    <w:p w14:paraId="1169DC47"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(c)</w:t>
      </w:r>
      <w:r w:rsidRPr="00B516EB">
        <w:rPr>
          <w:rFonts w:ascii="Times New Roman" w:hAnsi="Times New Roman"/>
        </w:rPr>
        <w:tab/>
        <w:t>inform the court of any persuasive authority against the client's case.</w:t>
      </w:r>
    </w:p>
    <w:p w14:paraId="253450E8"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w:t>
      </w:r>
    </w:p>
    <w:p w14:paraId="6310A833" w14:textId="77777777" w:rsidR="00FC5642" w:rsidRPr="00B516EB" w:rsidRDefault="00FC5642" w:rsidP="00B516EB">
      <w:pPr>
        <w:pStyle w:val="leftright"/>
        <w:spacing w:before="0" w:after="260" w:line="280" w:lineRule="exact"/>
        <w:ind w:left="1440" w:right="0" w:hanging="720"/>
        <w:jc w:val="both"/>
        <w:rPr>
          <w:rFonts w:ascii="Times New Roman" w:hAnsi="Times New Roman"/>
        </w:rPr>
      </w:pPr>
      <w:r w:rsidRPr="00B516EB">
        <w:rPr>
          <w:rFonts w:ascii="Times New Roman" w:hAnsi="Times New Roman"/>
          <w:b/>
          <w:bCs/>
        </w:rPr>
        <w:t xml:space="preserve">80 </w:t>
      </w:r>
      <w:r w:rsidRPr="00B516EB">
        <w:rPr>
          <w:rFonts w:ascii="Times New Roman" w:hAnsi="Times New Roman"/>
          <w:b/>
          <w:bCs/>
        </w:rPr>
        <w:tab/>
      </w:r>
      <w:r w:rsidRPr="00B516EB">
        <w:rPr>
          <w:rFonts w:ascii="Times New Roman" w:hAnsi="Times New Roman"/>
        </w:rPr>
        <w:t>A barrister briefed to appear in criminal proceedings whose client confesses guilt to the barrister but maintains a plea of not guilty:</w:t>
      </w:r>
    </w:p>
    <w:p w14:paraId="11119727"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(a)</w:t>
      </w:r>
      <w:r w:rsidRPr="00B516EB">
        <w:rPr>
          <w:rFonts w:ascii="Times New Roman" w:hAnsi="Times New Roman"/>
        </w:rPr>
        <w:tab/>
        <w:t>should, subject to the client accepting the constraints set out in (b)-(h) but not otherwise, continue to act in the client's defence,</w:t>
      </w:r>
    </w:p>
    <w:p w14:paraId="6AE078D9"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(b)</w:t>
      </w:r>
      <w:r w:rsidRPr="00B516EB">
        <w:rPr>
          <w:rFonts w:ascii="Times New Roman" w:hAnsi="Times New Roman"/>
        </w:rPr>
        <w:tab/>
        <w:t>must not falsely suggest that some other person committed the offence charged,</w:t>
      </w:r>
    </w:p>
    <w:p w14:paraId="40891A30"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(c)</w:t>
      </w:r>
      <w:r w:rsidRPr="00B516EB">
        <w:rPr>
          <w:rFonts w:ascii="Times New Roman" w:hAnsi="Times New Roman"/>
        </w:rPr>
        <w:tab/>
        <w:t>must not set up an affirmative case inconsistent with the confession,</w:t>
      </w:r>
    </w:p>
    <w:p w14:paraId="66BE78EE"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lastRenderedPageBreak/>
        <w:t>(d)</w:t>
      </w:r>
      <w:r w:rsidRPr="00B516EB">
        <w:rPr>
          <w:rFonts w:ascii="Times New Roman" w:hAnsi="Times New Roman"/>
        </w:rPr>
        <w:tab/>
        <w:t>must ensure that the prosecution is put to proof of its case,</w:t>
      </w:r>
    </w:p>
    <w:p w14:paraId="343225F7"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(e)</w:t>
      </w:r>
      <w:r w:rsidRPr="00B516EB">
        <w:rPr>
          <w:rFonts w:ascii="Times New Roman" w:hAnsi="Times New Roman"/>
        </w:rPr>
        <w:tab/>
        <w:t>may argue that the evidence as a whole does not prove that the client is guilty of the offence charged,</w:t>
      </w:r>
    </w:p>
    <w:p w14:paraId="02E756F7"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(f)</w:t>
      </w:r>
      <w:r w:rsidRPr="00B516EB">
        <w:rPr>
          <w:rFonts w:ascii="Times New Roman" w:hAnsi="Times New Roman"/>
        </w:rPr>
        <w:tab/>
        <w:t>may argue that for some reason of law the client is not guilty of the offence charged,</w:t>
      </w:r>
    </w:p>
    <w:p w14:paraId="7FFFFA39"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(g)</w:t>
      </w:r>
      <w:r w:rsidRPr="00B516EB">
        <w:rPr>
          <w:rFonts w:ascii="Times New Roman" w:hAnsi="Times New Roman"/>
        </w:rPr>
        <w:tab/>
        <w:t>may argue that for any other reason not prohibited by (b) or (c) the client should not be convicted of the offence charged, and</w:t>
      </w:r>
    </w:p>
    <w:p w14:paraId="1A2F5B44"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(h)</w:t>
      </w:r>
      <w:r w:rsidRPr="00B516EB">
        <w:rPr>
          <w:rFonts w:ascii="Times New Roman" w:hAnsi="Times New Roman"/>
        </w:rPr>
        <w:tab/>
        <w:t>must not continue to act if the client insists on giving evidence denying guilt or requires the making of a statement asserting the client's innocence.</w:t>
      </w:r>
    </w:p>
    <w:p w14:paraId="25CD022B"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w:t>
      </w:r>
    </w:p>
    <w:p w14:paraId="44D8E385" w14:textId="77777777" w:rsidR="00FC5642" w:rsidRPr="00B516EB" w:rsidRDefault="00FC5642" w:rsidP="00B516EB">
      <w:pPr>
        <w:pStyle w:val="leftright"/>
        <w:spacing w:before="0" w:after="260" w:line="280" w:lineRule="exact"/>
        <w:ind w:left="1440" w:right="0" w:hanging="720"/>
        <w:jc w:val="both"/>
        <w:rPr>
          <w:rFonts w:ascii="Times New Roman" w:hAnsi="Times New Roman"/>
        </w:rPr>
      </w:pPr>
      <w:r w:rsidRPr="00B516EB">
        <w:rPr>
          <w:rFonts w:ascii="Times New Roman" w:hAnsi="Times New Roman"/>
          <w:b/>
          <w:bCs/>
        </w:rPr>
        <w:t xml:space="preserve">119 </w:t>
      </w:r>
      <w:r w:rsidRPr="00B516EB">
        <w:rPr>
          <w:rFonts w:ascii="Times New Roman" w:hAnsi="Times New Roman"/>
          <w:b/>
          <w:bCs/>
        </w:rPr>
        <w:tab/>
      </w:r>
      <w:r w:rsidRPr="00B516EB">
        <w:rPr>
          <w:rFonts w:ascii="Times New Roman" w:hAnsi="Times New Roman"/>
        </w:rPr>
        <w:t>A barrister who is briefed to appear for two or more parties in any case must determine as soon as possible whether the interests of the clients may, as a real possibility, conflict and, if so, the barrister must then return the brief for:</w:t>
      </w:r>
    </w:p>
    <w:p w14:paraId="4F9D2C1F"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(a)</w:t>
      </w:r>
      <w:r w:rsidRPr="00B516EB">
        <w:rPr>
          <w:rFonts w:ascii="Times New Roman" w:hAnsi="Times New Roman"/>
        </w:rPr>
        <w:tab/>
        <w:t>all the clients in the case of confidentiality to which rule 114 would apply, or</w:t>
      </w:r>
    </w:p>
    <w:p w14:paraId="5BB2940D" w14:textId="77777777" w:rsidR="00FC5642"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(b)</w:t>
      </w:r>
      <w:r w:rsidRPr="00B516EB">
        <w:rPr>
          <w:rFonts w:ascii="Times New Roman" w:hAnsi="Times New Roman"/>
        </w:rPr>
        <w:tab/>
        <w:t>one or more of the clients so as to remove that possibility of conflict."</w:t>
      </w:r>
    </w:p>
    <w:p w14:paraId="6CE69B0D"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These are not mere ethical rules (although they are certainly that). Their substance embodies fundamental common law principles which underpin the operation of our adversarial system. As r 7 states, the </w:t>
      </w:r>
      <w:r w:rsidRPr="00B516EB">
        <w:rPr>
          <w:rFonts w:ascii="Times New Roman" w:hAnsi="Times New Roman"/>
          <w:i/>
          <w:iCs/>
        </w:rPr>
        <w:t>Uniform Barristers Rules</w:t>
      </w:r>
      <w:r w:rsidRPr="00B516EB">
        <w:rPr>
          <w:rFonts w:ascii="Times New Roman" w:hAnsi="Times New Roman"/>
        </w:rPr>
        <w:t xml:space="preserve"> "are not intended to be a complete or detailed code of conduct for barristers" and "[o]</w:t>
      </w:r>
      <w:proofErr w:type="spellStart"/>
      <w:r w:rsidRPr="00B516EB">
        <w:rPr>
          <w:rFonts w:ascii="Times New Roman" w:hAnsi="Times New Roman"/>
        </w:rPr>
        <w:t>ther</w:t>
      </w:r>
      <w:proofErr w:type="spellEnd"/>
      <w:r w:rsidRPr="00B516EB">
        <w:rPr>
          <w:rFonts w:ascii="Times New Roman" w:hAnsi="Times New Roman"/>
        </w:rPr>
        <w:t xml:space="preserve"> standards for, requirements of and sanctions on the conduct of barristers are found in the inherent disciplinary jurisdiction of the Supreme Court, the legislation regulating the legal profession and in the general law". This said, the fundamental rules that counsel's duties are: (</w:t>
      </w:r>
      <w:proofErr w:type="spellStart"/>
      <w:r w:rsidRPr="00B516EB">
        <w:rPr>
          <w:rFonts w:ascii="Times New Roman" w:hAnsi="Times New Roman"/>
        </w:rPr>
        <w:t>i</w:t>
      </w:r>
      <w:proofErr w:type="spellEnd"/>
      <w:r w:rsidRPr="00B516EB">
        <w:rPr>
          <w:rFonts w:ascii="Times New Roman" w:hAnsi="Times New Roman"/>
        </w:rPr>
        <w:t xml:space="preserve">) to the court to act independently in the interests of the administration of justice (r 23); (ii) to exercise the forensic judgments called for during the case independently, after the appropriate consideration of the client's and the instructing solicitor's wishes where practicable (r 42); and (iii) to promote and protect fearlessly and by all proper and lawful means the client's best interests to the best of counsel's skill and diligence, and do so without regard to counsel's own interest or to any consequences to counsel or to any other person (r 35), are central to the operation of our adversarial system of justice both individually and in their interaction. </w:t>
      </w:r>
    </w:p>
    <w:p w14:paraId="65D723E0"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lastRenderedPageBreak/>
        <w:tab/>
        <w:t xml:space="preserve">By counsel discharging the duty to the client in accordance with r 35, counsel thereby discharges a principal component of counsel's duty to the court in accordance with </w:t>
      </w:r>
      <w:proofErr w:type="spellStart"/>
      <w:r w:rsidRPr="00B516EB">
        <w:rPr>
          <w:rFonts w:ascii="Times New Roman" w:hAnsi="Times New Roman"/>
        </w:rPr>
        <w:t>rr</w:t>
      </w:r>
      <w:proofErr w:type="spellEnd"/>
      <w:r w:rsidRPr="00B516EB">
        <w:rPr>
          <w:rFonts w:ascii="Times New Roman" w:hAnsi="Times New Roman"/>
        </w:rPr>
        <w:t xml:space="preserve"> 23 and 42. In particular, r 35, in requiring counsel to promote and protect only by all "proper and lawful means" the best interests of the client without regard to any consequence of so doing "to any other person", reflects that counsel's duty to the court under r 23 is to "act with independence in the interests of the administration of justice". This, in turn, ensures that counsel is not acting as the mere mouthpiece of the client or of the instructing solicitor and is exercising the forensic judgments called for during the case independently as required by r 42. That </w:t>
      </w:r>
      <w:proofErr w:type="spellStart"/>
      <w:r w:rsidRPr="00B516EB">
        <w:rPr>
          <w:rFonts w:ascii="Times New Roman" w:hAnsi="Times New Roman"/>
        </w:rPr>
        <w:t>rr</w:t>
      </w:r>
      <w:proofErr w:type="spellEnd"/>
      <w:r w:rsidRPr="00B516EB">
        <w:rPr>
          <w:rFonts w:ascii="Times New Roman" w:hAnsi="Times New Roman"/>
        </w:rPr>
        <w:t> 23 and 42 provide for counsel's duty to act in the best interests of a client in the client's cause to be subordinated to counsel's duty to the court to act independently in the interests of the administration of justice is also exposed in the terms of r 80. What must be understood, however, is that in our adversarial system of justice, and most acutely in a criminal trial, counsel's duty to act independently in the interests of the administration of justice assumes that counsel can act and is acting to promote and protect fearlessly and by all proper and lawful means the accused's best interests to the best of the counsel's skill and diligence, and is doing so without regard to counsel's own interest or to any consequences to counsel or to any other person (including a co-accused).</w:t>
      </w:r>
    </w:p>
    <w:p w14:paraId="098846C8"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This interaction between the duties of counsel is the reason that counsel is never entitled to subordinate an accused's best interests in the accused's cause to a co-accused's best interests in the co-accused's cause. To do so would involve counsel disabling themselves from fulfilling their fundamental duty to the accused and, by reason thereof, their overriding duty to the court. The adversarial system of justice assumes that counsel is not prevented from or inhibited or impaired in their performance of their duty to the accused so that counsel's duty to the court may thereby also be performed. This is why, in a real sense, for an accused to be represented by counsel acting under a conflict of duties is more harmful to the interests of the accused and the interests of the administration of justice than an accused being unrepresented, in which event the trial judge would know that the accused is under a significant disadvantage.</w:t>
      </w:r>
    </w:p>
    <w:p w14:paraId="4C102A8A"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Therefore the assumption of our adversarial system of justice is that an accused represented by counsel in a criminal trial has had the benefit of counsel promoting and protecting fearlessly and by all proper and lawful means the accused's best interests to the best of counsel's skill and diligence and that counsel may do and has done so without regard to counsel's own interest or to any consequences to counsel or to any other person (including a co-accused). The assumption is not readily displaceable on the basis that counsel's forensic decisions expose a failure to satisfy the minimum standard of skill and diligence required of counsel. This is because of the wide range of reasonably open forensic decisions available to counsel, which, in a case of alleged counsel incompetence, are to be evaluated without hindsight. It is this width of counsel's reasonably available forensic discretion which means that an accused's instructions to counsel will be relevant to, and possibly determinative of, an accused's claim that counsel's </w:t>
      </w:r>
      <w:r w:rsidRPr="00B516EB">
        <w:rPr>
          <w:rFonts w:ascii="Times New Roman" w:hAnsi="Times New Roman"/>
        </w:rPr>
        <w:lastRenderedPageBreak/>
        <w:t>conduct resulted in a material error or irregularity by reason of counsel's alleged incompetence.</w:t>
      </w:r>
      <w:r w:rsidRPr="00B516EB">
        <w:rPr>
          <w:rStyle w:val="FootnoteReference"/>
          <w:rFonts w:ascii="Times New Roman" w:hAnsi="Times New Roman"/>
          <w:sz w:val="24"/>
        </w:rPr>
        <w:footnoteReference w:id="190"/>
      </w:r>
      <w:r w:rsidRPr="00B516EB">
        <w:rPr>
          <w:rFonts w:ascii="Times New Roman" w:hAnsi="Times New Roman"/>
        </w:rPr>
        <w:t xml:space="preserve"> The assumption, however, is necessarily displaced by counsel acting under an irreconcilable conflict of duties as described. In such a case, where there is an irreconcilable conflict of duty and duty, an accused's instructions to counsel are immaterial; whatever those instructions might be, such instructions have been sought and given in an impermissible context of counsel's irreconcilable conflict of duty and duty. The effect of that circumstance is vitiating on the trial outcome unless it can be said that the trial outcome was inevitable. </w:t>
      </w:r>
    </w:p>
    <w:p w14:paraId="233CDFB4"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Even if an accused could agree to their own best interests in their cause being subordinated to the best interests of a co-accused in a co-accused's cause, no accused can authorise counsel to act in a manner contrary to counsel's duty to the court to act in the interests of the administration of justice. And even if counsel also disclosed to the court that counsel had made "full disclosure" to an accused about counsel's conflict of duties and its consequences and had obtained from the accused "fully informed consent" for counsel to continue acting and to subordinate the accused's best interests in the accused's cause to a co-accused's best interests in the co-accused's cause, those events would do no more than put the court on notice that counsel is subject to an irreconcilable conflict between duty (to the co-accused) and duties (to the accused and to the court), a circumstance which the court should not permit to continue in the interests of the administration of justice. </w:t>
      </w:r>
    </w:p>
    <w:p w14:paraId="715EC19F"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An accused's best interests in the accused's cause would be so subordinated if counsel acting for the accused is prevented from or is in any way inhibited or impaired in conducting the accused's cause because of the potential consequence of doing so on the best interests of a co-accused for whom counsel also acts. Whether or not there has been any such prevention, inhibition or impairment, in common with the question of the existence of a conflict of duties, is to be determined objectively by the court, without deference to the subjective views of counsel. This must be so as a counsel who does not perceive a conflict of duties thereby cannot perceive the potential effects of the conflict, including any resulting impermissible subordination of one co-accused's interests to another. As observed by Burger CJ in </w:t>
      </w:r>
      <w:r w:rsidRPr="00B516EB">
        <w:rPr>
          <w:rFonts w:ascii="Times New Roman" w:hAnsi="Times New Roman"/>
          <w:i/>
          <w:iCs/>
        </w:rPr>
        <w:t>Holloway v Arkansas</w:t>
      </w:r>
      <w:r w:rsidRPr="00B516EB">
        <w:rPr>
          <w:rFonts w:ascii="Times New Roman" w:hAnsi="Times New Roman"/>
        </w:rPr>
        <w:t>,</w:t>
      </w:r>
      <w:r w:rsidRPr="00B516EB">
        <w:rPr>
          <w:rStyle w:val="FootnoteReference"/>
          <w:rFonts w:ascii="Times New Roman" w:hAnsi="Times New Roman"/>
          <w:sz w:val="24"/>
        </w:rPr>
        <w:footnoteReference w:id="191"/>
      </w:r>
      <w:r w:rsidRPr="00B516EB">
        <w:rPr>
          <w:rFonts w:ascii="Times New Roman" w:hAnsi="Times New Roman"/>
        </w:rPr>
        <w:t xml:space="preserve"> "in a case of joint representation of conflicting interests the evil ... is in what the advocate finds [themselves] compelled to </w:t>
      </w:r>
      <w:r w:rsidRPr="00B516EB">
        <w:rPr>
          <w:rFonts w:ascii="Times New Roman" w:hAnsi="Times New Roman"/>
          <w:i/>
          <w:iCs/>
        </w:rPr>
        <w:t>refrain</w:t>
      </w:r>
      <w:r w:rsidRPr="00B516EB">
        <w:rPr>
          <w:rFonts w:ascii="Times New Roman" w:hAnsi="Times New Roman"/>
        </w:rPr>
        <w:t xml:space="preserve"> from doing, not only at trial but also as to possible pretrial plea negotiations and in the sentencing process".</w:t>
      </w:r>
      <w:r w:rsidRPr="00B516EB">
        <w:rPr>
          <w:rStyle w:val="FootnoteReference"/>
          <w:rFonts w:ascii="Times New Roman" w:hAnsi="Times New Roman"/>
          <w:sz w:val="24"/>
        </w:rPr>
        <w:footnoteReference w:id="192"/>
      </w:r>
      <w:r w:rsidRPr="00B516EB">
        <w:rPr>
          <w:rFonts w:ascii="Times New Roman" w:hAnsi="Times New Roman"/>
        </w:rPr>
        <w:t xml:space="preserve"> That the compulsion is </w:t>
      </w:r>
      <w:r w:rsidRPr="00B516EB">
        <w:rPr>
          <w:rFonts w:ascii="Times New Roman" w:hAnsi="Times New Roman"/>
        </w:rPr>
        <w:lastRenderedPageBreak/>
        <w:t xml:space="preserve">experienced but not recognised by counsel to be a result of the conflict of duty and duty is the essence of the problem against which the law guards. </w:t>
      </w:r>
    </w:p>
    <w:p w14:paraId="5B36EAAB"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 United Kingdom's Bar Standards resolve the problem by prohibiting counsel from acting for more than one client unless counsel is able to act in the best interests of each client </w:t>
      </w:r>
      <w:r w:rsidRPr="00B516EB">
        <w:rPr>
          <w:rFonts w:ascii="Times New Roman" w:hAnsi="Times New Roman"/>
          <w:i/>
          <w:iCs/>
        </w:rPr>
        <w:t>as if each client were counsel's only client</w:t>
      </w:r>
      <w:r w:rsidRPr="00B516EB">
        <w:rPr>
          <w:rFonts w:ascii="Times New Roman" w:hAnsi="Times New Roman"/>
        </w:rPr>
        <w:t xml:space="preserve"> </w:t>
      </w:r>
      <w:r w:rsidRPr="00B516EB">
        <w:rPr>
          <w:rFonts w:ascii="Times New Roman" w:hAnsi="Times New Roman"/>
          <w:i/>
          <w:iCs/>
        </w:rPr>
        <w:t>and obtains the client's informed consent to the conflict of interest or real risk of such a conflict of interest arising</w:t>
      </w:r>
      <w:r w:rsidRPr="00B516EB">
        <w:rPr>
          <w:rFonts w:ascii="Times New Roman" w:hAnsi="Times New Roman"/>
        </w:rPr>
        <w:t>.</w:t>
      </w:r>
      <w:r w:rsidRPr="00B516EB">
        <w:rPr>
          <w:rStyle w:val="FootnoteReference"/>
          <w:rFonts w:ascii="Times New Roman" w:hAnsi="Times New Roman"/>
          <w:sz w:val="24"/>
        </w:rPr>
        <w:footnoteReference w:id="193"/>
      </w:r>
      <w:r w:rsidRPr="00B516EB">
        <w:rPr>
          <w:rFonts w:ascii="Times New Roman" w:hAnsi="Times New Roman"/>
        </w:rPr>
        <w:t xml:space="preserve"> In other words, the United Kingdom's Bar Standards recognise that a client can never give and counsel can never obtain a client's consent to counsel subordinating the client's best interests to another client's best interests. The scope for informed consent to operate, accordingly, is confined to a case in which the conflict of interest does not affect counsel's capacity to act in the best interests of each client as if each client were counsel's only client. </w:t>
      </w:r>
    </w:p>
    <w:p w14:paraId="64D59057"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As the facts of the present case expose, even assuming that trial counsel could have "fully disclosed" to the appellant the consequences of trial counsel being subject to the conflict of duties to which the circumstances of this case gave rise, real world considerations expose the "practical injustice"</w:t>
      </w:r>
      <w:r w:rsidRPr="00B516EB">
        <w:rPr>
          <w:rStyle w:val="FootnoteReference"/>
          <w:rFonts w:ascii="Times New Roman" w:hAnsi="Times New Roman"/>
          <w:sz w:val="24"/>
        </w:rPr>
        <w:footnoteReference w:id="194"/>
      </w:r>
      <w:r w:rsidRPr="00B516EB">
        <w:rPr>
          <w:rFonts w:ascii="Times New Roman" w:hAnsi="Times New Roman"/>
        </w:rPr>
        <w:t xml:space="preserve"> of accepting that the appellant could have given to trial counsel "fully informed consent" to continue acting in these circumstances.</w:t>
      </w:r>
    </w:p>
    <w:p w14:paraId="700F3ADC" w14:textId="77777777" w:rsidR="00FC5642" w:rsidRPr="00B516EB" w:rsidRDefault="00FC5642" w:rsidP="00B516EB">
      <w:pPr>
        <w:pStyle w:val="HeadingL1"/>
        <w:spacing w:after="260" w:line="280" w:lineRule="exact"/>
        <w:ind w:right="0"/>
        <w:jc w:val="both"/>
        <w:rPr>
          <w:rFonts w:ascii="Times New Roman" w:hAnsi="Times New Roman"/>
        </w:rPr>
      </w:pPr>
      <w:r w:rsidRPr="00B516EB">
        <w:rPr>
          <w:rFonts w:ascii="Times New Roman" w:hAnsi="Times New Roman"/>
        </w:rPr>
        <w:t>The events giving rise to trial counsel's conflict of duties</w:t>
      </w:r>
    </w:p>
    <w:p w14:paraId="13520149"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 appellant and a co-accused were each charged with conspiring to traffic a commercial quantity of a controlled drug and dealing with the proceeds of crime, charges to which they each would plead guilty. The appellant and the co-accused were committed for sentence in the District Court. The appellant and the co-accused were represented by the same trial counsel at the trial on sentence. A document recording Agreed Facts was signed by the appellant and the co-accused before the trial on sentence. The Agreed Facts recorded that the appellant "sourced drugs for and received drugs from the group" involved in the conspiracy for payment. The appellant was involved in six drug transactions between May 2014 and April 2015 in respect of "20kg MDMA and 3kg Methamphetamine". The appellant's proceeds of crime offence related to an amount of $957,218. </w:t>
      </w:r>
    </w:p>
    <w:p w14:paraId="4C080EA2"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 Agreed Facts recorded that the co-accused "stored drugs and cash for the group", which "were made available to other group members". The co-accused acted as "the storeman of cash and drugs for the group in return for a wage" and </w:t>
      </w:r>
      <w:r w:rsidRPr="00B516EB">
        <w:rPr>
          <w:rFonts w:ascii="Times New Roman" w:hAnsi="Times New Roman"/>
        </w:rPr>
        <w:lastRenderedPageBreak/>
        <w:t xml:space="preserve">was involved in preparing the drugs for sale. He was "not a stakeholder in the drugs or cash that he stored". He set up a company "to store and on request make drugs available to others", using the company to lease a warehouse for these purposes. He "received instructions to either receive or make available or weigh a quantity of the drugs or count an amount of cash", was "directed to meet a courier ... who conveyed the drugs/cash to and from other parties", "conducted stocktakes of drugs and audits of cash held for the group and reported back to members of the [group]", and "also delivered drugs and cash and made collections from time to time when requested". The co-accused was involved in seven drug transactions between August 2014 and April 2015 in respect of "21kg MDMA and 9.18kg Methamphetamine". The co-accused's proceeds of crime offence related to an amount of some $1,785,000. </w:t>
      </w:r>
    </w:p>
    <w:p w14:paraId="6C2630C5"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Before the trial on sentence the Crown filed written submissions signed by two counsel "on behalf of the CDPP". Those submissions said, amongst other things, that in "determining the appropriate sentence to be imposed, it is necessary to consider what each of the offenders actually did in committing the offences". By reference to the Agreed Facts, the Crown submitted in writing in respect of the trafficking offences that the: </w:t>
      </w:r>
    </w:p>
    <w:p w14:paraId="1029E031" w14:textId="77777777" w:rsidR="00FC5642"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 xml:space="preserve">"objective seriousness of each of [the appellant's] and [the co-accused's] conduct for the trafficking offences falls within a broad mid-range for offences of their type, with that of [the co-accused] ... approaching the higher end of the mid-range and that of [the appellant] falling within the mid-point of the mid-range for an offence of its type". </w:t>
      </w:r>
    </w:p>
    <w:p w14:paraId="318A7D8F"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By reference to the Agreed Facts, the Crown submitted in writing in respect of the proceeds of crime offences that: </w:t>
      </w:r>
    </w:p>
    <w:p w14:paraId="28FFB4E9" w14:textId="77777777" w:rsidR="00FC5642"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w:t>
      </w:r>
      <w:proofErr w:type="spellStart"/>
      <w:r w:rsidRPr="00B516EB">
        <w:rPr>
          <w:rFonts w:ascii="Times New Roman" w:hAnsi="Times New Roman"/>
        </w:rPr>
        <w:t>the</w:t>
      </w:r>
      <w:proofErr w:type="spellEnd"/>
      <w:r w:rsidRPr="00B516EB">
        <w:rPr>
          <w:rFonts w:ascii="Times New Roman" w:hAnsi="Times New Roman"/>
        </w:rPr>
        <w:t xml:space="preserve"> conduct for each offender falls into the high range for an offence of its type, noting the offence to be taken into account in relation to [the co-accused] is a more serious offence than the offence to be taken into account with respect to [the appellant]. In the case of [the co-accused], while the quantum involved is 'only' almost twice the statutory for an offence of its type, he has a deep involvement with the criminality of the offending conduct in that he was running the syndicate's money laundering cover business. In the case of [the appellant], the quantum involved is just below the statutory threshold beyond which he would have been guilty of the most serious of the money laundering offences."</w:t>
      </w:r>
    </w:p>
    <w:p w14:paraId="74CC1FF0"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In respect of the appellant, the Crown submitted in writing that he "was an entrusted member within the syndicate[] who had the ability to source and received drugs from both syndicate and non-syndicate members" and was "not ... a street level dealer". As the Crown put it, the appellant: (</w:t>
      </w:r>
      <w:proofErr w:type="spellStart"/>
      <w:r w:rsidRPr="00B516EB">
        <w:rPr>
          <w:rFonts w:ascii="Times New Roman" w:hAnsi="Times New Roman"/>
        </w:rPr>
        <w:t>i</w:t>
      </w:r>
      <w:proofErr w:type="spellEnd"/>
      <w:r w:rsidRPr="00B516EB">
        <w:rPr>
          <w:rFonts w:ascii="Times New Roman" w:hAnsi="Times New Roman"/>
        </w:rPr>
        <w:t xml:space="preserve">) was involved in the "negotiations of price per kilogram of the MDMA and Methamphetamine"; (ii) was responsible for "sourcing prohibited drugs from others outside the </w:t>
      </w:r>
      <w:r w:rsidRPr="00B516EB">
        <w:rPr>
          <w:rFonts w:ascii="Times New Roman" w:hAnsi="Times New Roman"/>
        </w:rPr>
        <w:lastRenderedPageBreak/>
        <w:t xml:space="preserve">syndicate members"; (iii) had "access to funds to pay for prohibited drugs from his own resources/contact[s] but also was entrusted to be provided funds by the syndicate members"; (iv) had "possession of an encrypted blackberry with which he would/could covertly communicate with other members of the syndicate"; and (v) acted "for financial reward which increases its objective seriousness and is an </w:t>
      </w:r>
      <w:proofErr w:type="spellStart"/>
      <w:r w:rsidRPr="00B516EB">
        <w:rPr>
          <w:rFonts w:ascii="Times New Roman" w:hAnsi="Times New Roman"/>
        </w:rPr>
        <w:t>aggravat</w:t>
      </w:r>
      <w:proofErr w:type="spellEnd"/>
      <w:r w:rsidRPr="00B516EB">
        <w:rPr>
          <w:rFonts w:ascii="Times New Roman" w:hAnsi="Times New Roman"/>
        </w:rPr>
        <w:t>[</w:t>
      </w:r>
      <w:proofErr w:type="spellStart"/>
      <w:r w:rsidRPr="00B516EB">
        <w:rPr>
          <w:rFonts w:ascii="Times New Roman" w:hAnsi="Times New Roman"/>
        </w:rPr>
        <w:t>ing</w:t>
      </w:r>
      <w:proofErr w:type="spellEnd"/>
      <w:r w:rsidRPr="00B516EB">
        <w:rPr>
          <w:rFonts w:ascii="Times New Roman" w:hAnsi="Times New Roman"/>
        </w:rPr>
        <w:t xml:space="preserve">] factor". </w:t>
      </w:r>
    </w:p>
    <w:p w14:paraId="55F23D76"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In respect of the co-accused, the Crown submitted in writing that he: (</w:t>
      </w:r>
      <w:proofErr w:type="spellStart"/>
      <w:r w:rsidRPr="00B516EB">
        <w:rPr>
          <w:rFonts w:ascii="Times New Roman" w:hAnsi="Times New Roman"/>
        </w:rPr>
        <w:t>i</w:t>
      </w:r>
      <w:proofErr w:type="spellEnd"/>
      <w:r w:rsidRPr="00B516EB">
        <w:rPr>
          <w:rFonts w:ascii="Times New Roman" w:hAnsi="Times New Roman"/>
        </w:rPr>
        <w:t xml:space="preserve">) was involved in storing, packaging, weighing, collecting, delivering, stocktaking, quality inspecting, and receiving funds for prohibited drugs; (ii) had "access to funds to pay for prohibited drugs"; and (iii) had "possession of an encrypted blackberry where he would/could covertly communicate with other members of the syndicate". The Crown's submissions in writing said that of significance was that the co-accused "also had control and operation of a business ... for the benefit of the syndicate. The sole purpose of the business was to store and distribute prohibited drugs and proceeds of crime for the ... group. [The co-accused's] business concealed the group's criminal activities by having a website, corporately branded uniforms, email accounts, an ABN, bank accounts, back to base alarm monitoring, invoice books and invoices with false customer and work details." He acted "in the expectation of receiving a substantial financial reward". </w:t>
      </w:r>
    </w:p>
    <w:p w14:paraId="492CBAB3"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In dealing with the issue of parity of sentence between the appellant and the co-accused, the Crown submitted in writing that the co-accused "should receive a more substantial penalty than ... [the appellant] for a number of reasons". Those reasons included: (</w:t>
      </w:r>
      <w:proofErr w:type="spellStart"/>
      <w:r w:rsidRPr="00B516EB">
        <w:rPr>
          <w:rFonts w:ascii="Times New Roman" w:hAnsi="Times New Roman"/>
        </w:rPr>
        <w:t>i</w:t>
      </w:r>
      <w:proofErr w:type="spellEnd"/>
      <w:r w:rsidRPr="00B516EB">
        <w:rPr>
          <w:rFonts w:ascii="Times New Roman" w:hAnsi="Times New Roman"/>
        </w:rPr>
        <w:t xml:space="preserve">) the quantity of drugs trafficked for which the appellant was being sentenced being less than the quantity of drugs trafficked for which the co-accused was being sentenced; (ii) the maximum penalty for the proceeds of crime offence for which the appellant was being sentenced being less than the maximum penalty for the proceeds of crime offence for which the co-accused was being sentenced (20 years compared to 25 years); (iii) the amount of money involved in the proceeds of crime offence for which the appellant was being sentenced being less than the amount of money involved in the proceeds of crime offence for which the co-accused was being sentenced ($957,218 compared to $1,785,000); (iv) the number of drug transactions for which the appellant was being sentenced being less than the number of drug transactions for which the co-accused was being sentenced (six compared to seven); and (v) the appellant having a less extensive prior criminal record than the co-accused. </w:t>
      </w:r>
    </w:p>
    <w:p w14:paraId="54032EE8"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At this point, the potential for the conflict between the best interests of the appellant and the best interests of the co-accused became an actual conflict of interest which was real (indeed, substantial) and not theoretical or fanciful. The conflict manifested itself in the circumstance that the Crown had submitted in writing that in comparing the conduct of the appellant and the co-accused: (</w:t>
      </w:r>
      <w:proofErr w:type="spellStart"/>
      <w:r w:rsidRPr="00B516EB">
        <w:rPr>
          <w:rFonts w:ascii="Times New Roman" w:hAnsi="Times New Roman"/>
        </w:rPr>
        <w:t>i</w:t>
      </w:r>
      <w:proofErr w:type="spellEnd"/>
      <w:r w:rsidRPr="00B516EB">
        <w:rPr>
          <w:rFonts w:ascii="Times New Roman" w:hAnsi="Times New Roman"/>
        </w:rPr>
        <w:t>) the objective seriousness of the appellant's trafficking offence was within the mid-point of the mid-range for offences of that type and the objective seriousness of the co-accused's trafficking offence was approaching the higher end of that mid-</w:t>
      </w:r>
      <w:r w:rsidRPr="00B516EB">
        <w:rPr>
          <w:rFonts w:ascii="Times New Roman" w:hAnsi="Times New Roman"/>
        </w:rPr>
        <w:lastRenderedPageBreak/>
        <w:t xml:space="preserve">range; (ii) the objective seriousness of both the appellant's and co-accused's proceeds of crime offences were in the high range for offences of this type, with the co-accused's offence being more serious than that of the appellant; and (iii) the principle of parity indicated that the co-accused should receive a more substantial penalty than the appellant for the reasons discussed above. </w:t>
      </w:r>
    </w:p>
    <w:p w14:paraId="192B57DF"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The Crown contended in this appeal that the written submissions of the Crown's trial counsel involved a "mischaracterisation" of the "relative culpability or roles" of the appellant and the co-accused and, in this regard, were not "available" submissions to be made given the terms of the Agreed Facts. The object of this contention was to support the Crown's position in this appeal that no conflict of interest arose between the appellant and the co-accused. Putting the Crown's position in this appeal another way, no counsel acting consistently with their duty to the court to act independently in the interests of the administration of justice and their duty to a client only to advance their client's cause by "all proper and lawful means"</w:t>
      </w:r>
      <w:r w:rsidRPr="00B516EB">
        <w:rPr>
          <w:rStyle w:val="FootnoteReference"/>
          <w:rFonts w:ascii="Times New Roman" w:hAnsi="Times New Roman"/>
          <w:sz w:val="24"/>
        </w:rPr>
        <w:footnoteReference w:id="195"/>
      </w:r>
      <w:r w:rsidRPr="00B516EB">
        <w:rPr>
          <w:rFonts w:ascii="Times New Roman" w:hAnsi="Times New Roman"/>
        </w:rPr>
        <w:t xml:space="preserve"> could have done other than reject the Crown's written submissions as to the objective seriousness of the offences committed by, and relative culpability of, the appellant and the co-accused. That is, the Crown in this appeal contended that, to the contrary of the Crown's written submissions to the sentencing judge, the only reasonably arguable position was that the objective seriousness of the appellant's offending was greater than the objective seriousness of the co-accused's offending and therefore that the appellant's culpability also exceeded that of the co-accused. </w:t>
      </w:r>
    </w:p>
    <w:p w14:paraId="2ED6B478"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The Crown submitted in this appeal that this followed from the fact that in a case such as the present, where co-accused had been convicted for the same offences arising from the same criminal drug enterprise, it was necessary for the sentencing judge to consider the principle of parity having regard to each accused's "levels of participation in the criminal enterprise".</w:t>
      </w:r>
      <w:r w:rsidRPr="00B516EB">
        <w:rPr>
          <w:rStyle w:val="FootnoteReference"/>
          <w:rFonts w:ascii="Times New Roman" w:hAnsi="Times New Roman"/>
          <w:sz w:val="24"/>
        </w:rPr>
        <w:footnoteReference w:id="196"/>
      </w:r>
      <w:r w:rsidRPr="00B516EB">
        <w:rPr>
          <w:rFonts w:ascii="Times New Roman" w:hAnsi="Times New Roman"/>
        </w:rPr>
        <w:t xml:space="preserve"> In respect of those levels of participation, it has been said, for example, that (</w:t>
      </w:r>
      <w:proofErr w:type="spellStart"/>
      <w:r w:rsidRPr="00B516EB">
        <w:rPr>
          <w:rFonts w:ascii="Times New Roman" w:hAnsi="Times New Roman"/>
        </w:rPr>
        <w:t>i</w:t>
      </w:r>
      <w:proofErr w:type="spellEnd"/>
      <w:r w:rsidRPr="00B516EB">
        <w:rPr>
          <w:rFonts w:ascii="Times New Roman" w:hAnsi="Times New Roman"/>
        </w:rPr>
        <w:t>) "[t]hose low in the hierarchy, such as couriers, are usually to be sentenced less harshly, because, although they are of fundamental importance in the execution of the object of the conspiracy – in a drug importation conspiracy, without couriers, no drug could or would be imported – they have no managerial or decision making function; and, experience shows, usually derive the least monetary reward"; whereas (ii) "[b]y contrast, those who have managerial or decision making functions are seen to occupy a more senior position, and, accordingly, to be more culpable".</w:t>
      </w:r>
      <w:r w:rsidRPr="00B516EB">
        <w:rPr>
          <w:rStyle w:val="FootnoteReference"/>
          <w:rFonts w:ascii="Times New Roman" w:hAnsi="Times New Roman"/>
          <w:sz w:val="24"/>
        </w:rPr>
        <w:footnoteReference w:id="197"/>
      </w:r>
      <w:r w:rsidRPr="00B516EB">
        <w:rPr>
          <w:rFonts w:ascii="Times New Roman" w:hAnsi="Times New Roman"/>
        </w:rPr>
        <w:t xml:space="preserve"> </w:t>
      </w:r>
    </w:p>
    <w:p w14:paraId="7DD62ABE"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 Crown's submission in this appeal that its own trial counsel mischaracterised the relative objective seriousness of the offences of the appellant </w:t>
      </w:r>
      <w:r w:rsidRPr="00B516EB">
        <w:rPr>
          <w:rFonts w:ascii="Times New Roman" w:hAnsi="Times New Roman"/>
        </w:rPr>
        <w:lastRenderedPageBreak/>
        <w:t>and the co-accused and their consequential relative culpability in a way which was not reasonably available on the Agreed Facts must be firmly rejected. That submission is inconsistent with general principles including: (</w:t>
      </w:r>
      <w:proofErr w:type="spellStart"/>
      <w:r w:rsidRPr="00B516EB">
        <w:rPr>
          <w:rFonts w:ascii="Times New Roman" w:hAnsi="Times New Roman"/>
        </w:rPr>
        <w:t>i</w:t>
      </w:r>
      <w:proofErr w:type="spellEnd"/>
      <w:r w:rsidRPr="00B516EB">
        <w:rPr>
          <w:rFonts w:ascii="Times New Roman" w:hAnsi="Times New Roman"/>
        </w:rPr>
        <w:t>) the proposition that for a sentencing judge to categorise the roles played by several accused in a drug conspiracy "may be a convenient shorthand method of describing the facts of particular cases" but "should not be elevated to an essential task to be undertaken in every case, regardless of whether that is possible or appropriate";</w:t>
      </w:r>
      <w:r w:rsidRPr="00B516EB">
        <w:rPr>
          <w:rStyle w:val="FootnoteReference"/>
          <w:rFonts w:ascii="Times New Roman" w:hAnsi="Times New Roman"/>
          <w:sz w:val="24"/>
        </w:rPr>
        <w:footnoteReference w:id="198"/>
      </w:r>
      <w:r w:rsidRPr="00B516EB">
        <w:rPr>
          <w:rFonts w:ascii="Times New Roman" w:hAnsi="Times New Roman"/>
        </w:rPr>
        <w:t xml:space="preserve"> (ii) the law's general acceptance that the "discretion retained by counsel in the running of a case is very wide";</w:t>
      </w:r>
      <w:r w:rsidRPr="00B516EB">
        <w:rPr>
          <w:rStyle w:val="FootnoteReference"/>
          <w:rFonts w:ascii="Times New Roman" w:hAnsi="Times New Roman"/>
          <w:sz w:val="24"/>
        </w:rPr>
        <w:footnoteReference w:id="199"/>
      </w:r>
      <w:r w:rsidRPr="00B516EB">
        <w:rPr>
          <w:rFonts w:ascii="Times New Roman" w:hAnsi="Times New Roman"/>
        </w:rPr>
        <w:t xml:space="preserve"> and (iii) the high bar which should be applied to the characterisation of a forensic decision as not reasonably open or not reasonably available on the evidence. </w:t>
      </w:r>
    </w:p>
    <w:p w14:paraId="1C32C259"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Further, the Crown's submission in this appeal that Crown trial counsel mischaracterised the relative objective seriousness of the offences of the appellant and the co-accused in a way which was not reasonably open on the Agreed Facts is inconsistent with the scope for forensic decision-making which the Agreed Facts permitted. That it can be said that the Agreed Facts would have </w:t>
      </w:r>
      <w:r w:rsidRPr="00B516EB">
        <w:rPr>
          <w:rFonts w:ascii="Times New Roman" w:hAnsi="Times New Roman"/>
          <w:i/>
          <w:iCs/>
        </w:rPr>
        <w:t>permitted</w:t>
      </w:r>
      <w:r w:rsidRPr="00B516EB">
        <w:rPr>
          <w:rFonts w:ascii="Times New Roman" w:hAnsi="Times New Roman"/>
        </w:rPr>
        <w:t xml:space="preserve"> the Crown to submit to the sentencing judge that the appellant's offending was objectively more serious than that of the co-accused (for example, because the appellant was a form of freelance supplier for profit to the group, whereas the co-accused was an employee being paid a wage by the group for storing the drugs) may be accepted. The relevant point, however, is that the Agreed Facts also </w:t>
      </w:r>
      <w:r w:rsidRPr="00B516EB">
        <w:rPr>
          <w:rFonts w:ascii="Times New Roman" w:hAnsi="Times New Roman"/>
          <w:i/>
          <w:iCs/>
        </w:rPr>
        <w:t>permitted</w:t>
      </w:r>
      <w:r w:rsidRPr="00B516EB">
        <w:rPr>
          <w:rFonts w:ascii="Times New Roman" w:hAnsi="Times New Roman"/>
        </w:rPr>
        <w:t xml:space="preserve"> the Crown to submit, properly and lawfully and as counsel for the Crown did in the written submissions, that the co-accused's offending was objectively more serious than that of the appellant and called for more serious punishment because, for example: (</w:t>
      </w:r>
      <w:proofErr w:type="spellStart"/>
      <w:r w:rsidRPr="00B516EB">
        <w:rPr>
          <w:rFonts w:ascii="Times New Roman" w:hAnsi="Times New Roman"/>
        </w:rPr>
        <w:t>i</w:t>
      </w:r>
      <w:proofErr w:type="spellEnd"/>
      <w:r w:rsidRPr="00B516EB">
        <w:rPr>
          <w:rFonts w:ascii="Times New Roman" w:hAnsi="Times New Roman"/>
        </w:rPr>
        <w:t xml:space="preserve">) the co-accused was responsible for the fraudulent scheme whereby the criminal syndicate's activities were presented as lawful commercial activities, thereby enabling the conspiracy to continue, whereas the appellant was only a supplier to the criminal syndicate; (ii) the co-accused actually dealt with the drugs (by storage, weighing, quality control and distribution) over an extended period whereas the appellant ceased dealing with the drugs on supply; and (iii) the co-accused was the criminal syndicate's "bagman", holding and auditing the cash for the criminal syndicate as a whole. </w:t>
      </w:r>
    </w:p>
    <w:p w14:paraId="6256859B"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If it was reasonably open to the Crown counsel to make those submissions, which it was, it was also necessarily reasonably open to any counsel for the appellant to adopt those submissions. That is, in terms of r 35, it would have been "proper and lawful" for counsel for the appellant to adopt the Crown's written submissions about the objective seriousness of the offending of the appellant and the co-accused and their relative culpability. And that is what matters in this case. </w:t>
      </w:r>
    </w:p>
    <w:p w14:paraId="2C506AC5"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lastRenderedPageBreak/>
        <w:tab/>
        <w:t xml:space="preserve">It is apparent that trial counsel for the appellant and the co-accused was instructed to prepare written submissions on their behalf in response to the Crown's written submissions. What occurred exposes the reality of trial counsel's conflict of duties and the impossibility of trial counsel fulfilling his duty to act in the best interests of the appellant, his duty to act in the best interests of the co-accused, and his duty to the court to act independently in the interests of the administration of justice. It also exposes the impossibility of trial counsel making "full disclosure" to the appellant of the conflict and its consequences in order to obtain the appellant's supposedly "fully informed consent" to what occurred. </w:t>
      </w:r>
    </w:p>
    <w:p w14:paraId="241CCAC7"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That trial counsel may be inferred to have subjectively believed that he was making the correct or legally preferable submission about the relative objective seriousness of the offending of the appellant and the co-accused is immaterial because it is that very state of mind which is the result of the conflict of duties. Assume a counsel had been acting for the appellant alone. On receipt of the Crown's written submissions, it would have been manifestly open and obvious to that counsel, unaffected by any duty to the co-accused, that to adopt the Crown's submissions was a proper and lawful means of promoting and protecting the best interests of the appellant. But trial counsel was not acting for the appellant alone. He was acting also for the co-accused. If trial counsel did not respond to the written submissions of Crown counsel by setting out his view as to the correct or preferable position, the disadvantage to the co-accused would have been obvious. But that is the problem. Not so obvious, but no less important, is that had trial counsel been acting only for the appellant, any disadvantage to the co-accused would have been irrelevant to trial counsel's decision-making. If trial counsel had been acting only for the appellant, it is inconceivable that trial counsel would have informed the appellant that Crown counsel's written submissions were wrong, including by submitting that the co-accused "should receive a more substantial penalty than ... [the appellant] for a number of reasons", and that trial counsel was going to instead submit to the sentencing judge that the appellant's offending was in fact more objectively serious than the co-accused's offending, with the almost inevitable consequence that the appellant should receive a more substantial penalty than the co-accused. </w:t>
      </w:r>
    </w:p>
    <w:p w14:paraId="7F9C0B82"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The relevant question that had to be asked by counsel in the circumstances of this case was, having regard only to the best interests of the appellant in the appellant's cause, could counsel adopt the position of the Crown consistent with counsel's duty to the court to act independently in the interests of the administration of justice and duty to the appellant to promote and protect the appellant's best interests to the best of counsel's skill and diligence and without regard to the interests of counsel or of any other person, including the co-accused. If that essential question had been asked, the only answer available to counsel would have been that counsel could have adopted the position of the Crown consistent with counsel's duties to the appellant and to the court in the appellant's cause, but not consistently with counsel's duties to the co-accused and to the court in the co-</w:t>
      </w:r>
      <w:r w:rsidRPr="00B516EB">
        <w:rPr>
          <w:rFonts w:ascii="Times New Roman" w:hAnsi="Times New Roman"/>
        </w:rPr>
        <w:lastRenderedPageBreak/>
        <w:t xml:space="preserve">accused's cause. The conflict of duties was therefore irreconcilable. Trial counsel could not continue to act for the appellant and the co-accused. </w:t>
      </w:r>
    </w:p>
    <w:p w14:paraId="2072648D"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What in fact occurred, however, was that trial counsel for the appellant and the co-accused filed written submissions in which trial counsel said that the appellant's offending "falls toward the bottom of the midrange" of objective seriousness whereas the co-accused's offending "falls just below the hypothetical midrange of offending". Further, the submissions continued that the "Court would conclude, </w:t>
      </w:r>
      <w:r w:rsidRPr="00B516EB">
        <w:rPr>
          <w:rFonts w:ascii="Times New Roman" w:hAnsi="Times New Roman"/>
          <w:i/>
          <w:iCs/>
        </w:rPr>
        <w:t>contrary to the Crown's written submissions</w:t>
      </w:r>
      <w:r w:rsidRPr="00B516EB">
        <w:rPr>
          <w:rFonts w:ascii="Times New Roman" w:hAnsi="Times New Roman"/>
        </w:rPr>
        <w:t xml:space="preserve"> ... that [the co-accused] fell just below the midrange of offending while [the appellant] would be placed toward the bottom of the midrange of offending" (emphasis added). </w:t>
      </w:r>
    </w:p>
    <w:p w14:paraId="5F884578"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At the trial on sentence itself, one counsel who had prepared the written submissions for the Crown appeared and trial counsel for the appellant and the co-accused appeared. During submissions concerning the co-accused, the following exchange occurred (emphasis added, and noting that the appellant is "Mr Farrugia" and the co-accused is "Mr Kanmaz" in this and the following exchanges, and that their joint trial counsel is referred to as "TC"): </w:t>
      </w:r>
    </w:p>
    <w:p w14:paraId="09DDFB0B"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"[TC]: One point of tension between the parties is as to the objective seriousness of Mr Kanmaz. It seems the parties are not quite aligned, but more aligned with Mr Farrugia. The Crown says, with respect to Mr Farrugia, you'd find him in the mid of the broad mid-range. My submission is that you'd find him towards the bottom of that broad range, and I'll get to his reasons at another time, but with respect to Mr Kanmaz, the Crown position is that Mr </w:t>
      </w:r>
      <w:proofErr w:type="spellStart"/>
      <w:r w:rsidRPr="00B516EB">
        <w:rPr>
          <w:rFonts w:ascii="Times New Roman" w:hAnsi="Times New Roman"/>
        </w:rPr>
        <w:t>Kanmaz</w:t>
      </w:r>
      <w:proofErr w:type="spellEnd"/>
      <w:r w:rsidRPr="00B516EB">
        <w:rPr>
          <w:rFonts w:ascii="Times New Roman" w:hAnsi="Times New Roman"/>
        </w:rPr>
        <w:t xml:space="preserve"> would be within the broad mid-range but towards the top end. My submission is he'd fall below the mid-range, and if your Honour is of that view when looking at him with respect to –</w:t>
      </w:r>
    </w:p>
    <w:p w14:paraId="23F47E6F"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 xml:space="preserve">HIS HONOUR: </w:t>
      </w:r>
      <w:r w:rsidRPr="00B516EB">
        <w:rPr>
          <w:rFonts w:ascii="Times New Roman" w:hAnsi="Times New Roman"/>
          <w:i/>
          <w:iCs/>
        </w:rPr>
        <w:t>You agree, though, that Mr </w:t>
      </w:r>
      <w:proofErr w:type="spellStart"/>
      <w:r w:rsidRPr="00B516EB">
        <w:rPr>
          <w:rFonts w:ascii="Times New Roman" w:hAnsi="Times New Roman"/>
          <w:i/>
          <w:iCs/>
        </w:rPr>
        <w:t>Kanmaz</w:t>
      </w:r>
      <w:proofErr w:type="spellEnd"/>
      <w:r w:rsidRPr="00B516EB">
        <w:rPr>
          <w:rFonts w:ascii="Times New Roman" w:hAnsi="Times New Roman"/>
          <w:i/>
          <w:iCs/>
        </w:rPr>
        <w:t xml:space="preserve"> is more culpable than Mr Farrugia, don't you?</w:t>
      </w:r>
    </w:p>
    <w:p w14:paraId="75A32CF5"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[TC]: This is the difficulty. Both fall at a particular zone within the hypothetical ranges, but –</w:t>
      </w:r>
    </w:p>
    <w:p w14:paraId="10009B88"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 xml:space="preserve">HIS HONOUR: I just want to check I've got your submissions right. </w:t>
      </w:r>
      <w:r w:rsidRPr="00B516EB">
        <w:rPr>
          <w:rFonts w:ascii="Times New Roman" w:hAnsi="Times New Roman"/>
          <w:i/>
          <w:iCs/>
        </w:rPr>
        <w:t>In your submissions, don't you agree that Mr </w:t>
      </w:r>
      <w:proofErr w:type="spellStart"/>
      <w:r w:rsidRPr="00B516EB">
        <w:rPr>
          <w:rFonts w:ascii="Times New Roman" w:hAnsi="Times New Roman"/>
          <w:i/>
          <w:iCs/>
        </w:rPr>
        <w:t>Kanmaz</w:t>
      </w:r>
      <w:proofErr w:type="spellEnd"/>
      <w:r w:rsidRPr="00B516EB">
        <w:rPr>
          <w:rFonts w:ascii="Times New Roman" w:hAnsi="Times New Roman"/>
          <w:i/>
          <w:iCs/>
        </w:rPr>
        <w:t xml:space="preserve"> is more culpable than Mr Farrugia?</w:t>
      </w:r>
    </w:p>
    <w:p w14:paraId="025B72DF"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 xml:space="preserve">[TC]: </w:t>
      </w:r>
      <w:r w:rsidRPr="00B516EB">
        <w:rPr>
          <w:rFonts w:ascii="Times New Roman" w:hAnsi="Times New Roman"/>
          <w:i/>
          <w:iCs/>
        </w:rPr>
        <w:t>No, I say the opposite.</w:t>
      </w:r>
    </w:p>
    <w:p w14:paraId="09528CE9"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HIS HONOUR: Do you? You say the opposite of what the Crown says.</w:t>
      </w:r>
    </w:p>
    <w:p w14:paraId="3EF48D74"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 xml:space="preserve">[TC]: </w:t>
      </w:r>
      <w:r w:rsidRPr="00B516EB">
        <w:rPr>
          <w:rFonts w:ascii="Times New Roman" w:hAnsi="Times New Roman"/>
          <w:i/>
          <w:iCs/>
        </w:rPr>
        <w:t>The Crown says Mr </w:t>
      </w:r>
      <w:proofErr w:type="spellStart"/>
      <w:r w:rsidRPr="00B516EB">
        <w:rPr>
          <w:rFonts w:ascii="Times New Roman" w:hAnsi="Times New Roman"/>
          <w:i/>
          <w:iCs/>
        </w:rPr>
        <w:t>Kanmaz</w:t>
      </w:r>
      <w:proofErr w:type="spellEnd"/>
      <w:r w:rsidRPr="00B516EB">
        <w:rPr>
          <w:rFonts w:ascii="Times New Roman" w:hAnsi="Times New Roman"/>
          <w:i/>
          <w:iCs/>
        </w:rPr>
        <w:t xml:space="preserve"> is more culpable than Mr Farrugia, and my submission, unless I've articulated it wrongly, Mr </w:t>
      </w:r>
      <w:proofErr w:type="spellStart"/>
      <w:r w:rsidRPr="00B516EB">
        <w:rPr>
          <w:rFonts w:ascii="Times New Roman" w:hAnsi="Times New Roman"/>
          <w:i/>
          <w:iCs/>
        </w:rPr>
        <w:t>Kanmaz</w:t>
      </w:r>
      <w:proofErr w:type="spellEnd"/>
      <w:r w:rsidRPr="00B516EB">
        <w:rPr>
          <w:rFonts w:ascii="Times New Roman" w:hAnsi="Times New Roman"/>
          <w:i/>
          <w:iCs/>
        </w:rPr>
        <w:t xml:space="preserve"> is below.</w:t>
      </w:r>
    </w:p>
    <w:p w14:paraId="46E37E90"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lastRenderedPageBreak/>
        <w:t>HIS HONOUR: Let's go to that because I don't want to misunderstand something from the very beginning.</w:t>
      </w:r>
    </w:p>
    <w:p w14:paraId="207B264B"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w:t>
      </w:r>
    </w:p>
    <w:p w14:paraId="2F78C5C4" w14:textId="77777777" w:rsidR="00FC5642"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 xml:space="preserve">[TC]: </w:t>
      </w:r>
      <w:r w:rsidRPr="00B516EB">
        <w:rPr>
          <w:rFonts w:ascii="Times New Roman" w:hAnsi="Times New Roman"/>
          <w:i/>
          <w:iCs/>
        </w:rPr>
        <w:t xml:space="preserve">And the reason I say that your Honour would conclude that he's </w:t>
      </w:r>
      <w:r w:rsidRPr="00B516EB">
        <w:rPr>
          <w:rFonts w:ascii="Times New Roman" w:hAnsi="Times New Roman"/>
        </w:rPr>
        <w:t>[Mr Kanmaz's]</w:t>
      </w:r>
      <w:r w:rsidRPr="00B516EB">
        <w:rPr>
          <w:rFonts w:ascii="Times New Roman" w:hAnsi="Times New Roman"/>
          <w:i/>
          <w:iCs/>
        </w:rPr>
        <w:t xml:space="preserve"> lower</w:t>
      </w:r>
      <w:r w:rsidRPr="00B516EB">
        <w:rPr>
          <w:rFonts w:ascii="Times New Roman" w:hAnsi="Times New Roman"/>
        </w:rPr>
        <w:t xml:space="preserve"> [than Mr Farrugia], ... [explains that Mr </w:t>
      </w:r>
      <w:proofErr w:type="spellStart"/>
      <w:r w:rsidRPr="00B516EB">
        <w:rPr>
          <w:rFonts w:ascii="Times New Roman" w:hAnsi="Times New Roman"/>
        </w:rPr>
        <w:t>Kanmaz</w:t>
      </w:r>
      <w:proofErr w:type="spellEnd"/>
      <w:r w:rsidRPr="00B516EB">
        <w:rPr>
          <w:rFonts w:ascii="Times New Roman" w:hAnsi="Times New Roman"/>
        </w:rPr>
        <w:t xml:space="preserve"> is at the bottom of the hierarchy of the criminal syndicate, which does not include Mr Farrugia as a member]".</w:t>
      </w:r>
    </w:p>
    <w:p w14:paraId="4747C4B9"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Counsel appearing for the Crown was then involved in this exchange with the sentencing judge (emphasis added):</w:t>
      </w:r>
    </w:p>
    <w:p w14:paraId="2752C2DA"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"HIS HONOUR: Can we start with objective criminality?</w:t>
      </w:r>
    </w:p>
    <w:p w14:paraId="2D09F046"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[Crown]: Yes.</w:t>
      </w:r>
    </w:p>
    <w:p w14:paraId="7153876A"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HIS HONOUR: You have them round the other way from [trial counsel for Mr </w:t>
      </w:r>
      <w:proofErr w:type="spellStart"/>
      <w:r w:rsidRPr="00B516EB">
        <w:rPr>
          <w:rFonts w:ascii="Times New Roman" w:hAnsi="Times New Roman"/>
        </w:rPr>
        <w:t>Kanmaz</w:t>
      </w:r>
      <w:proofErr w:type="spellEnd"/>
      <w:r w:rsidRPr="00B516EB">
        <w:rPr>
          <w:rFonts w:ascii="Times New Roman" w:hAnsi="Times New Roman"/>
        </w:rPr>
        <w:t xml:space="preserve"> and Mr Farrugia]; why?</w:t>
      </w:r>
    </w:p>
    <w:p w14:paraId="2C7EF37B"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[Crown]: I don't know that I expressly do, your Honour. Your Honour is referring to para 19 of the Crown's submissions, which is perhaps the appropriate starting point about which we talk about the level of objective seriousness in relation to each of the offending.</w:t>
      </w:r>
    </w:p>
    <w:p w14:paraId="1D4F86D5"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 xml:space="preserve">HIS HONOUR: You say </w:t>
      </w:r>
      <w:proofErr w:type="spellStart"/>
      <w:r w:rsidRPr="00B516EB">
        <w:rPr>
          <w:rFonts w:ascii="Times New Roman" w:hAnsi="Times New Roman"/>
        </w:rPr>
        <w:t>Kanmaz</w:t>
      </w:r>
      <w:proofErr w:type="spellEnd"/>
      <w:r w:rsidRPr="00B516EB">
        <w:rPr>
          <w:rFonts w:ascii="Times New Roman" w:hAnsi="Times New Roman"/>
        </w:rPr>
        <w:t xml:space="preserve"> is approaching the higher end of the mid-range, Farrugia is falling in the midpoint of the mid-range, so you say </w:t>
      </w:r>
      <w:proofErr w:type="spellStart"/>
      <w:r w:rsidRPr="00B516EB">
        <w:rPr>
          <w:rFonts w:ascii="Times New Roman" w:hAnsi="Times New Roman"/>
        </w:rPr>
        <w:t>Kanmaz</w:t>
      </w:r>
      <w:proofErr w:type="spellEnd"/>
      <w:r w:rsidRPr="00B516EB">
        <w:rPr>
          <w:rFonts w:ascii="Times New Roman" w:hAnsi="Times New Roman"/>
        </w:rPr>
        <w:t xml:space="preserve"> is objectively worse than Farrugia. [Trial counsel for Mr </w:t>
      </w:r>
      <w:proofErr w:type="spellStart"/>
      <w:r w:rsidRPr="00B516EB">
        <w:rPr>
          <w:rFonts w:ascii="Times New Roman" w:hAnsi="Times New Roman"/>
        </w:rPr>
        <w:t>Kanmaz</w:t>
      </w:r>
      <w:proofErr w:type="spellEnd"/>
      <w:r w:rsidRPr="00B516EB">
        <w:rPr>
          <w:rFonts w:ascii="Times New Roman" w:hAnsi="Times New Roman"/>
        </w:rPr>
        <w:t xml:space="preserve"> and Mr Farrugia] says the opposite.</w:t>
      </w:r>
    </w:p>
    <w:p w14:paraId="0EF4685B"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[Crown]: Yes.</w:t>
      </w:r>
    </w:p>
    <w:p w14:paraId="51542FC4"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 xml:space="preserve">HIS HONOUR: </w:t>
      </w:r>
      <w:r w:rsidRPr="00B516EB">
        <w:rPr>
          <w:rFonts w:ascii="Times New Roman" w:hAnsi="Times New Roman"/>
          <w:i/>
          <w:iCs/>
        </w:rPr>
        <w:t>Who's right?</w:t>
      </w:r>
    </w:p>
    <w:p w14:paraId="25B961B3"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 xml:space="preserve">[Crown]: </w:t>
      </w:r>
      <w:r w:rsidRPr="00B516EB">
        <w:rPr>
          <w:rFonts w:ascii="Times New Roman" w:hAnsi="Times New Roman"/>
          <w:i/>
          <w:iCs/>
        </w:rPr>
        <w:t>I think I would appropriately concede orally now that [trial counsel</w:t>
      </w:r>
      <w:r w:rsidRPr="00B516EB">
        <w:rPr>
          <w:rFonts w:ascii="Times New Roman" w:hAnsi="Times New Roman"/>
        </w:rPr>
        <w:t xml:space="preserve"> </w:t>
      </w:r>
      <w:r w:rsidRPr="00B516EB">
        <w:rPr>
          <w:rFonts w:ascii="Times New Roman" w:hAnsi="Times New Roman"/>
          <w:i/>
          <w:iCs/>
        </w:rPr>
        <w:t>for Mr </w:t>
      </w:r>
      <w:proofErr w:type="spellStart"/>
      <w:r w:rsidRPr="00B516EB">
        <w:rPr>
          <w:rFonts w:ascii="Times New Roman" w:hAnsi="Times New Roman"/>
          <w:i/>
          <w:iCs/>
        </w:rPr>
        <w:t>Kanmaz</w:t>
      </w:r>
      <w:proofErr w:type="spellEnd"/>
      <w:r w:rsidRPr="00B516EB">
        <w:rPr>
          <w:rFonts w:ascii="Times New Roman" w:hAnsi="Times New Roman"/>
          <w:i/>
          <w:iCs/>
        </w:rPr>
        <w:t xml:space="preserve"> and Mr Farrugia] is right about that</w:t>
      </w:r>
      <w:r w:rsidRPr="00B516EB">
        <w:rPr>
          <w:rFonts w:ascii="Times New Roman" w:hAnsi="Times New Roman"/>
        </w:rPr>
        <w:t xml:space="preserve">, and I can articulate reasons why, which perhaps might – </w:t>
      </w:r>
    </w:p>
    <w:p w14:paraId="53E5CE4B" w14:textId="77777777" w:rsidR="00FC5642"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w:t>
      </w:r>
    </w:p>
    <w:p w14:paraId="3227EAEA"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During submissions concerning the appellant, this exchange occurred between trial counsel for the appellant and the co-accused and the sentencing judge (emphasis added):</w:t>
      </w:r>
    </w:p>
    <w:p w14:paraId="406BDA6A"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"HIS HONOUR: Nor have you dealt with parity.</w:t>
      </w:r>
    </w:p>
    <w:p w14:paraId="04A6F252"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lastRenderedPageBreak/>
        <w:t xml:space="preserve">[TC]: Well my submission with respect to parity is I think, </w:t>
      </w:r>
      <w:r w:rsidRPr="00B516EB">
        <w:rPr>
          <w:rFonts w:ascii="Times New Roman" w:hAnsi="Times New Roman"/>
          <w:i/>
          <w:iCs/>
        </w:rPr>
        <w:t>as I was indicating on a previous occasion, if Mr Farrugia is someone who is towards, as we submit, the bottom end of the mid broad range, Mr </w:t>
      </w:r>
      <w:proofErr w:type="spellStart"/>
      <w:r w:rsidRPr="00B516EB">
        <w:rPr>
          <w:rFonts w:ascii="Times New Roman" w:hAnsi="Times New Roman"/>
          <w:i/>
          <w:iCs/>
        </w:rPr>
        <w:t>Kanmaz</w:t>
      </w:r>
      <w:proofErr w:type="spellEnd"/>
      <w:r w:rsidRPr="00B516EB">
        <w:rPr>
          <w:rFonts w:ascii="Times New Roman" w:hAnsi="Times New Roman"/>
          <w:i/>
          <w:iCs/>
        </w:rPr>
        <w:t xml:space="preserve"> is below that for all the reasons that I submitted on the previous occasion.</w:t>
      </w:r>
      <w:r w:rsidRPr="00B516EB">
        <w:rPr>
          <w:rFonts w:ascii="Times New Roman" w:hAnsi="Times New Roman"/>
        </w:rPr>
        <w:t xml:space="preserve"> He is a wage earner. And that's categoric. I mean when I brought your Honour to all the messages he was not a person that had a stake in the drugs. And in the agreed facts you'd not find anyone really lower than him as far as the group when you look at ... whoever else may have been involved, it's obvious that the man – and the man that bore the risk with respect to [the company], with respect to holding onto the things, having them available, and it was completely all under direction.</w:t>
      </w:r>
    </w:p>
    <w:p w14:paraId="13AAF727" w14:textId="77777777" w:rsidR="00FC5642" w:rsidRPr="00B516EB" w:rsidRDefault="00FC5642" w:rsidP="00B516EB">
      <w:pPr>
        <w:pStyle w:val="leftright"/>
        <w:tabs>
          <w:tab w:val="clear" w:pos="1440"/>
          <w:tab w:val="clear" w:pos="2880"/>
          <w:tab w:val="clear" w:pos="3600"/>
          <w:tab w:val="clear" w:pos="4320"/>
          <w:tab w:val="clear" w:pos="5040"/>
          <w:tab w:val="clear" w:pos="5760"/>
          <w:tab w:val="clear" w:pos="6480"/>
          <w:tab w:val="clear" w:pos="7200"/>
        </w:tabs>
        <w:spacing w:before="0" w:after="260" w:line="280" w:lineRule="exact"/>
        <w:ind w:right="0"/>
        <w:jc w:val="both"/>
        <w:rPr>
          <w:rFonts w:ascii="Times New Roman" w:hAnsi="Times New Roman"/>
        </w:rPr>
      </w:pPr>
      <w:r w:rsidRPr="00B516EB">
        <w:rPr>
          <w:rFonts w:ascii="Times New Roman" w:hAnsi="Times New Roman"/>
        </w:rPr>
        <w:t xml:space="preserve">Your Honour is not going to find anything where he's actually stating and doing something unilaterally or with autonomy. And it's for those reasons I say he falls below the mid. I accept that he's not right at the bottom because he is worth of offending. Yes, it's a significant operation, but as far as sophistication goes your Honour's not going to find these men have brought about, managed, administered, or set up the sophistication. Especially Mr Kanmaz, he's someone that operated at the bottom rung of it. </w:t>
      </w:r>
      <w:r w:rsidRPr="00B516EB">
        <w:rPr>
          <w:rFonts w:ascii="Times New Roman" w:hAnsi="Times New Roman"/>
          <w:i/>
          <w:iCs/>
        </w:rPr>
        <w:t>And it's for that reason that I submit that he'd be below Mr Farrugia on that. And I think there was an exchange on that particular point on the last occasion.</w:t>
      </w:r>
    </w:p>
    <w:p w14:paraId="20D851F6" w14:textId="77777777" w:rsidR="00FC5642" w:rsidRPr="00B516EB" w:rsidRDefault="00FC5642" w:rsidP="00B516EB">
      <w:pPr>
        <w:pStyle w:val="leftright"/>
        <w:tabs>
          <w:tab w:val="clear" w:pos="1440"/>
          <w:tab w:val="clear" w:pos="2880"/>
          <w:tab w:val="clear" w:pos="3600"/>
          <w:tab w:val="clear" w:pos="4320"/>
          <w:tab w:val="clear" w:pos="5040"/>
          <w:tab w:val="clear" w:pos="5760"/>
          <w:tab w:val="clear" w:pos="6480"/>
          <w:tab w:val="clear" w:pos="7200"/>
        </w:tabs>
        <w:spacing w:before="0" w:after="260" w:line="280" w:lineRule="exact"/>
        <w:ind w:right="0"/>
        <w:jc w:val="both"/>
        <w:rPr>
          <w:rFonts w:ascii="Times New Roman" w:hAnsi="Times New Roman"/>
        </w:rPr>
      </w:pPr>
      <w:r w:rsidRPr="00B516EB">
        <w:rPr>
          <w:rFonts w:ascii="Times New Roman" w:hAnsi="Times New Roman"/>
        </w:rPr>
        <w:t xml:space="preserve">HIS HONOUR: </w:t>
      </w:r>
      <w:r w:rsidRPr="00B516EB">
        <w:rPr>
          <w:rFonts w:ascii="Times New Roman" w:hAnsi="Times New Roman"/>
          <w:i/>
          <w:iCs/>
        </w:rPr>
        <w:t>Yes, the crown has changed its mind from its written submissions.</w:t>
      </w:r>
    </w:p>
    <w:p w14:paraId="25CD0616" w14:textId="77777777" w:rsidR="00FC5642" w:rsidRPr="00B516EB" w:rsidRDefault="00FC5642" w:rsidP="00B516EB">
      <w:pPr>
        <w:pStyle w:val="leftright"/>
        <w:tabs>
          <w:tab w:val="clear" w:pos="1440"/>
          <w:tab w:val="clear" w:pos="2880"/>
          <w:tab w:val="clear" w:pos="3600"/>
          <w:tab w:val="clear" w:pos="4320"/>
          <w:tab w:val="clear" w:pos="5040"/>
          <w:tab w:val="clear" w:pos="5760"/>
          <w:tab w:val="clear" w:pos="6480"/>
          <w:tab w:val="clear" w:pos="7200"/>
        </w:tabs>
        <w:spacing w:before="0" w:after="260" w:line="280" w:lineRule="exact"/>
        <w:ind w:right="0"/>
        <w:jc w:val="both"/>
        <w:rPr>
          <w:rFonts w:ascii="Times New Roman" w:hAnsi="Times New Roman"/>
        </w:rPr>
      </w:pPr>
      <w:r w:rsidRPr="00B516EB">
        <w:rPr>
          <w:rFonts w:ascii="Times New Roman" w:hAnsi="Times New Roman"/>
        </w:rPr>
        <w:t xml:space="preserve">[TC]: </w:t>
      </w:r>
      <w:r w:rsidRPr="00B516EB">
        <w:rPr>
          <w:rFonts w:ascii="Times New Roman" w:hAnsi="Times New Roman"/>
          <w:i/>
          <w:iCs/>
        </w:rPr>
        <w:t>As I understand it.</w:t>
      </w:r>
    </w:p>
    <w:p w14:paraId="456F4AEA" w14:textId="77777777" w:rsidR="00FC5642" w:rsidRDefault="00FC5642" w:rsidP="00B516EB">
      <w:pPr>
        <w:pStyle w:val="leftright"/>
        <w:tabs>
          <w:tab w:val="clear" w:pos="1440"/>
          <w:tab w:val="clear" w:pos="2880"/>
          <w:tab w:val="clear" w:pos="3600"/>
          <w:tab w:val="clear" w:pos="4320"/>
          <w:tab w:val="clear" w:pos="5040"/>
          <w:tab w:val="clear" w:pos="5760"/>
          <w:tab w:val="clear" w:pos="6480"/>
          <w:tab w:val="clear" w:pos="7200"/>
        </w:tabs>
        <w:spacing w:before="0" w:after="260" w:line="280" w:lineRule="exact"/>
        <w:ind w:right="0"/>
        <w:jc w:val="both"/>
        <w:rPr>
          <w:rFonts w:ascii="Times New Roman" w:hAnsi="Times New Roman"/>
        </w:rPr>
      </w:pPr>
      <w:r w:rsidRPr="00B516EB">
        <w:rPr>
          <w:rFonts w:ascii="Times New Roman" w:hAnsi="Times New Roman"/>
        </w:rPr>
        <w:t>HIS HONOUR: Yes."</w:t>
      </w:r>
    </w:p>
    <w:p w14:paraId="5999D370"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 appellant was sentenced for the drug conspiracy offence to a period of imprisonment of 11 years with a non-parole period of seven and a half years. The co-accused was sentenced for the drug conspiracy offence to imprisonment for nine years with a non-parole period of six and a half years. In each case, the sentencing judge took into account the appellant's and co-accused's offences of dealing with proceeds of crime in accordance with s 16BA of the </w:t>
      </w:r>
      <w:r w:rsidRPr="00B516EB">
        <w:rPr>
          <w:rFonts w:ascii="Times New Roman" w:hAnsi="Times New Roman"/>
          <w:i/>
          <w:iCs/>
        </w:rPr>
        <w:t>Crimes Act 1914</w:t>
      </w:r>
      <w:r w:rsidRPr="00B516EB">
        <w:rPr>
          <w:rFonts w:ascii="Times New Roman" w:hAnsi="Times New Roman"/>
        </w:rPr>
        <w:t xml:space="preserve"> (</w:t>
      </w:r>
      <w:proofErr w:type="spellStart"/>
      <w:r w:rsidRPr="00B516EB">
        <w:rPr>
          <w:rFonts w:ascii="Times New Roman" w:hAnsi="Times New Roman"/>
        </w:rPr>
        <w:t>Cth</w:t>
      </w:r>
      <w:proofErr w:type="spellEnd"/>
      <w:r w:rsidRPr="00B516EB">
        <w:rPr>
          <w:rFonts w:ascii="Times New Roman" w:hAnsi="Times New Roman"/>
        </w:rPr>
        <w:t xml:space="preserve">). </w:t>
      </w:r>
    </w:p>
    <w:p w14:paraId="7D51671F" w14:textId="77777777" w:rsidR="00FC5642" w:rsidRPr="00B516EB" w:rsidRDefault="00FC5642" w:rsidP="00B516EB">
      <w:pPr>
        <w:pStyle w:val="HeadingL1"/>
        <w:spacing w:after="260" w:line="280" w:lineRule="exact"/>
        <w:ind w:right="0"/>
        <w:jc w:val="both"/>
        <w:rPr>
          <w:rFonts w:ascii="Times New Roman" w:hAnsi="Times New Roman"/>
        </w:rPr>
      </w:pPr>
      <w:r w:rsidRPr="00B516EB">
        <w:rPr>
          <w:rFonts w:ascii="Times New Roman" w:hAnsi="Times New Roman"/>
        </w:rPr>
        <w:t>The conflict of duties in this case</w:t>
      </w:r>
    </w:p>
    <w:p w14:paraId="36EDFEA2"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That the sentence of imprisonment imposed on the appellant was for a materially longer period than the sentence of imprisonment imposed on the co-accused is no doubt the reason the appellant sought leave to appeal his sentence. That fact, however, is relevant only because it is the circumstance from which it may be inferred that the sentencing judge accepted the written and oral submissions of trial counsel for the appellant and the co-accused and the oral submissions of counsel for the Crown that the objective seriousness of the offences </w:t>
      </w:r>
      <w:r w:rsidRPr="00B516EB">
        <w:rPr>
          <w:rFonts w:ascii="Times New Roman" w:hAnsi="Times New Roman"/>
        </w:rPr>
        <w:lastRenderedPageBreak/>
        <w:t xml:space="preserve">committed by the appellant was greater than the objective seriousness of the offences committed by the co-accused so that the culpability of the appellant was also greater than the culpability of the co-accused. Those common submissions having been made, it was inevitable that the sentencing judge would have given them weight in discharging the function imposed on the sentencing judge by s 16A(1) of the </w:t>
      </w:r>
      <w:r w:rsidRPr="00B516EB">
        <w:rPr>
          <w:rFonts w:ascii="Times New Roman" w:hAnsi="Times New Roman"/>
          <w:i/>
          <w:iCs/>
        </w:rPr>
        <w:t>Crimes Act</w:t>
      </w:r>
      <w:r w:rsidRPr="00B516EB">
        <w:rPr>
          <w:rFonts w:ascii="Times New Roman" w:hAnsi="Times New Roman"/>
        </w:rPr>
        <w:t xml:space="preserve"> that "[</w:t>
      </w:r>
      <w:proofErr w:type="spellStart"/>
      <w:r w:rsidRPr="00B516EB">
        <w:rPr>
          <w:rFonts w:ascii="Times New Roman" w:hAnsi="Times New Roman"/>
        </w:rPr>
        <w:t>i</w:t>
      </w:r>
      <w:proofErr w:type="spellEnd"/>
      <w:r w:rsidRPr="00B516EB">
        <w:rPr>
          <w:rFonts w:ascii="Times New Roman" w:hAnsi="Times New Roman"/>
        </w:rPr>
        <w:t>]n determining the sentence to be passed, or the order to be made, in respect of any person for a federal offence, a court must impose a sentence or make an order that is of a severity appropriate in all the circumstances of the offence".</w:t>
      </w:r>
    </w:p>
    <w:p w14:paraId="634E55C1"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No speculation is required or should be entertained about what otherwise might have occurred between trial counsel and the appellant, and certainly not because the appellant did not waive legal professional privilege over communications with his trial counsel – a forensic decision not ultimately challenged by the Crown below and not the subject of this appeal. Even if those communications purportedly included "full disclosure" of the conflict of duties by trial counsel to the appellant and "fully informed consent" by the appellant to trial counsel to continue to act by subordinating the best interests of the appellant in the appellant's cause to the best interests of the co-accused in the co-accused's cause, that circumstance remained undisclosed to the sentencing judge. The sentencing judge could not have known that trial counsel was acting on that basis. The sentencing judge was entitled to assume that, in our adversarial system of justice, trial counsel was promoting and protecting fearlessly and by all proper and lawful means the appellant's best interests in the appellant's cause </w:t>
      </w:r>
      <w:r w:rsidRPr="00B516EB">
        <w:rPr>
          <w:rFonts w:ascii="Times New Roman" w:hAnsi="Times New Roman"/>
          <w:i/>
          <w:iCs/>
        </w:rPr>
        <w:t>without regard to any consequences to, relevantly, the co-accused</w:t>
      </w:r>
      <w:r w:rsidRPr="00B516EB">
        <w:rPr>
          <w:rFonts w:ascii="Times New Roman" w:hAnsi="Times New Roman"/>
        </w:rPr>
        <w:t xml:space="preserve">. But in this case, that assumption was wrong. </w:t>
      </w:r>
    </w:p>
    <w:p w14:paraId="4F3CC333"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 required answer emerges from the circumstances that trial counsel owed a duty to the appellant to act in the best interests of the appellant in the appellant's cause, a duty to the co-accused to act in the best interests of the co-accused in the co-accused's cause, and a duty to the court to act in the interests of the administration of justice. Trial counsel could not simultaneously discharge these three duties in circumstances where the Crown's written submissions manifestly exposed that there were reasonably available arguments to be made either that the appellant's offending was less objectively serious than the co-accused's offending or that the co-accused's offending was more objectively serious than the appellant's offending and provided an obvious opportunity to advance such a case in the best interests of the appellant in the appellant's cause. </w:t>
      </w:r>
    </w:p>
    <w:p w14:paraId="69195F8E"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Trial counsel in fact did not discharge two of these three duties. As to the duty owed to the appellant, by reason of the conflicting duties trial counsel did not put a reasonably arguable and thus proper and lawful submission and thereby did not promote and protect fearlessly and by all proper and lawful means the appellant's best interests to the best of counsel's skill and diligence without regard to the consequences for, relevantly, the co-accused, being a duty which exists both at common law and under r 35 of the </w:t>
      </w:r>
      <w:r w:rsidRPr="00B516EB">
        <w:rPr>
          <w:rFonts w:ascii="Times New Roman" w:hAnsi="Times New Roman"/>
          <w:i/>
          <w:iCs/>
        </w:rPr>
        <w:t>Uniform Barristers Rules</w:t>
      </w:r>
      <w:r w:rsidRPr="00B516EB">
        <w:rPr>
          <w:rFonts w:ascii="Times New Roman" w:hAnsi="Times New Roman"/>
        </w:rPr>
        <w:t xml:space="preserve">. As to the duty </w:t>
      </w:r>
      <w:r w:rsidRPr="00B516EB">
        <w:rPr>
          <w:rFonts w:ascii="Times New Roman" w:hAnsi="Times New Roman"/>
        </w:rPr>
        <w:lastRenderedPageBreak/>
        <w:t xml:space="preserve">owed to the sentencing court, by reason of the conflicting duties trial counsel could not "exercise the forensic judgments called for during the case </w:t>
      </w:r>
      <w:r w:rsidRPr="00B516EB">
        <w:rPr>
          <w:rFonts w:ascii="Times New Roman" w:hAnsi="Times New Roman"/>
          <w:i/>
          <w:iCs/>
        </w:rPr>
        <w:t>independently</w:t>
      </w:r>
      <w:r w:rsidRPr="00B516EB">
        <w:rPr>
          <w:rFonts w:ascii="Times New Roman" w:hAnsi="Times New Roman"/>
        </w:rPr>
        <w:t>"</w:t>
      </w:r>
      <w:r w:rsidRPr="00B516EB">
        <w:rPr>
          <w:rStyle w:val="FootnoteReference"/>
          <w:rFonts w:ascii="Times New Roman" w:hAnsi="Times New Roman"/>
          <w:sz w:val="24"/>
        </w:rPr>
        <w:footnoteReference w:id="200"/>
      </w:r>
      <w:r w:rsidRPr="00B516EB">
        <w:rPr>
          <w:rFonts w:ascii="Times New Roman" w:hAnsi="Times New Roman"/>
        </w:rPr>
        <w:t xml:space="preserve"> (of, relevantly, the interests of the co-accused) as required by the common law and r 42 of the </w:t>
      </w:r>
      <w:r w:rsidRPr="00B516EB">
        <w:rPr>
          <w:rFonts w:ascii="Times New Roman" w:hAnsi="Times New Roman"/>
          <w:i/>
          <w:iCs/>
        </w:rPr>
        <w:t>Uniform Barristers Rules</w:t>
      </w:r>
      <w:r w:rsidRPr="00B516EB">
        <w:rPr>
          <w:rFonts w:ascii="Times New Roman" w:hAnsi="Times New Roman"/>
        </w:rPr>
        <w:t xml:space="preserve"> and thereby could not act in the interests of the administration of justice as required by the common law and r 23. </w:t>
      </w:r>
    </w:p>
    <w:p w14:paraId="0D73B73C"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As noted, that the available evidence does not extend to the communications between the appellant and trial counsel is immaterial because of trial counsel's overriding duty to the court to act independently in the interests of the administration of justice. However, it is also the case that the duty trial counsel owed to the appellant did not enable trial counsel to purport to "fully disclose" to the appellant the conflict of duties and its consequences or the appellant to purport to give trial counsel "fully informed consent" to continue to act for the appellant by subordinating the best interests of the appellant in the appellant's cause to the best interests of the co-accused in the co-accused's cause. </w:t>
      </w:r>
    </w:p>
    <w:p w14:paraId="2B493ACF"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It goes nowhere that (new) counsel for the appellant on the application for leave to appeal and appeal against sentence in the Court of Criminal Appeal conceded that: (</w:t>
      </w:r>
      <w:proofErr w:type="spellStart"/>
      <w:r w:rsidRPr="00B516EB">
        <w:rPr>
          <w:rFonts w:ascii="Times New Roman" w:hAnsi="Times New Roman"/>
        </w:rPr>
        <w:t>i</w:t>
      </w:r>
      <w:proofErr w:type="spellEnd"/>
      <w:r w:rsidRPr="00B516EB">
        <w:rPr>
          <w:rFonts w:ascii="Times New Roman" w:hAnsi="Times New Roman"/>
        </w:rPr>
        <w:t xml:space="preserve">) the appellant was present at the hearing and would have known that his trial counsel was also appearing for the co-accused; and (ii) the Court of Criminal Appeal was "entitled to infer that the [appellant] was advised in advance [by trial counsel] that his criminality or culpability would be pitched at a certain level, above that of [the co-accused], and that the [appellant] acquiesced in that". For one thing, the duties of trial counsel to the appellant and to the sentencing court were for trial counsel to satisfy and were not amenable to waiver by the appellant to the extent of trial counsel subordinating the best interests of the appellant in the appellant's cause to the best interests of the co-accused in the co-accused's cause. For another, even if trial counsel could have purported to "fully disclose" to the appellant the conflict of duties and obtained the appellant's purported "fully informed consent" to counsel so acting, the conceded matter does not come close to either "full disclosure" or "fully informed consent". </w:t>
      </w:r>
    </w:p>
    <w:p w14:paraId="3361F203"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A cursory consideration of what "full disclosure" and "fully informed consent" might look like on the facts of this case is instructive. It exposes why these doctrines relevant to general fiduciary obligations cannot prevail over the duty of counsel to act in the best interests of an accused in the accused's cause as if the accused is counsel's only client and, if that is not possible by reason of counsel's simultaneous duty to act in the best interests of a co-accused in the co-accused's cause as if the co-accused is counsel's only client, that counsel has an insuperable conflict of duties and thereby cannot fulfil counsel's duty to the court to act in the interests of the administration of justice. </w:t>
      </w:r>
    </w:p>
    <w:p w14:paraId="4F8E3C9F"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lastRenderedPageBreak/>
        <w:tab/>
        <w:t>"Full disclosure" of the relevant circumstances would have required trial counsel to inform the appellant that: (</w:t>
      </w:r>
      <w:proofErr w:type="spellStart"/>
      <w:r w:rsidRPr="00B516EB">
        <w:rPr>
          <w:rFonts w:ascii="Times New Roman" w:hAnsi="Times New Roman"/>
        </w:rPr>
        <w:t>i</w:t>
      </w:r>
      <w:proofErr w:type="spellEnd"/>
      <w:r w:rsidRPr="00B516EB">
        <w:rPr>
          <w:rFonts w:ascii="Times New Roman" w:hAnsi="Times New Roman"/>
        </w:rPr>
        <w:t xml:space="preserve">) although it was reasonably arguable for him to submit that the appellant's offending was less objectively serious than that of the co-accused so that the appellant was less culpable than the co-accused and the Crown had so submitted in writing, trial counsel considered that to be wrong and intended to submit that the appellant's offending was more serious than that of the co-accused; (ii) the likely consequence of that submission would be that a lengthier sentence of imprisonment would be imposed on the appellant than the co-accused; (iii) this consequence would be contrary to the best interests of the appellant in the appellant's cause; (iv) trial counsel so acting would mean that trial counsel would be subordinating the best interests of the appellant in the appellant's cause to the best interests of the co-accused in the co-accused's cause, contrary to trial counsel's duties to the appellant and to the court in r 35 and </w:t>
      </w:r>
      <w:proofErr w:type="spellStart"/>
      <w:r w:rsidRPr="00B516EB">
        <w:rPr>
          <w:rFonts w:ascii="Times New Roman" w:hAnsi="Times New Roman"/>
        </w:rPr>
        <w:t>rr</w:t>
      </w:r>
      <w:proofErr w:type="spellEnd"/>
      <w:r w:rsidRPr="00B516EB">
        <w:rPr>
          <w:rFonts w:ascii="Times New Roman" w:hAnsi="Times New Roman"/>
        </w:rPr>
        <w:t xml:space="preserve"> 23 and 42 respectively of the </w:t>
      </w:r>
      <w:r w:rsidRPr="00B516EB">
        <w:rPr>
          <w:rFonts w:ascii="Times New Roman" w:hAnsi="Times New Roman"/>
          <w:i/>
          <w:iCs/>
        </w:rPr>
        <w:t>Uniform Barristers Rules</w:t>
      </w:r>
      <w:r w:rsidRPr="00B516EB">
        <w:rPr>
          <w:rFonts w:ascii="Times New Roman" w:hAnsi="Times New Roman"/>
        </w:rPr>
        <w:t xml:space="preserve"> (on this assumption, at least without obtaining the appellant's "fully informed consent" to this occurring); (v) the appellant could continue to retain trial counsel on this basis or could retain separate counsel who would be bound to "promote and protect fearlessly and by all proper and lawful means the [appellant's] best interests to the best of the barrister's skill and diligence, and do so without regard to his or her own interest or to any consequences to the barrister or to any other person [including the co-accused]", which would include such counsel likely adopting the Crown's written submissions about the objective seriousness of the offending of the appellant and the co-accused and their relative culpability including that the co-accused "should receive a more substantial penalty than ... [the appellant] for a number of reasons"; and (vi) if the appellant continued to retain trial counsel then trial counsel would have to inform the court of counsel's conflict of duties and that the appellant had provided "fully informed consent" to trial counsel acting under the conflict, in accordance with the appellant's instructions to do so, to enable the court to determine if trial counsel's conflict was such as to empower or require the court to intervene to prevent trial counsel from acting other than for the co-accused in the interests of the administration of justice.  </w:t>
      </w:r>
    </w:p>
    <w:p w14:paraId="1EB8904E"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"Full disclosure" of this kind to the appellant could not have occurred. Further, trial counsel did not inform the sentencing judge that he had obtained the "fully informed consent" of the appellant (and the co-accused) to act under the conflict of duties which trial counsel had resolved by subordinating the best interests of the appellant in the appellant's cause to the best interests of the co-accused in the co-accused's cause. Nor, in reality, is it remotely conceivable that trial counsel in fact recognised the true nature and consequences of the conflict of duties because had trial counsel done so it would have been obvious that trial counsel could not continue to act for the appellant. </w:t>
      </w:r>
    </w:p>
    <w:p w14:paraId="2984D36F"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Accordingly, the overwhelming likelihood on the evidence is that trial counsel did not recognise the true nature and consequences of the conflict of duties and therefore did not recognise that trial counsel was impermissibly subordinating the best interests of the appellant in the appellant's cause to the best interests of the </w:t>
      </w:r>
      <w:r w:rsidRPr="00B516EB">
        <w:rPr>
          <w:rFonts w:ascii="Times New Roman" w:hAnsi="Times New Roman"/>
        </w:rPr>
        <w:lastRenderedPageBreak/>
        <w:t xml:space="preserve">co-accused in the co-accused's cause. That the Crown's written submissions about relative objective seriousness of the offending and relative culpability were inconsistent with trial counsel's genuinely held views, as discussed, is immaterial. On retainer by the appellant, the obligation of trial counsel was to "promote and protect fearlessly and by all proper and lawful means the [appellant's] best interests to the best of [trial counsel's] skill and diligence, and do so without regard to his or her own interest or to any consequences to ... any other person [including the co-accused]". But for the conflicting duty that trial counsel owed to the co-accused, it would (or should) have been readily apparent that adopting the written submissions of the Crown as to the relative objective seriousness of the offences of the appellant and the co-accused and their relative culpability was a "proper and lawful means" to act in the appellant's best interests in the appellant's cause. </w:t>
      </w:r>
    </w:p>
    <w:p w14:paraId="67B00DA8"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To conclude, as the Court of Criminal Appeal did, that this reasoning impugns the "ethics" of trial counsel on the mere basis that some other submission "could" have been made, when trial counsel made "legitimate submissions concerning the role of the offenders and their objective criminality",</w:t>
      </w:r>
      <w:r w:rsidRPr="00B516EB">
        <w:rPr>
          <w:rStyle w:val="FootnoteReference"/>
          <w:rFonts w:ascii="Times New Roman" w:hAnsi="Times New Roman"/>
          <w:sz w:val="24"/>
        </w:rPr>
        <w:footnoteReference w:id="201"/>
      </w:r>
      <w:r w:rsidRPr="00B516EB">
        <w:rPr>
          <w:rFonts w:ascii="Times New Roman" w:hAnsi="Times New Roman"/>
        </w:rPr>
        <w:t xml:space="preserve"> misses the point. One reason the law protects against legal representatives acting for clients whose interests conflict is that if a conflict of interest is not recognised in its true nature and with its true consequences, the legal representative is disabled from appreciating the effect of the conflict on their duties and their decision-making in discharge of their duties. </w:t>
      </w:r>
    </w:p>
    <w:p w14:paraId="6808D90B"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Further, this is not a case in which trial counsel's ethics are being impugned. As explained, the overwhelming likelihood on the facts is that trial counsel did not recognise the true nature and consequences of the conflict of duties arising from the appellant and co-accused's conflict of interest in their respective causes. Nor is this a case in which trial counsel merely "could" have made another submission. The written submissions for the Crown made clear that a submission in the best interests of the appellant in the appellant's cause was reasonably available to be adopted. Any reasonably competent independent counsel not subject to the blinkering effect of the conflicting duty to the co-accused would have seen that adopting the Crown's written submissions on behalf of the appellant was in the appellant's best interests in the appellant's cause and a proper and lawful means of promoting and protecting the appellant's interests. Even if the Crown had changed its position during the oral hearing without trial counsel for the appellant and co-accused having urged that course, independent counsel could have continued to submit that the Crown's written submissions were to be preferred. </w:t>
      </w:r>
    </w:p>
    <w:p w14:paraId="367B743B"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Nor is it to the point that trial counsel made "legitimate submissions". As noted, the submissions trial counsel made undoubtedly represented a view of the Agreed Facts which was reasonably available, but so did the written submissions for the Crown. The problem with the submissions trial counsel made is that they </w:t>
      </w:r>
      <w:r w:rsidRPr="00B516EB">
        <w:rPr>
          <w:rFonts w:ascii="Times New Roman" w:hAnsi="Times New Roman"/>
        </w:rPr>
        <w:lastRenderedPageBreak/>
        <w:t xml:space="preserve">were an outcome of counsel's irreconcilable conflict of duties, which had been impermissibly resolved by subordination of the best interests of the appellant in the appellant's cause to the best interests of the co-accused in the co-accused's cause, unwittingly by trial counsel and unbeknownst to the sentencing judge.  </w:t>
      </w:r>
    </w:p>
    <w:p w14:paraId="3926D13A"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It is also immaterial that the Court of Criminal Appeal considered that the submissions trial counsel made to the sentencing judge about the relative objective seriousness of the offending and the culpability of the appellant and the co-accused were "correct", which, the Court of Criminal Appeal said, was "no doubt" why the Crown and sentencing judge agreed with them.</w:t>
      </w:r>
      <w:r w:rsidRPr="00B516EB">
        <w:rPr>
          <w:rStyle w:val="FootnoteReference"/>
          <w:rFonts w:ascii="Times New Roman" w:hAnsi="Times New Roman"/>
          <w:sz w:val="24"/>
        </w:rPr>
        <w:footnoteReference w:id="202"/>
      </w:r>
      <w:r w:rsidRPr="00B516EB">
        <w:rPr>
          <w:rFonts w:ascii="Times New Roman" w:hAnsi="Times New Roman"/>
        </w:rPr>
        <w:t xml:space="preserve"> The relevant test in this case is not whether the appellate court agrees with the submissions that trial counsel put. It is whether those submissions were put under a conflict of duties which could realistically have affected the outcome. </w:t>
      </w:r>
    </w:p>
    <w:p w14:paraId="21357716"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For the reasons given, the required answer is that the submissions were put under a conflict of duties and the existence of that conflict realistically could have affected the sentence that was imposed on the appellant. That is because the sentence that could have been imposed had trial counsel not subordinated the best interests of the appellant in the appellant's cause to the best interests of the co-accused in the co-accused's cause could well have been materially less than in fact imposed and still within a reasonable range for the offences. That is, in practical terms, having retained counsel to appear, the appellant lost the opportunity to have counsel make proper and lawful submissions in the best interests of the appellant in the appellant's cause, that the appellant's offending was objectively less serious than that of the co-accused. The appellant thereby lost the opportunity to have a case made that the appellant's culpability was less than that of the co-accused and thereby that the appellant's sentence should be less than that of the co-accused. </w:t>
      </w:r>
    </w:p>
    <w:p w14:paraId="1B2658BE"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For these reasons, on the appellant's appeal against sentence "some other sentence, whether more or less severe is warranted in law and should have been passed" in accordance with s 6(3) of the </w:t>
      </w:r>
      <w:r w:rsidRPr="00B516EB">
        <w:rPr>
          <w:rFonts w:ascii="Times New Roman" w:hAnsi="Times New Roman"/>
          <w:i/>
          <w:iCs/>
        </w:rPr>
        <w:t>Criminal Appeal Act</w:t>
      </w:r>
      <w:r w:rsidRPr="00B516EB">
        <w:rPr>
          <w:rFonts w:ascii="Times New Roman" w:hAnsi="Times New Roman"/>
        </w:rPr>
        <w:t xml:space="preserve">. The sentence that should have been passed was a sentence not the result of a trial on sentence which was subject to the irregularity of trial counsel acting under a conflict of duties impermissibly resolved by trial counsel subordinating the best interests of the appellant in the appellant's cause to the best interests of the co-accused in the co-accused's cause. In the circumstances, that irregularity was material in that it could realistically have affected the sentence imposed on the appellant. In the terms of s 6(3) of the </w:t>
      </w:r>
      <w:r w:rsidRPr="00B516EB">
        <w:rPr>
          <w:rFonts w:ascii="Times New Roman" w:hAnsi="Times New Roman"/>
          <w:i/>
          <w:iCs/>
        </w:rPr>
        <w:t>Criminal Appeal Act</w:t>
      </w:r>
      <w:r w:rsidRPr="00B516EB">
        <w:rPr>
          <w:rFonts w:ascii="Times New Roman" w:hAnsi="Times New Roman"/>
        </w:rPr>
        <w:t xml:space="preserve">, the sentence which the sentencing judge imposed must be quashed. The further issue which arises in this case is how ss 5(1)(c), 6(3) and 12(2) of the </w:t>
      </w:r>
      <w:r w:rsidRPr="00B516EB">
        <w:rPr>
          <w:rFonts w:ascii="Times New Roman" w:hAnsi="Times New Roman"/>
          <w:i/>
          <w:iCs/>
        </w:rPr>
        <w:t>Criminal Appeal Act</w:t>
      </w:r>
      <w:r w:rsidRPr="00B516EB">
        <w:rPr>
          <w:rFonts w:ascii="Times New Roman" w:hAnsi="Times New Roman"/>
        </w:rPr>
        <w:t xml:space="preserve"> operate thereafter.</w:t>
      </w:r>
    </w:p>
    <w:p w14:paraId="29272B05" w14:textId="77777777" w:rsidR="00FC5642" w:rsidRPr="00B516EB" w:rsidRDefault="00FC5642" w:rsidP="00B516EB">
      <w:pPr>
        <w:pStyle w:val="HeadingL1"/>
        <w:spacing w:after="260" w:line="280" w:lineRule="exact"/>
        <w:ind w:right="0"/>
        <w:jc w:val="both"/>
        <w:rPr>
          <w:rFonts w:ascii="Times New Roman" w:hAnsi="Times New Roman"/>
        </w:rPr>
      </w:pPr>
      <w:r w:rsidRPr="00B516EB">
        <w:rPr>
          <w:rFonts w:ascii="Times New Roman" w:hAnsi="Times New Roman"/>
        </w:rPr>
        <w:lastRenderedPageBreak/>
        <w:t>Next step</w:t>
      </w:r>
    </w:p>
    <w:p w14:paraId="5EAA28EB"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 relevant provisions of the </w:t>
      </w:r>
      <w:r w:rsidRPr="00B516EB">
        <w:rPr>
          <w:rFonts w:ascii="Times New Roman" w:hAnsi="Times New Roman"/>
          <w:i/>
          <w:iCs/>
        </w:rPr>
        <w:t>Criminal Appeal Act</w:t>
      </w:r>
      <w:r w:rsidRPr="00B516EB">
        <w:rPr>
          <w:rFonts w:ascii="Times New Roman" w:hAnsi="Times New Roman"/>
        </w:rPr>
        <w:t xml:space="preserve"> are in these terms:</w:t>
      </w:r>
    </w:p>
    <w:p w14:paraId="40F0B1DD"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w:t>
      </w:r>
      <w:r w:rsidRPr="00B516EB">
        <w:rPr>
          <w:rFonts w:ascii="Times New Roman" w:hAnsi="Times New Roman"/>
          <w:b/>
          <w:bCs/>
        </w:rPr>
        <w:t>5</w:t>
      </w:r>
      <w:r w:rsidRPr="00B516EB">
        <w:rPr>
          <w:rFonts w:ascii="Times New Roman" w:hAnsi="Times New Roman"/>
          <w:b/>
          <w:bCs/>
        </w:rPr>
        <w:tab/>
        <w:t>Right of appeal in criminal cases</w:t>
      </w:r>
    </w:p>
    <w:p w14:paraId="6CE433BD"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 xml:space="preserve">(1) </w:t>
      </w:r>
      <w:r w:rsidRPr="00B516EB">
        <w:rPr>
          <w:rFonts w:ascii="Times New Roman" w:hAnsi="Times New Roman"/>
        </w:rPr>
        <w:tab/>
        <w:t>A person convicted on indictment may appeal under this Act to the court –</w:t>
      </w:r>
    </w:p>
    <w:p w14:paraId="09A1CC4E" w14:textId="77777777" w:rsidR="00FC5642" w:rsidRPr="00B516EB" w:rsidRDefault="00FC5642" w:rsidP="00B516EB">
      <w:pPr>
        <w:pStyle w:val="leftright"/>
        <w:spacing w:before="0" w:after="260" w:line="280" w:lineRule="exact"/>
        <w:ind w:left="2160" w:right="0"/>
        <w:jc w:val="both"/>
        <w:rPr>
          <w:rFonts w:ascii="Times New Roman" w:hAnsi="Times New Roman"/>
        </w:rPr>
      </w:pPr>
      <w:r w:rsidRPr="00B516EB">
        <w:rPr>
          <w:rFonts w:ascii="Times New Roman" w:hAnsi="Times New Roman"/>
        </w:rPr>
        <w:t>...</w:t>
      </w:r>
    </w:p>
    <w:p w14:paraId="1F277C84" w14:textId="77777777" w:rsidR="00FC5642" w:rsidRPr="00B516EB" w:rsidRDefault="00FC5642" w:rsidP="00B516EB">
      <w:pPr>
        <w:pStyle w:val="leftright"/>
        <w:spacing w:before="0" w:after="260" w:line="280" w:lineRule="exact"/>
        <w:ind w:left="2858" w:right="0" w:hanging="1418"/>
        <w:jc w:val="both"/>
        <w:rPr>
          <w:rFonts w:ascii="Times New Roman" w:hAnsi="Times New Roman"/>
        </w:rPr>
      </w:pPr>
      <w:r w:rsidRPr="00B516EB">
        <w:rPr>
          <w:rFonts w:ascii="Times New Roman" w:hAnsi="Times New Roman"/>
        </w:rPr>
        <w:tab/>
        <w:t xml:space="preserve">(c) </w:t>
      </w:r>
      <w:r w:rsidRPr="00B516EB">
        <w:rPr>
          <w:rFonts w:ascii="Times New Roman" w:hAnsi="Times New Roman"/>
        </w:rPr>
        <w:tab/>
        <w:t>with the leave of the court against the sentence passed on the person's conviction.</w:t>
      </w:r>
    </w:p>
    <w:p w14:paraId="48E0A5ED" w14:textId="77777777" w:rsidR="00FC5642" w:rsidRPr="00B516EB" w:rsidRDefault="00FC5642" w:rsidP="00B516EB">
      <w:pPr>
        <w:pStyle w:val="leftright"/>
        <w:spacing w:before="0" w:after="260" w:line="280" w:lineRule="exact"/>
        <w:ind w:left="1440" w:right="0"/>
        <w:jc w:val="both"/>
        <w:rPr>
          <w:rFonts w:ascii="Times New Roman" w:hAnsi="Times New Roman"/>
        </w:rPr>
      </w:pPr>
      <w:r w:rsidRPr="00B516EB">
        <w:rPr>
          <w:rFonts w:ascii="Times New Roman" w:hAnsi="Times New Roman"/>
        </w:rPr>
        <w:t>...</w:t>
      </w:r>
    </w:p>
    <w:p w14:paraId="6D4A43FF" w14:textId="77777777" w:rsidR="00FC5642" w:rsidRPr="00B516EB" w:rsidRDefault="00FC5642" w:rsidP="00B516EB">
      <w:pPr>
        <w:pStyle w:val="leftright"/>
        <w:spacing w:before="0" w:after="260" w:line="280" w:lineRule="exact"/>
        <w:ind w:right="0"/>
        <w:jc w:val="both"/>
        <w:rPr>
          <w:rFonts w:ascii="Times New Roman" w:hAnsi="Times New Roman"/>
          <w:b/>
          <w:bCs/>
        </w:rPr>
      </w:pPr>
      <w:r w:rsidRPr="00B516EB">
        <w:rPr>
          <w:rFonts w:ascii="Times New Roman" w:hAnsi="Times New Roman"/>
          <w:b/>
          <w:bCs/>
        </w:rPr>
        <w:t xml:space="preserve">6 </w:t>
      </w:r>
      <w:r w:rsidRPr="00B516EB">
        <w:rPr>
          <w:rFonts w:ascii="Times New Roman" w:hAnsi="Times New Roman"/>
          <w:b/>
          <w:bCs/>
        </w:rPr>
        <w:tab/>
        <w:t>Determination of appeals in ordinary cases</w:t>
      </w:r>
    </w:p>
    <w:p w14:paraId="551F71BD" w14:textId="77777777" w:rsidR="00FC5642" w:rsidRPr="00B516EB" w:rsidRDefault="00FC5642" w:rsidP="00B516EB">
      <w:pPr>
        <w:pStyle w:val="leftright"/>
        <w:spacing w:before="0" w:after="260" w:line="280" w:lineRule="exact"/>
        <w:ind w:left="1440" w:right="0"/>
        <w:jc w:val="both"/>
        <w:rPr>
          <w:rFonts w:ascii="Times New Roman" w:hAnsi="Times New Roman"/>
        </w:rPr>
      </w:pPr>
      <w:r w:rsidRPr="00B516EB">
        <w:rPr>
          <w:rFonts w:ascii="Times New Roman" w:hAnsi="Times New Roman"/>
        </w:rPr>
        <w:t>...</w:t>
      </w:r>
    </w:p>
    <w:p w14:paraId="325B5347" w14:textId="77777777" w:rsidR="00FC5642" w:rsidRPr="00B516EB"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 xml:space="preserve">(3) </w:t>
      </w:r>
      <w:r w:rsidRPr="00B516EB">
        <w:rPr>
          <w:rFonts w:ascii="Times New Roman" w:hAnsi="Times New Roman"/>
        </w:rPr>
        <w:tab/>
        <w:t>On an appeal under section 5(1) against a sentence, the court, if it is of opinion that some other sentence, whether more or less severe is warranted in law and should have been passed, shall quash the sentence and pass such other sentence in substitution therefor, and in any other case shall dismiss the appeal.</w:t>
      </w:r>
    </w:p>
    <w:p w14:paraId="749688AE" w14:textId="77777777" w:rsidR="00FC5642" w:rsidRPr="00B516EB" w:rsidRDefault="00FC5642" w:rsidP="00B516EB">
      <w:pPr>
        <w:pStyle w:val="leftright"/>
        <w:spacing w:before="0" w:after="260" w:line="280" w:lineRule="exact"/>
        <w:ind w:right="0"/>
        <w:jc w:val="both"/>
        <w:rPr>
          <w:rFonts w:ascii="Times New Roman" w:hAnsi="Times New Roman"/>
        </w:rPr>
      </w:pPr>
      <w:r w:rsidRPr="00B516EB">
        <w:rPr>
          <w:rFonts w:ascii="Times New Roman" w:hAnsi="Times New Roman"/>
        </w:rPr>
        <w:t>...</w:t>
      </w:r>
    </w:p>
    <w:p w14:paraId="4E067CC3" w14:textId="77777777" w:rsidR="00FC5642" w:rsidRPr="00B516EB" w:rsidRDefault="00FC5642" w:rsidP="00B516EB">
      <w:pPr>
        <w:pStyle w:val="leftright"/>
        <w:spacing w:before="0" w:after="260" w:line="280" w:lineRule="exact"/>
        <w:ind w:right="0"/>
        <w:jc w:val="both"/>
        <w:rPr>
          <w:rFonts w:ascii="Times New Roman" w:hAnsi="Times New Roman"/>
          <w:b/>
          <w:bCs/>
        </w:rPr>
      </w:pPr>
      <w:r w:rsidRPr="00B516EB">
        <w:rPr>
          <w:rFonts w:ascii="Times New Roman" w:hAnsi="Times New Roman"/>
          <w:b/>
          <w:bCs/>
        </w:rPr>
        <w:t xml:space="preserve">12 </w:t>
      </w:r>
      <w:r w:rsidRPr="00B516EB">
        <w:rPr>
          <w:rFonts w:ascii="Times New Roman" w:hAnsi="Times New Roman"/>
          <w:b/>
          <w:bCs/>
        </w:rPr>
        <w:tab/>
        <w:t>Supplemental powers of the court</w:t>
      </w:r>
    </w:p>
    <w:p w14:paraId="69ED20ED" w14:textId="77777777" w:rsidR="00FC5642" w:rsidRPr="00B516EB" w:rsidRDefault="00FC5642" w:rsidP="00B516EB">
      <w:pPr>
        <w:pStyle w:val="leftright"/>
        <w:spacing w:before="0" w:after="260" w:line="280" w:lineRule="exact"/>
        <w:ind w:left="1440" w:right="0"/>
        <w:jc w:val="both"/>
        <w:rPr>
          <w:rFonts w:ascii="Times New Roman" w:hAnsi="Times New Roman"/>
        </w:rPr>
      </w:pPr>
      <w:r w:rsidRPr="00B516EB">
        <w:rPr>
          <w:rFonts w:ascii="Times New Roman" w:hAnsi="Times New Roman"/>
        </w:rPr>
        <w:t>...</w:t>
      </w:r>
    </w:p>
    <w:p w14:paraId="49150701" w14:textId="77777777" w:rsidR="00FC5642" w:rsidRDefault="00FC5642" w:rsidP="00B516EB">
      <w:pPr>
        <w:pStyle w:val="leftright"/>
        <w:spacing w:before="0" w:after="260" w:line="280" w:lineRule="exact"/>
        <w:ind w:left="2160" w:right="0" w:hanging="720"/>
        <w:jc w:val="both"/>
        <w:rPr>
          <w:rFonts w:ascii="Times New Roman" w:hAnsi="Times New Roman"/>
        </w:rPr>
      </w:pPr>
      <w:r w:rsidRPr="00B516EB">
        <w:rPr>
          <w:rFonts w:ascii="Times New Roman" w:hAnsi="Times New Roman"/>
        </w:rPr>
        <w:t xml:space="preserve">(2) </w:t>
      </w:r>
      <w:r w:rsidRPr="00B516EB">
        <w:rPr>
          <w:rFonts w:ascii="Times New Roman" w:hAnsi="Times New Roman"/>
        </w:rPr>
        <w:tab/>
        <w:t>The Court of Criminal Appeal may remit a matter or issue to a court of trial for determination and may, in doing so, give any directions subject to which the determination is to be made."</w:t>
      </w:r>
    </w:p>
    <w:p w14:paraId="46BA8236"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 appellant contended that as he had been denied an opportunity for a fair trial before the sentencing judge – a contention which must be accepted – the appropriate consequential order following quashing of the sentence imposed on the appellant was an order under s 12(2) of the </w:t>
      </w:r>
      <w:r w:rsidRPr="00B516EB">
        <w:rPr>
          <w:rFonts w:ascii="Times New Roman" w:hAnsi="Times New Roman"/>
          <w:i/>
          <w:iCs/>
        </w:rPr>
        <w:t>Criminal Appeal Act</w:t>
      </w:r>
      <w:r w:rsidRPr="00B516EB">
        <w:rPr>
          <w:rFonts w:ascii="Times New Roman" w:hAnsi="Times New Roman"/>
        </w:rPr>
        <w:t xml:space="preserve"> to remit the matter of sentence of the appellant to the District Court. </w:t>
      </w:r>
    </w:p>
    <w:p w14:paraId="7C222B14"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lastRenderedPageBreak/>
        <w:tab/>
        <w:t xml:space="preserve">The Crown submitted that, as observed in </w:t>
      </w:r>
      <w:r w:rsidRPr="00B516EB">
        <w:rPr>
          <w:rFonts w:ascii="Times New Roman" w:hAnsi="Times New Roman"/>
          <w:i/>
          <w:iCs/>
        </w:rPr>
        <w:t>Betts v The Queen</w:t>
      </w:r>
      <w:r w:rsidRPr="00B516EB">
        <w:rPr>
          <w:rFonts w:ascii="Times New Roman" w:hAnsi="Times New Roman"/>
        </w:rPr>
        <w:t>,</w:t>
      </w:r>
      <w:r w:rsidRPr="00B516EB">
        <w:rPr>
          <w:rStyle w:val="FootnoteReference"/>
          <w:rFonts w:ascii="Times New Roman" w:hAnsi="Times New Roman"/>
          <w:sz w:val="24"/>
        </w:rPr>
        <w:footnoteReference w:id="203"/>
      </w:r>
      <w:r w:rsidRPr="00B516EB">
        <w:rPr>
          <w:rFonts w:ascii="Times New Roman" w:hAnsi="Times New Roman"/>
        </w:rPr>
        <w:t xml:space="preserve"> this Court has not considered "whether the Court of Criminal Appeal is empowered to remit the determination of an offender's sentence to the court of trial"</w:t>
      </w:r>
      <w:r w:rsidRPr="00B516EB">
        <w:rPr>
          <w:rStyle w:val="FootnoteReference"/>
          <w:rFonts w:ascii="Times New Roman" w:hAnsi="Times New Roman"/>
          <w:sz w:val="24"/>
        </w:rPr>
        <w:footnoteReference w:id="204"/>
      </w:r>
      <w:r w:rsidRPr="00B516EB">
        <w:rPr>
          <w:rFonts w:ascii="Times New Roman" w:hAnsi="Times New Roman"/>
        </w:rPr>
        <w:t xml:space="preserve"> rather than to "pass such other sentence in substitution therefor" as referred to in s 6(3) of the </w:t>
      </w:r>
      <w:r w:rsidRPr="00B516EB">
        <w:rPr>
          <w:rFonts w:ascii="Times New Roman" w:hAnsi="Times New Roman"/>
          <w:i/>
          <w:iCs/>
        </w:rPr>
        <w:t>Criminal Appeal Act</w:t>
      </w:r>
      <w:r w:rsidRPr="00B516EB">
        <w:rPr>
          <w:rFonts w:ascii="Times New Roman" w:hAnsi="Times New Roman"/>
        </w:rPr>
        <w:t xml:space="preserve"> and this question is "controversial" and "might be a matter for consideration by the legislature".</w:t>
      </w:r>
      <w:r w:rsidRPr="00B516EB">
        <w:rPr>
          <w:rStyle w:val="FootnoteReference"/>
          <w:rFonts w:ascii="Times New Roman" w:hAnsi="Times New Roman"/>
          <w:sz w:val="24"/>
        </w:rPr>
        <w:footnoteReference w:id="205"/>
      </w:r>
      <w:r w:rsidRPr="00B516EB">
        <w:rPr>
          <w:rFonts w:ascii="Times New Roman" w:hAnsi="Times New Roman"/>
        </w:rPr>
        <w:t xml:space="preserve"> According to the Crown, the reasoning in </w:t>
      </w:r>
      <w:proofErr w:type="spellStart"/>
      <w:r w:rsidRPr="00B516EB">
        <w:rPr>
          <w:rFonts w:ascii="Times New Roman" w:hAnsi="Times New Roman"/>
          <w:i/>
          <w:iCs/>
        </w:rPr>
        <w:t>Kentwell</w:t>
      </w:r>
      <w:proofErr w:type="spellEnd"/>
      <w:r w:rsidRPr="00B516EB">
        <w:rPr>
          <w:rFonts w:ascii="Times New Roman" w:hAnsi="Times New Roman"/>
          <w:i/>
          <w:iCs/>
        </w:rPr>
        <w:t xml:space="preserve"> v The Queen</w:t>
      </w:r>
      <w:r w:rsidRPr="00B516EB">
        <w:rPr>
          <w:rStyle w:val="FootnoteReference"/>
          <w:rFonts w:ascii="Times New Roman" w:hAnsi="Times New Roman"/>
          <w:sz w:val="24"/>
        </w:rPr>
        <w:footnoteReference w:id="206"/>
      </w:r>
      <w:r w:rsidRPr="00B516EB">
        <w:rPr>
          <w:rFonts w:ascii="Times New Roman" w:hAnsi="Times New Roman"/>
        </w:rPr>
        <w:t xml:space="preserve"> is also relevant because there it was explained that "[</w:t>
      </w:r>
      <w:proofErr w:type="spellStart"/>
      <w:r w:rsidRPr="00B516EB">
        <w:rPr>
          <w:rFonts w:ascii="Times New Roman" w:hAnsi="Times New Roman"/>
        </w:rPr>
        <w:t>i</w:t>
      </w:r>
      <w:proofErr w:type="spellEnd"/>
      <w:r w:rsidRPr="00B516EB">
        <w:rPr>
          <w:rFonts w:ascii="Times New Roman" w:hAnsi="Times New Roman"/>
        </w:rPr>
        <w:t>]n the case of specific error, the appellate court's power to intervene is enlivened and it becomes its duty to re-sentence, unless in the separate and independent exercise of its discretion it concludes that no different sentence should be passed. By contrast, absent specific error, the appellate court may only intervene if it concludes that the sentence falls outside the permissible range of sentences for the offender and the offence."</w:t>
      </w:r>
      <w:r w:rsidRPr="00B516EB">
        <w:rPr>
          <w:rStyle w:val="FootnoteReference"/>
          <w:rFonts w:ascii="Times New Roman" w:hAnsi="Times New Roman"/>
          <w:sz w:val="24"/>
        </w:rPr>
        <w:footnoteReference w:id="207"/>
      </w:r>
      <w:r w:rsidRPr="00B516EB">
        <w:rPr>
          <w:rFonts w:ascii="Times New Roman" w:hAnsi="Times New Roman"/>
        </w:rPr>
        <w:t xml:space="preserve"> This means that "[w]</w:t>
      </w:r>
      <w:proofErr w:type="spellStart"/>
      <w:r w:rsidRPr="00B516EB">
        <w:rPr>
          <w:rFonts w:ascii="Times New Roman" w:hAnsi="Times New Roman"/>
        </w:rPr>
        <w:t>hen</w:t>
      </w:r>
      <w:proofErr w:type="spellEnd"/>
      <w:r w:rsidRPr="00B516EB">
        <w:rPr>
          <w:rFonts w:ascii="Times New Roman" w:hAnsi="Times New Roman"/>
        </w:rPr>
        <w:t xml:space="preserve"> a judge acts upon wrong principle, allows extraneous or irrelevant matters to guide or affect the determination, mistakes the facts or does not take into account some material consideration, the Court of Criminal Appeal does not assess whether and to what degree the error influenced the outcome. The discretion in such a case has miscarried and it is the duty of the Court of Criminal Appeal to exercise the discretion afresh ... A sentence that happens to be within the range but that has been imposed as the result of a legally flawed determination is not 'warranted in law' unless, in the exercise of its independent discretion, the Court of Criminal Appeal determines that it is the appropriate sentence for the offender and the offence."</w:t>
      </w:r>
      <w:r w:rsidRPr="00B516EB">
        <w:rPr>
          <w:rStyle w:val="FootnoteReference"/>
          <w:rFonts w:ascii="Times New Roman" w:hAnsi="Times New Roman"/>
          <w:sz w:val="24"/>
        </w:rPr>
        <w:footnoteReference w:id="208"/>
      </w:r>
      <w:r w:rsidRPr="00B516EB">
        <w:rPr>
          <w:rFonts w:ascii="Times New Roman" w:hAnsi="Times New Roman"/>
        </w:rPr>
        <w:t xml:space="preserve"> According to the Crown, the Court of Criminal Appeal could re-sentence the appellant appropriately on the evidence. </w:t>
      </w:r>
    </w:p>
    <w:p w14:paraId="45DB99D3"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 Director of Public Prosecutions (NSW), as intervener with leave, submitted that s 6(3) does not leave room for the Court of Criminal Appeal to remit the question of re-sentence as, a sentence having been quashed, that Court must determine for itself the sentence, whether more or less severe, warranted in law that should have been passed. While an accused is not ordinarily permitted to run a new case before the Court of Criminal Appeal, the Director submitted that "it is unlikely that an appellate court would consider an appellant to be bound by </w:t>
      </w:r>
      <w:r w:rsidRPr="00B516EB">
        <w:rPr>
          <w:rFonts w:ascii="Times New Roman" w:hAnsi="Times New Roman"/>
        </w:rPr>
        <w:lastRenderedPageBreak/>
        <w:t xml:space="preserve">forensic decisions made in the course of a sentencing proceeding which relevantly miscarried due to unfairness". </w:t>
      </w:r>
    </w:p>
    <w:p w14:paraId="14A8FB5D"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In support of the position that s 6(3) left no room for remittal, the Director referred to supporting authority concerning an analogue provision in Victoria</w:t>
      </w:r>
      <w:r w:rsidRPr="00B516EB">
        <w:rPr>
          <w:rStyle w:val="FootnoteReference"/>
          <w:rFonts w:ascii="Times New Roman" w:hAnsi="Times New Roman"/>
          <w:sz w:val="24"/>
        </w:rPr>
        <w:footnoteReference w:id="209"/>
      </w:r>
      <w:r w:rsidRPr="00B516EB">
        <w:rPr>
          <w:rFonts w:ascii="Times New Roman" w:hAnsi="Times New Roman"/>
        </w:rPr>
        <w:t xml:space="preserve"> which was amended thereafter to enable the appellate court to remit a sentence to the first instance sentencing court.</w:t>
      </w:r>
      <w:r w:rsidRPr="00B516EB">
        <w:rPr>
          <w:rStyle w:val="FootnoteReference"/>
          <w:rFonts w:ascii="Times New Roman" w:hAnsi="Times New Roman"/>
          <w:sz w:val="24"/>
        </w:rPr>
        <w:footnoteReference w:id="210"/>
      </w:r>
      <w:r w:rsidRPr="00B516EB">
        <w:rPr>
          <w:rFonts w:ascii="Times New Roman" w:hAnsi="Times New Roman"/>
        </w:rPr>
        <w:t xml:space="preserve"> According to the Director, s 12(2) of the </w:t>
      </w:r>
      <w:r w:rsidRPr="00B516EB">
        <w:rPr>
          <w:rFonts w:ascii="Times New Roman" w:hAnsi="Times New Roman"/>
          <w:i/>
          <w:iCs/>
        </w:rPr>
        <w:t>Criminal Appeal Act</w:t>
      </w:r>
      <w:r w:rsidRPr="00B516EB">
        <w:rPr>
          <w:rFonts w:ascii="Times New Roman" w:hAnsi="Times New Roman"/>
        </w:rPr>
        <w:t xml:space="preserve"> does not so operate because: (</w:t>
      </w:r>
      <w:proofErr w:type="spellStart"/>
      <w:r w:rsidRPr="00B516EB">
        <w:rPr>
          <w:rFonts w:ascii="Times New Roman" w:hAnsi="Times New Roman"/>
        </w:rPr>
        <w:t>i</w:t>
      </w:r>
      <w:proofErr w:type="spellEnd"/>
      <w:r w:rsidRPr="00B516EB">
        <w:rPr>
          <w:rFonts w:ascii="Times New Roman" w:hAnsi="Times New Roman"/>
        </w:rPr>
        <w:t xml:space="preserve">) as noted in </w:t>
      </w:r>
      <w:r w:rsidRPr="00B516EB">
        <w:rPr>
          <w:rFonts w:ascii="Times New Roman" w:hAnsi="Times New Roman"/>
          <w:i/>
          <w:iCs/>
        </w:rPr>
        <w:t>Betts v The Queen</w:t>
      </w:r>
      <w:r w:rsidRPr="00B516EB">
        <w:rPr>
          <w:rFonts w:ascii="Times New Roman" w:hAnsi="Times New Roman"/>
        </w:rPr>
        <w:t>, the extrinsic material relevant to s 12(2) does not support that conclusion;</w:t>
      </w:r>
      <w:r w:rsidRPr="00B516EB">
        <w:rPr>
          <w:rStyle w:val="FootnoteReference"/>
          <w:rFonts w:ascii="Times New Roman" w:hAnsi="Times New Roman"/>
          <w:sz w:val="24"/>
        </w:rPr>
        <w:footnoteReference w:id="211"/>
      </w:r>
      <w:r w:rsidRPr="00B516EB">
        <w:rPr>
          <w:rFonts w:ascii="Times New Roman" w:hAnsi="Times New Roman"/>
        </w:rPr>
        <w:t xml:space="preserve"> (ii) s 12(2) was intended to supplement the powers of the Court of Criminal Appeal, not to fundamentally alter its task when deciding an appeal; (iii) the language of s 6(3) is specific and mandatory compared to the language of s 12(2), which is general and permissive; and (iv) it is unlikely that the legislature would have left such an important issue to mere implication. The Director also submitted that if the Director's construction of ss 6(3) and 12(2) of the </w:t>
      </w:r>
      <w:r w:rsidRPr="00B516EB">
        <w:rPr>
          <w:rFonts w:ascii="Times New Roman" w:hAnsi="Times New Roman"/>
          <w:i/>
          <w:iCs/>
        </w:rPr>
        <w:t>Criminal Appeal Act</w:t>
      </w:r>
      <w:r w:rsidRPr="00B516EB">
        <w:rPr>
          <w:rFonts w:ascii="Times New Roman" w:hAnsi="Times New Roman"/>
        </w:rPr>
        <w:t xml:space="preserve"> was not accepted then, in any event, the power in s 12(2) would be available only once this Court or the Court of Criminal Appeal on remittal had decided that some other sentence was warranted in law. </w:t>
      </w:r>
    </w:p>
    <w:p w14:paraId="31BFCBBE"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The Director's submissions must be rejected. Section 6(3) of the </w:t>
      </w:r>
      <w:r w:rsidRPr="00B516EB">
        <w:rPr>
          <w:rFonts w:ascii="Times New Roman" w:hAnsi="Times New Roman"/>
          <w:i/>
          <w:iCs/>
        </w:rPr>
        <w:t>Criminal Appeal Act</w:t>
      </w:r>
      <w:r w:rsidRPr="00B516EB">
        <w:rPr>
          <w:rFonts w:ascii="Times New Roman" w:hAnsi="Times New Roman"/>
        </w:rPr>
        <w:t xml:space="preserve"> cannot be construed as mandating that the Court of Criminal Appeal, on determining that a sentence order has been made as a result of a material error or irregularity in the sentencing process, must then decide if some other sentence of a different kind or period must be imposed, and only then must quash the sentence imposed and thereafter impose the sentence that should have been imposed as warranted by law, even if the nature of the material error or irregularity means that the appellant has not had the opportunity of a fair hearing before the sentencing judge. If construed in that way, s 6(3) would be forcing the Court of Criminal Appeal to decide on the sentence to be imposed without the accused ever having had the benefit of the lost opportunity restored. Depending on the particular unfairness arising from the material error or irregularity, the legislation should not be construed as requiring the Court of Criminal Appeal to act in a manner which presents a real risk of perpetuating the effects of the material error or irregularity. </w:t>
      </w:r>
    </w:p>
    <w:p w14:paraId="25F81144"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Even absent s 12(2) it is difficult to accept that the legislature intended s 6(3) to mean that the Court of Criminal Appeal "</w:t>
      </w:r>
      <w:r w:rsidRPr="00B516EB">
        <w:rPr>
          <w:rFonts w:ascii="Times New Roman" w:hAnsi="Times New Roman"/>
          <w:i/>
          <w:iCs/>
        </w:rPr>
        <w:t>shall</w:t>
      </w:r>
      <w:r w:rsidRPr="00B516EB">
        <w:rPr>
          <w:rFonts w:ascii="Times New Roman" w:hAnsi="Times New Roman"/>
        </w:rPr>
        <w:t xml:space="preserve"> quash the sentence and pass such other sentence in substitution therefor" (emphasis added) even in a case where material error or irregularity is established but the error or irregularity itself </w:t>
      </w:r>
      <w:r w:rsidRPr="00B516EB">
        <w:rPr>
          <w:rFonts w:ascii="Times New Roman" w:hAnsi="Times New Roman"/>
        </w:rPr>
        <w:lastRenderedPageBreak/>
        <w:t xml:space="preserve">has deprived the appellant of the opportunity to put the case to the sentencing judge which the appellant realistically could have put but for the error or irregularity. With s 12(2) there is no need for resort to implication. Its terms are clear and expansive. They provide to the Court of Criminal Appeal an appropriately wide discretion to remit a matter or issue to a court of trial for determination and, in doing so, to give any directions subject to which the determination is to be made. </w:t>
      </w:r>
    </w:p>
    <w:p w14:paraId="38BB1DFE"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It is not that, having found material error or irregularity in respect of sentence, the Court of Criminal Appeal must remit the matter of sentence to the sentencing court. The position remains that in most cases s 6(3) is to be applied in accordance with its apparent terms and that, in so doing, the basic principle is that "in sentencing appeals, the Court is reviewing the exercise of a discretionary judgment and not rehearing a plea of mitigation. It is not the occasion for the revision and reformulation of the case presented below. The Court will not lightly entertain arguments that could have been put, but were not advanced on the plea, and will have an even greater reluctance to entertain arguments that seek to resile from concessions made below or are a contradiction of submissions previously made."</w:t>
      </w:r>
      <w:r w:rsidRPr="00B516EB">
        <w:rPr>
          <w:rStyle w:val="FootnoteReference"/>
          <w:rFonts w:ascii="Times New Roman" w:hAnsi="Times New Roman"/>
          <w:sz w:val="24"/>
        </w:rPr>
        <w:footnoteReference w:id="212"/>
      </w:r>
    </w:p>
    <w:p w14:paraId="7D7A6D44"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 xml:space="preserve">However, in some cases the Court of Criminal Appeal may consider that applying s 6(3) to impose the sentence that is warranted in law would either perpetuate injustice or be practically difficult so that the discretion in s 12(2) should be applied. A case in which the discretion in s 12(2) would have been appropriately exercised is a case such as the present in which the whole of the case for the appellant put to the sentencing judge was put by trial counsel subject to an irreconcilable conflict as between duty to the appellant and duty to the co-accused, as well as duty to the court, in circumstances where it is plain that counsel resolved that conflict by subordinating the appellant's best interests in the appellant's cause to the co-accused's best interests in the co-accused's cause. The appellant should not be subject to any persuasive or other onus to satisfy the Court of Criminal Appeal, or the District Court as the sentencing court, that he should not now be bound by forensic decisions trial counsel made on his behalf while under that conflict of duty. </w:t>
      </w:r>
    </w:p>
    <w:p w14:paraId="5CBEBB4B" w14:textId="77777777" w:rsidR="00FC5642" w:rsidRPr="00B516EB" w:rsidRDefault="00FC5642" w:rsidP="00B516EB">
      <w:pPr>
        <w:pStyle w:val="FixListStyle"/>
        <w:spacing w:after="260" w:line="280" w:lineRule="exact"/>
        <w:ind w:right="0"/>
        <w:jc w:val="both"/>
        <w:rPr>
          <w:rFonts w:ascii="Times New Roman" w:hAnsi="Times New Roman"/>
        </w:rPr>
      </w:pPr>
      <w:r w:rsidRPr="00B516EB">
        <w:rPr>
          <w:rFonts w:ascii="Times New Roman" w:hAnsi="Times New Roman"/>
        </w:rPr>
        <w:tab/>
        <w:t>The practice in New South Wales, as referenced by Hamill J in the decision of the Court of Criminal Appeal in this case, accords with this approach. Hamill J identified the categories of case in which s 12(2) had been applied in this way as including:</w:t>
      </w:r>
      <w:r w:rsidRPr="00B516EB">
        <w:rPr>
          <w:rStyle w:val="FootnoteReference"/>
          <w:rFonts w:ascii="Times New Roman" w:hAnsi="Times New Roman"/>
          <w:sz w:val="24"/>
        </w:rPr>
        <w:footnoteReference w:id="213"/>
      </w:r>
      <w:r w:rsidRPr="00B516EB">
        <w:rPr>
          <w:rFonts w:ascii="Times New Roman" w:hAnsi="Times New Roman"/>
        </w:rPr>
        <w:t xml:space="preserve"> (</w:t>
      </w:r>
      <w:proofErr w:type="spellStart"/>
      <w:r w:rsidRPr="00B516EB">
        <w:rPr>
          <w:rFonts w:ascii="Times New Roman" w:hAnsi="Times New Roman"/>
        </w:rPr>
        <w:t>i</w:t>
      </w:r>
      <w:proofErr w:type="spellEnd"/>
      <w:r w:rsidRPr="00B516EB">
        <w:rPr>
          <w:rFonts w:ascii="Times New Roman" w:hAnsi="Times New Roman"/>
        </w:rPr>
        <w:t xml:space="preserve">) cases where a conviction has been quashed which impacts on an aggregate sentence or series of partially accumulated sentences; (ii) cases where a substantial amount of additional evidence is to be tendered and challenged in the re-sentencing exercise; (iii) cases where the evidence before the appellate court </w:t>
      </w:r>
      <w:r w:rsidRPr="00B516EB">
        <w:rPr>
          <w:rFonts w:ascii="Times New Roman" w:hAnsi="Times New Roman"/>
        </w:rPr>
        <w:lastRenderedPageBreak/>
        <w:t xml:space="preserve">does not allow that court to resolve a disputed factual issue; (iv) cases where there has been such a significant irregularity that it might be said that the offender has not had a proper sentencing hearing at all; and (v) cases where an offence was included erroneously on a Form 1. The present case falls within category (iv). </w:t>
      </w:r>
    </w:p>
    <w:p w14:paraId="763B8782" w14:textId="77777777" w:rsidR="00FC5642" w:rsidRDefault="00FC5642" w:rsidP="00FC5642">
      <w:pPr>
        <w:pStyle w:val="FixListStyle"/>
        <w:spacing w:after="260" w:line="280" w:lineRule="exact"/>
        <w:ind w:right="0"/>
        <w:jc w:val="both"/>
        <w:rPr>
          <w:rFonts w:ascii="Times New Roman" w:hAnsi="Times New Roman"/>
        </w:rPr>
      </w:pPr>
      <w:r w:rsidRPr="00B516EB">
        <w:rPr>
          <w:rFonts w:ascii="Times New Roman" w:hAnsi="Times New Roman"/>
        </w:rPr>
        <w:tab/>
        <w:t>The orders which should be made are that the appeal is allowed</w:t>
      </w:r>
      <w:r w:rsidRPr="00B516EB" w:rsidDel="004D38AF">
        <w:rPr>
          <w:rFonts w:ascii="Times New Roman" w:hAnsi="Times New Roman"/>
        </w:rPr>
        <w:t xml:space="preserve"> and</w:t>
      </w:r>
      <w:r w:rsidRPr="00B516EB">
        <w:rPr>
          <w:rFonts w:ascii="Times New Roman" w:hAnsi="Times New Roman"/>
        </w:rPr>
        <w:t xml:space="preserve"> order 2 made by the Court of Criminal Appeal on 9 April 2025 is set aside and in its place it is ordered that the appeal is allowed, the sentence quashed, and the matter remitted to the District Court for re-sentence of the appellant by a judge of that Court other than the sentencing judge. </w:t>
      </w:r>
    </w:p>
    <w:p w14:paraId="491468CC" w14:textId="77777777" w:rsidR="00FC5642" w:rsidRDefault="00FC5642" w:rsidP="00FC5642">
      <w:pPr>
        <w:pStyle w:val="FixListStyle"/>
        <w:spacing w:after="260" w:line="280" w:lineRule="exact"/>
        <w:ind w:right="0"/>
        <w:jc w:val="both"/>
        <w:rPr>
          <w:rFonts w:ascii="Times New Roman" w:hAnsi="Times New Roman"/>
        </w:rPr>
        <w:sectPr w:rsidR="00FC5642" w:rsidSect="00FC5642">
          <w:headerReference w:type="even" r:id="rId29"/>
          <w:headerReference w:type="default" r:id="rId30"/>
          <w:headerReference w:type="first" r:id="rId31"/>
          <w:pgSz w:w="11907" w:h="16839" w:code="9"/>
          <w:pgMar w:top="1440" w:right="1701" w:bottom="1984" w:left="1701" w:header="720" w:footer="720" w:gutter="0"/>
          <w:cols w:space="720"/>
          <w:docGrid w:linePitch="354"/>
        </w:sectPr>
      </w:pPr>
    </w:p>
    <w:p w14:paraId="1CFFCA8B" w14:textId="5D4F5FA0" w:rsidR="001C0E4F" w:rsidRPr="00FC5642" w:rsidRDefault="001C0E4F" w:rsidP="00FC5642">
      <w:pPr>
        <w:pStyle w:val="NormalBody"/>
      </w:pPr>
    </w:p>
    <w:sectPr w:rsidR="001C0E4F" w:rsidRPr="00FC5642" w:rsidSect="00FC5642">
      <w:headerReference w:type="default" r:id="rId32"/>
      <w:pgSz w:w="11907" w:h="16839" w:code="9"/>
      <w:pgMar w:top="1440" w:right="1701" w:bottom="1984" w:left="1701"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BC315" w14:textId="77777777" w:rsidR="00E40152" w:rsidRDefault="00E40152">
      <w:pPr>
        <w:spacing w:line="240" w:lineRule="auto"/>
      </w:pPr>
      <w:r>
        <w:separator/>
      </w:r>
    </w:p>
  </w:endnote>
  <w:endnote w:type="continuationSeparator" w:id="0">
    <w:p w14:paraId="1D9B8F98" w14:textId="77777777" w:rsidR="00E40152" w:rsidRDefault="00E401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0AF7" w14:textId="77777777" w:rsidR="00F66ECC" w:rsidRDefault="00F66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83F0" w14:textId="77777777" w:rsidR="00F66ECC" w:rsidRDefault="00F66E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6F54" w14:textId="77777777" w:rsidR="00F66ECC" w:rsidRDefault="00F66E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9114" w14:textId="77777777" w:rsidR="00F66ECC" w:rsidRDefault="00F66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D3F3" w14:textId="77777777" w:rsidR="00F66ECC" w:rsidRDefault="00F66EC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870B7" w14:textId="77777777" w:rsidR="00F66ECC" w:rsidRDefault="00F66E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E445" w14:textId="77777777" w:rsidR="005B483D" w:rsidRDefault="005B483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27E7" w14:textId="77777777" w:rsidR="005B483D" w:rsidRDefault="005B483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DA12C" w14:textId="77777777" w:rsidR="005B483D" w:rsidRDefault="005B4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C2D50" w14:textId="77777777" w:rsidR="00E40152" w:rsidRPr="00F117EB" w:rsidRDefault="00E40152" w:rsidP="00F117EB">
      <w:pPr>
        <w:pStyle w:val="Footer"/>
        <w:spacing w:before="120" w:after="20"/>
        <w:ind w:right="0"/>
        <w:rPr>
          <w:rFonts w:ascii="Times New Roman" w:hAnsi="Times New Roman"/>
        </w:rPr>
      </w:pPr>
      <w:r>
        <w:continuationSeparator/>
      </w:r>
    </w:p>
  </w:footnote>
  <w:footnote w:type="continuationSeparator" w:id="0">
    <w:p w14:paraId="7FF99654" w14:textId="77777777" w:rsidR="00E40152" w:rsidRPr="00F117EB" w:rsidRDefault="00E40152" w:rsidP="00F117EB">
      <w:pPr>
        <w:pStyle w:val="Footer"/>
        <w:spacing w:before="120" w:after="20"/>
        <w:ind w:right="0"/>
        <w:rPr>
          <w:rFonts w:ascii="Times New Roman" w:hAnsi="Times New Roman"/>
        </w:rPr>
      </w:pPr>
      <w:r w:rsidRPr="00F117EB">
        <w:rPr>
          <w:rFonts w:ascii="Times New Roman" w:hAnsi="Times New Roman"/>
        </w:rPr>
        <w:continuationSeparator/>
      </w:r>
    </w:p>
  </w:footnote>
  <w:footnote w:type="continuationNotice" w:id="1">
    <w:p w14:paraId="666FDF8E" w14:textId="77777777" w:rsidR="00E40152" w:rsidRPr="00FC5642" w:rsidRDefault="00E40152">
      <w:pPr>
        <w:jc w:val="right"/>
        <w:rPr>
          <w:rFonts w:ascii="Times New Roman" w:hAnsi="Times New Roman"/>
          <w:sz w:val="24"/>
        </w:rPr>
      </w:pPr>
    </w:p>
  </w:footnote>
  <w:footnote w:id="2">
    <w:p w14:paraId="37641674" w14:textId="275DF977" w:rsidR="00261677" w:rsidRPr="00F117EB" w:rsidRDefault="00261677"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0A0CD1" w:rsidRPr="00F117EB">
        <w:rPr>
          <w:rFonts w:ascii="Times New Roman" w:hAnsi="Times New Roman"/>
          <w:i/>
          <w:iCs/>
          <w:sz w:val="24"/>
        </w:rPr>
        <w:t xml:space="preserve">Criminal Code </w:t>
      </w:r>
      <w:r w:rsidR="000A0CD1" w:rsidRPr="00F117EB">
        <w:rPr>
          <w:rFonts w:ascii="Times New Roman" w:hAnsi="Times New Roman"/>
          <w:sz w:val="24"/>
        </w:rPr>
        <w:t>(</w:t>
      </w:r>
      <w:proofErr w:type="spellStart"/>
      <w:r w:rsidR="000A0CD1" w:rsidRPr="00F117EB">
        <w:rPr>
          <w:rFonts w:ascii="Times New Roman" w:hAnsi="Times New Roman"/>
          <w:sz w:val="24"/>
        </w:rPr>
        <w:t>Cth</w:t>
      </w:r>
      <w:proofErr w:type="spellEnd"/>
      <w:r w:rsidR="000A0CD1" w:rsidRPr="00F117EB">
        <w:rPr>
          <w:rFonts w:ascii="Times New Roman" w:hAnsi="Times New Roman"/>
          <w:sz w:val="24"/>
        </w:rPr>
        <w:t>), ss 11.5(1), 302.2(1).</w:t>
      </w:r>
    </w:p>
  </w:footnote>
  <w:footnote w:id="3">
    <w:p w14:paraId="6250ACE6" w14:textId="221837D3" w:rsidR="001D2D97" w:rsidRPr="00F117EB" w:rsidRDefault="001D2D97"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00BD6A18" w:rsidRPr="00F117EB">
        <w:rPr>
          <w:rFonts w:ascii="Times New Roman" w:hAnsi="Times New Roman"/>
          <w:sz w:val="24"/>
        </w:rPr>
        <w:tab/>
      </w:r>
      <w:r w:rsidR="00BD6A18" w:rsidRPr="00F117EB">
        <w:rPr>
          <w:rFonts w:ascii="Times New Roman" w:hAnsi="Times New Roman"/>
          <w:i/>
          <w:iCs/>
          <w:sz w:val="24"/>
        </w:rPr>
        <w:t xml:space="preserve">Veen v The Queen </w:t>
      </w:r>
      <w:r w:rsidR="00DF4A25" w:rsidRPr="00F117EB">
        <w:rPr>
          <w:rFonts w:ascii="Times New Roman" w:hAnsi="Times New Roman"/>
          <w:i/>
          <w:iCs/>
          <w:sz w:val="24"/>
        </w:rPr>
        <w:t>[</w:t>
      </w:r>
      <w:r w:rsidR="00BD6A18" w:rsidRPr="00F117EB">
        <w:rPr>
          <w:rFonts w:ascii="Times New Roman" w:hAnsi="Times New Roman"/>
          <w:i/>
          <w:iCs/>
          <w:sz w:val="24"/>
        </w:rPr>
        <w:t>No 2</w:t>
      </w:r>
      <w:r w:rsidR="00DF4A25" w:rsidRPr="00F117EB">
        <w:rPr>
          <w:rFonts w:ascii="Times New Roman" w:hAnsi="Times New Roman"/>
          <w:i/>
          <w:iCs/>
          <w:sz w:val="24"/>
        </w:rPr>
        <w:t xml:space="preserve">] </w:t>
      </w:r>
      <w:r w:rsidR="00BD6A18" w:rsidRPr="00F117EB">
        <w:rPr>
          <w:rFonts w:ascii="Times New Roman" w:hAnsi="Times New Roman"/>
          <w:sz w:val="24"/>
        </w:rPr>
        <w:t>(</w:t>
      </w:r>
      <w:r w:rsidR="00CC6AD0" w:rsidRPr="00F117EB">
        <w:rPr>
          <w:rFonts w:ascii="Times New Roman" w:hAnsi="Times New Roman"/>
          <w:sz w:val="24"/>
        </w:rPr>
        <w:t>1988</w:t>
      </w:r>
      <w:r w:rsidR="00C25151" w:rsidRPr="00F117EB">
        <w:rPr>
          <w:rFonts w:ascii="Times New Roman" w:hAnsi="Times New Roman"/>
          <w:sz w:val="24"/>
        </w:rPr>
        <w:t>) 164 CLR 465 at 472;</w:t>
      </w:r>
      <w:r w:rsidR="00EC2F96" w:rsidRPr="00F117EB">
        <w:rPr>
          <w:rFonts w:ascii="Times New Roman" w:hAnsi="Times New Roman"/>
          <w:sz w:val="24"/>
        </w:rPr>
        <w:t xml:space="preserve"> </w:t>
      </w:r>
      <w:r w:rsidR="00EC2F96" w:rsidRPr="00F117EB">
        <w:rPr>
          <w:rFonts w:ascii="Times New Roman" w:hAnsi="Times New Roman"/>
          <w:i/>
          <w:iCs/>
          <w:sz w:val="24"/>
        </w:rPr>
        <w:t xml:space="preserve">Wong v The Queen </w:t>
      </w:r>
      <w:r w:rsidR="00EC2F96" w:rsidRPr="00F117EB">
        <w:rPr>
          <w:rFonts w:ascii="Times New Roman" w:hAnsi="Times New Roman"/>
          <w:sz w:val="24"/>
        </w:rPr>
        <w:t xml:space="preserve">(2001) 207 CLR 584 at </w:t>
      </w:r>
      <w:r w:rsidR="006E7E49" w:rsidRPr="00F117EB">
        <w:rPr>
          <w:rFonts w:ascii="Times New Roman" w:hAnsi="Times New Roman"/>
          <w:sz w:val="24"/>
        </w:rPr>
        <w:t>610-611 [72]-[73].</w:t>
      </w:r>
    </w:p>
  </w:footnote>
  <w:footnote w:id="4">
    <w:p w14:paraId="17E069A8" w14:textId="17A3E40D" w:rsidR="00C25151" w:rsidRPr="00F117EB" w:rsidRDefault="00C25151"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0053061E" w:rsidRPr="00F117EB">
        <w:rPr>
          <w:rFonts w:ascii="Times New Roman" w:hAnsi="Times New Roman"/>
          <w:i/>
          <w:iCs/>
          <w:sz w:val="24"/>
        </w:rPr>
        <w:t>Muldrock</w:t>
      </w:r>
      <w:proofErr w:type="spellEnd"/>
      <w:r w:rsidR="0053061E" w:rsidRPr="00F117EB">
        <w:rPr>
          <w:rFonts w:ascii="Times New Roman" w:hAnsi="Times New Roman"/>
          <w:i/>
          <w:iCs/>
          <w:sz w:val="24"/>
        </w:rPr>
        <w:t xml:space="preserve"> v The Queen </w:t>
      </w:r>
      <w:r w:rsidR="0053061E" w:rsidRPr="00F117EB">
        <w:rPr>
          <w:rFonts w:ascii="Times New Roman" w:hAnsi="Times New Roman"/>
          <w:sz w:val="24"/>
        </w:rPr>
        <w:t>(</w:t>
      </w:r>
      <w:r w:rsidR="00901DCF" w:rsidRPr="00F117EB">
        <w:rPr>
          <w:rFonts w:ascii="Times New Roman" w:hAnsi="Times New Roman"/>
          <w:sz w:val="24"/>
        </w:rPr>
        <w:t xml:space="preserve">2011) 244 CLR </w:t>
      </w:r>
      <w:r w:rsidR="00CC6AD0" w:rsidRPr="00F117EB">
        <w:rPr>
          <w:rFonts w:ascii="Times New Roman" w:hAnsi="Times New Roman"/>
          <w:sz w:val="24"/>
        </w:rPr>
        <w:t xml:space="preserve">120 </w:t>
      </w:r>
      <w:r w:rsidR="00901DCF" w:rsidRPr="00F117EB">
        <w:rPr>
          <w:rFonts w:ascii="Times New Roman" w:hAnsi="Times New Roman"/>
          <w:sz w:val="24"/>
        </w:rPr>
        <w:t>at 132</w:t>
      </w:r>
      <w:r w:rsidR="00294498" w:rsidRPr="00F117EB">
        <w:rPr>
          <w:rFonts w:ascii="Times New Roman" w:hAnsi="Times New Roman"/>
          <w:sz w:val="24"/>
        </w:rPr>
        <w:t>-133</w:t>
      </w:r>
      <w:r w:rsidR="00901DCF" w:rsidRPr="00F117EB">
        <w:rPr>
          <w:rFonts w:ascii="Times New Roman" w:hAnsi="Times New Roman"/>
          <w:sz w:val="24"/>
        </w:rPr>
        <w:t xml:space="preserve"> [</w:t>
      </w:r>
      <w:r w:rsidR="009F372C" w:rsidRPr="00F117EB">
        <w:rPr>
          <w:rFonts w:ascii="Times New Roman" w:hAnsi="Times New Roman"/>
          <w:sz w:val="24"/>
        </w:rPr>
        <w:t>2</w:t>
      </w:r>
      <w:r w:rsidR="00294498" w:rsidRPr="00F117EB">
        <w:rPr>
          <w:rFonts w:ascii="Times New Roman" w:hAnsi="Times New Roman"/>
          <w:sz w:val="24"/>
        </w:rPr>
        <w:t>7</w:t>
      </w:r>
      <w:r w:rsidR="00901DCF" w:rsidRPr="00F117EB">
        <w:rPr>
          <w:rFonts w:ascii="Times New Roman" w:hAnsi="Times New Roman"/>
          <w:sz w:val="24"/>
        </w:rPr>
        <w:t>]</w:t>
      </w:r>
      <w:r w:rsidR="009F372C" w:rsidRPr="00F117EB">
        <w:rPr>
          <w:rFonts w:ascii="Times New Roman" w:hAnsi="Times New Roman"/>
          <w:sz w:val="24"/>
        </w:rPr>
        <w:t>-[32]</w:t>
      </w:r>
      <w:r w:rsidR="00901DCF" w:rsidRPr="00F117EB">
        <w:rPr>
          <w:rFonts w:ascii="Times New Roman" w:hAnsi="Times New Roman"/>
          <w:sz w:val="24"/>
        </w:rPr>
        <w:t>;</w:t>
      </w:r>
      <w:r w:rsidR="00D36FC3" w:rsidRPr="00F117EB">
        <w:rPr>
          <w:rFonts w:ascii="Times New Roman" w:hAnsi="Times New Roman"/>
          <w:sz w:val="24"/>
        </w:rPr>
        <w:t xml:space="preserve"> </w:t>
      </w:r>
      <w:r w:rsidR="00D36FC3" w:rsidRPr="00F117EB">
        <w:rPr>
          <w:rFonts w:ascii="Times New Roman" w:hAnsi="Times New Roman"/>
          <w:i/>
          <w:iCs/>
          <w:sz w:val="24"/>
        </w:rPr>
        <w:t xml:space="preserve">DL v The Queen </w:t>
      </w:r>
      <w:r w:rsidR="00BE4B2C" w:rsidRPr="00F117EB">
        <w:rPr>
          <w:rFonts w:ascii="Times New Roman" w:hAnsi="Times New Roman"/>
          <w:sz w:val="24"/>
        </w:rPr>
        <w:t xml:space="preserve">(2018) 265 CLR 215 at </w:t>
      </w:r>
      <w:r w:rsidR="004F69A3" w:rsidRPr="00F117EB">
        <w:rPr>
          <w:rFonts w:ascii="Times New Roman" w:hAnsi="Times New Roman"/>
          <w:sz w:val="24"/>
        </w:rPr>
        <w:t xml:space="preserve">230-231 </w:t>
      </w:r>
      <w:r w:rsidR="00175E07" w:rsidRPr="00F117EB">
        <w:rPr>
          <w:rFonts w:ascii="Times New Roman" w:hAnsi="Times New Roman"/>
          <w:sz w:val="24"/>
        </w:rPr>
        <w:t>[33]-[34].</w:t>
      </w:r>
    </w:p>
  </w:footnote>
  <w:footnote w:id="5">
    <w:p w14:paraId="2035FA2C" w14:textId="1E3DF8CA" w:rsidR="00C85A0A" w:rsidRPr="00F117EB" w:rsidRDefault="00C85A0A"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Criminal Appeal Act 1912</w:t>
      </w:r>
      <w:r w:rsidRPr="00F117EB">
        <w:rPr>
          <w:rFonts w:ascii="Times New Roman" w:hAnsi="Times New Roman"/>
          <w:sz w:val="24"/>
        </w:rPr>
        <w:t xml:space="preserve"> (NSW), s 5(1)(c).</w:t>
      </w:r>
    </w:p>
  </w:footnote>
  <w:footnote w:id="6">
    <w:p w14:paraId="5D8938FD" w14:textId="6CF455A0" w:rsidR="006E2E1B" w:rsidRPr="00F117EB" w:rsidRDefault="006E2E1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Criminal Appeal Act</w:t>
      </w:r>
      <w:r w:rsidR="00920B8C" w:rsidRPr="00F117EB">
        <w:rPr>
          <w:rFonts w:ascii="Times New Roman" w:hAnsi="Times New Roman"/>
          <w:i/>
          <w:iCs/>
          <w:sz w:val="24"/>
        </w:rPr>
        <w:t xml:space="preserve"> 1912 </w:t>
      </w:r>
      <w:r w:rsidR="00920B8C" w:rsidRPr="00F117EB">
        <w:rPr>
          <w:rFonts w:ascii="Times New Roman" w:hAnsi="Times New Roman"/>
          <w:sz w:val="24"/>
        </w:rPr>
        <w:t>(NSW)</w:t>
      </w:r>
      <w:r w:rsidRPr="00F117EB">
        <w:rPr>
          <w:rFonts w:ascii="Times New Roman" w:hAnsi="Times New Roman"/>
          <w:sz w:val="24"/>
        </w:rPr>
        <w:t>, s</w:t>
      </w:r>
      <w:r w:rsidR="008954BC" w:rsidRPr="00F117EB">
        <w:rPr>
          <w:rFonts w:ascii="Times New Roman" w:hAnsi="Times New Roman"/>
          <w:sz w:val="24"/>
        </w:rPr>
        <w:t>s</w:t>
      </w:r>
      <w:r w:rsidRPr="00F117EB">
        <w:rPr>
          <w:rFonts w:ascii="Times New Roman" w:hAnsi="Times New Roman"/>
          <w:sz w:val="24"/>
        </w:rPr>
        <w:t> 5(</w:t>
      </w:r>
      <w:r w:rsidR="008954BC" w:rsidRPr="00F117EB">
        <w:rPr>
          <w:rFonts w:ascii="Times New Roman" w:hAnsi="Times New Roman"/>
          <w:sz w:val="24"/>
        </w:rPr>
        <w:t>1</w:t>
      </w:r>
      <w:r w:rsidRPr="00F117EB">
        <w:rPr>
          <w:rFonts w:ascii="Times New Roman" w:hAnsi="Times New Roman"/>
          <w:sz w:val="24"/>
        </w:rPr>
        <w:t>)</w:t>
      </w:r>
      <w:r w:rsidR="008954BC" w:rsidRPr="00F117EB">
        <w:rPr>
          <w:rFonts w:ascii="Times New Roman" w:hAnsi="Times New Roman"/>
          <w:sz w:val="24"/>
        </w:rPr>
        <w:t>(c),</w:t>
      </w:r>
      <w:r w:rsidRPr="00F117EB">
        <w:rPr>
          <w:rFonts w:ascii="Times New Roman" w:hAnsi="Times New Roman"/>
          <w:sz w:val="24"/>
        </w:rPr>
        <w:t xml:space="preserve"> 6(3)</w:t>
      </w:r>
      <w:r w:rsidR="008F5E4E" w:rsidRPr="00F117EB">
        <w:rPr>
          <w:rFonts w:ascii="Times New Roman" w:hAnsi="Times New Roman"/>
          <w:sz w:val="24"/>
        </w:rPr>
        <w:t>, 12(2)</w:t>
      </w:r>
      <w:r w:rsidR="000B4041" w:rsidRPr="00F117EB">
        <w:rPr>
          <w:rFonts w:ascii="Times New Roman" w:hAnsi="Times New Roman"/>
          <w:sz w:val="24"/>
        </w:rPr>
        <w:t>; s 2(</w:t>
      </w:r>
      <w:r w:rsidR="00CF3595" w:rsidRPr="00F117EB">
        <w:rPr>
          <w:rFonts w:ascii="Times New Roman" w:hAnsi="Times New Roman"/>
          <w:sz w:val="24"/>
        </w:rPr>
        <w:t>1</w:t>
      </w:r>
      <w:r w:rsidR="000B4041" w:rsidRPr="00F117EB">
        <w:rPr>
          <w:rFonts w:ascii="Times New Roman" w:hAnsi="Times New Roman"/>
          <w:sz w:val="24"/>
        </w:rPr>
        <w:t>) definition of "indictment"</w:t>
      </w:r>
      <w:r w:rsidRPr="00F117EB">
        <w:rPr>
          <w:rFonts w:ascii="Times New Roman" w:hAnsi="Times New Roman"/>
          <w:sz w:val="24"/>
        </w:rPr>
        <w:t>.</w:t>
      </w:r>
    </w:p>
  </w:footnote>
  <w:footnote w:id="7">
    <w:p w14:paraId="0DB6CB05" w14:textId="78ABAB43" w:rsidR="000E2CD0" w:rsidRPr="00F117EB" w:rsidRDefault="000E2CD0"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Pr="00F117EB">
        <w:rPr>
          <w:rFonts w:ascii="Times New Roman" w:hAnsi="Times New Roman"/>
          <w:i/>
          <w:iCs/>
          <w:sz w:val="24"/>
        </w:rPr>
        <w:t>Kentwell</w:t>
      </w:r>
      <w:proofErr w:type="spellEnd"/>
      <w:r w:rsidR="00122A25" w:rsidRPr="00F117EB">
        <w:rPr>
          <w:rFonts w:ascii="Times New Roman" w:hAnsi="Times New Roman"/>
          <w:i/>
          <w:iCs/>
          <w:sz w:val="24"/>
        </w:rPr>
        <w:t xml:space="preserve"> v The Queen</w:t>
      </w:r>
      <w:r w:rsidRPr="00F117EB">
        <w:rPr>
          <w:rFonts w:ascii="Times New Roman" w:hAnsi="Times New Roman"/>
          <w:sz w:val="24"/>
        </w:rPr>
        <w:t xml:space="preserve"> </w:t>
      </w:r>
      <w:r w:rsidR="00AE0902" w:rsidRPr="00F117EB">
        <w:rPr>
          <w:rFonts w:ascii="Times New Roman" w:hAnsi="Times New Roman"/>
          <w:sz w:val="24"/>
        </w:rPr>
        <w:t xml:space="preserve">(2014) 252 CLR 601 </w:t>
      </w:r>
      <w:r w:rsidRPr="00F117EB">
        <w:rPr>
          <w:rFonts w:ascii="Times New Roman" w:hAnsi="Times New Roman"/>
          <w:sz w:val="24"/>
        </w:rPr>
        <w:t xml:space="preserve">at </w:t>
      </w:r>
      <w:r w:rsidR="0098262E" w:rsidRPr="00F117EB">
        <w:rPr>
          <w:rFonts w:ascii="Times New Roman" w:hAnsi="Times New Roman"/>
          <w:sz w:val="24"/>
        </w:rPr>
        <w:t xml:space="preserve">618 </w:t>
      </w:r>
      <w:r w:rsidRPr="00F117EB">
        <w:rPr>
          <w:rFonts w:ascii="Times New Roman" w:hAnsi="Times New Roman"/>
          <w:sz w:val="24"/>
        </w:rPr>
        <w:t>[42]</w:t>
      </w:r>
      <w:r w:rsidR="00860D30" w:rsidRPr="00F117EB">
        <w:rPr>
          <w:rFonts w:ascii="Times New Roman" w:hAnsi="Times New Roman"/>
          <w:sz w:val="24"/>
        </w:rPr>
        <w:t>.</w:t>
      </w:r>
    </w:p>
  </w:footnote>
  <w:footnote w:id="8">
    <w:p w14:paraId="659DFCC6" w14:textId="1DD30105" w:rsidR="0018663A" w:rsidRPr="00F117EB" w:rsidRDefault="0018663A"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t>(2025) 99 ALJR 87</w:t>
      </w:r>
      <w:r w:rsidR="007C6284" w:rsidRPr="00F117EB">
        <w:rPr>
          <w:rFonts w:ascii="Times New Roman" w:hAnsi="Times New Roman"/>
          <w:sz w:val="24"/>
        </w:rPr>
        <w:t>2</w:t>
      </w:r>
      <w:r w:rsidRPr="00F117EB">
        <w:rPr>
          <w:rFonts w:ascii="Times New Roman" w:hAnsi="Times New Roman"/>
          <w:sz w:val="24"/>
        </w:rPr>
        <w:t xml:space="preserve"> at </w:t>
      </w:r>
      <w:r w:rsidR="00E66302" w:rsidRPr="00F117EB">
        <w:rPr>
          <w:rFonts w:ascii="Times New Roman" w:hAnsi="Times New Roman"/>
          <w:sz w:val="24"/>
        </w:rPr>
        <w:t xml:space="preserve">876 </w:t>
      </w:r>
      <w:r w:rsidRPr="00F117EB">
        <w:rPr>
          <w:rFonts w:ascii="Times New Roman" w:hAnsi="Times New Roman"/>
          <w:sz w:val="24"/>
        </w:rPr>
        <w:t>[10]</w:t>
      </w:r>
      <w:r w:rsidR="00E66302" w:rsidRPr="00F117EB">
        <w:rPr>
          <w:rFonts w:ascii="Times New Roman" w:hAnsi="Times New Roman"/>
          <w:sz w:val="24"/>
        </w:rPr>
        <w:t xml:space="preserve">; </w:t>
      </w:r>
      <w:r w:rsidR="00E93C9C" w:rsidRPr="00F117EB">
        <w:rPr>
          <w:rFonts w:ascii="Times New Roman" w:hAnsi="Times New Roman"/>
          <w:sz w:val="24"/>
        </w:rPr>
        <w:t>423 ALR 69</w:t>
      </w:r>
      <w:r w:rsidR="008620A7" w:rsidRPr="00F117EB">
        <w:rPr>
          <w:rFonts w:ascii="Times New Roman" w:hAnsi="Times New Roman"/>
          <w:sz w:val="24"/>
        </w:rPr>
        <w:t xml:space="preserve"> at </w:t>
      </w:r>
      <w:r w:rsidR="007E1036" w:rsidRPr="00F117EB">
        <w:rPr>
          <w:rFonts w:ascii="Times New Roman" w:hAnsi="Times New Roman"/>
          <w:sz w:val="24"/>
        </w:rPr>
        <w:t>73-74</w:t>
      </w:r>
      <w:r w:rsidRPr="00F117EB">
        <w:rPr>
          <w:rFonts w:ascii="Times New Roman" w:hAnsi="Times New Roman"/>
          <w:sz w:val="24"/>
        </w:rPr>
        <w:t>.</w:t>
      </w:r>
    </w:p>
  </w:footnote>
  <w:footnote w:id="9">
    <w:p w14:paraId="428A4B4C" w14:textId="64A77917" w:rsidR="00A14E9E" w:rsidRPr="00F117EB" w:rsidRDefault="00A14E9E"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 xml:space="preserve">Criminal Code </w:t>
      </w:r>
      <w:r w:rsidRPr="00F117EB">
        <w:rPr>
          <w:rFonts w:ascii="Times New Roman" w:hAnsi="Times New Roman"/>
          <w:sz w:val="24"/>
        </w:rPr>
        <w:t>(Qld), s 668</w:t>
      </w:r>
      <w:proofErr w:type="gramStart"/>
      <w:r w:rsidRPr="00F117EB">
        <w:rPr>
          <w:rFonts w:ascii="Times New Roman" w:hAnsi="Times New Roman"/>
          <w:sz w:val="24"/>
        </w:rPr>
        <w:t>E(</w:t>
      </w:r>
      <w:proofErr w:type="gramEnd"/>
      <w:r w:rsidRPr="00F117EB">
        <w:rPr>
          <w:rFonts w:ascii="Times New Roman" w:hAnsi="Times New Roman"/>
          <w:sz w:val="24"/>
        </w:rPr>
        <w:t xml:space="preserve">1); </w:t>
      </w:r>
      <w:r w:rsidRPr="00F117EB">
        <w:rPr>
          <w:rFonts w:ascii="Times New Roman" w:hAnsi="Times New Roman"/>
          <w:i/>
          <w:iCs/>
          <w:sz w:val="24"/>
        </w:rPr>
        <w:t xml:space="preserve">Criminal Appeal Act 1912 </w:t>
      </w:r>
      <w:r w:rsidRPr="00F117EB">
        <w:rPr>
          <w:rFonts w:ascii="Times New Roman" w:hAnsi="Times New Roman"/>
          <w:sz w:val="24"/>
        </w:rPr>
        <w:t xml:space="preserve">(NSW), s 6(1); </w:t>
      </w:r>
      <w:r w:rsidRPr="00F117EB">
        <w:rPr>
          <w:rFonts w:ascii="Times New Roman" w:hAnsi="Times New Roman"/>
          <w:i/>
          <w:iCs/>
          <w:sz w:val="24"/>
        </w:rPr>
        <w:t xml:space="preserve">Criminal Code </w:t>
      </w:r>
      <w:r w:rsidRPr="00F117EB">
        <w:rPr>
          <w:rFonts w:ascii="Times New Roman" w:hAnsi="Times New Roman"/>
          <w:sz w:val="24"/>
        </w:rPr>
        <w:t xml:space="preserve">(Tas), s 402(1); </w:t>
      </w:r>
      <w:r w:rsidRPr="00F117EB">
        <w:rPr>
          <w:rFonts w:ascii="Times New Roman" w:hAnsi="Times New Roman"/>
          <w:i/>
          <w:iCs/>
          <w:sz w:val="24"/>
        </w:rPr>
        <w:t xml:space="preserve">Supreme Court Act 1933 </w:t>
      </w:r>
      <w:r w:rsidRPr="00F117EB">
        <w:rPr>
          <w:rFonts w:ascii="Times New Roman" w:hAnsi="Times New Roman"/>
          <w:sz w:val="24"/>
        </w:rPr>
        <w:t>(ACT), s 37</w:t>
      </w:r>
      <w:proofErr w:type="gramStart"/>
      <w:r w:rsidRPr="00F117EB">
        <w:rPr>
          <w:rFonts w:ascii="Times New Roman" w:hAnsi="Times New Roman"/>
          <w:sz w:val="24"/>
        </w:rPr>
        <w:t>O(</w:t>
      </w:r>
      <w:proofErr w:type="gramEnd"/>
      <w:r w:rsidRPr="00F117EB">
        <w:rPr>
          <w:rFonts w:ascii="Times New Roman" w:hAnsi="Times New Roman"/>
          <w:sz w:val="24"/>
        </w:rPr>
        <w:t xml:space="preserve">2); </w:t>
      </w:r>
      <w:r w:rsidRPr="00F117EB">
        <w:rPr>
          <w:rFonts w:ascii="Times New Roman" w:hAnsi="Times New Roman"/>
          <w:i/>
          <w:iCs/>
          <w:sz w:val="24"/>
        </w:rPr>
        <w:t xml:space="preserve">Federal Court of Australia Act 1976 </w:t>
      </w:r>
      <w:r w:rsidRPr="00F117EB">
        <w:rPr>
          <w:rFonts w:ascii="Times New Roman" w:hAnsi="Times New Roman"/>
          <w:sz w:val="24"/>
        </w:rPr>
        <w:t>(</w:t>
      </w:r>
      <w:proofErr w:type="spellStart"/>
      <w:r w:rsidRPr="00F117EB">
        <w:rPr>
          <w:rFonts w:ascii="Times New Roman" w:hAnsi="Times New Roman"/>
          <w:sz w:val="24"/>
        </w:rPr>
        <w:t>Cth</w:t>
      </w:r>
      <w:proofErr w:type="spellEnd"/>
      <w:r w:rsidRPr="00F117EB">
        <w:rPr>
          <w:rFonts w:ascii="Times New Roman" w:hAnsi="Times New Roman"/>
          <w:sz w:val="24"/>
        </w:rPr>
        <w:t>), s 30</w:t>
      </w:r>
      <w:proofErr w:type="gramStart"/>
      <w:r w:rsidRPr="00F117EB">
        <w:rPr>
          <w:rFonts w:ascii="Times New Roman" w:hAnsi="Times New Roman"/>
          <w:sz w:val="24"/>
        </w:rPr>
        <w:t>AJ(</w:t>
      </w:r>
      <w:proofErr w:type="gramEnd"/>
      <w:r w:rsidRPr="00F117EB">
        <w:rPr>
          <w:rFonts w:ascii="Times New Roman" w:hAnsi="Times New Roman"/>
          <w:sz w:val="24"/>
        </w:rPr>
        <w:t xml:space="preserve">1); </w:t>
      </w:r>
      <w:r w:rsidRPr="00F117EB">
        <w:rPr>
          <w:rFonts w:ascii="Times New Roman" w:hAnsi="Times New Roman"/>
          <w:i/>
          <w:iCs/>
          <w:sz w:val="24"/>
        </w:rPr>
        <w:t xml:space="preserve">Criminal Code </w:t>
      </w:r>
      <w:r w:rsidRPr="00F117EB">
        <w:rPr>
          <w:rFonts w:ascii="Times New Roman" w:hAnsi="Times New Roman"/>
          <w:sz w:val="24"/>
        </w:rPr>
        <w:t xml:space="preserve">(NT), s 411(1); </w:t>
      </w:r>
      <w:r w:rsidRPr="00F117EB">
        <w:rPr>
          <w:rFonts w:ascii="Times New Roman" w:hAnsi="Times New Roman"/>
          <w:i/>
          <w:iCs/>
          <w:sz w:val="24"/>
        </w:rPr>
        <w:t xml:space="preserve">Criminal Appeals Act 2004 </w:t>
      </w:r>
      <w:r w:rsidRPr="00F117EB">
        <w:rPr>
          <w:rFonts w:ascii="Times New Roman" w:hAnsi="Times New Roman"/>
          <w:sz w:val="24"/>
        </w:rPr>
        <w:t xml:space="preserve">(WA), s 30(3). </w:t>
      </w:r>
    </w:p>
  </w:footnote>
  <w:footnote w:id="10">
    <w:p w14:paraId="758F245F" w14:textId="22C63C80" w:rsidR="004552BD" w:rsidRPr="00F117EB" w:rsidRDefault="004552BD"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 xml:space="preserve">Re Minister for Immigration and Multicultural and Indigenous Affairs; Ex </w:t>
      </w:r>
      <w:proofErr w:type="spellStart"/>
      <w:r w:rsidRPr="00F117EB">
        <w:rPr>
          <w:rFonts w:ascii="Times New Roman" w:hAnsi="Times New Roman"/>
          <w:i/>
          <w:iCs/>
          <w:sz w:val="24"/>
        </w:rPr>
        <w:t>parte</w:t>
      </w:r>
      <w:proofErr w:type="spellEnd"/>
      <w:r w:rsidRPr="00F117EB">
        <w:rPr>
          <w:rFonts w:ascii="Times New Roman" w:hAnsi="Times New Roman"/>
          <w:sz w:val="24"/>
        </w:rPr>
        <w:t xml:space="preserve"> </w:t>
      </w:r>
      <w:r w:rsidRPr="00F117EB">
        <w:rPr>
          <w:rFonts w:ascii="Times New Roman" w:hAnsi="Times New Roman"/>
          <w:i/>
          <w:iCs/>
          <w:sz w:val="24"/>
        </w:rPr>
        <w:t>Lam</w:t>
      </w:r>
      <w:r w:rsidRPr="00F117EB">
        <w:rPr>
          <w:rFonts w:ascii="Times New Roman" w:hAnsi="Times New Roman"/>
          <w:sz w:val="24"/>
        </w:rPr>
        <w:t xml:space="preserve"> (2003) 214 CLR 1 at 14 [37]-[38].</w:t>
      </w:r>
    </w:p>
  </w:footnote>
  <w:footnote w:id="11">
    <w:p w14:paraId="0CC2CE6F" w14:textId="37F1ED63" w:rsidR="000D7F12" w:rsidRPr="00F117EB" w:rsidRDefault="000D7F12"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Criminal Appeal Act</w:t>
      </w:r>
      <w:r w:rsidR="008F3413" w:rsidRPr="00F117EB">
        <w:rPr>
          <w:rFonts w:ascii="Times New Roman" w:hAnsi="Times New Roman"/>
          <w:i/>
          <w:iCs/>
          <w:sz w:val="24"/>
        </w:rPr>
        <w:t xml:space="preserve"> 1912 </w:t>
      </w:r>
      <w:r w:rsidR="008F3413" w:rsidRPr="00F117EB">
        <w:rPr>
          <w:rFonts w:ascii="Times New Roman" w:hAnsi="Times New Roman"/>
          <w:sz w:val="24"/>
        </w:rPr>
        <w:t>(NSW)</w:t>
      </w:r>
      <w:r w:rsidRPr="00F117EB">
        <w:rPr>
          <w:rFonts w:ascii="Times New Roman" w:hAnsi="Times New Roman"/>
          <w:sz w:val="24"/>
        </w:rPr>
        <w:t>, s 6(3).</w:t>
      </w:r>
    </w:p>
  </w:footnote>
  <w:footnote w:id="12">
    <w:p w14:paraId="070A428A" w14:textId="5313186B" w:rsidR="008E3AC0" w:rsidRPr="00F117EB" w:rsidRDefault="008E3AC0"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2D7427" w:rsidRPr="00F117EB">
        <w:rPr>
          <w:rFonts w:ascii="Times New Roman" w:hAnsi="Times New Roman"/>
          <w:i/>
          <w:iCs/>
          <w:sz w:val="24"/>
        </w:rPr>
        <w:t>Criminal Code</w:t>
      </w:r>
      <w:r w:rsidR="00303510" w:rsidRPr="00F117EB">
        <w:rPr>
          <w:rFonts w:ascii="Times New Roman" w:hAnsi="Times New Roman"/>
          <w:sz w:val="24"/>
        </w:rPr>
        <w:t xml:space="preserve"> (</w:t>
      </w:r>
      <w:proofErr w:type="spellStart"/>
      <w:r w:rsidR="00303510" w:rsidRPr="00F117EB">
        <w:rPr>
          <w:rFonts w:ascii="Times New Roman" w:hAnsi="Times New Roman"/>
          <w:sz w:val="24"/>
        </w:rPr>
        <w:t>Cth</w:t>
      </w:r>
      <w:proofErr w:type="spellEnd"/>
      <w:r w:rsidR="00303510" w:rsidRPr="00F117EB">
        <w:rPr>
          <w:rFonts w:ascii="Times New Roman" w:hAnsi="Times New Roman"/>
          <w:sz w:val="24"/>
        </w:rPr>
        <w:t>)</w:t>
      </w:r>
      <w:r w:rsidR="002D7427" w:rsidRPr="00F117EB">
        <w:rPr>
          <w:rFonts w:ascii="Times New Roman" w:hAnsi="Times New Roman"/>
          <w:sz w:val="24"/>
        </w:rPr>
        <w:t>, ss 11.5(1), 302.2(1).</w:t>
      </w:r>
    </w:p>
  </w:footnote>
  <w:footnote w:id="13">
    <w:p w14:paraId="686EBF62" w14:textId="306DC80B" w:rsidR="008F00EB" w:rsidRPr="00F117EB" w:rsidRDefault="008F00E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BC052E" w:rsidRPr="00F117EB">
        <w:rPr>
          <w:rFonts w:ascii="Times New Roman" w:hAnsi="Times New Roman"/>
          <w:i/>
          <w:iCs/>
          <w:sz w:val="24"/>
        </w:rPr>
        <w:t>Criminal Code</w:t>
      </w:r>
      <w:r w:rsidR="00303510" w:rsidRPr="00F117EB">
        <w:rPr>
          <w:rFonts w:ascii="Times New Roman" w:hAnsi="Times New Roman"/>
          <w:sz w:val="24"/>
        </w:rPr>
        <w:t xml:space="preserve"> (</w:t>
      </w:r>
      <w:proofErr w:type="spellStart"/>
      <w:r w:rsidR="00303510" w:rsidRPr="00F117EB">
        <w:rPr>
          <w:rFonts w:ascii="Times New Roman" w:hAnsi="Times New Roman"/>
          <w:sz w:val="24"/>
        </w:rPr>
        <w:t>Cth</w:t>
      </w:r>
      <w:proofErr w:type="spellEnd"/>
      <w:r w:rsidR="00303510" w:rsidRPr="00F117EB">
        <w:rPr>
          <w:rFonts w:ascii="Times New Roman" w:hAnsi="Times New Roman"/>
          <w:sz w:val="24"/>
        </w:rPr>
        <w:t>)</w:t>
      </w:r>
      <w:r w:rsidR="00BC052E" w:rsidRPr="00F117EB">
        <w:rPr>
          <w:rFonts w:ascii="Times New Roman" w:hAnsi="Times New Roman"/>
          <w:sz w:val="24"/>
        </w:rPr>
        <w:t>, s 400.4(1).</w:t>
      </w:r>
    </w:p>
  </w:footnote>
  <w:footnote w:id="14">
    <w:p w14:paraId="2986C15F" w14:textId="39C56652" w:rsidR="00406609" w:rsidRPr="00F117EB" w:rsidRDefault="00406609"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Criminal Code</w:t>
      </w:r>
      <w:r w:rsidR="00303510" w:rsidRPr="00F117EB">
        <w:rPr>
          <w:rFonts w:ascii="Times New Roman" w:hAnsi="Times New Roman"/>
          <w:sz w:val="24"/>
        </w:rPr>
        <w:t xml:space="preserve"> (</w:t>
      </w:r>
      <w:proofErr w:type="spellStart"/>
      <w:r w:rsidR="00303510" w:rsidRPr="00F117EB">
        <w:rPr>
          <w:rFonts w:ascii="Times New Roman" w:hAnsi="Times New Roman"/>
          <w:sz w:val="24"/>
        </w:rPr>
        <w:t>Cth</w:t>
      </w:r>
      <w:proofErr w:type="spellEnd"/>
      <w:r w:rsidR="00303510" w:rsidRPr="00F117EB">
        <w:rPr>
          <w:rFonts w:ascii="Times New Roman" w:hAnsi="Times New Roman"/>
          <w:sz w:val="24"/>
        </w:rPr>
        <w:t>)</w:t>
      </w:r>
      <w:r w:rsidRPr="00F117EB">
        <w:rPr>
          <w:rFonts w:ascii="Times New Roman" w:hAnsi="Times New Roman"/>
          <w:sz w:val="24"/>
        </w:rPr>
        <w:t>, ss 11.5(1), 302.2(1).</w:t>
      </w:r>
    </w:p>
  </w:footnote>
  <w:footnote w:id="15">
    <w:p w14:paraId="01D96E2C" w14:textId="4766D283" w:rsidR="00A9012C" w:rsidRPr="00F117EB" w:rsidRDefault="00A9012C"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1954F1" w:rsidRPr="00F117EB">
        <w:rPr>
          <w:rFonts w:ascii="Times New Roman" w:hAnsi="Times New Roman"/>
          <w:i/>
          <w:iCs/>
          <w:sz w:val="24"/>
        </w:rPr>
        <w:t>Criminal Code</w:t>
      </w:r>
      <w:r w:rsidR="000C7692" w:rsidRPr="00F117EB">
        <w:rPr>
          <w:rFonts w:ascii="Times New Roman" w:hAnsi="Times New Roman"/>
          <w:sz w:val="24"/>
        </w:rPr>
        <w:t xml:space="preserve"> (</w:t>
      </w:r>
      <w:proofErr w:type="spellStart"/>
      <w:r w:rsidR="000C7692" w:rsidRPr="00F117EB">
        <w:rPr>
          <w:rFonts w:ascii="Times New Roman" w:hAnsi="Times New Roman"/>
          <w:sz w:val="24"/>
        </w:rPr>
        <w:t>Cth</w:t>
      </w:r>
      <w:proofErr w:type="spellEnd"/>
      <w:r w:rsidR="000C7692" w:rsidRPr="00F117EB">
        <w:rPr>
          <w:rFonts w:ascii="Times New Roman" w:hAnsi="Times New Roman"/>
          <w:sz w:val="24"/>
        </w:rPr>
        <w:t>)</w:t>
      </w:r>
      <w:r w:rsidR="001954F1" w:rsidRPr="00F117EB">
        <w:rPr>
          <w:rFonts w:ascii="Times New Roman" w:hAnsi="Times New Roman"/>
          <w:sz w:val="24"/>
        </w:rPr>
        <w:t>, s 400.3(1).</w:t>
      </w:r>
    </w:p>
  </w:footnote>
  <w:footnote w:id="16">
    <w:p w14:paraId="365BB610" w14:textId="659AD74B" w:rsidR="006A7D80" w:rsidRPr="00F117EB" w:rsidRDefault="006A7D80"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sz w:val="24"/>
        </w:rPr>
        <w:t>Criminal Procedure Act 198</w:t>
      </w:r>
      <w:r w:rsidR="00D07631" w:rsidRPr="00F117EB">
        <w:rPr>
          <w:rFonts w:ascii="Times New Roman" w:hAnsi="Times New Roman"/>
          <w:i/>
          <w:iCs/>
          <w:sz w:val="24"/>
        </w:rPr>
        <w:t>6</w:t>
      </w:r>
      <w:r w:rsidRPr="00F117EB">
        <w:rPr>
          <w:rFonts w:ascii="Times New Roman" w:hAnsi="Times New Roman"/>
          <w:sz w:val="24"/>
        </w:rPr>
        <w:t xml:space="preserve"> (NSW), s 97</w:t>
      </w:r>
      <w:r w:rsidR="0001658E" w:rsidRPr="00F117EB">
        <w:rPr>
          <w:rFonts w:ascii="Times New Roman" w:hAnsi="Times New Roman"/>
          <w:sz w:val="24"/>
        </w:rPr>
        <w:t>.</w:t>
      </w:r>
    </w:p>
  </w:footnote>
  <w:footnote w:id="17">
    <w:p w14:paraId="00CF0587" w14:textId="071FF614" w:rsidR="005E3468" w:rsidRPr="00F117EB" w:rsidRDefault="005E3468"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Pr="00F117EB">
        <w:rPr>
          <w:rFonts w:ascii="Times New Roman" w:hAnsi="Times New Roman"/>
          <w:sz w:val="24"/>
        </w:rPr>
        <w:t>cf</w:t>
      </w:r>
      <w:proofErr w:type="spellEnd"/>
      <w:r w:rsidRPr="00F117EB">
        <w:rPr>
          <w:rFonts w:ascii="Times New Roman" w:hAnsi="Times New Roman"/>
          <w:sz w:val="24"/>
        </w:rPr>
        <w:t xml:space="preserve"> </w:t>
      </w:r>
      <w:r w:rsidRPr="00F117EB">
        <w:rPr>
          <w:rFonts w:ascii="Times New Roman" w:hAnsi="Times New Roman"/>
          <w:i/>
          <w:iCs/>
          <w:sz w:val="24"/>
        </w:rPr>
        <w:t>Criminal Procedure Act 198</w:t>
      </w:r>
      <w:r w:rsidR="00D07631" w:rsidRPr="00F117EB">
        <w:rPr>
          <w:rFonts w:ascii="Times New Roman" w:hAnsi="Times New Roman"/>
          <w:i/>
          <w:iCs/>
          <w:sz w:val="24"/>
        </w:rPr>
        <w:t>6</w:t>
      </w:r>
      <w:r w:rsidRPr="00F117EB">
        <w:rPr>
          <w:rFonts w:ascii="Times New Roman" w:hAnsi="Times New Roman"/>
          <w:sz w:val="24"/>
        </w:rPr>
        <w:t xml:space="preserve"> (NSW), s 103.</w:t>
      </w:r>
    </w:p>
  </w:footnote>
  <w:footnote w:id="18">
    <w:p w14:paraId="050BC77D" w14:textId="2A413537" w:rsidR="00C018A4" w:rsidRPr="00F117EB" w:rsidRDefault="00C018A4"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Criminal Code</w:t>
      </w:r>
      <w:r w:rsidR="00BA6584" w:rsidRPr="00F117EB">
        <w:rPr>
          <w:rFonts w:ascii="Times New Roman" w:hAnsi="Times New Roman"/>
          <w:sz w:val="24"/>
        </w:rPr>
        <w:t xml:space="preserve"> (</w:t>
      </w:r>
      <w:proofErr w:type="spellStart"/>
      <w:r w:rsidR="00BA6584" w:rsidRPr="00F117EB">
        <w:rPr>
          <w:rFonts w:ascii="Times New Roman" w:hAnsi="Times New Roman"/>
          <w:sz w:val="24"/>
        </w:rPr>
        <w:t>Cth</w:t>
      </w:r>
      <w:proofErr w:type="spellEnd"/>
      <w:r w:rsidR="00BA6584" w:rsidRPr="00F117EB">
        <w:rPr>
          <w:rFonts w:ascii="Times New Roman" w:hAnsi="Times New Roman"/>
          <w:sz w:val="24"/>
        </w:rPr>
        <w:t>)</w:t>
      </w:r>
      <w:r w:rsidRPr="00F117EB">
        <w:rPr>
          <w:rFonts w:ascii="Times New Roman" w:hAnsi="Times New Roman"/>
          <w:sz w:val="24"/>
        </w:rPr>
        <w:t>, ss 400.3(1) and 400.4(1) respectively.</w:t>
      </w:r>
    </w:p>
  </w:footnote>
  <w:footnote w:id="19">
    <w:p w14:paraId="7F2B17E0" w14:textId="061B6D6E" w:rsidR="00F3517A" w:rsidRPr="00F117EB" w:rsidRDefault="00F3517A"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437131" w:rsidRPr="00F117EB">
        <w:rPr>
          <w:rFonts w:ascii="Times New Roman" w:hAnsi="Times New Roman"/>
          <w:sz w:val="24"/>
        </w:rPr>
        <w:t xml:space="preserve">Referring to </w:t>
      </w:r>
      <w:proofErr w:type="spellStart"/>
      <w:r w:rsidRPr="00F117EB">
        <w:rPr>
          <w:rFonts w:ascii="Times New Roman" w:hAnsi="Times New Roman"/>
          <w:i/>
          <w:iCs/>
          <w:sz w:val="24"/>
        </w:rPr>
        <w:t>Bugmy</w:t>
      </w:r>
      <w:proofErr w:type="spellEnd"/>
      <w:r w:rsidRPr="00F117EB">
        <w:rPr>
          <w:rFonts w:ascii="Times New Roman" w:hAnsi="Times New Roman"/>
          <w:i/>
          <w:iCs/>
          <w:sz w:val="24"/>
        </w:rPr>
        <w:t xml:space="preserve"> v The Queen</w:t>
      </w:r>
      <w:r w:rsidRPr="00F117EB">
        <w:rPr>
          <w:rFonts w:ascii="Times New Roman" w:hAnsi="Times New Roman"/>
          <w:sz w:val="24"/>
        </w:rPr>
        <w:t xml:space="preserve"> </w:t>
      </w:r>
      <w:r w:rsidR="00194CD8" w:rsidRPr="00F117EB">
        <w:rPr>
          <w:rFonts w:ascii="Times New Roman" w:hAnsi="Times New Roman"/>
          <w:sz w:val="24"/>
        </w:rPr>
        <w:t xml:space="preserve">(2013) 249 CLR 571. </w:t>
      </w:r>
    </w:p>
  </w:footnote>
  <w:footnote w:id="20">
    <w:p w14:paraId="0E0AE3DC" w14:textId="07557779" w:rsidR="00377979" w:rsidRPr="00F117EB" w:rsidRDefault="00377979"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t>(2013) 249 CLR 571.</w:t>
      </w:r>
    </w:p>
  </w:footnote>
  <w:footnote w:id="21">
    <w:p w14:paraId="1BE288B0" w14:textId="2702F921" w:rsidR="004002A4" w:rsidRPr="00F117EB" w:rsidRDefault="004002A4"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t xml:space="preserve">Citing </w:t>
      </w:r>
      <w:r w:rsidRPr="00F117EB">
        <w:rPr>
          <w:rFonts w:ascii="Times New Roman" w:hAnsi="Times New Roman"/>
          <w:i/>
          <w:iCs/>
          <w:sz w:val="24"/>
        </w:rPr>
        <w:t>Lam</w:t>
      </w:r>
      <w:r w:rsidRPr="00F117EB">
        <w:rPr>
          <w:rFonts w:ascii="Times New Roman" w:hAnsi="Times New Roman"/>
          <w:sz w:val="24"/>
        </w:rPr>
        <w:t xml:space="preserve"> (2003) 214 CLR 1 at </w:t>
      </w:r>
      <w:r w:rsidR="007B2FC0" w:rsidRPr="00F117EB">
        <w:rPr>
          <w:rFonts w:ascii="Times New Roman" w:hAnsi="Times New Roman"/>
          <w:sz w:val="24"/>
        </w:rPr>
        <w:t>13-</w:t>
      </w:r>
      <w:r w:rsidR="00970CED" w:rsidRPr="00F117EB">
        <w:rPr>
          <w:rFonts w:ascii="Times New Roman" w:hAnsi="Times New Roman"/>
          <w:sz w:val="24"/>
        </w:rPr>
        <w:t xml:space="preserve">14 </w:t>
      </w:r>
      <w:r w:rsidRPr="00F117EB">
        <w:rPr>
          <w:rFonts w:ascii="Times New Roman" w:hAnsi="Times New Roman"/>
          <w:sz w:val="24"/>
        </w:rPr>
        <w:t>[37]-[38].</w:t>
      </w:r>
    </w:p>
  </w:footnote>
  <w:footnote w:id="22">
    <w:p w14:paraId="3E2156AB" w14:textId="1A208498" w:rsidR="002F1819" w:rsidRPr="00F117EB" w:rsidRDefault="002F1819"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t xml:space="preserve">Citing </w:t>
      </w:r>
      <w:r w:rsidRPr="00F117EB">
        <w:rPr>
          <w:rFonts w:ascii="Times New Roman" w:hAnsi="Times New Roman"/>
          <w:i/>
          <w:iCs/>
          <w:sz w:val="24"/>
        </w:rPr>
        <w:t xml:space="preserve">Brawn </w:t>
      </w:r>
      <w:r w:rsidRPr="00F117EB">
        <w:rPr>
          <w:rFonts w:ascii="Times New Roman" w:hAnsi="Times New Roman"/>
          <w:sz w:val="24"/>
        </w:rPr>
        <w:t>(2025) 99 ALJR 872 at</w:t>
      </w:r>
      <w:r w:rsidR="0024767D" w:rsidRPr="00F117EB">
        <w:rPr>
          <w:rFonts w:ascii="Times New Roman" w:hAnsi="Times New Roman"/>
          <w:sz w:val="24"/>
        </w:rPr>
        <w:t xml:space="preserve"> 876</w:t>
      </w:r>
      <w:r w:rsidRPr="00F117EB">
        <w:rPr>
          <w:rFonts w:ascii="Times New Roman" w:hAnsi="Times New Roman"/>
          <w:sz w:val="24"/>
        </w:rPr>
        <w:t xml:space="preserve"> [10]</w:t>
      </w:r>
      <w:r w:rsidR="0024767D" w:rsidRPr="00F117EB">
        <w:rPr>
          <w:rFonts w:ascii="Times New Roman" w:hAnsi="Times New Roman"/>
          <w:sz w:val="24"/>
        </w:rPr>
        <w:t>; 423 ALR 69 at 73-74</w:t>
      </w:r>
      <w:r w:rsidRPr="00F117EB">
        <w:rPr>
          <w:rFonts w:ascii="Times New Roman" w:hAnsi="Times New Roman"/>
          <w:sz w:val="24"/>
        </w:rPr>
        <w:t>.</w:t>
      </w:r>
    </w:p>
  </w:footnote>
  <w:footnote w:id="23">
    <w:p w14:paraId="0E0094BD" w14:textId="4307DF94" w:rsidR="00BB39D6" w:rsidRPr="00F117EB" w:rsidRDefault="00BB39D6"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D76D32" w:rsidRPr="00F117EB">
        <w:rPr>
          <w:rFonts w:ascii="Times New Roman" w:hAnsi="Times New Roman"/>
          <w:i/>
          <w:iCs/>
          <w:sz w:val="24"/>
        </w:rPr>
        <w:t>BLB Corporation of Australia Establishment v Jacobsen</w:t>
      </w:r>
      <w:r w:rsidR="00D76D32" w:rsidRPr="00F117EB">
        <w:rPr>
          <w:rFonts w:ascii="Times New Roman" w:hAnsi="Times New Roman"/>
          <w:sz w:val="24"/>
        </w:rPr>
        <w:t xml:space="preserve"> </w:t>
      </w:r>
      <w:r w:rsidR="003F555D" w:rsidRPr="00F117EB">
        <w:rPr>
          <w:rFonts w:ascii="Times New Roman" w:hAnsi="Times New Roman"/>
          <w:sz w:val="24"/>
        </w:rPr>
        <w:t>(1974) 48 ALJR 372 at 378</w:t>
      </w:r>
      <w:r w:rsidR="00D76D32" w:rsidRPr="00F117EB">
        <w:rPr>
          <w:rFonts w:ascii="Times New Roman" w:hAnsi="Times New Roman"/>
          <w:sz w:val="24"/>
        </w:rPr>
        <w:t xml:space="preserve">; </w:t>
      </w:r>
      <w:r w:rsidR="008B25C2" w:rsidRPr="00F117EB">
        <w:rPr>
          <w:rFonts w:ascii="Times New Roman" w:hAnsi="Times New Roman"/>
          <w:i/>
          <w:iCs/>
          <w:sz w:val="24"/>
        </w:rPr>
        <w:t xml:space="preserve">Maguire v </w:t>
      </w:r>
      <w:proofErr w:type="spellStart"/>
      <w:r w:rsidR="008B25C2" w:rsidRPr="00F117EB">
        <w:rPr>
          <w:rFonts w:ascii="Times New Roman" w:hAnsi="Times New Roman"/>
          <w:i/>
          <w:iCs/>
          <w:sz w:val="24"/>
        </w:rPr>
        <w:t>Makaronis</w:t>
      </w:r>
      <w:proofErr w:type="spellEnd"/>
      <w:r w:rsidR="008B25C2" w:rsidRPr="00F117EB">
        <w:rPr>
          <w:rFonts w:ascii="Times New Roman" w:hAnsi="Times New Roman"/>
          <w:i/>
          <w:iCs/>
          <w:sz w:val="24"/>
        </w:rPr>
        <w:t xml:space="preserve"> </w:t>
      </w:r>
      <w:r w:rsidR="008B25C2" w:rsidRPr="00F117EB">
        <w:rPr>
          <w:rFonts w:ascii="Times New Roman" w:hAnsi="Times New Roman"/>
          <w:sz w:val="24"/>
        </w:rPr>
        <w:t>(1997)</w:t>
      </w:r>
      <w:r w:rsidR="00E1529E" w:rsidRPr="00F117EB">
        <w:rPr>
          <w:rFonts w:ascii="Times New Roman" w:hAnsi="Times New Roman"/>
          <w:sz w:val="24"/>
        </w:rPr>
        <w:t xml:space="preserve"> 188 CLR 449</w:t>
      </w:r>
      <w:r w:rsidR="00AC5307" w:rsidRPr="00F117EB">
        <w:rPr>
          <w:rFonts w:ascii="Times New Roman" w:hAnsi="Times New Roman"/>
          <w:sz w:val="24"/>
        </w:rPr>
        <w:t xml:space="preserve"> at </w:t>
      </w:r>
      <w:r w:rsidR="00677C9C" w:rsidRPr="00F117EB">
        <w:rPr>
          <w:rFonts w:ascii="Times New Roman" w:hAnsi="Times New Roman"/>
          <w:sz w:val="24"/>
        </w:rPr>
        <w:t>466-</w:t>
      </w:r>
      <w:r w:rsidR="00AC5307" w:rsidRPr="00F117EB">
        <w:rPr>
          <w:rFonts w:ascii="Times New Roman" w:hAnsi="Times New Roman"/>
          <w:sz w:val="24"/>
        </w:rPr>
        <w:t>467</w:t>
      </w:r>
      <w:r w:rsidR="00E1529E" w:rsidRPr="00F117EB">
        <w:rPr>
          <w:rFonts w:ascii="Times New Roman" w:hAnsi="Times New Roman"/>
          <w:sz w:val="24"/>
        </w:rPr>
        <w:t>.</w:t>
      </w:r>
    </w:p>
  </w:footnote>
  <w:footnote w:id="24">
    <w:p w14:paraId="48A289C5" w14:textId="17316859" w:rsidR="00D907A4" w:rsidRPr="00F117EB" w:rsidRDefault="00D907A4"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00866193" w:rsidRPr="00F117EB">
        <w:rPr>
          <w:rFonts w:ascii="Times New Roman" w:hAnsi="Times New Roman"/>
          <w:i/>
          <w:iCs/>
          <w:sz w:val="24"/>
        </w:rPr>
        <w:t>Kentwell</w:t>
      </w:r>
      <w:proofErr w:type="spellEnd"/>
      <w:r w:rsidR="00866193" w:rsidRPr="00F117EB">
        <w:rPr>
          <w:rFonts w:ascii="Times New Roman" w:hAnsi="Times New Roman"/>
          <w:i/>
          <w:iCs/>
          <w:sz w:val="24"/>
        </w:rPr>
        <w:t xml:space="preserve"> </w:t>
      </w:r>
      <w:r w:rsidR="00866193" w:rsidRPr="00F117EB">
        <w:rPr>
          <w:rFonts w:ascii="Times New Roman" w:hAnsi="Times New Roman"/>
          <w:sz w:val="24"/>
        </w:rPr>
        <w:t xml:space="preserve">(2014) 252 CLR 601 at 618 </w:t>
      </w:r>
      <w:r w:rsidR="008F1254" w:rsidRPr="00F117EB">
        <w:rPr>
          <w:rFonts w:ascii="Times New Roman" w:hAnsi="Times New Roman"/>
          <w:sz w:val="24"/>
        </w:rPr>
        <w:t>[42].</w:t>
      </w:r>
    </w:p>
  </w:footnote>
  <w:footnote w:id="25">
    <w:p w14:paraId="095495D0" w14:textId="7F79CC99" w:rsidR="003A6871" w:rsidRPr="00F117EB" w:rsidRDefault="003A6871"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Pr="00F117EB">
        <w:rPr>
          <w:rFonts w:ascii="Times New Roman" w:hAnsi="Times New Roman"/>
          <w:i/>
          <w:iCs/>
          <w:sz w:val="24"/>
        </w:rPr>
        <w:t>Kentwell</w:t>
      </w:r>
      <w:proofErr w:type="spellEnd"/>
      <w:r w:rsidRPr="00F117EB">
        <w:rPr>
          <w:rFonts w:ascii="Times New Roman" w:hAnsi="Times New Roman"/>
          <w:sz w:val="24"/>
        </w:rPr>
        <w:t xml:space="preserve"> </w:t>
      </w:r>
      <w:r w:rsidR="00866193" w:rsidRPr="00F117EB">
        <w:rPr>
          <w:rFonts w:ascii="Times New Roman" w:hAnsi="Times New Roman"/>
          <w:sz w:val="24"/>
        </w:rPr>
        <w:t xml:space="preserve">(2014) 252 CLR 601 </w:t>
      </w:r>
      <w:r w:rsidRPr="00F117EB">
        <w:rPr>
          <w:rFonts w:ascii="Times New Roman" w:hAnsi="Times New Roman"/>
          <w:sz w:val="24"/>
        </w:rPr>
        <w:t>at</w:t>
      </w:r>
      <w:r w:rsidR="00A26227" w:rsidRPr="00F117EB">
        <w:rPr>
          <w:rFonts w:ascii="Times New Roman" w:hAnsi="Times New Roman"/>
          <w:sz w:val="24"/>
        </w:rPr>
        <w:t xml:space="preserve"> 615</w:t>
      </w:r>
      <w:r w:rsidRPr="00F117EB">
        <w:rPr>
          <w:rFonts w:ascii="Times New Roman" w:hAnsi="Times New Roman"/>
          <w:sz w:val="24"/>
        </w:rPr>
        <w:t xml:space="preserve"> [35]</w:t>
      </w:r>
      <w:r w:rsidR="00A26227" w:rsidRPr="00F117EB">
        <w:rPr>
          <w:rFonts w:ascii="Times New Roman" w:hAnsi="Times New Roman"/>
          <w:sz w:val="24"/>
        </w:rPr>
        <w:t xml:space="preserve">, citing </w:t>
      </w:r>
      <w:r w:rsidR="00A1566B" w:rsidRPr="00F117EB">
        <w:rPr>
          <w:rFonts w:ascii="Times New Roman" w:hAnsi="Times New Roman"/>
          <w:i/>
          <w:iCs/>
          <w:sz w:val="24"/>
        </w:rPr>
        <w:t>Skinner v The King</w:t>
      </w:r>
      <w:r w:rsidR="00A1566B" w:rsidRPr="00F117EB">
        <w:rPr>
          <w:rFonts w:ascii="Times New Roman" w:hAnsi="Times New Roman"/>
          <w:sz w:val="24"/>
        </w:rPr>
        <w:t xml:space="preserve"> (1913) 16 CLR 336 at 340</w:t>
      </w:r>
      <w:r w:rsidR="002C6ECD" w:rsidRPr="00F117EB">
        <w:rPr>
          <w:rFonts w:ascii="Times New Roman" w:hAnsi="Times New Roman"/>
          <w:sz w:val="24"/>
        </w:rPr>
        <w:t xml:space="preserve">; </w:t>
      </w:r>
      <w:r w:rsidR="002C6ECD" w:rsidRPr="00F117EB">
        <w:rPr>
          <w:rFonts w:ascii="Times New Roman" w:hAnsi="Times New Roman"/>
          <w:i/>
          <w:iCs/>
          <w:sz w:val="24"/>
        </w:rPr>
        <w:t>Betts</w:t>
      </w:r>
      <w:r w:rsidR="00A3481A" w:rsidRPr="00F117EB">
        <w:rPr>
          <w:rFonts w:ascii="Times New Roman" w:hAnsi="Times New Roman"/>
          <w:i/>
          <w:iCs/>
          <w:sz w:val="24"/>
        </w:rPr>
        <w:t xml:space="preserve"> v The Queen </w:t>
      </w:r>
      <w:r w:rsidR="00A3481A" w:rsidRPr="00F117EB">
        <w:rPr>
          <w:rFonts w:ascii="Times New Roman" w:hAnsi="Times New Roman"/>
          <w:sz w:val="24"/>
        </w:rPr>
        <w:t>(2016) 258 CLR 420</w:t>
      </w:r>
      <w:r w:rsidR="002C6ECD" w:rsidRPr="00F117EB">
        <w:rPr>
          <w:rFonts w:ascii="Times New Roman" w:hAnsi="Times New Roman"/>
          <w:i/>
          <w:iCs/>
          <w:sz w:val="24"/>
        </w:rPr>
        <w:t xml:space="preserve"> </w:t>
      </w:r>
      <w:r w:rsidR="002C6ECD" w:rsidRPr="00F117EB">
        <w:rPr>
          <w:rFonts w:ascii="Times New Roman" w:hAnsi="Times New Roman"/>
          <w:sz w:val="24"/>
        </w:rPr>
        <w:t xml:space="preserve">at </w:t>
      </w:r>
      <w:r w:rsidR="004D0701" w:rsidRPr="00F117EB">
        <w:rPr>
          <w:rFonts w:ascii="Times New Roman" w:hAnsi="Times New Roman"/>
          <w:sz w:val="24"/>
        </w:rPr>
        <w:t xml:space="preserve">425-426 </w:t>
      </w:r>
      <w:r w:rsidR="009E4966" w:rsidRPr="00F117EB">
        <w:rPr>
          <w:rFonts w:ascii="Times New Roman" w:hAnsi="Times New Roman"/>
          <w:sz w:val="24"/>
        </w:rPr>
        <w:t>[10]</w:t>
      </w:r>
      <w:r w:rsidRPr="00F117EB">
        <w:rPr>
          <w:rFonts w:ascii="Times New Roman" w:hAnsi="Times New Roman"/>
          <w:sz w:val="24"/>
        </w:rPr>
        <w:t>.</w:t>
      </w:r>
    </w:p>
  </w:footnote>
  <w:footnote w:id="26">
    <w:p w14:paraId="6C8ECBC1" w14:textId="696A522C" w:rsidR="00532C88" w:rsidRPr="00F117EB" w:rsidRDefault="00532C88"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Pr="00F117EB">
        <w:rPr>
          <w:rFonts w:ascii="Times New Roman" w:hAnsi="Times New Roman"/>
          <w:i/>
          <w:iCs/>
          <w:sz w:val="24"/>
        </w:rPr>
        <w:t>Kentwell</w:t>
      </w:r>
      <w:proofErr w:type="spellEnd"/>
      <w:r w:rsidRPr="00F117EB">
        <w:rPr>
          <w:rFonts w:ascii="Times New Roman" w:hAnsi="Times New Roman"/>
          <w:sz w:val="24"/>
        </w:rPr>
        <w:t xml:space="preserve"> </w:t>
      </w:r>
      <w:r w:rsidR="00835464" w:rsidRPr="00F117EB">
        <w:rPr>
          <w:rFonts w:ascii="Times New Roman" w:hAnsi="Times New Roman"/>
          <w:sz w:val="24"/>
        </w:rPr>
        <w:t xml:space="preserve">(2014) 252 CLR 601 </w:t>
      </w:r>
      <w:r w:rsidRPr="00F117EB">
        <w:rPr>
          <w:rFonts w:ascii="Times New Roman" w:hAnsi="Times New Roman"/>
          <w:sz w:val="24"/>
        </w:rPr>
        <w:t xml:space="preserve">at </w:t>
      </w:r>
      <w:r w:rsidR="00835464" w:rsidRPr="00F117EB">
        <w:rPr>
          <w:rFonts w:ascii="Times New Roman" w:hAnsi="Times New Roman"/>
          <w:sz w:val="24"/>
        </w:rPr>
        <w:t xml:space="preserve">615 [35], </w:t>
      </w:r>
      <w:r w:rsidR="00F14B3E" w:rsidRPr="00F117EB">
        <w:rPr>
          <w:rFonts w:ascii="Times New Roman" w:hAnsi="Times New Roman"/>
          <w:sz w:val="24"/>
        </w:rPr>
        <w:t xml:space="preserve">617-618 </w:t>
      </w:r>
      <w:r w:rsidRPr="00F117EB">
        <w:rPr>
          <w:rFonts w:ascii="Times New Roman" w:hAnsi="Times New Roman"/>
          <w:sz w:val="24"/>
        </w:rPr>
        <w:t>[42]</w:t>
      </w:r>
      <w:r w:rsidR="00C82AA6" w:rsidRPr="00F117EB">
        <w:rPr>
          <w:rFonts w:ascii="Times New Roman" w:hAnsi="Times New Roman"/>
          <w:sz w:val="24"/>
        </w:rPr>
        <w:t xml:space="preserve"> but within the constraints discussed in </w:t>
      </w:r>
      <w:r w:rsidR="00C82AA6" w:rsidRPr="00F117EB">
        <w:rPr>
          <w:rFonts w:ascii="Times New Roman" w:hAnsi="Times New Roman"/>
          <w:i/>
          <w:iCs/>
          <w:sz w:val="24"/>
        </w:rPr>
        <w:t>Betts</w:t>
      </w:r>
      <w:r w:rsidR="004D0701" w:rsidRPr="00F117EB">
        <w:rPr>
          <w:rFonts w:ascii="Times New Roman" w:hAnsi="Times New Roman"/>
          <w:i/>
          <w:iCs/>
          <w:sz w:val="24"/>
        </w:rPr>
        <w:t xml:space="preserve"> </w:t>
      </w:r>
      <w:r w:rsidR="004D0701" w:rsidRPr="00F117EB">
        <w:rPr>
          <w:rFonts w:ascii="Times New Roman" w:hAnsi="Times New Roman"/>
          <w:sz w:val="24"/>
        </w:rPr>
        <w:t>(2016) 258 CLR 420, especially at 425-426 [10]-[11]</w:t>
      </w:r>
      <w:r w:rsidRPr="00F117EB">
        <w:rPr>
          <w:rFonts w:ascii="Times New Roman" w:hAnsi="Times New Roman"/>
          <w:sz w:val="24"/>
        </w:rPr>
        <w:t>.</w:t>
      </w:r>
    </w:p>
  </w:footnote>
  <w:footnote w:id="27">
    <w:p w14:paraId="74C2CD2F" w14:textId="685CAB7F" w:rsidR="00447387" w:rsidRPr="00F117EB" w:rsidRDefault="00447387"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Pr="00F117EB">
        <w:rPr>
          <w:rFonts w:ascii="Times New Roman" w:hAnsi="Times New Roman"/>
          <w:i/>
          <w:iCs/>
          <w:sz w:val="24"/>
        </w:rPr>
        <w:t>Kentwell</w:t>
      </w:r>
      <w:proofErr w:type="spellEnd"/>
      <w:r w:rsidRPr="00F117EB">
        <w:rPr>
          <w:rFonts w:ascii="Times New Roman" w:hAnsi="Times New Roman"/>
          <w:sz w:val="24"/>
        </w:rPr>
        <w:t xml:space="preserve"> </w:t>
      </w:r>
      <w:r w:rsidR="005B5201" w:rsidRPr="00F117EB">
        <w:rPr>
          <w:rFonts w:ascii="Times New Roman" w:hAnsi="Times New Roman"/>
          <w:sz w:val="24"/>
        </w:rPr>
        <w:t xml:space="preserve">(2014) 252 CLR 601 </w:t>
      </w:r>
      <w:r w:rsidRPr="00F117EB">
        <w:rPr>
          <w:rFonts w:ascii="Times New Roman" w:hAnsi="Times New Roman"/>
          <w:sz w:val="24"/>
        </w:rPr>
        <w:t xml:space="preserve">at </w:t>
      </w:r>
      <w:r w:rsidR="005B5201" w:rsidRPr="00F117EB">
        <w:rPr>
          <w:rFonts w:ascii="Times New Roman" w:hAnsi="Times New Roman"/>
          <w:sz w:val="24"/>
        </w:rPr>
        <w:t xml:space="preserve">618 </w:t>
      </w:r>
      <w:r w:rsidRPr="00F117EB">
        <w:rPr>
          <w:rFonts w:ascii="Times New Roman" w:hAnsi="Times New Roman"/>
          <w:sz w:val="24"/>
        </w:rPr>
        <w:t>[43].</w:t>
      </w:r>
    </w:p>
  </w:footnote>
  <w:footnote w:id="28">
    <w:p w14:paraId="4F9B5884" w14:textId="15FA786B" w:rsidR="00376423" w:rsidRPr="00F117EB" w:rsidRDefault="00376423"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Pr="00F117EB">
        <w:rPr>
          <w:rFonts w:ascii="Times New Roman" w:hAnsi="Times New Roman"/>
          <w:i/>
          <w:iCs/>
          <w:sz w:val="24"/>
        </w:rPr>
        <w:t>Kentwell</w:t>
      </w:r>
      <w:proofErr w:type="spellEnd"/>
      <w:r w:rsidRPr="00F117EB">
        <w:rPr>
          <w:rFonts w:ascii="Times New Roman" w:hAnsi="Times New Roman"/>
          <w:sz w:val="24"/>
        </w:rPr>
        <w:t xml:space="preserve"> </w:t>
      </w:r>
      <w:r w:rsidR="00E75A72" w:rsidRPr="00F117EB">
        <w:rPr>
          <w:rFonts w:ascii="Times New Roman" w:hAnsi="Times New Roman"/>
          <w:sz w:val="24"/>
        </w:rPr>
        <w:t xml:space="preserve">(2014) 252 CLR 601 </w:t>
      </w:r>
      <w:r w:rsidRPr="00F117EB">
        <w:rPr>
          <w:rFonts w:ascii="Times New Roman" w:hAnsi="Times New Roman"/>
          <w:sz w:val="24"/>
        </w:rPr>
        <w:t xml:space="preserve">at </w:t>
      </w:r>
      <w:r w:rsidR="00E75A72" w:rsidRPr="00F117EB">
        <w:rPr>
          <w:rFonts w:ascii="Times New Roman" w:hAnsi="Times New Roman"/>
          <w:sz w:val="24"/>
        </w:rPr>
        <w:t xml:space="preserve">618 </w:t>
      </w:r>
      <w:r w:rsidRPr="00F117EB">
        <w:rPr>
          <w:rFonts w:ascii="Times New Roman" w:hAnsi="Times New Roman"/>
          <w:sz w:val="24"/>
        </w:rPr>
        <w:t>[43].</w:t>
      </w:r>
    </w:p>
  </w:footnote>
  <w:footnote w:id="29">
    <w:p w14:paraId="4ADC6A38" w14:textId="2E7B3472" w:rsidR="003169E0" w:rsidRPr="00F117EB" w:rsidRDefault="003169E0"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t>(193</w:t>
      </w:r>
      <w:r w:rsidR="0054734A" w:rsidRPr="00F117EB">
        <w:rPr>
          <w:rFonts w:ascii="Times New Roman" w:hAnsi="Times New Roman"/>
          <w:sz w:val="24"/>
        </w:rPr>
        <w:t>6</w:t>
      </w:r>
      <w:r w:rsidRPr="00F117EB">
        <w:rPr>
          <w:rFonts w:ascii="Times New Roman" w:hAnsi="Times New Roman"/>
          <w:sz w:val="24"/>
        </w:rPr>
        <w:t xml:space="preserve">) 55 CLR </w:t>
      </w:r>
      <w:r w:rsidR="0054734A" w:rsidRPr="00F117EB">
        <w:rPr>
          <w:rFonts w:ascii="Times New Roman" w:hAnsi="Times New Roman"/>
          <w:sz w:val="24"/>
        </w:rPr>
        <w:t>499</w:t>
      </w:r>
      <w:r w:rsidR="00FA560C" w:rsidRPr="00F117EB">
        <w:rPr>
          <w:rFonts w:ascii="Times New Roman" w:hAnsi="Times New Roman"/>
          <w:sz w:val="24"/>
        </w:rPr>
        <w:t xml:space="preserve"> at</w:t>
      </w:r>
      <w:r w:rsidRPr="00F117EB">
        <w:rPr>
          <w:rFonts w:ascii="Times New Roman" w:hAnsi="Times New Roman"/>
          <w:sz w:val="24"/>
        </w:rPr>
        <w:t xml:space="preserve"> 504-505.</w:t>
      </w:r>
    </w:p>
  </w:footnote>
  <w:footnote w:id="30">
    <w:p w14:paraId="12718075" w14:textId="38A25897" w:rsidR="00271B82" w:rsidRPr="00F117EB" w:rsidRDefault="00271B82"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Pr="00F117EB">
        <w:rPr>
          <w:rFonts w:ascii="Times New Roman" w:hAnsi="Times New Roman"/>
          <w:i/>
          <w:iCs/>
          <w:sz w:val="24"/>
        </w:rPr>
        <w:t>Kentwell</w:t>
      </w:r>
      <w:proofErr w:type="spellEnd"/>
      <w:r w:rsidRPr="00F117EB">
        <w:rPr>
          <w:rFonts w:ascii="Times New Roman" w:hAnsi="Times New Roman"/>
          <w:sz w:val="24"/>
        </w:rPr>
        <w:t xml:space="preserve"> </w:t>
      </w:r>
      <w:r w:rsidR="004B3AE7" w:rsidRPr="00F117EB">
        <w:rPr>
          <w:rFonts w:ascii="Times New Roman" w:hAnsi="Times New Roman"/>
          <w:sz w:val="24"/>
        </w:rPr>
        <w:t xml:space="preserve">(2014) 252 CLR 601 </w:t>
      </w:r>
      <w:r w:rsidRPr="00F117EB">
        <w:rPr>
          <w:rFonts w:ascii="Times New Roman" w:hAnsi="Times New Roman"/>
          <w:sz w:val="24"/>
        </w:rPr>
        <w:t>at</w:t>
      </w:r>
      <w:r w:rsidR="004B3AE7" w:rsidRPr="00F117EB">
        <w:rPr>
          <w:rFonts w:ascii="Times New Roman" w:hAnsi="Times New Roman"/>
          <w:sz w:val="24"/>
        </w:rPr>
        <w:t xml:space="preserve"> 615</w:t>
      </w:r>
      <w:r w:rsidRPr="00F117EB">
        <w:rPr>
          <w:rFonts w:ascii="Times New Roman" w:hAnsi="Times New Roman"/>
          <w:sz w:val="24"/>
        </w:rPr>
        <w:t xml:space="preserve"> [35]</w:t>
      </w:r>
      <w:r w:rsidR="0018162B" w:rsidRPr="00F117EB">
        <w:rPr>
          <w:rFonts w:ascii="Times New Roman" w:hAnsi="Times New Roman"/>
          <w:sz w:val="24"/>
        </w:rPr>
        <w:t xml:space="preserve">; </w:t>
      </w:r>
      <w:r w:rsidR="0018162B" w:rsidRPr="00F117EB">
        <w:rPr>
          <w:rFonts w:ascii="Times New Roman" w:hAnsi="Times New Roman"/>
          <w:i/>
          <w:iCs/>
          <w:sz w:val="24"/>
        </w:rPr>
        <w:t>Criminal Appeal Act</w:t>
      </w:r>
      <w:r w:rsidR="005A4A02" w:rsidRPr="00F117EB">
        <w:rPr>
          <w:rFonts w:ascii="Times New Roman" w:hAnsi="Times New Roman"/>
          <w:i/>
          <w:iCs/>
          <w:sz w:val="24"/>
        </w:rPr>
        <w:t xml:space="preserve"> 1912</w:t>
      </w:r>
      <w:r w:rsidR="005A4A02" w:rsidRPr="00F117EB">
        <w:rPr>
          <w:rFonts w:ascii="Times New Roman" w:hAnsi="Times New Roman"/>
          <w:sz w:val="24"/>
        </w:rPr>
        <w:t xml:space="preserve"> (NSW)</w:t>
      </w:r>
      <w:r w:rsidR="0018162B" w:rsidRPr="00F117EB">
        <w:rPr>
          <w:rFonts w:ascii="Times New Roman" w:hAnsi="Times New Roman"/>
          <w:sz w:val="24"/>
        </w:rPr>
        <w:t>, s 5D</w:t>
      </w:r>
      <w:r w:rsidRPr="00F117EB">
        <w:rPr>
          <w:rFonts w:ascii="Times New Roman" w:hAnsi="Times New Roman"/>
          <w:sz w:val="24"/>
        </w:rPr>
        <w:t>.</w:t>
      </w:r>
    </w:p>
  </w:footnote>
  <w:footnote w:id="31">
    <w:p w14:paraId="62A6C048" w14:textId="09843964" w:rsidR="00271B82" w:rsidRPr="00F117EB" w:rsidRDefault="00271B82"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C8353B" w:rsidRPr="00F117EB">
        <w:rPr>
          <w:rFonts w:ascii="Times New Roman" w:hAnsi="Times New Roman"/>
          <w:sz w:val="24"/>
        </w:rPr>
        <w:t>S</w:t>
      </w:r>
      <w:r w:rsidRPr="00F117EB">
        <w:rPr>
          <w:rFonts w:ascii="Times New Roman" w:hAnsi="Times New Roman"/>
          <w:sz w:val="24"/>
        </w:rPr>
        <w:t xml:space="preserve">ee </w:t>
      </w:r>
      <w:r w:rsidRPr="00F117EB">
        <w:rPr>
          <w:rFonts w:ascii="Times New Roman" w:hAnsi="Times New Roman"/>
          <w:i/>
          <w:iCs/>
          <w:sz w:val="24"/>
        </w:rPr>
        <w:t>AB v The Queen</w:t>
      </w:r>
      <w:r w:rsidRPr="00F117EB">
        <w:rPr>
          <w:rFonts w:ascii="Times New Roman" w:hAnsi="Times New Roman"/>
          <w:sz w:val="24"/>
        </w:rPr>
        <w:t xml:space="preserve"> (1999) 198 CLR 111 at </w:t>
      </w:r>
      <w:r w:rsidR="00106BB6" w:rsidRPr="00F117EB">
        <w:rPr>
          <w:rFonts w:ascii="Times New Roman" w:hAnsi="Times New Roman"/>
          <w:sz w:val="24"/>
        </w:rPr>
        <w:t xml:space="preserve">160 </w:t>
      </w:r>
      <w:r w:rsidRPr="00F117EB">
        <w:rPr>
          <w:rFonts w:ascii="Times New Roman" w:hAnsi="Times New Roman"/>
          <w:sz w:val="24"/>
        </w:rPr>
        <w:t>[130].</w:t>
      </w:r>
    </w:p>
  </w:footnote>
  <w:footnote w:id="32">
    <w:p w14:paraId="55E710A5" w14:textId="5FDD177A" w:rsidR="00CD069C" w:rsidRPr="00F117EB" w:rsidRDefault="00CD069C"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DD00C6" w:rsidRPr="00F117EB">
        <w:rPr>
          <w:rFonts w:ascii="Times New Roman" w:hAnsi="Times New Roman"/>
          <w:sz w:val="24"/>
        </w:rPr>
        <w:t xml:space="preserve">(2007) 173 A Crim R 284; </w:t>
      </w:r>
      <w:r w:rsidR="00587F6D" w:rsidRPr="00F117EB">
        <w:rPr>
          <w:rFonts w:ascii="Times New Roman" w:hAnsi="Times New Roman"/>
          <w:sz w:val="24"/>
        </w:rPr>
        <w:t xml:space="preserve">see also </w:t>
      </w:r>
      <w:proofErr w:type="spellStart"/>
      <w:r w:rsidR="00DD00C6" w:rsidRPr="00F117EB">
        <w:rPr>
          <w:rFonts w:ascii="Times New Roman" w:hAnsi="Times New Roman"/>
          <w:i/>
          <w:iCs/>
          <w:sz w:val="24"/>
        </w:rPr>
        <w:t>Kentwell</w:t>
      </w:r>
      <w:proofErr w:type="spellEnd"/>
      <w:r w:rsidR="00DD00C6" w:rsidRPr="00F117EB">
        <w:rPr>
          <w:rFonts w:ascii="Times New Roman" w:hAnsi="Times New Roman"/>
          <w:sz w:val="24"/>
        </w:rPr>
        <w:t xml:space="preserve"> </w:t>
      </w:r>
      <w:r w:rsidR="003650F7" w:rsidRPr="00F117EB">
        <w:rPr>
          <w:rFonts w:ascii="Times New Roman" w:hAnsi="Times New Roman"/>
          <w:sz w:val="24"/>
        </w:rPr>
        <w:t xml:space="preserve">(2014) 252 CLR 601 </w:t>
      </w:r>
      <w:r w:rsidR="00DD00C6" w:rsidRPr="00F117EB">
        <w:rPr>
          <w:rFonts w:ascii="Times New Roman" w:hAnsi="Times New Roman"/>
          <w:sz w:val="24"/>
        </w:rPr>
        <w:t xml:space="preserve">at </w:t>
      </w:r>
      <w:r w:rsidR="00633187" w:rsidRPr="00F117EB">
        <w:rPr>
          <w:rFonts w:ascii="Times New Roman" w:hAnsi="Times New Roman"/>
          <w:sz w:val="24"/>
        </w:rPr>
        <w:t xml:space="preserve">617-618 </w:t>
      </w:r>
      <w:r w:rsidR="00DD00C6" w:rsidRPr="00F117EB">
        <w:rPr>
          <w:rFonts w:ascii="Times New Roman" w:hAnsi="Times New Roman"/>
          <w:sz w:val="24"/>
        </w:rPr>
        <w:t>[42]</w:t>
      </w:r>
      <w:r w:rsidR="00633187" w:rsidRPr="00F117EB">
        <w:rPr>
          <w:rFonts w:ascii="Times New Roman" w:hAnsi="Times New Roman"/>
          <w:sz w:val="24"/>
        </w:rPr>
        <w:t xml:space="preserve">; </w:t>
      </w:r>
      <w:proofErr w:type="spellStart"/>
      <w:r w:rsidR="00633187" w:rsidRPr="00F117EB">
        <w:rPr>
          <w:rFonts w:ascii="Times New Roman" w:hAnsi="Times New Roman"/>
          <w:sz w:val="24"/>
        </w:rPr>
        <w:t>cf</w:t>
      </w:r>
      <w:proofErr w:type="spellEnd"/>
      <w:r w:rsidR="00633187" w:rsidRPr="00F117EB">
        <w:rPr>
          <w:rFonts w:ascii="Times New Roman" w:hAnsi="Times New Roman"/>
          <w:sz w:val="24"/>
        </w:rPr>
        <w:t xml:space="preserve"> at </w:t>
      </w:r>
      <w:r w:rsidR="00F75CF4" w:rsidRPr="00F117EB">
        <w:rPr>
          <w:rFonts w:ascii="Times New Roman" w:hAnsi="Times New Roman"/>
          <w:sz w:val="24"/>
        </w:rPr>
        <w:t>619-620 [48].</w:t>
      </w:r>
    </w:p>
  </w:footnote>
  <w:footnote w:id="33">
    <w:p w14:paraId="06644D21" w14:textId="170CC2D4" w:rsidR="00F51A2B" w:rsidRPr="00F117EB" w:rsidRDefault="00F51A2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Baxter</w:t>
      </w:r>
      <w:r w:rsidRPr="00F117EB">
        <w:rPr>
          <w:rFonts w:ascii="Times New Roman" w:hAnsi="Times New Roman"/>
          <w:sz w:val="24"/>
        </w:rPr>
        <w:t xml:space="preserve"> </w:t>
      </w:r>
      <w:r w:rsidR="002C3600" w:rsidRPr="00F117EB">
        <w:rPr>
          <w:rFonts w:ascii="Times New Roman" w:hAnsi="Times New Roman"/>
          <w:sz w:val="24"/>
        </w:rPr>
        <w:t xml:space="preserve">(2007) 173 A Crim R 284 </w:t>
      </w:r>
      <w:r w:rsidRPr="00F117EB">
        <w:rPr>
          <w:rFonts w:ascii="Times New Roman" w:hAnsi="Times New Roman"/>
          <w:sz w:val="24"/>
        </w:rPr>
        <w:t xml:space="preserve">at </w:t>
      </w:r>
      <w:r w:rsidR="007569F8" w:rsidRPr="00F117EB">
        <w:rPr>
          <w:rFonts w:ascii="Times New Roman" w:hAnsi="Times New Roman"/>
          <w:sz w:val="24"/>
        </w:rPr>
        <w:t xml:space="preserve">285 </w:t>
      </w:r>
      <w:r w:rsidRPr="00F117EB">
        <w:rPr>
          <w:rFonts w:ascii="Times New Roman" w:hAnsi="Times New Roman"/>
          <w:sz w:val="24"/>
        </w:rPr>
        <w:t>[1]</w:t>
      </w:r>
      <w:r w:rsidR="003650F7" w:rsidRPr="00F117EB">
        <w:rPr>
          <w:rFonts w:ascii="Times New Roman" w:hAnsi="Times New Roman"/>
          <w:sz w:val="24"/>
        </w:rPr>
        <w:t>.</w:t>
      </w:r>
    </w:p>
  </w:footnote>
  <w:footnote w:id="34">
    <w:p w14:paraId="7C53358B" w14:textId="70FCE0B2" w:rsidR="001262F0" w:rsidRPr="00F117EB" w:rsidRDefault="001262F0"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Baxter</w:t>
      </w:r>
      <w:r w:rsidRPr="00F117EB">
        <w:rPr>
          <w:rFonts w:ascii="Times New Roman" w:hAnsi="Times New Roman"/>
          <w:sz w:val="24"/>
        </w:rPr>
        <w:t xml:space="preserve"> </w:t>
      </w:r>
      <w:r w:rsidR="004675D2" w:rsidRPr="00F117EB">
        <w:rPr>
          <w:rFonts w:ascii="Times New Roman" w:hAnsi="Times New Roman"/>
          <w:sz w:val="24"/>
        </w:rPr>
        <w:t xml:space="preserve">(2007) 173 A Crim R 284 </w:t>
      </w:r>
      <w:r w:rsidRPr="00F117EB">
        <w:rPr>
          <w:rFonts w:ascii="Times New Roman" w:hAnsi="Times New Roman"/>
          <w:sz w:val="24"/>
        </w:rPr>
        <w:t xml:space="preserve">at </w:t>
      </w:r>
      <w:r w:rsidR="004675D2" w:rsidRPr="00F117EB">
        <w:rPr>
          <w:rFonts w:ascii="Times New Roman" w:hAnsi="Times New Roman"/>
          <w:sz w:val="24"/>
        </w:rPr>
        <w:t xml:space="preserve">294 </w:t>
      </w:r>
      <w:r w:rsidRPr="00F117EB">
        <w:rPr>
          <w:rFonts w:ascii="Times New Roman" w:hAnsi="Times New Roman"/>
          <w:sz w:val="24"/>
        </w:rPr>
        <w:t>[55],</w:t>
      </w:r>
      <w:r w:rsidR="004675D2" w:rsidRPr="00F117EB">
        <w:rPr>
          <w:rFonts w:ascii="Times New Roman" w:hAnsi="Times New Roman"/>
          <w:sz w:val="24"/>
        </w:rPr>
        <w:t xml:space="preserve"> 295 </w:t>
      </w:r>
      <w:r w:rsidRPr="00F117EB">
        <w:rPr>
          <w:rFonts w:ascii="Times New Roman" w:hAnsi="Times New Roman"/>
          <w:sz w:val="24"/>
        </w:rPr>
        <w:t>[61]</w:t>
      </w:r>
      <w:r w:rsidR="004675D2" w:rsidRPr="00F117EB">
        <w:rPr>
          <w:rFonts w:ascii="Times New Roman" w:hAnsi="Times New Roman"/>
          <w:sz w:val="24"/>
        </w:rPr>
        <w:t>.</w:t>
      </w:r>
    </w:p>
  </w:footnote>
  <w:footnote w:id="35">
    <w:p w14:paraId="6C5268D0" w14:textId="7834A676" w:rsidR="00DC3526" w:rsidRPr="00F117EB" w:rsidRDefault="00DC3526"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Baxter</w:t>
      </w:r>
      <w:r w:rsidRPr="00F117EB">
        <w:rPr>
          <w:rFonts w:ascii="Times New Roman" w:hAnsi="Times New Roman"/>
          <w:sz w:val="24"/>
        </w:rPr>
        <w:t xml:space="preserve"> (2007) 173 A Crim R 284 at 294 [60].</w:t>
      </w:r>
    </w:p>
  </w:footnote>
  <w:footnote w:id="36">
    <w:p w14:paraId="4B6FF05C" w14:textId="7056B531" w:rsidR="00296B6B" w:rsidRPr="00F117EB" w:rsidRDefault="00296B6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Pr="00F117EB">
        <w:rPr>
          <w:rFonts w:ascii="Times New Roman" w:hAnsi="Times New Roman"/>
          <w:i/>
          <w:iCs/>
          <w:sz w:val="24"/>
        </w:rPr>
        <w:t>Kentwell</w:t>
      </w:r>
      <w:proofErr w:type="spellEnd"/>
      <w:r w:rsidRPr="00F117EB">
        <w:rPr>
          <w:rFonts w:ascii="Times New Roman" w:hAnsi="Times New Roman"/>
          <w:sz w:val="24"/>
        </w:rPr>
        <w:t xml:space="preserve"> (2014) 252 CLR 601 at 61</w:t>
      </w:r>
      <w:r w:rsidR="003C74A2" w:rsidRPr="00F117EB">
        <w:rPr>
          <w:rFonts w:ascii="Times New Roman" w:hAnsi="Times New Roman"/>
          <w:sz w:val="24"/>
        </w:rPr>
        <w:t>8</w:t>
      </w:r>
      <w:r w:rsidRPr="00F117EB">
        <w:rPr>
          <w:rFonts w:ascii="Times New Roman" w:hAnsi="Times New Roman"/>
          <w:sz w:val="24"/>
        </w:rPr>
        <w:t xml:space="preserve"> [42].</w:t>
      </w:r>
    </w:p>
  </w:footnote>
  <w:footnote w:id="37">
    <w:p w14:paraId="3AAE1045" w14:textId="70005DFC" w:rsidR="00296B6B" w:rsidRPr="00F117EB" w:rsidRDefault="00296B6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Pr="00F117EB">
        <w:rPr>
          <w:rFonts w:ascii="Times New Roman" w:hAnsi="Times New Roman"/>
          <w:i/>
          <w:iCs/>
          <w:sz w:val="24"/>
        </w:rPr>
        <w:t>Kentwell</w:t>
      </w:r>
      <w:proofErr w:type="spellEnd"/>
      <w:r w:rsidRPr="00F117EB">
        <w:rPr>
          <w:rFonts w:ascii="Times New Roman" w:hAnsi="Times New Roman"/>
          <w:i/>
          <w:iCs/>
          <w:sz w:val="24"/>
        </w:rPr>
        <w:t xml:space="preserve"> </w:t>
      </w:r>
      <w:r w:rsidRPr="00F117EB">
        <w:rPr>
          <w:rFonts w:ascii="Times New Roman" w:hAnsi="Times New Roman"/>
          <w:sz w:val="24"/>
        </w:rPr>
        <w:t>(2014) 252 CLR 601 at 61</w:t>
      </w:r>
      <w:r w:rsidR="008E0A51" w:rsidRPr="00F117EB">
        <w:rPr>
          <w:rFonts w:ascii="Times New Roman" w:hAnsi="Times New Roman"/>
          <w:sz w:val="24"/>
        </w:rPr>
        <w:t>8</w:t>
      </w:r>
      <w:r w:rsidRPr="00F117EB">
        <w:rPr>
          <w:rFonts w:ascii="Times New Roman" w:hAnsi="Times New Roman"/>
          <w:sz w:val="24"/>
        </w:rPr>
        <w:t xml:space="preserve"> [42].</w:t>
      </w:r>
    </w:p>
  </w:footnote>
  <w:footnote w:id="38">
    <w:p w14:paraId="7DDFD514" w14:textId="0A9C8894" w:rsidR="00CA5FFC" w:rsidRPr="00F117EB" w:rsidRDefault="00CA5FFC"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Pr="00F117EB">
        <w:rPr>
          <w:rFonts w:ascii="Times New Roman" w:hAnsi="Times New Roman"/>
          <w:i/>
          <w:iCs/>
          <w:sz w:val="24"/>
        </w:rPr>
        <w:t>Kentwell</w:t>
      </w:r>
      <w:proofErr w:type="spellEnd"/>
      <w:r w:rsidRPr="00F117EB">
        <w:rPr>
          <w:rFonts w:ascii="Times New Roman" w:hAnsi="Times New Roman"/>
          <w:i/>
          <w:iCs/>
          <w:sz w:val="24"/>
        </w:rPr>
        <w:t xml:space="preserve"> </w:t>
      </w:r>
      <w:r w:rsidRPr="00F117EB">
        <w:rPr>
          <w:rFonts w:ascii="Times New Roman" w:hAnsi="Times New Roman"/>
          <w:sz w:val="24"/>
        </w:rPr>
        <w:t>(2014) 252 CLR 601 at 61</w:t>
      </w:r>
      <w:r w:rsidR="00BF5780" w:rsidRPr="00F117EB">
        <w:rPr>
          <w:rFonts w:ascii="Times New Roman" w:hAnsi="Times New Roman"/>
          <w:sz w:val="24"/>
        </w:rPr>
        <w:t>8</w:t>
      </w:r>
      <w:r w:rsidRPr="00F117EB">
        <w:rPr>
          <w:rFonts w:ascii="Times New Roman" w:hAnsi="Times New Roman"/>
          <w:sz w:val="24"/>
        </w:rPr>
        <w:t xml:space="preserve"> [42].</w:t>
      </w:r>
    </w:p>
  </w:footnote>
  <w:footnote w:id="39">
    <w:p w14:paraId="46E16A43" w14:textId="0C1B8572" w:rsidR="002E4EE3" w:rsidRPr="00F117EB" w:rsidRDefault="002E4EE3"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39079C" w:rsidRPr="00F117EB">
        <w:rPr>
          <w:rFonts w:ascii="Times New Roman" w:hAnsi="Times New Roman"/>
          <w:sz w:val="24"/>
        </w:rPr>
        <w:t xml:space="preserve">(1936) 55 CLR 499 </w:t>
      </w:r>
      <w:r w:rsidRPr="00F117EB">
        <w:rPr>
          <w:rFonts w:ascii="Times New Roman" w:hAnsi="Times New Roman"/>
          <w:sz w:val="24"/>
        </w:rPr>
        <w:t>at 504-505</w:t>
      </w:r>
      <w:r w:rsidR="003D350F" w:rsidRPr="00F117EB">
        <w:rPr>
          <w:rFonts w:ascii="Times New Roman" w:hAnsi="Times New Roman"/>
          <w:sz w:val="24"/>
        </w:rPr>
        <w:t>.</w:t>
      </w:r>
    </w:p>
  </w:footnote>
  <w:footnote w:id="40">
    <w:p w14:paraId="262980C2" w14:textId="1B733FB2" w:rsidR="00833EB6" w:rsidRPr="00F117EB" w:rsidRDefault="00833EB6"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Pr="00F117EB">
        <w:rPr>
          <w:rFonts w:ascii="Times New Roman" w:hAnsi="Times New Roman"/>
          <w:i/>
          <w:iCs/>
          <w:sz w:val="24"/>
        </w:rPr>
        <w:t>Kentwell</w:t>
      </w:r>
      <w:proofErr w:type="spellEnd"/>
      <w:r w:rsidRPr="00F117EB">
        <w:rPr>
          <w:rFonts w:ascii="Times New Roman" w:hAnsi="Times New Roman"/>
          <w:i/>
          <w:iCs/>
          <w:sz w:val="24"/>
        </w:rPr>
        <w:t xml:space="preserve"> </w:t>
      </w:r>
      <w:r w:rsidRPr="00F117EB">
        <w:rPr>
          <w:rFonts w:ascii="Times New Roman" w:hAnsi="Times New Roman"/>
          <w:sz w:val="24"/>
        </w:rPr>
        <w:t>(2014) 252 CLR 601 at 61</w:t>
      </w:r>
      <w:r w:rsidR="00BF5780" w:rsidRPr="00F117EB">
        <w:rPr>
          <w:rFonts w:ascii="Times New Roman" w:hAnsi="Times New Roman"/>
          <w:sz w:val="24"/>
        </w:rPr>
        <w:t>7</w:t>
      </w:r>
      <w:r w:rsidR="001E3B34" w:rsidRPr="00F117EB">
        <w:rPr>
          <w:rFonts w:ascii="Times New Roman" w:hAnsi="Times New Roman"/>
          <w:sz w:val="24"/>
        </w:rPr>
        <w:t>-61</w:t>
      </w:r>
      <w:r w:rsidR="00BF5780" w:rsidRPr="00F117EB">
        <w:rPr>
          <w:rFonts w:ascii="Times New Roman" w:hAnsi="Times New Roman"/>
          <w:sz w:val="24"/>
        </w:rPr>
        <w:t>8</w:t>
      </w:r>
      <w:r w:rsidRPr="00F117EB">
        <w:rPr>
          <w:rFonts w:ascii="Times New Roman" w:hAnsi="Times New Roman"/>
          <w:sz w:val="24"/>
        </w:rPr>
        <w:t xml:space="preserve"> [42]</w:t>
      </w:r>
      <w:r w:rsidR="00F978FA" w:rsidRPr="00F117EB">
        <w:rPr>
          <w:rFonts w:ascii="Times New Roman" w:hAnsi="Times New Roman"/>
          <w:sz w:val="24"/>
        </w:rPr>
        <w:t xml:space="preserve"> (emphasis added), citing </w:t>
      </w:r>
      <w:r w:rsidR="00EA6B24" w:rsidRPr="00F117EB">
        <w:rPr>
          <w:rFonts w:ascii="Times New Roman" w:hAnsi="Times New Roman"/>
          <w:i/>
          <w:iCs/>
          <w:sz w:val="24"/>
        </w:rPr>
        <w:t>House v The King</w:t>
      </w:r>
      <w:r w:rsidR="00EA6B24" w:rsidRPr="00F117EB">
        <w:rPr>
          <w:rFonts w:ascii="Times New Roman" w:hAnsi="Times New Roman"/>
          <w:sz w:val="24"/>
        </w:rPr>
        <w:t xml:space="preserve"> (1936) 55 CLR 499 at 505</w:t>
      </w:r>
      <w:r w:rsidRPr="00F117EB">
        <w:rPr>
          <w:rFonts w:ascii="Times New Roman" w:hAnsi="Times New Roman"/>
          <w:sz w:val="24"/>
        </w:rPr>
        <w:t>.</w:t>
      </w:r>
    </w:p>
  </w:footnote>
  <w:footnote w:id="41">
    <w:p w14:paraId="6A3F4650" w14:textId="4044FF13" w:rsidR="00A5476F" w:rsidRPr="00F117EB" w:rsidRDefault="00A5476F"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8B0381" w:rsidRPr="00F117EB">
        <w:rPr>
          <w:rFonts w:ascii="Times New Roman" w:hAnsi="Times New Roman"/>
          <w:i/>
          <w:iCs/>
          <w:sz w:val="24"/>
        </w:rPr>
        <w:t xml:space="preserve">Brawn </w:t>
      </w:r>
      <w:r w:rsidR="004E122F" w:rsidRPr="00F117EB">
        <w:rPr>
          <w:rFonts w:ascii="Times New Roman" w:hAnsi="Times New Roman"/>
          <w:sz w:val="24"/>
        </w:rPr>
        <w:t>(2025) 99 ALJR 87</w:t>
      </w:r>
      <w:r w:rsidR="008B0381" w:rsidRPr="00F117EB">
        <w:rPr>
          <w:rFonts w:ascii="Times New Roman" w:hAnsi="Times New Roman"/>
          <w:sz w:val="24"/>
        </w:rPr>
        <w:t>2</w:t>
      </w:r>
      <w:r w:rsidR="004E122F" w:rsidRPr="00F117EB">
        <w:rPr>
          <w:rFonts w:ascii="Times New Roman" w:hAnsi="Times New Roman"/>
          <w:sz w:val="24"/>
        </w:rPr>
        <w:t xml:space="preserve"> at 876 [</w:t>
      </w:r>
      <w:r w:rsidR="004504DD" w:rsidRPr="00F117EB">
        <w:rPr>
          <w:rFonts w:ascii="Times New Roman" w:hAnsi="Times New Roman"/>
          <w:sz w:val="24"/>
        </w:rPr>
        <w:t>9</w:t>
      </w:r>
      <w:r w:rsidR="004E122F" w:rsidRPr="00F117EB">
        <w:rPr>
          <w:rFonts w:ascii="Times New Roman" w:hAnsi="Times New Roman"/>
          <w:sz w:val="24"/>
        </w:rPr>
        <w:t>]; 423 ALR 69 at 73.</w:t>
      </w:r>
    </w:p>
  </w:footnote>
  <w:footnote w:id="42">
    <w:p w14:paraId="525912B0" w14:textId="5A1E7846" w:rsidR="008935B8" w:rsidRPr="00F117EB" w:rsidRDefault="008935B8"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Brawn</w:t>
      </w:r>
      <w:r w:rsidR="00A963FA" w:rsidRPr="00F117EB">
        <w:rPr>
          <w:rFonts w:ascii="Times New Roman" w:hAnsi="Times New Roman"/>
          <w:i/>
          <w:iCs/>
          <w:sz w:val="24"/>
        </w:rPr>
        <w:t xml:space="preserve"> </w:t>
      </w:r>
      <w:r w:rsidR="00A963FA" w:rsidRPr="00F117EB">
        <w:rPr>
          <w:rFonts w:ascii="Times New Roman" w:hAnsi="Times New Roman"/>
          <w:sz w:val="24"/>
        </w:rPr>
        <w:t>(2025) 99 ALJR 872 at 876 [</w:t>
      </w:r>
      <w:r w:rsidR="008B0381" w:rsidRPr="00F117EB">
        <w:rPr>
          <w:rFonts w:ascii="Times New Roman" w:hAnsi="Times New Roman"/>
          <w:sz w:val="24"/>
        </w:rPr>
        <w:t>10</w:t>
      </w:r>
      <w:r w:rsidR="00A963FA" w:rsidRPr="00F117EB">
        <w:rPr>
          <w:rFonts w:ascii="Times New Roman" w:hAnsi="Times New Roman"/>
          <w:sz w:val="24"/>
        </w:rPr>
        <w:t>]; 423 ALR 69 at 73</w:t>
      </w:r>
      <w:r w:rsidRPr="00F117EB">
        <w:rPr>
          <w:rFonts w:ascii="Times New Roman" w:hAnsi="Times New Roman"/>
          <w:sz w:val="24"/>
        </w:rPr>
        <w:t>.</w:t>
      </w:r>
    </w:p>
  </w:footnote>
  <w:footnote w:id="43">
    <w:p w14:paraId="5140DC72" w14:textId="1B7D4A86" w:rsidR="00A963FA" w:rsidRPr="00F117EB" w:rsidRDefault="00A963FA"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proofErr w:type="spellStart"/>
      <w:r w:rsidRPr="00F117EB">
        <w:rPr>
          <w:rFonts w:ascii="Times New Roman" w:hAnsi="Times New Roman"/>
          <w:i/>
          <w:iCs/>
          <w:sz w:val="24"/>
        </w:rPr>
        <w:t>Kentwell</w:t>
      </w:r>
      <w:proofErr w:type="spellEnd"/>
      <w:r w:rsidRPr="00F117EB">
        <w:rPr>
          <w:rFonts w:ascii="Times New Roman" w:hAnsi="Times New Roman"/>
          <w:i/>
          <w:iCs/>
          <w:sz w:val="24"/>
        </w:rPr>
        <w:t xml:space="preserve"> </w:t>
      </w:r>
      <w:r w:rsidRPr="00F117EB">
        <w:rPr>
          <w:rFonts w:ascii="Times New Roman" w:hAnsi="Times New Roman"/>
          <w:sz w:val="24"/>
        </w:rPr>
        <w:t>(2014) 252 CLR 601 at 61</w:t>
      </w:r>
      <w:r w:rsidR="002D6C07" w:rsidRPr="00F117EB">
        <w:rPr>
          <w:rFonts w:ascii="Times New Roman" w:hAnsi="Times New Roman"/>
          <w:sz w:val="24"/>
        </w:rPr>
        <w:t>7</w:t>
      </w:r>
      <w:r w:rsidRPr="00F117EB">
        <w:rPr>
          <w:rFonts w:ascii="Times New Roman" w:hAnsi="Times New Roman"/>
          <w:sz w:val="24"/>
        </w:rPr>
        <w:t>-61</w:t>
      </w:r>
      <w:r w:rsidR="002D6C07" w:rsidRPr="00F117EB">
        <w:rPr>
          <w:rFonts w:ascii="Times New Roman" w:hAnsi="Times New Roman"/>
          <w:sz w:val="24"/>
        </w:rPr>
        <w:t>8</w:t>
      </w:r>
      <w:r w:rsidRPr="00F117EB">
        <w:rPr>
          <w:rFonts w:ascii="Times New Roman" w:hAnsi="Times New Roman"/>
          <w:sz w:val="24"/>
        </w:rPr>
        <w:t xml:space="preserve"> [42].</w:t>
      </w:r>
    </w:p>
  </w:footnote>
  <w:footnote w:id="44">
    <w:p w14:paraId="5EEC944F" w14:textId="5DF8EC7F" w:rsidR="00834ED3" w:rsidRPr="00F117EB" w:rsidRDefault="00834ED3"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Brawn</w:t>
      </w:r>
      <w:r w:rsidRPr="00F117EB">
        <w:rPr>
          <w:rFonts w:ascii="Times New Roman" w:hAnsi="Times New Roman"/>
          <w:sz w:val="24"/>
        </w:rPr>
        <w:t xml:space="preserve"> </w:t>
      </w:r>
      <w:r w:rsidR="00A963FA" w:rsidRPr="00F117EB">
        <w:rPr>
          <w:rFonts w:ascii="Times New Roman" w:hAnsi="Times New Roman"/>
          <w:sz w:val="24"/>
        </w:rPr>
        <w:t xml:space="preserve">(2025) 99 ALJR 872 at 876 [10]; 423 ALR 69 at 74. </w:t>
      </w:r>
    </w:p>
  </w:footnote>
  <w:footnote w:id="45">
    <w:p w14:paraId="6E922865" w14:textId="3DC197E2" w:rsidR="00680DE8" w:rsidRPr="00F117EB" w:rsidRDefault="00680DE8"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Betts</w:t>
      </w:r>
      <w:r w:rsidRPr="00F117EB">
        <w:rPr>
          <w:rFonts w:ascii="Times New Roman" w:hAnsi="Times New Roman"/>
          <w:sz w:val="24"/>
        </w:rPr>
        <w:t xml:space="preserve"> </w:t>
      </w:r>
      <w:r w:rsidR="00207B10" w:rsidRPr="00F117EB">
        <w:rPr>
          <w:rFonts w:ascii="Times New Roman" w:hAnsi="Times New Roman"/>
          <w:sz w:val="24"/>
        </w:rPr>
        <w:t xml:space="preserve">(2016) 258 CLR 420 </w:t>
      </w:r>
      <w:r w:rsidRPr="00F117EB">
        <w:rPr>
          <w:rFonts w:ascii="Times New Roman" w:hAnsi="Times New Roman"/>
          <w:sz w:val="24"/>
        </w:rPr>
        <w:t xml:space="preserve">at </w:t>
      </w:r>
      <w:r w:rsidR="00207B10" w:rsidRPr="00F117EB">
        <w:rPr>
          <w:rFonts w:ascii="Times New Roman" w:hAnsi="Times New Roman"/>
          <w:sz w:val="24"/>
        </w:rPr>
        <w:t xml:space="preserve">423 [2], </w:t>
      </w:r>
      <w:r w:rsidR="00B52165" w:rsidRPr="00F117EB">
        <w:rPr>
          <w:rFonts w:ascii="Times New Roman" w:hAnsi="Times New Roman"/>
          <w:sz w:val="24"/>
        </w:rPr>
        <w:t xml:space="preserve">425-426 </w:t>
      </w:r>
      <w:r w:rsidRPr="00F117EB">
        <w:rPr>
          <w:rFonts w:ascii="Times New Roman" w:hAnsi="Times New Roman"/>
          <w:sz w:val="24"/>
        </w:rPr>
        <w:t>[10]</w:t>
      </w:r>
      <w:r w:rsidR="00B52165" w:rsidRPr="00F117EB">
        <w:rPr>
          <w:rFonts w:ascii="Times New Roman" w:hAnsi="Times New Roman"/>
          <w:sz w:val="24"/>
        </w:rPr>
        <w:t>,</w:t>
      </w:r>
      <w:r w:rsidRPr="00F117EB">
        <w:rPr>
          <w:rFonts w:ascii="Times New Roman" w:hAnsi="Times New Roman"/>
          <w:sz w:val="24"/>
        </w:rPr>
        <w:t xml:space="preserve"> </w:t>
      </w:r>
      <w:r w:rsidR="00B52165" w:rsidRPr="00F117EB">
        <w:rPr>
          <w:rFonts w:ascii="Times New Roman" w:hAnsi="Times New Roman"/>
          <w:sz w:val="24"/>
        </w:rPr>
        <w:t xml:space="preserve">citing </w:t>
      </w:r>
      <w:r w:rsidR="003F0BE8" w:rsidRPr="00F117EB">
        <w:rPr>
          <w:rFonts w:ascii="Times New Roman" w:hAnsi="Times New Roman"/>
          <w:i/>
          <w:iCs/>
          <w:sz w:val="24"/>
        </w:rPr>
        <w:t>R v </w:t>
      </w:r>
      <w:proofErr w:type="spellStart"/>
      <w:r w:rsidR="003F0BE8" w:rsidRPr="00F117EB">
        <w:rPr>
          <w:rFonts w:ascii="Times New Roman" w:hAnsi="Times New Roman"/>
          <w:i/>
          <w:iCs/>
          <w:sz w:val="24"/>
        </w:rPr>
        <w:t>Vachalec</w:t>
      </w:r>
      <w:proofErr w:type="spellEnd"/>
      <w:r w:rsidR="003F0BE8" w:rsidRPr="00F117EB">
        <w:rPr>
          <w:rFonts w:ascii="Times New Roman" w:hAnsi="Times New Roman"/>
          <w:i/>
          <w:iCs/>
          <w:sz w:val="24"/>
        </w:rPr>
        <w:t xml:space="preserve"> </w:t>
      </w:r>
      <w:r w:rsidR="003F0BE8" w:rsidRPr="00F117EB">
        <w:rPr>
          <w:rFonts w:ascii="Times New Roman" w:hAnsi="Times New Roman"/>
          <w:sz w:val="24"/>
        </w:rPr>
        <w:t xml:space="preserve">[1981] 1 NSWLR 351 at 353; </w:t>
      </w:r>
      <w:r w:rsidR="0014626F" w:rsidRPr="00F117EB">
        <w:rPr>
          <w:rFonts w:ascii="Times New Roman" w:hAnsi="Times New Roman"/>
          <w:i/>
          <w:iCs/>
          <w:sz w:val="24"/>
        </w:rPr>
        <w:t xml:space="preserve">Abbott </w:t>
      </w:r>
      <w:r w:rsidR="0014626F" w:rsidRPr="00F117EB">
        <w:rPr>
          <w:rFonts w:ascii="Times New Roman" w:hAnsi="Times New Roman"/>
          <w:sz w:val="24"/>
        </w:rPr>
        <w:t xml:space="preserve">(1985) 17 A Crim R 355; </w:t>
      </w:r>
      <w:r w:rsidR="0014626F" w:rsidRPr="00F117EB">
        <w:rPr>
          <w:rFonts w:ascii="Times New Roman" w:hAnsi="Times New Roman"/>
          <w:i/>
          <w:iCs/>
          <w:sz w:val="24"/>
        </w:rPr>
        <w:t>Goodwin</w:t>
      </w:r>
      <w:r w:rsidR="0014626F" w:rsidRPr="00F117EB">
        <w:rPr>
          <w:rFonts w:ascii="Times New Roman" w:hAnsi="Times New Roman"/>
          <w:sz w:val="24"/>
        </w:rPr>
        <w:t xml:space="preserve"> (1990) 51 A Crim</w:t>
      </w:r>
      <w:r w:rsidR="00C77FCA" w:rsidRPr="00F117EB">
        <w:rPr>
          <w:rFonts w:ascii="Times New Roman" w:hAnsi="Times New Roman"/>
          <w:i/>
          <w:iCs/>
          <w:sz w:val="24"/>
        </w:rPr>
        <w:t> </w:t>
      </w:r>
      <w:r w:rsidR="0014626F" w:rsidRPr="00F117EB">
        <w:rPr>
          <w:rFonts w:ascii="Times New Roman" w:hAnsi="Times New Roman"/>
          <w:sz w:val="24"/>
        </w:rPr>
        <w:t xml:space="preserve">R 328; </w:t>
      </w:r>
      <w:r w:rsidR="0014626F" w:rsidRPr="00F117EB">
        <w:rPr>
          <w:rFonts w:ascii="Times New Roman" w:hAnsi="Times New Roman"/>
          <w:i/>
          <w:iCs/>
          <w:sz w:val="24"/>
        </w:rPr>
        <w:t>Araya</w:t>
      </w:r>
      <w:r w:rsidR="0014626F" w:rsidRPr="00F117EB">
        <w:rPr>
          <w:rFonts w:ascii="Times New Roman" w:hAnsi="Times New Roman"/>
          <w:sz w:val="24"/>
        </w:rPr>
        <w:t xml:space="preserve"> (1992) 63 A Crim R 123 at 129-130; </w:t>
      </w:r>
      <w:r w:rsidR="0014626F" w:rsidRPr="00F117EB">
        <w:rPr>
          <w:rFonts w:ascii="Times New Roman" w:hAnsi="Times New Roman"/>
          <w:i/>
          <w:iCs/>
          <w:sz w:val="24"/>
        </w:rPr>
        <w:t>Fordham</w:t>
      </w:r>
      <w:r w:rsidR="0014626F" w:rsidRPr="00F117EB">
        <w:rPr>
          <w:rFonts w:ascii="Times New Roman" w:hAnsi="Times New Roman"/>
          <w:sz w:val="24"/>
        </w:rPr>
        <w:t xml:space="preserve"> (1997) 98 A Crim R 359 at 377-378.</w:t>
      </w:r>
      <w:r w:rsidR="005159C6" w:rsidRPr="00F117EB">
        <w:rPr>
          <w:rFonts w:ascii="Times New Roman" w:hAnsi="Times New Roman"/>
          <w:sz w:val="24"/>
        </w:rPr>
        <w:t xml:space="preserve"> S</w:t>
      </w:r>
      <w:r w:rsidRPr="00F117EB">
        <w:rPr>
          <w:rFonts w:ascii="Times New Roman" w:hAnsi="Times New Roman"/>
          <w:sz w:val="24"/>
        </w:rPr>
        <w:t xml:space="preserve">ee also </w:t>
      </w:r>
      <w:r w:rsidRPr="00F117EB">
        <w:rPr>
          <w:rFonts w:ascii="Times New Roman" w:hAnsi="Times New Roman"/>
          <w:i/>
          <w:iCs/>
          <w:sz w:val="24"/>
        </w:rPr>
        <w:t>R</w:t>
      </w:r>
      <w:r w:rsidR="006B5DC3" w:rsidRPr="00F117EB">
        <w:rPr>
          <w:rFonts w:ascii="Times New Roman" w:hAnsi="Times New Roman"/>
          <w:i/>
          <w:iCs/>
          <w:sz w:val="24"/>
        </w:rPr>
        <w:t> </w:t>
      </w:r>
      <w:r w:rsidRPr="00F117EB">
        <w:rPr>
          <w:rFonts w:ascii="Times New Roman" w:hAnsi="Times New Roman"/>
          <w:i/>
          <w:iCs/>
          <w:sz w:val="24"/>
        </w:rPr>
        <w:t>v</w:t>
      </w:r>
      <w:r w:rsidR="006B5DC3" w:rsidRPr="00F117EB">
        <w:rPr>
          <w:rFonts w:ascii="Times New Roman" w:hAnsi="Times New Roman"/>
          <w:i/>
          <w:iCs/>
          <w:sz w:val="24"/>
        </w:rPr>
        <w:t> </w:t>
      </w:r>
      <w:r w:rsidRPr="00F117EB">
        <w:rPr>
          <w:rFonts w:ascii="Times New Roman" w:hAnsi="Times New Roman"/>
          <w:i/>
          <w:iCs/>
          <w:sz w:val="24"/>
        </w:rPr>
        <w:t>Smith</w:t>
      </w:r>
      <w:r w:rsidRPr="00F117EB">
        <w:rPr>
          <w:rFonts w:ascii="Times New Roman" w:hAnsi="Times New Roman"/>
          <w:sz w:val="24"/>
        </w:rPr>
        <w:t xml:space="preserve"> (1987) 44 SASR 587 at 588.</w:t>
      </w:r>
    </w:p>
  </w:footnote>
  <w:footnote w:id="46">
    <w:p w14:paraId="7A022A9B" w14:textId="2C55569A" w:rsidR="00047F64" w:rsidRPr="00F117EB" w:rsidRDefault="00047F64"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902616" w:rsidRPr="00F117EB">
        <w:rPr>
          <w:rFonts w:ascii="Times New Roman" w:hAnsi="Times New Roman"/>
          <w:sz w:val="24"/>
        </w:rPr>
        <w:t>(2025) 99 ALJR 872 at 87</w:t>
      </w:r>
      <w:r w:rsidR="00F57B9E" w:rsidRPr="00F117EB">
        <w:rPr>
          <w:rFonts w:ascii="Times New Roman" w:hAnsi="Times New Roman"/>
          <w:sz w:val="24"/>
        </w:rPr>
        <w:t>7</w:t>
      </w:r>
      <w:r w:rsidR="00902616" w:rsidRPr="00F117EB">
        <w:rPr>
          <w:rFonts w:ascii="Times New Roman" w:hAnsi="Times New Roman"/>
          <w:sz w:val="24"/>
        </w:rPr>
        <w:t xml:space="preserve"> [1</w:t>
      </w:r>
      <w:r w:rsidR="00F57B9E" w:rsidRPr="00F117EB">
        <w:rPr>
          <w:rFonts w:ascii="Times New Roman" w:hAnsi="Times New Roman"/>
          <w:sz w:val="24"/>
        </w:rPr>
        <w:t>3</w:t>
      </w:r>
      <w:r w:rsidR="00902616" w:rsidRPr="00F117EB">
        <w:rPr>
          <w:rFonts w:ascii="Times New Roman" w:hAnsi="Times New Roman"/>
          <w:sz w:val="24"/>
        </w:rPr>
        <w:t>]; 423 ALR 69 at 74</w:t>
      </w:r>
      <w:r w:rsidRPr="00F117EB">
        <w:rPr>
          <w:rFonts w:ascii="Times New Roman" w:hAnsi="Times New Roman"/>
          <w:sz w:val="24"/>
        </w:rPr>
        <w:t>.</w:t>
      </w:r>
    </w:p>
  </w:footnote>
  <w:footnote w:id="47">
    <w:p w14:paraId="4F4D4962" w14:textId="124CAAAA" w:rsidR="004F05EB" w:rsidRPr="00F117EB" w:rsidRDefault="004F05E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591CC5" w:rsidRPr="00F117EB">
        <w:rPr>
          <w:rFonts w:ascii="Times New Roman" w:hAnsi="Times New Roman"/>
          <w:i/>
          <w:iCs/>
          <w:sz w:val="24"/>
        </w:rPr>
        <w:t>Betts</w:t>
      </w:r>
      <w:r w:rsidR="00591CC5" w:rsidRPr="00F117EB">
        <w:rPr>
          <w:rFonts w:ascii="Times New Roman" w:hAnsi="Times New Roman"/>
          <w:sz w:val="24"/>
        </w:rPr>
        <w:t xml:space="preserve"> (2016) 258 CLR 420 </w:t>
      </w:r>
      <w:r w:rsidRPr="00F117EB">
        <w:rPr>
          <w:rFonts w:ascii="Times New Roman" w:hAnsi="Times New Roman"/>
          <w:sz w:val="24"/>
        </w:rPr>
        <w:t xml:space="preserve">at </w:t>
      </w:r>
      <w:r w:rsidR="00591CC5" w:rsidRPr="00F117EB">
        <w:rPr>
          <w:rFonts w:ascii="Times New Roman" w:hAnsi="Times New Roman"/>
          <w:sz w:val="24"/>
        </w:rPr>
        <w:t xml:space="preserve">429 </w:t>
      </w:r>
      <w:r w:rsidRPr="00F117EB">
        <w:rPr>
          <w:rFonts w:ascii="Times New Roman" w:hAnsi="Times New Roman"/>
          <w:sz w:val="24"/>
        </w:rPr>
        <w:t>[19].</w:t>
      </w:r>
    </w:p>
  </w:footnote>
  <w:footnote w:id="48">
    <w:p w14:paraId="02B3947D" w14:textId="4FD7AE46" w:rsidR="00E008ED" w:rsidRPr="00F117EB" w:rsidRDefault="00E008ED"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B80072" w:rsidRPr="00F117EB">
        <w:rPr>
          <w:rFonts w:ascii="Times New Roman" w:hAnsi="Times New Roman"/>
          <w:sz w:val="24"/>
        </w:rPr>
        <w:t xml:space="preserve">See, </w:t>
      </w:r>
      <w:proofErr w:type="spellStart"/>
      <w:r w:rsidR="002E1D30" w:rsidRPr="00F117EB">
        <w:rPr>
          <w:rFonts w:ascii="Times New Roman" w:hAnsi="Times New Roman"/>
          <w:sz w:val="24"/>
        </w:rPr>
        <w:t>eg</w:t>
      </w:r>
      <w:proofErr w:type="spellEnd"/>
      <w:r w:rsidR="009320CC" w:rsidRPr="00F117EB">
        <w:rPr>
          <w:rFonts w:ascii="Times New Roman" w:hAnsi="Times New Roman"/>
          <w:sz w:val="24"/>
        </w:rPr>
        <w:t xml:space="preserve">, </w:t>
      </w:r>
      <w:r w:rsidR="002E1D30" w:rsidRPr="00F117EB">
        <w:rPr>
          <w:rFonts w:ascii="Times New Roman" w:hAnsi="Times New Roman"/>
          <w:i/>
          <w:iCs/>
          <w:sz w:val="24"/>
        </w:rPr>
        <w:t>O'Neil-Shaw v The Queen</w:t>
      </w:r>
      <w:r w:rsidR="002E1D30" w:rsidRPr="00F117EB">
        <w:rPr>
          <w:rFonts w:ascii="Times New Roman" w:hAnsi="Times New Roman"/>
          <w:sz w:val="24"/>
        </w:rPr>
        <w:t xml:space="preserve"> </w:t>
      </w:r>
      <w:r w:rsidR="0068576A" w:rsidRPr="00F117EB">
        <w:rPr>
          <w:rFonts w:ascii="Times New Roman" w:hAnsi="Times New Roman"/>
          <w:sz w:val="24"/>
        </w:rPr>
        <w:t xml:space="preserve">[2010] NSWCCA 42; </w:t>
      </w:r>
      <w:r w:rsidR="007209F2" w:rsidRPr="00F117EB">
        <w:rPr>
          <w:rFonts w:ascii="Times New Roman" w:hAnsi="Times New Roman"/>
          <w:i/>
          <w:iCs/>
          <w:sz w:val="24"/>
        </w:rPr>
        <w:t xml:space="preserve">Button v The Queen </w:t>
      </w:r>
      <w:r w:rsidR="007209F2" w:rsidRPr="00F117EB">
        <w:rPr>
          <w:rFonts w:ascii="Times New Roman" w:hAnsi="Times New Roman"/>
          <w:sz w:val="24"/>
        </w:rPr>
        <w:t xml:space="preserve">[2010] NSWCCA 264; </w:t>
      </w:r>
      <w:r w:rsidR="002F1837" w:rsidRPr="00F117EB">
        <w:rPr>
          <w:rFonts w:ascii="Times New Roman" w:hAnsi="Times New Roman"/>
          <w:i/>
          <w:iCs/>
          <w:sz w:val="24"/>
        </w:rPr>
        <w:t xml:space="preserve">Weir v The Queen </w:t>
      </w:r>
      <w:r w:rsidR="002F1837" w:rsidRPr="00F117EB">
        <w:rPr>
          <w:rFonts w:ascii="Times New Roman" w:hAnsi="Times New Roman"/>
          <w:sz w:val="24"/>
        </w:rPr>
        <w:t xml:space="preserve">[2011] NSWCCA 123 at [64]-[67]; </w:t>
      </w:r>
      <w:r w:rsidR="00EF2FBC" w:rsidRPr="00F117EB">
        <w:rPr>
          <w:rFonts w:ascii="Times New Roman" w:hAnsi="Times New Roman"/>
          <w:i/>
          <w:iCs/>
          <w:sz w:val="24"/>
        </w:rPr>
        <w:t>Ng v The Queen</w:t>
      </w:r>
      <w:r w:rsidR="00EF2FBC" w:rsidRPr="00F117EB">
        <w:rPr>
          <w:rFonts w:ascii="Times New Roman" w:hAnsi="Times New Roman"/>
          <w:sz w:val="24"/>
        </w:rPr>
        <w:t> (2011) 214 A Crim R 191 at </w:t>
      </w:r>
      <w:r w:rsidR="00233442" w:rsidRPr="00F117EB">
        <w:rPr>
          <w:rFonts w:ascii="Times New Roman" w:hAnsi="Times New Roman"/>
          <w:sz w:val="24"/>
        </w:rPr>
        <w:t xml:space="preserve">204-206 </w:t>
      </w:r>
      <w:r w:rsidR="00EF2FBC" w:rsidRPr="00F117EB">
        <w:rPr>
          <w:rFonts w:ascii="Times New Roman" w:hAnsi="Times New Roman"/>
          <w:sz w:val="24"/>
        </w:rPr>
        <w:t>[43]</w:t>
      </w:r>
      <w:r w:rsidR="00F2121E" w:rsidRPr="00F117EB">
        <w:rPr>
          <w:rFonts w:ascii="Times New Roman" w:hAnsi="Times New Roman"/>
          <w:sz w:val="24"/>
        </w:rPr>
        <w:t>-[54]</w:t>
      </w:r>
      <w:r w:rsidR="00EF2FBC" w:rsidRPr="00F117EB">
        <w:rPr>
          <w:rFonts w:ascii="Times New Roman" w:hAnsi="Times New Roman"/>
          <w:sz w:val="24"/>
        </w:rPr>
        <w:t>;</w:t>
      </w:r>
      <w:r w:rsidR="002E16BF" w:rsidRPr="00F117EB">
        <w:rPr>
          <w:rFonts w:ascii="Times New Roman" w:hAnsi="Times New Roman"/>
          <w:sz w:val="24"/>
        </w:rPr>
        <w:t xml:space="preserve"> </w:t>
      </w:r>
      <w:r w:rsidR="00AB3B85" w:rsidRPr="00F117EB">
        <w:rPr>
          <w:rFonts w:ascii="Times New Roman" w:hAnsi="Times New Roman"/>
          <w:i/>
          <w:iCs/>
          <w:sz w:val="24"/>
        </w:rPr>
        <w:t xml:space="preserve">R v Wang </w:t>
      </w:r>
      <w:r w:rsidR="00AB3B85" w:rsidRPr="00F117EB">
        <w:rPr>
          <w:rFonts w:ascii="Times New Roman" w:hAnsi="Times New Roman"/>
          <w:sz w:val="24"/>
        </w:rPr>
        <w:t>[2013] NSWCCA 2 at [19].</w:t>
      </w:r>
      <w:r w:rsidR="00992C5C" w:rsidRPr="00F117EB">
        <w:rPr>
          <w:rFonts w:ascii="Times New Roman" w:hAnsi="Times New Roman"/>
          <w:sz w:val="24"/>
        </w:rPr>
        <w:t xml:space="preserve"> </w:t>
      </w:r>
      <w:r w:rsidR="00AB3B85" w:rsidRPr="00F117EB">
        <w:rPr>
          <w:rFonts w:ascii="Times New Roman" w:hAnsi="Times New Roman"/>
          <w:sz w:val="24"/>
        </w:rPr>
        <w:t xml:space="preserve">In this Court, </w:t>
      </w:r>
      <w:r w:rsidR="0064651F" w:rsidRPr="00F117EB">
        <w:rPr>
          <w:rFonts w:ascii="Times New Roman" w:hAnsi="Times New Roman"/>
          <w:sz w:val="24"/>
        </w:rPr>
        <w:t xml:space="preserve">see </w:t>
      </w:r>
      <w:proofErr w:type="spellStart"/>
      <w:r w:rsidR="004C7C58" w:rsidRPr="00F117EB">
        <w:rPr>
          <w:rFonts w:ascii="Times New Roman" w:hAnsi="Times New Roman"/>
          <w:i/>
          <w:iCs/>
          <w:sz w:val="24"/>
        </w:rPr>
        <w:t>Pantorno</w:t>
      </w:r>
      <w:proofErr w:type="spellEnd"/>
      <w:r w:rsidR="004C7C58" w:rsidRPr="00F117EB">
        <w:rPr>
          <w:rFonts w:ascii="Times New Roman" w:hAnsi="Times New Roman"/>
          <w:i/>
          <w:iCs/>
          <w:sz w:val="24"/>
        </w:rPr>
        <w:t> v The Queen</w:t>
      </w:r>
      <w:r w:rsidR="004C7C58" w:rsidRPr="00F117EB">
        <w:rPr>
          <w:rFonts w:ascii="Times New Roman" w:hAnsi="Times New Roman"/>
          <w:sz w:val="24"/>
        </w:rPr>
        <w:t> (1989) 166 CLR 466 at 472</w:t>
      </w:r>
      <w:r w:rsidR="00E63D77" w:rsidRPr="00F117EB">
        <w:rPr>
          <w:rFonts w:ascii="Times New Roman" w:hAnsi="Times New Roman"/>
          <w:sz w:val="24"/>
        </w:rPr>
        <w:t>-</w:t>
      </w:r>
      <w:r w:rsidR="004C7C58" w:rsidRPr="00F117EB">
        <w:rPr>
          <w:rFonts w:ascii="Times New Roman" w:hAnsi="Times New Roman"/>
          <w:sz w:val="24"/>
        </w:rPr>
        <w:t>474, 482</w:t>
      </w:r>
      <w:r w:rsidR="00E63D77" w:rsidRPr="00F117EB">
        <w:rPr>
          <w:rFonts w:ascii="Times New Roman" w:hAnsi="Times New Roman"/>
          <w:sz w:val="24"/>
        </w:rPr>
        <w:t>-</w:t>
      </w:r>
      <w:r w:rsidR="004C7C58" w:rsidRPr="00F117EB">
        <w:rPr>
          <w:rFonts w:ascii="Times New Roman" w:hAnsi="Times New Roman"/>
          <w:sz w:val="24"/>
        </w:rPr>
        <w:t>483</w:t>
      </w:r>
      <w:r w:rsidR="00E92B74" w:rsidRPr="00F117EB">
        <w:rPr>
          <w:rFonts w:ascii="Times New Roman" w:hAnsi="Times New Roman"/>
          <w:sz w:val="24"/>
        </w:rPr>
        <w:t xml:space="preserve">; </w:t>
      </w:r>
      <w:r w:rsidR="00E92B74" w:rsidRPr="00F117EB">
        <w:rPr>
          <w:rFonts w:ascii="Times New Roman" w:hAnsi="Times New Roman"/>
          <w:i/>
          <w:iCs/>
          <w:sz w:val="24"/>
        </w:rPr>
        <w:t xml:space="preserve">DL v The Queen </w:t>
      </w:r>
      <w:r w:rsidR="00E92B74" w:rsidRPr="00F117EB">
        <w:rPr>
          <w:rFonts w:ascii="Times New Roman" w:hAnsi="Times New Roman"/>
          <w:sz w:val="24"/>
        </w:rPr>
        <w:t xml:space="preserve">(2018) 265 CLR 215 at </w:t>
      </w:r>
      <w:r w:rsidR="000B2910" w:rsidRPr="00F117EB">
        <w:rPr>
          <w:rFonts w:ascii="Times New Roman" w:hAnsi="Times New Roman"/>
          <w:sz w:val="24"/>
        </w:rPr>
        <w:t xml:space="preserve">232 [39], </w:t>
      </w:r>
      <w:r w:rsidR="001323ED" w:rsidRPr="00F117EB">
        <w:rPr>
          <w:rFonts w:ascii="Times New Roman" w:hAnsi="Times New Roman"/>
          <w:sz w:val="24"/>
        </w:rPr>
        <w:t>234 [44]</w:t>
      </w:r>
      <w:r w:rsidR="002525AA" w:rsidRPr="00F117EB">
        <w:rPr>
          <w:rFonts w:ascii="Times New Roman" w:hAnsi="Times New Roman"/>
          <w:sz w:val="24"/>
        </w:rPr>
        <w:t>.</w:t>
      </w:r>
    </w:p>
  </w:footnote>
  <w:footnote w:id="49">
    <w:p w14:paraId="1E96FD2A" w14:textId="3FF24A96" w:rsidR="00232E5B" w:rsidRPr="00F117EB" w:rsidRDefault="00232E5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Lam</w:t>
      </w:r>
      <w:r w:rsidRPr="00F117EB">
        <w:rPr>
          <w:rFonts w:ascii="Times New Roman" w:hAnsi="Times New Roman"/>
          <w:sz w:val="24"/>
        </w:rPr>
        <w:t xml:space="preserve"> (2003) 214 CLR 1 at 14 [37].</w:t>
      </w:r>
    </w:p>
  </w:footnote>
  <w:footnote w:id="50">
    <w:p w14:paraId="217AE75C" w14:textId="77777777" w:rsidR="00232E5B" w:rsidRPr="00F117EB" w:rsidRDefault="00232E5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Lam</w:t>
      </w:r>
      <w:r w:rsidRPr="00F117EB">
        <w:rPr>
          <w:rFonts w:ascii="Times New Roman" w:hAnsi="Times New Roman"/>
          <w:sz w:val="24"/>
        </w:rPr>
        <w:t xml:space="preserve"> (2003) 214 CLR 1 at 14 [38].</w:t>
      </w:r>
    </w:p>
  </w:footnote>
  <w:footnote w:id="51">
    <w:p w14:paraId="76179202" w14:textId="6EDF2A9B" w:rsidR="00355A53" w:rsidRPr="00F117EB" w:rsidRDefault="00355A53"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3831D2" w:rsidRPr="00F117EB">
        <w:rPr>
          <w:rFonts w:ascii="Times New Roman" w:hAnsi="Times New Roman"/>
          <w:sz w:val="24"/>
        </w:rPr>
        <w:t xml:space="preserve">See </w:t>
      </w:r>
      <w:r w:rsidR="003831D2" w:rsidRPr="00F117EB">
        <w:rPr>
          <w:rFonts w:ascii="Times New Roman" w:hAnsi="Times New Roman"/>
          <w:i/>
          <w:iCs/>
          <w:sz w:val="24"/>
        </w:rPr>
        <w:t>Munro v The Queen </w:t>
      </w:r>
      <w:r w:rsidR="003831D2" w:rsidRPr="00F117EB">
        <w:rPr>
          <w:rFonts w:ascii="Times New Roman" w:hAnsi="Times New Roman"/>
          <w:sz w:val="24"/>
        </w:rPr>
        <w:t>[2006] NSWCCA 350</w:t>
      </w:r>
      <w:r w:rsidR="003831D2" w:rsidRPr="00F117EB">
        <w:rPr>
          <w:rFonts w:ascii="Times New Roman" w:hAnsi="Times New Roman"/>
          <w:i/>
          <w:iCs/>
          <w:sz w:val="24"/>
        </w:rPr>
        <w:t xml:space="preserve"> </w:t>
      </w:r>
      <w:r w:rsidR="003831D2" w:rsidRPr="00F117EB">
        <w:rPr>
          <w:rFonts w:ascii="Times New Roman" w:hAnsi="Times New Roman"/>
          <w:sz w:val="24"/>
        </w:rPr>
        <w:t>at [2</w:t>
      </w:r>
      <w:r w:rsidR="00276033" w:rsidRPr="00F117EB">
        <w:rPr>
          <w:rFonts w:ascii="Times New Roman" w:hAnsi="Times New Roman"/>
          <w:sz w:val="24"/>
        </w:rPr>
        <w:t>3</w:t>
      </w:r>
      <w:r w:rsidR="003831D2" w:rsidRPr="00F117EB">
        <w:rPr>
          <w:rFonts w:ascii="Times New Roman" w:hAnsi="Times New Roman"/>
          <w:sz w:val="24"/>
        </w:rPr>
        <w:t>]</w:t>
      </w:r>
      <w:r w:rsidR="00276033" w:rsidRPr="00F117EB">
        <w:rPr>
          <w:rFonts w:ascii="Times New Roman" w:hAnsi="Times New Roman"/>
          <w:sz w:val="24"/>
        </w:rPr>
        <w:t>-</w:t>
      </w:r>
      <w:r w:rsidR="003831D2" w:rsidRPr="00F117EB">
        <w:rPr>
          <w:rFonts w:ascii="Times New Roman" w:hAnsi="Times New Roman"/>
          <w:sz w:val="24"/>
        </w:rPr>
        <w:t>[25]</w:t>
      </w:r>
      <w:r w:rsidR="005C4EAE" w:rsidRPr="00F117EB">
        <w:rPr>
          <w:rFonts w:ascii="Times New Roman" w:hAnsi="Times New Roman"/>
          <w:sz w:val="24"/>
        </w:rPr>
        <w:t>.</w:t>
      </w:r>
      <w:r w:rsidR="003831D2" w:rsidRPr="00F117EB">
        <w:rPr>
          <w:rFonts w:ascii="Times New Roman" w:hAnsi="Times New Roman"/>
          <w:sz w:val="24"/>
        </w:rPr>
        <w:t xml:space="preserve"> </w:t>
      </w:r>
      <w:r w:rsidR="005C4EAE" w:rsidRPr="00F117EB">
        <w:rPr>
          <w:rFonts w:ascii="Times New Roman" w:hAnsi="Times New Roman"/>
          <w:sz w:val="24"/>
        </w:rPr>
        <w:t>S</w:t>
      </w:r>
      <w:r w:rsidR="003831D2" w:rsidRPr="00F117EB">
        <w:rPr>
          <w:rFonts w:ascii="Times New Roman" w:hAnsi="Times New Roman"/>
          <w:sz w:val="24"/>
        </w:rPr>
        <w:t xml:space="preserve">ee also </w:t>
      </w:r>
      <w:r w:rsidR="003831D2" w:rsidRPr="00F117EB">
        <w:rPr>
          <w:rFonts w:ascii="Times New Roman" w:hAnsi="Times New Roman"/>
          <w:i/>
          <w:iCs/>
          <w:sz w:val="24"/>
        </w:rPr>
        <w:t xml:space="preserve">Puan v </w:t>
      </w:r>
      <w:r w:rsidR="00056B96" w:rsidRPr="00F117EB">
        <w:rPr>
          <w:rFonts w:ascii="Times New Roman" w:hAnsi="Times New Roman"/>
          <w:i/>
          <w:iCs/>
          <w:sz w:val="24"/>
        </w:rPr>
        <w:t>The Queen</w:t>
      </w:r>
      <w:r w:rsidR="003831D2" w:rsidRPr="00F117EB">
        <w:rPr>
          <w:rFonts w:ascii="Times New Roman" w:hAnsi="Times New Roman"/>
          <w:i/>
          <w:iCs/>
          <w:sz w:val="24"/>
        </w:rPr>
        <w:t> </w:t>
      </w:r>
      <w:r w:rsidR="003831D2" w:rsidRPr="00F117EB">
        <w:rPr>
          <w:rFonts w:ascii="Times New Roman" w:hAnsi="Times New Roman"/>
          <w:sz w:val="24"/>
        </w:rPr>
        <w:t>[2009] NSWCCA 194 at [28]</w:t>
      </w:r>
      <w:r w:rsidR="00B81B75" w:rsidRPr="00F117EB">
        <w:rPr>
          <w:rFonts w:ascii="Times New Roman" w:hAnsi="Times New Roman"/>
          <w:sz w:val="24"/>
        </w:rPr>
        <w:t>,</w:t>
      </w:r>
      <w:r w:rsidR="003831D2" w:rsidRPr="00F117EB">
        <w:rPr>
          <w:rFonts w:ascii="Times New Roman" w:hAnsi="Times New Roman"/>
          <w:sz w:val="24"/>
        </w:rPr>
        <w:t xml:space="preserve"> [54];</w:t>
      </w:r>
      <w:r w:rsidR="003831D2" w:rsidRPr="00F117EB">
        <w:rPr>
          <w:rFonts w:ascii="Times New Roman" w:hAnsi="Times New Roman"/>
          <w:i/>
          <w:iCs/>
          <w:sz w:val="24"/>
        </w:rPr>
        <w:t xml:space="preserve"> </w:t>
      </w:r>
      <w:r w:rsidR="004862D1" w:rsidRPr="00F117EB">
        <w:rPr>
          <w:rFonts w:ascii="Times New Roman" w:hAnsi="Times New Roman"/>
          <w:i/>
          <w:iCs/>
          <w:sz w:val="24"/>
        </w:rPr>
        <w:t>O'Neil-Shaw</w:t>
      </w:r>
      <w:r w:rsidR="004862D1" w:rsidRPr="00F117EB">
        <w:rPr>
          <w:rFonts w:ascii="Times New Roman" w:hAnsi="Times New Roman"/>
          <w:sz w:val="24"/>
        </w:rPr>
        <w:t xml:space="preserve"> [2010] NSWCCA 42 at </w:t>
      </w:r>
      <w:r w:rsidR="00901121" w:rsidRPr="00F117EB">
        <w:rPr>
          <w:rFonts w:ascii="Times New Roman" w:hAnsi="Times New Roman"/>
          <w:sz w:val="24"/>
        </w:rPr>
        <w:t xml:space="preserve">[30]-[31]; </w:t>
      </w:r>
      <w:r w:rsidR="000B1131" w:rsidRPr="00F117EB">
        <w:rPr>
          <w:rFonts w:ascii="Times New Roman" w:hAnsi="Times New Roman"/>
          <w:i/>
          <w:iCs/>
          <w:sz w:val="24"/>
        </w:rPr>
        <w:t xml:space="preserve">Ellis v The Queen </w:t>
      </w:r>
      <w:r w:rsidR="000B1131" w:rsidRPr="00F117EB">
        <w:rPr>
          <w:rFonts w:ascii="Times New Roman" w:hAnsi="Times New Roman"/>
          <w:sz w:val="24"/>
        </w:rPr>
        <w:t>[2015] NSWCCA 262</w:t>
      </w:r>
      <w:r w:rsidR="0003467A" w:rsidRPr="00F117EB">
        <w:rPr>
          <w:rFonts w:ascii="Times New Roman" w:hAnsi="Times New Roman"/>
          <w:sz w:val="24"/>
        </w:rPr>
        <w:t xml:space="preserve"> at [57],</w:t>
      </w:r>
      <w:r w:rsidR="009E6794" w:rsidRPr="00F117EB">
        <w:rPr>
          <w:rFonts w:ascii="Times New Roman" w:hAnsi="Times New Roman"/>
          <w:sz w:val="24"/>
        </w:rPr>
        <w:t xml:space="preserve"> [74]-[76]</w:t>
      </w:r>
      <w:r w:rsidR="00B47226" w:rsidRPr="00F117EB">
        <w:rPr>
          <w:rFonts w:ascii="Times New Roman" w:hAnsi="Times New Roman"/>
          <w:sz w:val="24"/>
        </w:rPr>
        <w:t xml:space="preserve">; </w:t>
      </w:r>
      <w:r w:rsidR="00B47226" w:rsidRPr="00F117EB">
        <w:rPr>
          <w:rFonts w:ascii="Times New Roman" w:hAnsi="Times New Roman"/>
          <w:i/>
          <w:iCs/>
          <w:sz w:val="24"/>
        </w:rPr>
        <w:t xml:space="preserve">Brown v The Queen </w:t>
      </w:r>
      <w:r w:rsidR="0018146D" w:rsidRPr="00F117EB">
        <w:rPr>
          <w:rFonts w:ascii="Times New Roman" w:hAnsi="Times New Roman"/>
          <w:sz w:val="24"/>
        </w:rPr>
        <w:t>(</w:t>
      </w:r>
      <w:r w:rsidR="00B47226" w:rsidRPr="00F117EB">
        <w:rPr>
          <w:rFonts w:ascii="Times New Roman" w:hAnsi="Times New Roman"/>
          <w:sz w:val="24"/>
        </w:rPr>
        <w:t>2018</w:t>
      </w:r>
      <w:r w:rsidR="0018146D" w:rsidRPr="00F117EB">
        <w:rPr>
          <w:rFonts w:ascii="Times New Roman" w:hAnsi="Times New Roman"/>
          <w:sz w:val="24"/>
        </w:rPr>
        <w:t>) 99 NSWLR 151</w:t>
      </w:r>
      <w:r w:rsidR="00B47226" w:rsidRPr="00F117EB">
        <w:rPr>
          <w:rFonts w:ascii="Times New Roman" w:hAnsi="Times New Roman"/>
          <w:sz w:val="24"/>
        </w:rPr>
        <w:t xml:space="preserve"> at </w:t>
      </w:r>
      <w:r w:rsidR="00C71BEA" w:rsidRPr="00F117EB">
        <w:rPr>
          <w:rFonts w:ascii="Times New Roman" w:hAnsi="Times New Roman"/>
          <w:sz w:val="24"/>
        </w:rPr>
        <w:t>162 [46</w:t>
      </w:r>
      <w:r w:rsidR="00B47226" w:rsidRPr="00F117EB">
        <w:rPr>
          <w:rFonts w:ascii="Times New Roman" w:hAnsi="Times New Roman"/>
          <w:sz w:val="24"/>
        </w:rPr>
        <w:t xml:space="preserve">], [51], </w:t>
      </w:r>
      <w:r w:rsidR="000D55A8" w:rsidRPr="00F117EB">
        <w:rPr>
          <w:rFonts w:ascii="Times New Roman" w:hAnsi="Times New Roman"/>
          <w:sz w:val="24"/>
        </w:rPr>
        <w:t xml:space="preserve">167 </w:t>
      </w:r>
      <w:r w:rsidR="00B47226" w:rsidRPr="00F117EB">
        <w:rPr>
          <w:rFonts w:ascii="Times New Roman" w:hAnsi="Times New Roman"/>
          <w:sz w:val="24"/>
        </w:rPr>
        <w:t>[8</w:t>
      </w:r>
      <w:r w:rsidR="000D55A8" w:rsidRPr="00F117EB">
        <w:rPr>
          <w:rFonts w:ascii="Times New Roman" w:hAnsi="Times New Roman"/>
          <w:sz w:val="24"/>
        </w:rPr>
        <w:t>8</w:t>
      </w:r>
      <w:r w:rsidR="00B47226" w:rsidRPr="00F117EB">
        <w:rPr>
          <w:rFonts w:ascii="Times New Roman" w:hAnsi="Times New Roman"/>
          <w:sz w:val="24"/>
        </w:rPr>
        <w:t xml:space="preserve">], </w:t>
      </w:r>
      <w:r w:rsidR="00A42C4C" w:rsidRPr="00F117EB">
        <w:rPr>
          <w:rFonts w:ascii="Times New Roman" w:hAnsi="Times New Roman"/>
          <w:sz w:val="24"/>
        </w:rPr>
        <w:t>172 [113</w:t>
      </w:r>
      <w:r w:rsidR="00275BB2" w:rsidRPr="00F117EB">
        <w:rPr>
          <w:rFonts w:ascii="Times New Roman" w:hAnsi="Times New Roman"/>
          <w:sz w:val="24"/>
        </w:rPr>
        <w:t>].</w:t>
      </w:r>
    </w:p>
  </w:footnote>
  <w:footnote w:id="52">
    <w:p w14:paraId="79D65D05" w14:textId="72252681" w:rsidR="00355A53" w:rsidRPr="00F117EB" w:rsidRDefault="00355A53"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DL v The Queen</w:t>
      </w:r>
      <w:r w:rsidRPr="00F117EB">
        <w:rPr>
          <w:rFonts w:ascii="Times New Roman" w:hAnsi="Times New Roman"/>
          <w:sz w:val="24"/>
        </w:rPr>
        <w:t xml:space="preserve"> (2018) 265 CLR 215 at</w:t>
      </w:r>
      <w:r w:rsidR="007507D6" w:rsidRPr="00F117EB">
        <w:rPr>
          <w:rFonts w:ascii="Times New Roman" w:hAnsi="Times New Roman"/>
          <w:sz w:val="24"/>
        </w:rPr>
        <w:t xml:space="preserve"> 232</w:t>
      </w:r>
      <w:r w:rsidRPr="00F117EB">
        <w:rPr>
          <w:rFonts w:ascii="Times New Roman" w:hAnsi="Times New Roman"/>
          <w:sz w:val="24"/>
        </w:rPr>
        <w:t xml:space="preserve"> [39]</w:t>
      </w:r>
      <w:r w:rsidR="007507D6" w:rsidRPr="00F117EB">
        <w:rPr>
          <w:rFonts w:ascii="Times New Roman" w:hAnsi="Times New Roman"/>
          <w:sz w:val="24"/>
        </w:rPr>
        <w:t>,</w:t>
      </w:r>
      <w:r w:rsidR="00632AFD" w:rsidRPr="00F117EB">
        <w:rPr>
          <w:rFonts w:ascii="Times New Roman" w:hAnsi="Times New Roman"/>
          <w:sz w:val="24"/>
        </w:rPr>
        <w:t xml:space="preserve"> 234 [44</w:t>
      </w:r>
      <w:r w:rsidRPr="00F117EB">
        <w:rPr>
          <w:rFonts w:ascii="Times New Roman" w:hAnsi="Times New Roman"/>
          <w:sz w:val="24"/>
        </w:rPr>
        <w:t>].</w:t>
      </w:r>
    </w:p>
  </w:footnote>
  <w:footnote w:id="53">
    <w:p w14:paraId="7D8F8032" w14:textId="4AB70EEC" w:rsidR="00D70613" w:rsidRPr="00F117EB" w:rsidRDefault="00D70613"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E77A2E" w:rsidRPr="00F117EB">
        <w:rPr>
          <w:rFonts w:ascii="Times New Roman" w:hAnsi="Times New Roman"/>
          <w:sz w:val="24"/>
        </w:rPr>
        <w:t xml:space="preserve">(2014) 252 CLR 601 at </w:t>
      </w:r>
      <w:r w:rsidR="00E62880" w:rsidRPr="00F117EB">
        <w:rPr>
          <w:rFonts w:ascii="Times New Roman" w:hAnsi="Times New Roman"/>
          <w:sz w:val="24"/>
        </w:rPr>
        <w:t>617-618 [42].</w:t>
      </w:r>
    </w:p>
  </w:footnote>
  <w:footnote w:id="54">
    <w:p w14:paraId="69B73D6D" w14:textId="346BB4EC" w:rsidR="0068260C" w:rsidRPr="00F117EB" w:rsidRDefault="0068260C"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CF383D" w:rsidRPr="00F117EB">
        <w:rPr>
          <w:rFonts w:ascii="Times New Roman" w:hAnsi="Times New Roman"/>
          <w:sz w:val="24"/>
        </w:rPr>
        <w:t xml:space="preserve">See </w:t>
      </w:r>
      <w:r w:rsidRPr="00F117EB">
        <w:rPr>
          <w:rFonts w:ascii="Times New Roman" w:hAnsi="Times New Roman"/>
          <w:i/>
          <w:iCs/>
          <w:sz w:val="24"/>
        </w:rPr>
        <w:t xml:space="preserve">Brawn </w:t>
      </w:r>
      <w:r w:rsidR="00CF383D" w:rsidRPr="00F117EB">
        <w:rPr>
          <w:rFonts w:ascii="Times New Roman" w:hAnsi="Times New Roman"/>
          <w:sz w:val="24"/>
        </w:rPr>
        <w:t xml:space="preserve">(2025) 99 ALJR 872 at </w:t>
      </w:r>
      <w:r w:rsidR="004C0400" w:rsidRPr="00F117EB">
        <w:rPr>
          <w:rFonts w:ascii="Times New Roman" w:hAnsi="Times New Roman"/>
          <w:sz w:val="24"/>
        </w:rPr>
        <w:t>875-</w:t>
      </w:r>
      <w:r w:rsidR="00CF383D" w:rsidRPr="00F117EB">
        <w:rPr>
          <w:rFonts w:ascii="Times New Roman" w:hAnsi="Times New Roman"/>
          <w:sz w:val="24"/>
        </w:rPr>
        <w:t>876 [</w:t>
      </w:r>
      <w:r w:rsidR="004C0400" w:rsidRPr="00F117EB">
        <w:rPr>
          <w:rFonts w:ascii="Times New Roman" w:hAnsi="Times New Roman"/>
          <w:sz w:val="24"/>
        </w:rPr>
        <w:t>8</w:t>
      </w:r>
      <w:r w:rsidR="00CF383D" w:rsidRPr="00F117EB">
        <w:rPr>
          <w:rFonts w:ascii="Times New Roman" w:hAnsi="Times New Roman"/>
          <w:sz w:val="24"/>
        </w:rPr>
        <w:t>]; 423 ALR 69 at 73.</w:t>
      </w:r>
    </w:p>
  </w:footnote>
  <w:footnote w:id="55">
    <w:p w14:paraId="4F0A8B1C" w14:textId="2D22BE3A" w:rsidR="009B5237" w:rsidRPr="00F117EB" w:rsidRDefault="009B5237"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t xml:space="preserve">See generally </w:t>
      </w:r>
      <w:r w:rsidRPr="00F117EB">
        <w:rPr>
          <w:rFonts w:ascii="Times New Roman" w:hAnsi="Times New Roman"/>
          <w:i/>
          <w:iCs/>
          <w:sz w:val="24"/>
        </w:rPr>
        <w:t>Lowe v The Queen</w:t>
      </w:r>
      <w:r w:rsidRPr="00F117EB">
        <w:rPr>
          <w:rFonts w:ascii="Times New Roman" w:hAnsi="Times New Roman"/>
          <w:sz w:val="24"/>
        </w:rPr>
        <w:t xml:space="preserve"> (1984) 154 CLR 606; </w:t>
      </w:r>
      <w:r w:rsidR="003D2F6A" w:rsidRPr="00F117EB">
        <w:rPr>
          <w:rFonts w:ascii="Times New Roman" w:hAnsi="Times New Roman"/>
          <w:i/>
          <w:iCs/>
          <w:sz w:val="24"/>
        </w:rPr>
        <w:t>Postiglione v The Queen</w:t>
      </w:r>
      <w:r w:rsidR="003D2F6A" w:rsidRPr="00F117EB">
        <w:rPr>
          <w:rFonts w:ascii="Times New Roman" w:hAnsi="Times New Roman"/>
          <w:sz w:val="24"/>
        </w:rPr>
        <w:t xml:space="preserve"> (1997) 189 CLR 295 at 301; </w:t>
      </w:r>
      <w:r w:rsidRPr="00F117EB">
        <w:rPr>
          <w:rFonts w:ascii="Times New Roman" w:hAnsi="Times New Roman"/>
          <w:i/>
          <w:iCs/>
          <w:sz w:val="24"/>
        </w:rPr>
        <w:t>Green v The Queen</w:t>
      </w:r>
      <w:r w:rsidRPr="00F117EB">
        <w:rPr>
          <w:rFonts w:ascii="Times New Roman" w:hAnsi="Times New Roman"/>
          <w:sz w:val="24"/>
        </w:rPr>
        <w:t> (2011) 244 CLR 462</w:t>
      </w:r>
      <w:r w:rsidR="005D5800" w:rsidRPr="00F117EB">
        <w:rPr>
          <w:rFonts w:ascii="Times New Roman" w:hAnsi="Times New Roman"/>
          <w:sz w:val="24"/>
        </w:rPr>
        <w:t>.</w:t>
      </w:r>
      <w:r w:rsidRPr="00F117EB">
        <w:rPr>
          <w:rFonts w:ascii="Times New Roman" w:hAnsi="Times New Roman"/>
          <w:sz w:val="24"/>
        </w:rPr>
        <w:t> </w:t>
      </w:r>
    </w:p>
  </w:footnote>
  <w:footnote w:id="56">
    <w:p w14:paraId="6E00294F" w14:textId="73F8AAA4" w:rsidR="007C66FE" w:rsidRPr="00F117EB" w:rsidRDefault="007C66FE"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 xml:space="preserve">R v Olbrich </w:t>
      </w:r>
      <w:r w:rsidRPr="00F117EB">
        <w:rPr>
          <w:rFonts w:ascii="Times New Roman" w:hAnsi="Times New Roman"/>
          <w:sz w:val="24"/>
        </w:rPr>
        <w:t>(1999) 199 CLR 270 at 290-291 [52]</w:t>
      </w:r>
      <w:r w:rsidR="00C35DDC" w:rsidRPr="00F117EB">
        <w:rPr>
          <w:rFonts w:ascii="Times New Roman" w:hAnsi="Times New Roman"/>
          <w:sz w:val="24"/>
        </w:rPr>
        <w:t xml:space="preserve">; </w:t>
      </w:r>
      <w:r w:rsidR="00C35DDC" w:rsidRPr="00F117EB">
        <w:rPr>
          <w:rFonts w:ascii="Times New Roman" w:hAnsi="Times New Roman"/>
          <w:i/>
          <w:iCs/>
          <w:sz w:val="24"/>
        </w:rPr>
        <w:t>TKWJ</w:t>
      </w:r>
      <w:r w:rsidR="00547D66" w:rsidRPr="00F117EB">
        <w:rPr>
          <w:rFonts w:ascii="Times New Roman" w:hAnsi="Times New Roman"/>
          <w:i/>
          <w:iCs/>
          <w:sz w:val="24"/>
        </w:rPr>
        <w:t xml:space="preserve"> v The Queen</w:t>
      </w:r>
      <w:r w:rsidR="00C35DDC" w:rsidRPr="00F117EB">
        <w:rPr>
          <w:rFonts w:ascii="Times New Roman" w:hAnsi="Times New Roman"/>
          <w:i/>
          <w:iCs/>
          <w:sz w:val="24"/>
        </w:rPr>
        <w:t xml:space="preserve"> </w:t>
      </w:r>
      <w:r w:rsidR="00C35DDC" w:rsidRPr="00F117EB">
        <w:rPr>
          <w:rFonts w:ascii="Times New Roman" w:hAnsi="Times New Roman"/>
          <w:sz w:val="24"/>
        </w:rPr>
        <w:t xml:space="preserve">(2002) 212 CLR 124 at </w:t>
      </w:r>
      <w:r w:rsidR="00E24F35" w:rsidRPr="00F117EB">
        <w:rPr>
          <w:rFonts w:ascii="Times New Roman" w:hAnsi="Times New Roman"/>
          <w:sz w:val="24"/>
        </w:rPr>
        <w:t>158 [106].</w:t>
      </w:r>
    </w:p>
  </w:footnote>
  <w:footnote w:id="57">
    <w:p w14:paraId="56315690" w14:textId="722CC91A" w:rsidR="002A2E88" w:rsidRPr="00F117EB" w:rsidRDefault="002A2E88"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TKWJ</w:t>
      </w:r>
      <w:r w:rsidRPr="00F117EB">
        <w:rPr>
          <w:rFonts w:ascii="Times New Roman" w:hAnsi="Times New Roman"/>
          <w:sz w:val="24"/>
        </w:rPr>
        <w:t xml:space="preserve"> </w:t>
      </w:r>
      <w:r w:rsidR="00DA50EC" w:rsidRPr="00F117EB">
        <w:rPr>
          <w:rFonts w:ascii="Times New Roman" w:hAnsi="Times New Roman"/>
          <w:sz w:val="24"/>
        </w:rPr>
        <w:t xml:space="preserve">(2002) 212 CLR 124 </w:t>
      </w:r>
      <w:r w:rsidRPr="00F117EB">
        <w:rPr>
          <w:rFonts w:ascii="Times New Roman" w:hAnsi="Times New Roman"/>
          <w:sz w:val="24"/>
        </w:rPr>
        <w:t xml:space="preserve">at </w:t>
      </w:r>
      <w:r w:rsidR="003A5B5E" w:rsidRPr="00F117EB">
        <w:rPr>
          <w:rFonts w:ascii="Times New Roman" w:hAnsi="Times New Roman"/>
          <w:sz w:val="24"/>
        </w:rPr>
        <w:t xml:space="preserve">147 </w:t>
      </w:r>
      <w:r w:rsidRPr="00F117EB">
        <w:rPr>
          <w:rFonts w:ascii="Times New Roman" w:hAnsi="Times New Roman"/>
          <w:sz w:val="24"/>
        </w:rPr>
        <w:t xml:space="preserve">[74]; </w:t>
      </w:r>
      <w:r w:rsidRPr="00F117EB">
        <w:rPr>
          <w:rFonts w:ascii="Times New Roman" w:hAnsi="Times New Roman"/>
          <w:i/>
          <w:iCs/>
          <w:sz w:val="24"/>
        </w:rPr>
        <w:t xml:space="preserve">Strauss v </w:t>
      </w:r>
      <w:r w:rsidR="00527B74" w:rsidRPr="00F117EB">
        <w:rPr>
          <w:rFonts w:ascii="Times New Roman" w:hAnsi="Times New Roman"/>
          <w:i/>
          <w:iCs/>
          <w:sz w:val="24"/>
        </w:rPr>
        <w:t>Francis</w:t>
      </w:r>
      <w:r w:rsidR="00527B74" w:rsidRPr="00F117EB">
        <w:rPr>
          <w:rFonts w:ascii="Times New Roman" w:hAnsi="Times New Roman"/>
          <w:sz w:val="24"/>
        </w:rPr>
        <w:t xml:space="preserve"> </w:t>
      </w:r>
      <w:r w:rsidRPr="00F117EB">
        <w:rPr>
          <w:rFonts w:ascii="Times New Roman" w:hAnsi="Times New Roman"/>
          <w:sz w:val="24"/>
        </w:rPr>
        <w:t>(1866)</w:t>
      </w:r>
      <w:r w:rsidR="00527B74" w:rsidRPr="00F117EB">
        <w:rPr>
          <w:rFonts w:ascii="Times New Roman" w:hAnsi="Times New Roman"/>
          <w:sz w:val="24"/>
        </w:rPr>
        <w:t xml:space="preserve"> </w:t>
      </w:r>
      <w:r w:rsidR="00547D66" w:rsidRPr="00F117EB">
        <w:rPr>
          <w:rFonts w:ascii="Times New Roman" w:hAnsi="Times New Roman"/>
          <w:sz w:val="24"/>
        </w:rPr>
        <w:t xml:space="preserve">LR </w:t>
      </w:r>
      <w:r w:rsidR="00527B74" w:rsidRPr="00F117EB">
        <w:rPr>
          <w:rFonts w:ascii="Times New Roman" w:hAnsi="Times New Roman"/>
          <w:sz w:val="24"/>
        </w:rPr>
        <w:t>1</w:t>
      </w:r>
      <w:r w:rsidRPr="00F117EB">
        <w:rPr>
          <w:rFonts w:ascii="Times New Roman" w:hAnsi="Times New Roman"/>
          <w:sz w:val="24"/>
        </w:rPr>
        <w:t xml:space="preserve"> QB 379 at </w:t>
      </w:r>
      <w:r w:rsidR="005D5FF0" w:rsidRPr="00F117EB">
        <w:rPr>
          <w:rFonts w:ascii="Times New Roman" w:hAnsi="Times New Roman"/>
          <w:sz w:val="24"/>
        </w:rPr>
        <w:t>3</w:t>
      </w:r>
      <w:r w:rsidRPr="00F117EB">
        <w:rPr>
          <w:rFonts w:ascii="Times New Roman" w:hAnsi="Times New Roman"/>
          <w:sz w:val="24"/>
        </w:rPr>
        <w:t>81.</w:t>
      </w:r>
    </w:p>
  </w:footnote>
  <w:footnote w:id="58">
    <w:p w14:paraId="09F5301E" w14:textId="51FAA974" w:rsidR="0017401A" w:rsidRPr="00F117EB" w:rsidRDefault="0017401A"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440F03" w:rsidRPr="00F117EB">
        <w:rPr>
          <w:rFonts w:ascii="Times New Roman" w:hAnsi="Times New Roman"/>
          <w:i/>
          <w:iCs/>
          <w:sz w:val="24"/>
        </w:rPr>
        <w:t xml:space="preserve">TKWJ </w:t>
      </w:r>
      <w:r w:rsidR="00440F03" w:rsidRPr="00F117EB">
        <w:rPr>
          <w:rFonts w:ascii="Times New Roman" w:hAnsi="Times New Roman"/>
          <w:sz w:val="24"/>
        </w:rPr>
        <w:t xml:space="preserve">(2002) 212 CLR 124 at </w:t>
      </w:r>
      <w:r w:rsidR="00CA0C77" w:rsidRPr="00F117EB">
        <w:rPr>
          <w:rFonts w:ascii="Times New Roman" w:hAnsi="Times New Roman"/>
          <w:sz w:val="24"/>
        </w:rPr>
        <w:t>128 [7]-[8]</w:t>
      </w:r>
      <w:r w:rsidR="00215860" w:rsidRPr="00F117EB">
        <w:rPr>
          <w:rFonts w:ascii="Times New Roman" w:hAnsi="Times New Roman"/>
          <w:sz w:val="24"/>
        </w:rPr>
        <w:t>, 147 [74]</w:t>
      </w:r>
      <w:r w:rsidR="00BE0F71" w:rsidRPr="00F117EB">
        <w:rPr>
          <w:rFonts w:ascii="Times New Roman" w:hAnsi="Times New Roman"/>
          <w:sz w:val="24"/>
        </w:rPr>
        <w:t xml:space="preserve">; </w:t>
      </w:r>
      <w:r w:rsidR="00BE0F71" w:rsidRPr="00F117EB">
        <w:rPr>
          <w:rFonts w:ascii="Times New Roman" w:hAnsi="Times New Roman"/>
          <w:i/>
          <w:iCs/>
          <w:sz w:val="24"/>
        </w:rPr>
        <w:t xml:space="preserve">Nudd v The Queen </w:t>
      </w:r>
      <w:r w:rsidR="00BE0F71" w:rsidRPr="00F117EB">
        <w:rPr>
          <w:rFonts w:ascii="Times New Roman" w:hAnsi="Times New Roman"/>
          <w:sz w:val="24"/>
        </w:rPr>
        <w:t>(2006) 80 ALJR 614 at 618 [9]</w:t>
      </w:r>
      <w:r w:rsidR="00C16651" w:rsidRPr="00F117EB">
        <w:rPr>
          <w:rFonts w:ascii="Times New Roman" w:hAnsi="Times New Roman"/>
          <w:sz w:val="24"/>
        </w:rPr>
        <w:t>; 225 ALR 161 at 164</w:t>
      </w:r>
      <w:r w:rsidR="00BE0F71" w:rsidRPr="00F117EB">
        <w:rPr>
          <w:rFonts w:ascii="Times New Roman" w:hAnsi="Times New Roman"/>
          <w:sz w:val="24"/>
        </w:rPr>
        <w:t>.</w:t>
      </w:r>
      <w:r w:rsidR="003C1E15" w:rsidRPr="00F117EB">
        <w:rPr>
          <w:rFonts w:ascii="Times New Roman" w:hAnsi="Times New Roman"/>
          <w:sz w:val="24"/>
        </w:rPr>
        <w:t xml:space="preserve"> See also </w:t>
      </w:r>
      <w:proofErr w:type="spellStart"/>
      <w:r w:rsidR="003C1E15" w:rsidRPr="00F117EB">
        <w:rPr>
          <w:rFonts w:ascii="Times New Roman" w:hAnsi="Times New Roman"/>
          <w:i/>
          <w:iCs/>
          <w:sz w:val="24"/>
        </w:rPr>
        <w:t>Ratten</w:t>
      </w:r>
      <w:proofErr w:type="spellEnd"/>
      <w:r w:rsidR="008F21F5" w:rsidRPr="00F117EB">
        <w:rPr>
          <w:rFonts w:ascii="Times New Roman" w:hAnsi="Times New Roman"/>
          <w:i/>
          <w:iCs/>
          <w:sz w:val="24"/>
        </w:rPr>
        <w:t xml:space="preserve"> v The Queen </w:t>
      </w:r>
      <w:r w:rsidR="008F21F5" w:rsidRPr="00F117EB">
        <w:rPr>
          <w:rFonts w:ascii="Times New Roman" w:hAnsi="Times New Roman"/>
          <w:sz w:val="24"/>
        </w:rPr>
        <w:t>(</w:t>
      </w:r>
      <w:r w:rsidR="003C1E15" w:rsidRPr="00F117EB">
        <w:rPr>
          <w:rFonts w:ascii="Times New Roman" w:hAnsi="Times New Roman"/>
          <w:sz w:val="24"/>
        </w:rPr>
        <w:t>1974) 131</w:t>
      </w:r>
      <w:r w:rsidR="008F21F5" w:rsidRPr="00F117EB">
        <w:rPr>
          <w:rFonts w:ascii="Times New Roman" w:hAnsi="Times New Roman"/>
          <w:sz w:val="24"/>
        </w:rPr>
        <w:t xml:space="preserve"> CLR </w:t>
      </w:r>
      <w:r w:rsidR="003C1E15" w:rsidRPr="00F117EB">
        <w:rPr>
          <w:rFonts w:ascii="Times New Roman" w:hAnsi="Times New Roman"/>
          <w:sz w:val="24"/>
        </w:rPr>
        <w:t>510</w:t>
      </w:r>
      <w:r w:rsidR="008F21F5" w:rsidRPr="00F117EB">
        <w:rPr>
          <w:rFonts w:ascii="Times New Roman" w:hAnsi="Times New Roman"/>
          <w:sz w:val="24"/>
        </w:rPr>
        <w:t xml:space="preserve"> at </w:t>
      </w:r>
      <w:r w:rsidR="003C1E15" w:rsidRPr="00F117EB">
        <w:rPr>
          <w:rFonts w:ascii="Times New Roman" w:hAnsi="Times New Roman"/>
          <w:sz w:val="24"/>
        </w:rPr>
        <w:t>517</w:t>
      </w:r>
      <w:r w:rsidR="007B1A88" w:rsidRPr="00F117EB">
        <w:rPr>
          <w:rFonts w:ascii="Times New Roman" w:hAnsi="Times New Roman"/>
          <w:sz w:val="24"/>
        </w:rPr>
        <w:t>.</w:t>
      </w:r>
      <w:r w:rsidR="003C1E15" w:rsidRPr="00F117EB">
        <w:rPr>
          <w:rFonts w:ascii="Times New Roman" w:hAnsi="Times New Roman"/>
          <w:sz w:val="24"/>
        </w:rPr>
        <w:t xml:space="preserve"> </w:t>
      </w:r>
      <w:r w:rsidR="00215860" w:rsidRPr="00F117EB">
        <w:rPr>
          <w:rFonts w:ascii="Times New Roman" w:hAnsi="Times New Roman"/>
          <w:sz w:val="24"/>
        </w:rPr>
        <w:t xml:space="preserve"> </w:t>
      </w:r>
    </w:p>
  </w:footnote>
  <w:footnote w:id="59">
    <w:p w14:paraId="2BDC0D49" w14:textId="78A9295E" w:rsidR="00D67CBC" w:rsidRPr="00F117EB" w:rsidRDefault="00D67CBC"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2C3942" w:rsidRPr="00F117EB">
        <w:rPr>
          <w:rFonts w:ascii="Times New Roman" w:hAnsi="Times New Roman"/>
          <w:sz w:val="24"/>
        </w:rPr>
        <w:t>S</w:t>
      </w:r>
      <w:r w:rsidRPr="00F117EB">
        <w:rPr>
          <w:rFonts w:ascii="Times New Roman" w:hAnsi="Times New Roman"/>
          <w:sz w:val="24"/>
        </w:rPr>
        <w:t>ee</w:t>
      </w:r>
      <w:r w:rsidR="008D1C70" w:rsidRPr="00F117EB">
        <w:rPr>
          <w:rFonts w:ascii="Times New Roman" w:hAnsi="Times New Roman"/>
          <w:sz w:val="24"/>
        </w:rPr>
        <w:t>, by analogy,</w:t>
      </w:r>
      <w:r w:rsidRPr="00F117EB">
        <w:rPr>
          <w:rFonts w:ascii="Times New Roman" w:hAnsi="Times New Roman"/>
          <w:sz w:val="24"/>
        </w:rPr>
        <w:t xml:space="preserve"> </w:t>
      </w:r>
      <w:r w:rsidR="005D5059" w:rsidRPr="00F117EB">
        <w:rPr>
          <w:rFonts w:ascii="Times New Roman" w:hAnsi="Times New Roman"/>
          <w:i/>
          <w:sz w:val="24"/>
        </w:rPr>
        <w:t xml:space="preserve">Hospital Products </w:t>
      </w:r>
      <w:r w:rsidR="004750F9" w:rsidRPr="00F117EB">
        <w:rPr>
          <w:rFonts w:ascii="Times New Roman" w:hAnsi="Times New Roman"/>
          <w:i/>
          <w:sz w:val="24"/>
        </w:rPr>
        <w:t>Ltd v United States Surgical Corporation</w:t>
      </w:r>
      <w:r w:rsidR="004750F9" w:rsidRPr="00F117EB">
        <w:rPr>
          <w:rFonts w:ascii="Times New Roman" w:hAnsi="Times New Roman"/>
          <w:sz w:val="24"/>
        </w:rPr>
        <w:t xml:space="preserve"> (1984) 156 CLR </w:t>
      </w:r>
      <w:r w:rsidR="00A34869" w:rsidRPr="00F117EB">
        <w:rPr>
          <w:rFonts w:ascii="Times New Roman" w:hAnsi="Times New Roman"/>
          <w:sz w:val="24"/>
        </w:rPr>
        <w:t>4</w:t>
      </w:r>
      <w:r w:rsidR="004750F9" w:rsidRPr="00F117EB">
        <w:rPr>
          <w:rFonts w:ascii="Times New Roman" w:hAnsi="Times New Roman"/>
          <w:sz w:val="24"/>
        </w:rPr>
        <w:t xml:space="preserve">1 at </w:t>
      </w:r>
      <w:r w:rsidR="00E91806" w:rsidRPr="00F117EB">
        <w:rPr>
          <w:rFonts w:ascii="Times New Roman" w:hAnsi="Times New Roman"/>
          <w:sz w:val="24"/>
        </w:rPr>
        <w:t>96-</w:t>
      </w:r>
      <w:r w:rsidR="00F20C25" w:rsidRPr="00F117EB">
        <w:rPr>
          <w:rFonts w:ascii="Times New Roman" w:hAnsi="Times New Roman"/>
          <w:sz w:val="24"/>
        </w:rPr>
        <w:t xml:space="preserve">97; </w:t>
      </w:r>
      <w:r w:rsidR="00942471" w:rsidRPr="00F117EB">
        <w:rPr>
          <w:rFonts w:ascii="Times New Roman" w:hAnsi="Times New Roman"/>
          <w:i/>
          <w:iCs/>
          <w:sz w:val="24"/>
        </w:rPr>
        <w:t>Breen v Williams</w:t>
      </w:r>
      <w:r w:rsidR="00942471" w:rsidRPr="00F117EB">
        <w:rPr>
          <w:rFonts w:ascii="Times New Roman" w:hAnsi="Times New Roman"/>
          <w:sz w:val="24"/>
        </w:rPr>
        <w:t xml:space="preserve"> (1996) 186 CLR 71 at 113; </w:t>
      </w:r>
      <w:r w:rsidRPr="00F117EB">
        <w:rPr>
          <w:rFonts w:ascii="Times New Roman" w:hAnsi="Times New Roman"/>
          <w:i/>
          <w:iCs/>
          <w:sz w:val="24"/>
        </w:rPr>
        <w:t>Naam</w:t>
      </w:r>
      <w:r w:rsidR="008B78D2" w:rsidRPr="00F117EB">
        <w:rPr>
          <w:rFonts w:ascii="Times New Roman" w:hAnsi="Times New Roman"/>
          <w:i/>
          <w:iCs/>
          <w:sz w:val="24"/>
        </w:rPr>
        <w:t>a</w:t>
      </w:r>
      <w:r w:rsidRPr="00F117EB">
        <w:rPr>
          <w:rFonts w:ascii="Times New Roman" w:hAnsi="Times New Roman"/>
          <w:i/>
          <w:iCs/>
          <w:sz w:val="24"/>
        </w:rPr>
        <w:t>n v Jaken Properties Australia Pty Ltd</w:t>
      </w:r>
      <w:r w:rsidRPr="00F117EB">
        <w:rPr>
          <w:rFonts w:ascii="Times New Roman" w:hAnsi="Times New Roman"/>
          <w:sz w:val="24"/>
        </w:rPr>
        <w:t xml:space="preserve"> (2025) 281 CLR </w:t>
      </w:r>
      <w:r w:rsidR="00873B5C" w:rsidRPr="00F117EB">
        <w:rPr>
          <w:rFonts w:ascii="Times New Roman" w:hAnsi="Times New Roman"/>
          <w:sz w:val="24"/>
        </w:rPr>
        <w:t>635</w:t>
      </w:r>
      <w:r w:rsidRPr="00F117EB">
        <w:rPr>
          <w:rFonts w:ascii="Times New Roman" w:hAnsi="Times New Roman"/>
          <w:sz w:val="24"/>
        </w:rPr>
        <w:t xml:space="preserve"> at </w:t>
      </w:r>
      <w:r w:rsidR="00EF7300" w:rsidRPr="00F117EB">
        <w:rPr>
          <w:rFonts w:ascii="Times New Roman" w:hAnsi="Times New Roman"/>
          <w:sz w:val="24"/>
        </w:rPr>
        <w:t xml:space="preserve">649 [31], </w:t>
      </w:r>
      <w:r w:rsidR="004D2520" w:rsidRPr="00F117EB">
        <w:rPr>
          <w:rFonts w:ascii="Times New Roman" w:hAnsi="Times New Roman"/>
          <w:sz w:val="24"/>
        </w:rPr>
        <w:t xml:space="preserve">664 </w:t>
      </w:r>
      <w:r w:rsidRPr="00F117EB">
        <w:rPr>
          <w:rFonts w:ascii="Times New Roman" w:hAnsi="Times New Roman"/>
          <w:sz w:val="24"/>
        </w:rPr>
        <w:t xml:space="preserve">[81]; </w:t>
      </w:r>
      <w:r w:rsidRPr="00F117EB">
        <w:rPr>
          <w:rFonts w:ascii="Times New Roman" w:hAnsi="Times New Roman"/>
          <w:i/>
          <w:iCs/>
          <w:sz w:val="24"/>
        </w:rPr>
        <w:t xml:space="preserve">Beach Petroleum </w:t>
      </w:r>
      <w:r w:rsidR="000C65D2" w:rsidRPr="00F117EB">
        <w:rPr>
          <w:rFonts w:ascii="Times New Roman" w:hAnsi="Times New Roman"/>
          <w:i/>
          <w:iCs/>
          <w:sz w:val="24"/>
        </w:rPr>
        <w:t>NL</w:t>
      </w:r>
      <w:r w:rsidRPr="00F117EB">
        <w:rPr>
          <w:rFonts w:ascii="Times New Roman" w:hAnsi="Times New Roman"/>
          <w:i/>
          <w:iCs/>
          <w:sz w:val="24"/>
        </w:rPr>
        <w:t xml:space="preserve"> v Kennedy</w:t>
      </w:r>
      <w:r w:rsidRPr="00F117EB">
        <w:rPr>
          <w:rFonts w:ascii="Times New Roman" w:hAnsi="Times New Roman"/>
          <w:sz w:val="24"/>
        </w:rPr>
        <w:t xml:space="preserve"> (1999) 48 NSWLR 1 at </w:t>
      </w:r>
      <w:r w:rsidR="00D27632" w:rsidRPr="00F117EB">
        <w:rPr>
          <w:rFonts w:ascii="Times New Roman" w:hAnsi="Times New Roman"/>
          <w:sz w:val="24"/>
        </w:rPr>
        <w:t>45</w:t>
      </w:r>
      <w:r w:rsidRPr="00F117EB">
        <w:rPr>
          <w:rFonts w:ascii="Times New Roman" w:hAnsi="Times New Roman"/>
          <w:sz w:val="24"/>
        </w:rPr>
        <w:t xml:space="preserve"> </w:t>
      </w:r>
      <w:r w:rsidR="00D666B7" w:rsidRPr="00F117EB">
        <w:rPr>
          <w:rFonts w:ascii="Times New Roman" w:hAnsi="Times New Roman"/>
          <w:sz w:val="24"/>
        </w:rPr>
        <w:t>[188]-</w:t>
      </w:r>
      <w:r w:rsidRPr="00F117EB">
        <w:rPr>
          <w:rFonts w:ascii="Times New Roman" w:hAnsi="Times New Roman"/>
          <w:sz w:val="24"/>
        </w:rPr>
        <w:t>[189]</w:t>
      </w:r>
      <w:r w:rsidR="00B56141" w:rsidRPr="00F117EB">
        <w:rPr>
          <w:rFonts w:ascii="Times New Roman" w:hAnsi="Times New Roman"/>
          <w:sz w:val="24"/>
        </w:rPr>
        <w:t xml:space="preserve">; </w:t>
      </w:r>
      <w:r w:rsidR="0098647D" w:rsidRPr="00F117EB">
        <w:rPr>
          <w:rFonts w:ascii="Times New Roman" w:hAnsi="Times New Roman"/>
          <w:i/>
          <w:iCs/>
          <w:sz w:val="24"/>
        </w:rPr>
        <w:t>R v Neil</w:t>
      </w:r>
      <w:r w:rsidR="0098647D" w:rsidRPr="00F117EB">
        <w:rPr>
          <w:rFonts w:ascii="Times New Roman" w:hAnsi="Times New Roman"/>
          <w:sz w:val="24"/>
        </w:rPr>
        <w:t xml:space="preserve"> [2002] 3 SCR 631 at 640-641 [12]</w:t>
      </w:r>
      <w:r w:rsidR="002C3942" w:rsidRPr="00F117EB">
        <w:rPr>
          <w:rFonts w:ascii="Times New Roman" w:hAnsi="Times New Roman"/>
          <w:sz w:val="24"/>
        </w:rPr>
        <w:t>.</w:t>
      </w:r>
    </w:p>
  </w:footnote>
  <w:footnote w:id="60">
    <w:p w14:paraId="59D86D51" w14:textId="2D1424EE" w:rsidR="00002E42" w:rsidRPr="00F117EB" w:rsidRDefault="00002E42"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t xml:space="preserve">Made under the </w:t>
      </w:r>
      <w:r w:rsidRPr="00F117EB">
        <w:rPr>
          <w:rFonts w:ascii="Times New Roman" w:hAnsi="Times New Roman"/>
          <w:i/>
          <w:iCs/>
          <w:sz w:val="24"/>
        </w:rPr>
        <w:t xml:space="preserve">Legal Profession Uniform Law </w:t>
      </w:r>
      <w:r w:rsidRPr="00F117EB">
        <w:rPr>
          <w:rFonts w:ascii="Times New Roman" w:hAnsi="Times New Roman"/>
          <w:sz w:val="24"/>
        </w:rPr>
        <w:t>(NSW), ss 419, 423.</w:t>
      </w:r>
    </w:p>
  </w:footnote>
  <w:footnote w:id="61">
    <w:p w14:paraId="45B62D27" w14:textId="2739E839" w:rsidR="002B2831" w:rsidRPr="00F117EB" w:rsidRDefault="002B2831" w:rsidP="00F117EB">
      <w:pPr>
        <w:pStyle w:val="FootnoteText"/>
        <w:spacing w:line="280" w:lineRule="exact"/>
        <w:ind w:right="0"/>
        <w:jc w:val="both"/>
        <w:rPr>
          <w:rFonts w:ascii="Times New Roman" w:hAnsi="Times New Roman"/>
          <w:i/>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Breen v Williams</w:t>
      </w:r>
      <w:r w:rsidRPr="00F117EB">
        <w:rPr>
          <w:rFonts w:ascii="Times New Roman" w:hAnsi="Times New Roman"/>
          <w:sz w:val="24"/>
        </w:rPr>
        <w:t xml:space="preserve"> (1996) 186 CLR 71 at </w:t>
      </w:r>
      <w:r w:rsidR="00625689" w:rsidRPr="00F117EB">
        <w:rPr>
          <w:rFonts w:ascii="Times New Roman" w:hAnsi="Times New Roman"/>
          <w:sz w:val="24"/>
        </w:rPr>
        <w:t xml:space="preserve">93, </w:t>
      </w:r>
      <w:r w:rsidRPr="00F117EB">
        <w:rPr>
          <w:rFonts w:ascii="Times New Roman" w:hAnsi="Times New Roman"/>
          <w:sz w:val="24"/>
        </w:rPr>
        <w:t>113</w:t>
      </w:r>
      <w:r w:rsidR="00BC33AE" w:rsidRPr="00F117EB">
        <w:rPr>
          <w:rFonts w:ascii="Times New Roman" w:hAnsi="Times New Roman"/>
          <w:sz w:val="24"/>
        </w:rPr>
        <w:t>, 135</w:t>
      </w:r>
      <w:r w:rsidRPr="00F117EB">
        <w:rPr>
          <w:rFonts w:ascii="Times New Roman" w:hAnsi="Times New Roman"/>
          <w:sz w:val="24"/>
        </w:rPr>
        <w:t xml:space="preserve">; </w:t>
      </w:r>
      <w:r w:rsidRPr="00F117EB">
        <w:rPr>
          <w:rFonts w:ascii="Times New Roman" w:hAnsi="Times New Roman"/>
          <w:i/>
          <w:iCs/>
          <w:sz w:val="24"/>
        </w:rPr>
        <w:t>Naam</w:t>
      </w:r>
      <w:r w:rsidR="00D01A96" w:rsidRPr="00F117EB">
        <w:rPr>
          <w:rFonts w:ascii="Times New Roman" w:hAnsi="Times New Roman"/>
          <w:i/>
          <w:iCs/>
          <w:sz w:val="24"/>
        </w:rPr>
        <w:t>a</w:t>
      </w:r>
      <w:r w:rsidRPr="00F117EB">
        <w:rPr>
          <w:rFonts w:ascii="Times New Roman" w:hAnsi="Times New Roman"/>
          <w:i/>
          <w:iCs/>
          <w:sz w:val="24"/>
        </w:rPr>
        <w:t>n v Jaken Properties Australia Pty Ltd</w:t>
      </w:r>
      <w:r w:rsidRPr="00F117EB">
        <w:rPr>
          <w:rFonts w:ascii="Times New Roman" w:hAnsi="Times New Roman"/>
          <w:sz w:val="24"/>
        </w:rPr>
        <w:t xml:space="preserve"> (2025) 281 CLR </w:t>
      </w:r>
      <w:r w:rsidR="00555EA1" w:rsidRPr="00F117EB">
        <w:rPr>
          <w:rFonts w:ascii="Times New Roman" w:hAnsi="Times New Roman"/>
          <w:sz w:val="24"/>
        </w:rPr>
        <w:t xml:space="preserve">635 </w:t>
      </w:r>
      <w:r w:rsidRPr="00F117EB">
        <w:rPr>
          <w:rFonts w:ascii="Times New Roman" w:hAnsi="Times New Roman"/>
          <w:sz w:val="24"/>
        </w:rPr>
        <w:t xml:space="preserve">at </w:t>
      </w:r>
      <w:r w:rsidR="00555EA1" w:rsidRPr="00F117EB">
        <w:rPr>
          <w:rFonts w:ascii="Times New Roman" w:hAnsi="Times New Roman"/>
          <w:sz w:val="24"/>
        </w:rPr>
        <w:t xml:space="preserve">664 </w:t>
      </w:r>
      <w:r w:rsidRPr="00F117EB">
        <w:rPr>
          <w:rFonts w:ascii="Times New Roman" w:hAnsi="Times New Roman"/>
          <w:sz w:val="24"/>
        </w:rPr>
        <w:t>[81]</w:t>
      </w:r>
      <w:r w:rsidR="00193799" w:rsidRPr="00F117EB">
        <w:rPr>
          <w:rFonts w:ascii="Times New Roman" w:hAnsi="Times New Roman"/>
          <w:sz w:val="24"/>
        </w:rPr>
        <w:t xml:space="preserve">; </w:t>
      </w:r>
      <w:r w:rsidR="00193799" w:rsidRPr="00F117EB">
        <w:rPr>
          <w:rFonts w:ascii="Times New Roman" w:hAnsi="Times New Roman"/>
          <w:i/>
          <w:iCs/>
          <w:sz w:val="24"/>
        </w:rPr>
        <w:t>R v Neil</w:t>
      </w:r>
      <w:r w:rsidR="00193799" w:rsidRPr="00F117EB">
        <w:rPr>
          <w:rFonts w:ascii="Times New Roman" w:hAnsi="Times New Roman"/>
          <w:sz w:val="24"/>
        </w:rPr>
        <w:t xml:space="preserve"> [2002] 3 SCR 631 at 643-644 [16</w:t>
      </w:r>
      <w:r w:rsidR="00EC5985" w:rsidRPr="00F117EB">
        <w:rPr>
          <w:rFonts w:ascii="Times New Roman" w:hAnsi="Times New Roman"/>
          <w:sz w:val="24"/>
        </w:rPr>
        <w:t>]</w:t>
      </w:r>
      <w:r w:rsidRPr="00F117EB">
        <w:rPr>
          <w:rFonts w:ascii="Times New Roman" w:hAnsi="Times New Roman"/>
          <w:sz w:val="24"/>
        </w:rPr>
        <w:t>.</w:t>
      </w:r>
      <w:r w:rsidR="00703952" w:rsidRPr="00F117EB">
        <w:rPr>
          <w:rFonts w:ascii="Times New Roman" w:hAnsi="Times New Roman"/>
          <w:sz w:val="24"/>
        </w:rPr>
        <w:t xml:space="preserve"> </w:t>
      </w:r>
    </w:p>
  </w:footnote>
  <w:footnote w:id="62">
    <w:p w14:paraId="7919FE70" w14:textId="7CCB1767" w:rsidR="00A52E50" w:rsidRPr="00F117EB" w:rsidRDefault="00A52E50"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t xml:space="preserve">See </w:t>
      </w:r>
      <w:r w:rsidRPr="00F117EB">
        <w:rPr>
          <w:rFonts w:ascii="Times New Roman" w:hAnsi="Times New Roman"/>
          <w:i/>
          <w:iCs/>
          <w:sz w:val="24"/>
        </w:rPr>
        <w:t>Pilmer v Duke Group Ltd (</w:t>
      </w:r>
      <w:r w:rsidR="00444F90" w:rsidRPr="00F117EB">
        <w:rPr>
          <w:rFonts w:ascii="Times New Roman" w:hAnsi="Times New Roman"/>
          <w:i/>
          <w:iCs/>
          <w:sz w:val="24"/>
        </w:rPr>
        <w:t xml:space="preserve">In </w:t>
      </w:r>
      <w:proofErr w:type="spellStart"/>
      <w:r w:rsidRPr="00F117EB">
        <w:rPr>
          <w:rFonts w:ascii="Times New Roman" w:hAnsi="Times New Roman"/>
          <w:i/>
          <w:iCs/>
          <w:sz w:val="24"/>
        </w:rPr>
        <w:t>liq</w:t>
      </w:r>
      <w:proofErr w:type="spellEnd"/>
      <w:r w:rsidRPr="00F117EB">
        <w:rPr>
          <w:rFonts w:ascii="Times New Roman" w:hAnsi="Times New Roman"/>
          <w:i/>
          <w:iCs/>
          <w:sz w:val="24"/>
        </w:rPr>
        <w:t>)</w:t>
      </w:r>
      <w:r w:rsidRPr="00F117EB">
        <w:rPr>
          <w:rFonts w:ascii="Times New Roman" w:hAnsi="Times New Roman"/>
          <w:sz w:val="24"/>
        </w:rPr>
        <w:t xml:space="preserve"> (2001) 207 CLR 165 at 199 [78</w:t>
      </w:r>
      <w:r w:rsidR="00E61955" w:rsidRPr="00F117EB">
        <w:rPr>
          <w:rFonts w:ascii="Times New Roman" w:hAnsi="Times New Roman"/>
          <w:sz w:val="24"/>
        </w:rPr>
        <w:t>]</w:t>
      </w:r>
      <w:r w:rsidR="00201DE7" w:rsidRPr="00F117EB">
        <w:rPr>
          <w:rFonts w:ascii="Times New Roman" w:hAnsi="Times New Roman"/>
          <w:sz w:val="24"/>
        </w:rPr>
        <w:t xml:space="preserve">; </w:t>
      </w:r>
      <w:r w:rsidR="00201DE7" w:rsidRPr="00F117EB">
        <w:rPr>
          <w:rFonts w:ascii="Times New Roman" w:hAnsi="Times New Roman"/>
          <w:i/>
          <w:iCs/>
          <w:sz w:val="24"/>
        </w:rPr>
        <w:t>Boardman v Phipps</w:t>
      </w:r>
      <w:r w:rsidR="00201DE7" w:rsidRPr="00F117EB">
        <w:rPr>
          <w:rFonts w:ascii="Times New Roman" w:hAnsi="Times New Roman"/>
          <w:sz w:val="24"/>
        </w:rPr>
        <w:t xml:space="preserve"> [1967] 2 AC 46 at 124</w:t>
      </w:r>
      <w:r w:rsidR="00E97B77" w:rsidRPr="00F117EB">
        <w:rPr>
          <w:rFonts w:ascii="Times New Roman" w:hAnsi="Times New Roman"/>
          <w:sz w:val="24"/>
        </w:rPr>
        <w:t>.</w:t>
      </w:r>
    </w:p>
  </w:footnote>
  <w:footnote w:id="63">
    <w:p w14:paraId="24FAD102" w14:textId="6C93E9AF" w:rsidR="009743AE" w:rsidRPr="00F117EB" w:rsidRDefault="009743AE"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BA6BEC" w:rsidRPr="00F117EB">
        <w:rPr>
          <w:rFonts w:ascii="Times New Roman" w:hAnsi="Times New Roman"/>
          <w:sz w:val="24"/>
        </w:rPr>
        <w:t>S</w:t>
      </w:r>
      <w:r w:rsidRPr="00F117EB">
        <w:rPr>
          <w:rFonts w:ascii="Times New Roman" w:hAnsi="Times New Roman"/>
          <w:sz w:val="24"/>
        </w:rPr>
        <w:t xml:space="preserve">ee </w:t>
      </w:r>
      <w:r w:rsidRPr="00F117EB">
        <w:rPr>
          <w:rFonts w:ascii="Times New Roman" w:hAnsi="Times New Roman"/>
          <w:i/>
          <w:iCs/>
          <w:sz w:val="24"/>
        </w:rPr>
        <w:t xml:space="preserve">Beach Petroleum NL </w:t>
      </w:r>
      <w:r w:rsidR="001239C5" w:rsidRPr="00F117EB">
        <w:rPr>
          <w:rFonts w:ascii="Times New Roman" w:hAnsi="Times New Roman"/>
          <w:sz w:val="24"/>
        </w:rPr>
        <w:t>(1999) 48 NSWLR 1</w:t>
      </w:r>
      <w:r w:rsidR="00283A12" w:rsidRPr="00F117EB">
        <w:rPr>
          <w:rFonts w:ascii="Times New Roman" w:hAnsi="Times New Roman"/>
          <w:sz w:val="24"/>
        </w:rPr>
        <w:t xml:space="preserve"> </w:t>
      </w:r>
      <w:r w:rsidRPr="00F117EB">
        <w:rPr>
          <w:rFonts w:ascii="Times New Roman" w:hAnsi="Times New Roman"/>
          <w:sz w:val="24"/>
        </w:rPr>
        <w:t xml:space="preserve">at </w:t>
      </w:r>
      <w:r w:rsidR="00DE7E94" w:rsidRPr="00F117EB">
        <w:rPr>
          <w:rFonts w:ascii="Times New Roman" w:hAnsi="Times New Roman"/>
          <w:sz w:val="24"/>
        </w:rPr>
        <w:t xml:space="preserve">45 </w:t>
      </w:r>
      <w:r w:rsidR="00150F3D" w:rsidRPr="00F117EB">
        <w:rPr>
          <w:rFonts w:ascii="Times New Roman" w:hAnsi="Times New Roman"/>
          <w:sz w:val="24"/>
        </w:rPr>
        <w:t>[187]-</w:t>
      </w:r>
      <w:r w:rsidRPr="00F117EB">
        <w:rPr>
          <w:rFonts w:ascii="Times New Roman" w:hAnsi="Times New Roman"/>
          <w:sz w:val="24"/>
        </w:rPr>
        <w:t>[</w:t>
      </w:r>
      <w:r w:rsidR="00DE7E94" w:rsidRPr="00F117EB">
        <w:rPr>
          <w:rFonts w:ascii="Times New Roman" w:hAnsi="Times New Roman"/>
          <w:sz w:val="24"/>
        </w:rPr>
        <w:t>188</w:t>
      </w:r>
      <w:r w:rsidRPr="00F117EB">
        <w:rPr>
          <w:rFonts w:ascii="Times New Roman" w:hAnsi="Times New Roman"/>
          <w:sz w:val="24"/>
        </w:rPr>
        <w:t xml:space="preserve">]; </w:t>
      </w:r>
      <w:r w:rsidRPr="00F117EB">
        <w:rPr>
          <w:rFonts w:ascii="Times New Roman" w:hAnsi="Times New Roman"/>
          <w:i/>
          <w:iCs/>
          <w:sz w:val="24"/>
        </w:rPr>
        <w:t>Arna</w:t>
      </w:r>
      <w:r w:rsidR="00472C05" w:rsidRPr="00F117EB">
        <w:rPr>
          <w:rFonts w:ascii="Times New Roman" w:hAnsi="Times New Roman"/>
          <w:i/>
          <w:iCs/>
          <w:sz w:val="24"/>
        </w:rPr>
        <w:t>u</w:t>
      </w:r>
      <w:r w:rsidRPr="00F117EB">
        <w:rPr>
          <w:rFonts w:ascii="Times New Roman" w:hAnsi="Times New Roman"/>
          <w:i/>
          <w:iCs/>
          <w:sz w:val="24"/>
        </w:rPr>
        <w:t xml:space="preserve">tovic v The </w:t>
      </w:r>
      <w:r w:rsidR="00FC1D3F" w:rsidRPr="00F117EB">
        <w:rPr>
          <w:rFonts w:ascii="Times New Roman" w:hAnsi="Times New Roman"/>
          <w:i/>
          <w:iCs/>
          <w:sz w:val="24"/>
        </w:rPr>
        <w:t>King</w:t>
      </w:r>
      <w:r w:rsidR="00FC1D3F" w:rsidRPr="00F117EB">
        <w:rPr>
          <w:rFonts w:ascii="Times New Roman" w:hAnsi="Times New Roman"/>
          <w:sz w:val="24"/>
        </w:rPr>
        <w:t xml:space="preserve"> </w:t>
      </w:r>
      <w:r w:rsidRPr="00F117EB">
        <w:rPr>
          <w:rFonts w:ascii="Times New Roman" w:hAnsi="Times New Roman"/>
          <w:sz w:val="24"/>
        </w:rPr>
        <w:t>[2024] VSCA 286 at [40].</w:t>
      </w:r>
    </w:p>
  </w:footnote>
  <w:footnote w:id="64">
    <w:p w14:paraId="02B86AC2" w14:textId="2B707D8F" w:rsidR="00580301" w:rsidRPr="00F117EB" w:rsidRDefault="00580301"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 xml:space="preserve">Maguire </w:t>
      </w:r>
      <w:r w:rsidRPr="00F117EB">
        <w:rPr>
          <w:rFonts w:ascii="Times New Roman" w:hAnsi="Times New Roman"/>
          <w:sz w:val="24"/>
        </w:rPr>
        <w:t>(1997) 188 CLR 449 at 466</w:t>
      </w:r>
      <w:r w:rsidR="002143DA" w:rsidRPr="00F117EB">
        <w:rPr>
          <w:rFonts w:ascii="Times New Roman" w:hAnsi="Times New Roman"/>
          <w:sz w:val="24"/>
        </w:rPr>
        <w:t>-</w:t>
      </w:r>
      <w:r w:rsidRPr="00F117EB">
        <w:rPr>
          <w:rFonts w:ascii="Times New Roman" w:hAnsi="Times New Roman"/>
          <w:sz w:val="24"/>
        </w:rPr>
        <w:t>467.</w:t>
      </w:r>
    </w:p>
  </w:footnote>
  <w:footnote w:id="65">
    <w:p w14:paraId="7D9ECD25" w14:textId="568D34F4" w:rsidR="00392C5B" w:rsidRPr="00F117EB" w:rsidRDefault="00392C5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Maguire</w:t>
      </w:r>
      <w:r w:rsidRPr="00F117EB">
        <w:rPr>
          <w:rFonts w:ascii="Times New Roman" w:hAnsi="Times New Roman"/>
          <w:sz w:val="24"/>
        </w:rPr>
        <w:t xml:space="preserve"> (1997) 188 CLR 449 at 466.</w:t>
      </w:r>
    </w:p>
  </w:footnote>
  <w:footnote w:id="66">
    <w:p w14:paraId="105B2CCF" w14:textId="6B69BCF7" w:rsidR="00392C5B" w:rsidRPr="00F117EB" w:rsidRDefault="00392C5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Law Society of New South Wales v Harvey</w:t>
      </w:r>
      <w:r w:rsidRPr="00F117EB">
        <w:rPr>
          <w:rFonts w:ascii="Times New Roman" w:hAnsi="Times New Roman"/>
          <w:sz w:val="24"/>
        </w:rPr>
        <w:t xml:space="preserve"> [1976] 2 NSWLR 154 at 170</w:t>
      </w:r>
      <w:r w:rsidR="00706ACA" w:rsidRPr="00F117EB">
        <w:rPr>
          <w:rFonts w:ascii="Times New Roman" w:hAnsi="Times New Roman"/>
          <w:sz w:val="24"/>
        </w:rPr>
        <w:t xml:space="preserve">; </w:t>
      </w:r>
      <w:proofErr w:type="spellStart"/>
      <w:r w:rsidR="00523DAD" w:rsidRPr="00F117EB">
        <w:rPr>
          <w:rFonts w:ascii="Times New Roman" w:hAnsi="Times New Roman"/>
          <w:i/>
          <w:iCs/>
          <w:sz w:val="24"/>
        </w:rPr>
        <w:t>A</w:t>
      </w:r>
      <w:r w:rsidR="004747B7" w:rsidRPr="00F117EB">
        <w:rPr>
          <w:rFonts w:ascii="Times New Roman" w:hAnsi="Times New Roman"/>
          <w:i/>
          <w:iCs/>
          <w:sz w:val="24"/>
        </w:rPr>
        <w:t>tanaskovic</w:t>
      </w:r>
      <w:proofErr w:type="spellEnd"/>
      <w:r w:rsidR="004747B7" w:rsidRPr="00F117EB">
        <w:rPr>
          <w:rFonts w:ascii="Times New Roman" w:hAnsi="Times New Roman"/>
          <w:i/>
          <w:iCs/>
          <w:sz w:val="24"/>
        </w:rPr>
        <w:t xml:space="preserve"> Hartnell v </w:t>
      </w:r>
      <w:proofErr w:type="spellStart"/>
      <w:r w:rsidR="004747B7" w:rsidRPr="00F117EB">
        <w:rPr>
          <w:rFonts w:ascii="Times New Roman" w:hAnsi="Times New Roman"/>
          <w:i/>
          <w:iCs/>
          <w:sz w:val="24"/>
        </w:rPr>
        <w:t>Birketu</w:t>
      </w:r>
      <w:proofErr w:type="spellEnd"/>
      <w:r w:rsidR="004747B7" w:rsidRPr="00F117EB">
        <w:rPr>
          <w:rFonts w:ascii="Times New Roman" w:hAnsi="Times New Roman"/>
          <w:i/>
          <w:iCs/>
          <w:sz w:val="24"/>
        </w:rPr>
        <w:t xml:space="preserve"> Pty Ltd </w:t>
      </w:r>
      <w:r w:rsidR="004747B7" w:rsidRPr="00F117EB">
        <w:rPr>
          <w:rFonts w:ascii="Times New Roman" w:hAnsi="Times New Roman"/>
          <w:sz w:val="24"/>
        </w:rPr>
        <w:t xml:space="preserve">(2021) 105 NSWLR 542 at </w:t>
      </w:r>
      <w:r w:rsidR="00CF1584" w:rsidRPr="00F117EB">
        <w:rPr>
          <w:rFonts w:ascii="Times New Roman" w:hAnsi="Times New Roman"/>
          <w:sz w:val="24"/>
        </w:rPr>
        <w:t>556 [</w:t>
      </w:r>
      <w:r w:rsidR="00A60B26" w:rsidRPr="00F117EB">
        <w:rPr>
          <w:rFonts w:ascii="Times New Roman" w:hAnsi="Times New Roman"/>
          <w:sz w:val="24"/>
        </w:rPr>
        <w:t>48]-[49]</w:t>
      </w:r>
      <w:r w:rsidR="00CF1584" w:rsidRPr="00F117EB">
        <w:rPr>
          <w:rFonts w:ascii="Times New Roman" w:hAnsi="Times New Roman"/>
          <w:sz w:val="24"/>
        </w:rPr>
        <w:t>.</w:t>
      </w:r>
    </w:p>
  </w:footnote>
  <w:footnote w:id="67">
    <w:p w14:paraId="6038EDE8" w14:textId="51062D0E" w:rsidR="0011608C" w:rsidRPr="00F117EB" w:rsidRDefault="0011608C"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Clarke Boyce v Mouat</w:t>
      </w:r>
      <w:r w:rsidRPr="00F117EB">
        <w:rPr>
          <w:rFonts w:ascii="Times New Roman" w:hAnsi="Times New Roman"/>
          <w:sz w:val="24"/>
        </w:rPr>
        <w:t xml:space="preserve"> [1994] 1 AC 428 at 435-436.</w:t>
      </w:r>
    </w:p>
  </w:footnote>
  <w:footnote w:id="68">
    <w:p w14:paraId="13F256F9" w14:textId="6FAB0D71" w:rsidR="006B7660" w:rsidRPr="00F117EB" w:rsidRDefault="006B7660"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5012D2" w:rsidRPr="00F117EB">
        <w:rPr>
          <w:rFonts w:ascii="Times New Roman" w:hAnsi="Times New Roman"/>
          <w:i/>
          <w:iCs/>
          <w:sz w:val="24"/>
        </w:rPr>
        <w:t>Harvey</w:t>
      </w:r>
      <w:r w:rsidR="005012D2" w:rsidRPr="00F117EB">
        <w:rPr>
          <w:rFonts w:ascii="Times New Roman" w:hAnsi="Times New Roman"/>
          <w:sz w:val="24"/>
        </w:rPr>
        <w:t xml:space="preserve"> [1976] 2 NSWLR 154 at 170-171; </w:t>
      </w:r>
      <w:proofErr w:type="spellStart"/>
      <w:r w:rsidRPr="00F117EB">
        <w:rPr>
          <w:rFonts w:ascii="Times New Roman" w:hAnsi="Times New Roman"/>
          <w:i/>
          <w:iCs/>
          <w:sz w:val="24"/>
        </w:rPr>
        <w:t>A</w:t>
      </w:r>
      <w:r w:rsidR="00104C12" w:rsidRPr="00F117EB">
        <w:rPr>
          <w:rFonts w:ascii="Times New Roman" w:hAnsi="Times New Roman"/>
          <w:i/>
          <w:iCs/>
          <w:sz w:val="24"/>
        </w:rPr>
        <w:t>tana</w:t>
      </w:r>
      <w:r w:rsidRPr="00F117EB">
        <w:rPr>
          <w:rFonts w:ascii="Times New Roman" w:hAnsi="Times New Roman"/>
          <w:i/>
          <w:iCs/>
          <w:sz w:val="24"/>
        </w:rPr>
        <w:t>skovic</w:t>
      </w:r>
      <w:proofErr w:type="spellEnd"/>
      <w:r w:rsidRPr="00F117EB">
        <w:rPr>
          <w:rFonts w:ascii="Times New Roman" w:hAnsi="Times New Roman"/>
          <w:i/>
          <w:iCs/>
          <w:sz w:val="24"/>
        </w:rPr>
        <w:t xml:space="preserve"> Hartnell </w:t>
      </w:r>
      <w:r w:rsidR="004B033F" w:rsidRPr="00F117EB">
        <w:rPr>
          <w:rFonts w:ascii="Times New Roman" w:hAnsi="Times New Roman"/>
          <w:sz w:val="24"/>
        </w:rPr>
        <w:t>(</w:t>
      </w:r>
      <w:r w:rsidRPr="00F117EB">
        <w:rPr>
          <w:rFonts w:ascii="Times New Roman" w:hAnsi="Times New Roman"/>
          <w:sz w:val="24"/>
        </w:rPr>
        <w:t>2021</w:t>
      </w:r>
      <w:r w:rsidR="004B033F" w:rsidRPr="00F117EB">
        <w:rPr>
          <w:rFonts w:ascii="Times New Roman" w:hAnsi="Times New Roman"/>
          <w:sz w:val="24"/>
        </w:rPr>
        <w:t xml:space="preserve">) </w:t>
      </w:r>
      <w:r w:rsidR="006620E7" w:rsidRPr="00F117EB">
        <w:rPr>
          <w:rFonts w:ascii="Times New Roman" w:hAnsi="Times New Roman"/>
          <w:sz w:val="24"/>
        </w:rPr>
        <w:t xml:space="preserve">105 </w:t>
      </w:r>
      <w:r w:rsidRPr="00F117EB">
        <w:rPr>
          <w:rFonts w:ascii="Times New Roman" w:hAnsi="Times New Roman"/>
          <w:sz w:val="24"/>
        </w:rPr>
        <w:t>NSW</w:t>
      </w:r>
      <w:r w:rsidR="004B033F" w:rsidRPr="00F117EB">
        <w:rPr>
          <w:rFonts w:ascii="Times New Roman" w:hAnsi="Times New Roman"/>
          <w:sz w:val="24"/>
        </w:rPr>
        <w:t>LR</w:t>
      </w:r>
      <w:r w:rsidRPr="00F117EB">
        <w:rPr>
          <w:rFonts w:ascii="Times New Roman" w:hAnsi="Times New Roman"/>
          <w:sz w:val="24"/>
        </w:rPr>
        <w:t xml:space="preserve"> </w:t>
      </w:r>
      <w:r w:rsidR="006620E7" w:rsidRPr="00F117EB">
        <w:rPr>
          <w:rFonts w:ascii="Times New Roman" w:hAnsi="Times New Roman"/>
          <w:sz w:val="24"/>
        </w:rPr>
        <w:t xml:space="preserve">542 </w:t>
      </w:r>
      <w:r w:rsidRPr="00F117EB">
        <w:rPr>
          <w:rFonts w:ascii="Times New Roman" w:hAnsi="Times New Roman"/>
          <w:sz w:val="24"/>
        </w:rPr>
        <w:t xml:space="preserve">at </w:t>
      </w:r>
      <w:r w:rsidR="00FD5682" w:rsidRPr="00F117EB">
        <w:rPr>
          <w:rFonts w:ascii="Times New Roman" w:hAnsi="Times New Roman"/>
          <w:sz w:val="24"/>
        </w:rPr>
        <w:t>561</w:t>
      </w:r>
      <w:r w:rsidRPr="00F117EB">
        <w:rPr>
          <w:rFonts w:ascii="Times New Roman" w:hAnsi="Times New Roman"/>
          <w:sz w:val="24"/>
        </w:rPr>
        <w:t xml:space="preserve"> [87]; </w:t>
      </w:r>
      <w:r w:rsidRPr="00F117EB">
        <w:rPr>
          <w:rFonts w:ascii="Times New Roman" w:hAnsi="Times New Roman"/>
          <w:i/>
          <w:iCs/>
          <w:sz w:val="24"/>
        </w:rPr>
        <w:t>Farrington v Rowe McBride &amp; Partners</w:t>
      </w:r>
      <w:r w:rsidRPr="00F117EB">
        <w:rPr>
          <w:rFonts w:ascii="Times New Roman" w:hAnsi="Times New Roman"/>
          <w:sz w:val="24"/>
        </w:rPr>
        <w:t xml:space="preserve"> [1985] 1 NZLR 83 at 90</w:t>
      </w:r>
      <w:r w:rsidR="00040709" w:rsidRPr="00F117EB">
        <w:rPr>
          <w:rFonts w:ascii="Times New Roman" w:hAnsi="Times New Roman"/>
          <w:sz w:val="24"/>
        </w:rPr>
        <w:t>,</w:t>
      </w:r>
      <w:r w:rsidRPr="00F117EB">
        <w:rPr>
          <w:rFonts w:ascii="Times New Roman" w:hAnsi="Times New Roman"/>
          <w:sz w:val="24"/>
        </w:rPr>
        <w:t xml:space="preserve"> cited in </w:t>
      </w:r>
      <w:r w:rsidRPr="00F117EB">
        <w:rPr>
          <w:rFonts w:ascii="Times New Roman" w:hAnsi="Times New Roman"/>
          <w:i/>
          <w:iCs/>
          <w:sz w:val="24"/>
        </w:rPr>
        <w:t>Mouat</w:t>
      </w:r>
      <w:r w:rsidRPr="00F117EB">
        <w:rPr>
          <w:rFonts w:ascii="Times New Roman" w:hAnsi="Times New Roman"/>
          <w:sz w:val="24"/>
        </w:rPr>
        <w:t xml:space="preserve"> [1994] 1 AC 428 at 436; Finn, </w:t>
      </w:r>
      <w:r w:rsidRPr="00F117EB">
        <w:rPr>
          <w:rFonts w:ascii="Times New Roman" w:hAnsi="Times New Roman"/>
          <w:i/>
          <w:iCs/>
          <w:sz w:val="24"/>
        </w:rPr>
        <w:t>Fiduciary Obligations</w:t>
      </w:r>
      <w:r w:rsidR="00040709" w:rsidRPr="00F117EB">
        <w:rPr>
          <w:rFonts w:ascii="Times New Roman" w:hAnsi="Times New Roman"/>
          <w:i/>
          <w:iCs/>
          <w:sz w:val="24"/>
        </w:rPr>
        <w:t xml:space="preserve">: </w:t>
      </w:r>
      <w:r w:rsidR="00A16332" w:rsidRPr="00F117EB">
        <w:rPr>
          <w:rFonts w:ascii="Times New Roman" w:hAnsi="Times New Roman"/>
          <w:i/>
          <w:iCs/>
          <w:sz w:val="24"/>
        </w:rPr>
        <w:t>40th Anniversary Republication with Additional Essays</w:t>
      </w:r>
      <w:r w:rsidRPr="00F117EB">
        <w:rPr>
          <w:rFonts w:ascii="Times New Roman" w:hAnsi="Times New Roman"/>
          <w:sz w:val="24"/>
        </w:rPr>
        <w:t xml:space="preserve"> (2016) at 270 [580]</w:t>
      </w:r>
      <w:r w:rsidR="00FD2973" w:rsidRPr="00F117EB">
        <w:rPr>
          <w:rFonts w:ascii="Times New Roman" w:hAnsi="Times New Roman"/>
          <w:sz w:val="24"/>
        </w:rPr>
        <w:t>.</w:t>
      </w:r>
    </w:p>
  </w:footnote>
  <w:footnote w:id="69">
    <w:p w14:paraId="396627B9" w14:textId="56EAAFF4" w:rsidR="00733286" w:rsidRPr="00F117EB" w:rsidRDefault="00733286"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t>Finn</w:t>
      </w:r>
      <w:r w:rsidR="00155411" w:rsidRPr="00F117EB">
        <w:rPr>
          <w:rFonts w:ascii="Times New Roman" w:hAnsi="Times New Roman"/>
          <w:sz w:val="24"/>
        </w:rPr>
        <w:t xml:space="preserve">, </w:t>
      </w:r>
      <w:r w:rsidR="00A16332" w:rsidRPr="00F117EB">
        <w:rPr>
          <w:rFonts w:ascii="Times New Roman" w:hAnsi="Times New Roman"/>
          <w:i/>
          <w:iCs/>
          <w:sz w:val="24"/>
        </w:rPr>
        <w:t>Fiduciary Obligations: 40th Anniversary Republication with Additional Essays</w:t>
      </w:r>
      <w:r w:rsidR="00A16332" w:rsidRPr="00F117EB">
        <w:rPr>
          <w:rFonts w:ascii="Times New Roman" w:hAnsi="Times New Roman"/>
          <w:sz w:val="24"/>
        </w:rPr>
        <w:t xml:space="preserve"> </w:t>
      </w:r>
      <w:r w:rsidR="00CF333E" w:rsidRPr="00F117EB">
        <w:rPr>
          <w:rFonts w:ascii="Times New Roman" w:hAnsi="Times New Roman"/>
          <w:sz w:val="24"/>
        </w:rPr>
        <w:t>(2016)</w:t>
      </w:r>
      <w:r w:rsidRPr="00F117EB">
        <w:rPr>
          <w:rFonts w:ascii="Times New Roman" w:hAnsi="Times New Roman"/>
          <w:sz w:val="24"/>
        </w:rPr>
        <w:t xml:space="preserve"> at </w:t>
      </w:r>
      <w:r w:rsidR="00D03836" w:rsidRPr="00F117EB">
        <w:rPr>
          <w:rFonts w:ascii="Times New Roman" w:hAnsi="Times New Roman"/>
          <w:sz w:val="24"/>
        </w:rPr>
        <w:t xml:space="preserve">272 </w:t>
      </w:r>
      <w:r w:rsidRPr="00F117EB">
        <w:rPr>
          <w:rFonts w:ascii="Times New Roman" w:hAnsi="Times New Roman"/>
          <w:sz w:val="24"/>
        </w:rPr>
        <w:t>[583];</w:t>
      </w:r>
      <w:r w:rsidR="00F0026F" w:rsidRPr="00F117EB">
        <w:rPr>
          <w:rFonts w:ascii="Times New Roman" w:hAnsi="Times New Roman"/>
          <w:sz w:val="24"/>
        </w:rPr>
        <w:t xml:space="preserve"> </w:t>
      </w:r>
      <w:r w:rsidR="00027673" w:rsidRPr="00F117EB">
        <w:rPr>
          <w:rFonts w:ascii="Times New Roman" w:hAnsi="Times New Roman"/>
          <w:i/>
          <w:iCs/>
          <w:sz w:val="24"/>
        </w:rPr>
        <w:t xml:space="preserve">Breen v Williams </w:t>
      </w:r>
      <w:r w:rsidR="005340A6" w:rsidRPr="00F117EB">
        <w:rPr>
          <w:rFonts w:ascii="Times New Roman" w:hAnsi="Times New Roman"/>
          <w:sz w:val="24"/>
        </w:rPr>
        <w:t>(1996) 186 CLR 71 at 135.</w:t>
      </w:r>
    </w:p>
  </w:footnote>
  <w:footnote w:id="70">
    <w:p w14:paraId="374586A0" w14:textId="7FFD9146" w:rsidR="00733286" w:rsidRPr="00F117EB" w:rsidRDefault="00733286"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F777C9" w:rsidRPr="00F117EB">
        <w:rPr>
          <w:rFonts w:ascii="Times New Roman" w:hAnsi="Times New Roman"/>
          <w:sz w:val="24"/>
        </w:rPr>
        <w:t>U</w:t>
      </w:r>
      <w:r w:rsidRPr="00F117EB">
        <w:rPr>
          <w:rFonts w:ascii="Times New Roman" w:hAnsi="Times New Roman"/>
          <w:sz w:val="24"/>
        </w:rPr>
        <w:t>nrep</w:t>
      </w:r>
      <w:r w:rsidR="00316CEA" w:rsidRPr="00F117EB">
        <w:rPr>
          <w:rFonts w:ascii="Times New Roman" w:hAnsi="Times New Roman"/>
          <w:sz w:val="24"/>
        </w:rPr>
        <w:t>orted</w:t>
      </w:r>
      <w:r w:rsidRPr="00F117EB">
        <w:rPr>
          <w:rFonts w:ascii="Times New Roman" w:hAnsi="Times New Roman"/>
          <w:sz w:val="24"/>
        </w:rPr>
        <w:t xml:space="preserve">, </w:t>
      </w:r>
      <w:r w:rsidR="00316CEA" w:rsidRPr="00F117EB">
        <w:rPr>
          <w:rFonts w:ascii="Times New Roman" w:hAnsi="Times New Roman"/>
          <w:sz w:val="24"/>
        </w:rPr>
        <w:t>Supreme Court of New South Wales</w:t>
      </w:r>
      <w:r w:rsidRPr="00F117EB">
        <w:rPr>
          <w:rFonts w:ascii="Times New Roman" w:hAnsi="Times New Roman"/>
          <w:sz w:val="24"/>
        </w:rPr>
        <w:t>, Court of Criminal Appeal, 1 October 1987.</w:t>
      </w:r>
    </w:p>
  </w:footnote>
  <w:footnote w:id="71">
    <w:p w14:paraId="5AF4EED3" w14:textId="3646398E" w:rsidR="001911AF" w:rsidRPr="00F117EB" w:rsidRDefault="001911AF"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C0366D" w:rsidRPr="00F117EB">
        <w:rPr>
          <w:rFonts w:ascii="Times New Roman" w:hAnsi="Times New Roman"/>
          <w:i/>
          <w:iCs/>
          <w:sz w:val="24"/>
        </w:rPr>
        <w:t>R v Tay</w:t>
      </w:r>
      <w:r w:rsidR="00C0366D" w:rsidRPr="00F117EB">
        <w:rPr>
          <w:rFonts w:ascii="Times New Roman" w:hAnsi="Times New Roman"/>
          <w:sz w:val="24"/>
        </w:rPr>
        <w:t xml:space="preserve"> </w:t>
      </w:r>
      <w:r w:rsidR="00E5248C" w:rsidRPr="00F117EB">
        <w:rPr>
          <w:rFonts w:ascii="Times New Roman" w:hAnsi="Times New Roman"/>
          <w:sz w:val="24"/>
        </w:rPr>
        <w:t>(</w:t>
      </w:r>
      <w:r w:rsidR="00C0366D" w:rsidRPr="00F117EB">
        <w:rPr>
          <w:rFonts w:ascii="Times New Roman" w:hAnsi="Times New Roman"/>
          <w:sz w:val="24"/>
        </w:rPr>
        <w:t>unrep</w:t>
      </w:r>
      <w:r w:rsidR="00E5248C" w:rsidRPr="00F117EB">
        <w:rPr>
          <w:rFonts w:ascii="Times New Roman" w:hAnsi="Times New Roman"/>
          <w:sz w:val="24"/>
        </w:rPr>
        <w:t>orted</w:t>
      </w:r>
      <w:r w:rsidR="00C0366D" w:rsidRPr="00F117EB">
        <w:rPr>
          <w:rFonts w:ascii="Times New Roman" w:hAnsi="Times New Roman"/>
          <w:sz w:val="24"/>
        </w:rPr>
        <w:t xml:space="preserve">, </w:t>
      </w:r>
      <w:r w:rsidR="00E5248C" w:rsidRPr="00F117EB">
        <w:rPr>
          <w:rFonts w:ascii="Times New Roman" w:hAnsi="Times New Roman"/>
          <w:sz w:val="24"/>
        </w:rPr>
        <w:t>Supreme Court of New South Wales</w:t>
      </w:r>
      <w:r w:rsidR="00C0366D" w:rsidRPr="00F117EB">
        <w:rPr>
          <w:rFonts w:ascii="Times New Roman" w:hAnsi="Times New Roman"/>
          <w:sz w:val="24"/>
        </w:rPr>
        <w:t>, Court of Criminal Appeal, 1 October 1987</w:t>
      </w:r>
      <w:r w:rsidR="00E5248C" w:rsidRPr="00F117EB">
        <w:rPr>
          <w:rFonts w:ascii="Times New Roman" w:hAnsi="Times New Roman"/>
          <w:sz w:val="24"/>
        </w:rPr>
        <w:t xml:space="preserve">) </w:t>
      </w:r>
      <w:r w:rsidRPr="00F117EB">
        <w:rPr>
          <w:rFonts w:ascii="Times New Roman" w:hAnsi="Times New Roman"/>
          <w:sz w:val="24"/>
        </w:rPr>
        <w:t>at 1</w:t>
      </w:r>
      <w:r w:rsidR="009810D9" w:rsidRPr="00F117EB">
        <w:rPr>
          <w:rFonts w:ascii="Times New Roman" w:hAnsi="Times New Roman"/>
          <w:sz w:val="24"/>
        </w:rPr>
        <w:t>-2</w:t>
      </w:r>
      <w:r w:rsidRPr="00F117EB">
        <w:rPr>
          <w:rFonts w:ascii="Times New Roman" w:hAnsi="Times New Roman"/>
          <w:sz w:val="24"/>
        </w:rPr>
        <w:t>.</w:t>
      </w:r>
    </w:p>
  </w:footnote>
  <w:footnote w:id="72">
    <w:p w14:paraId="6F8F8BCE" w14:textId="1D5B247F" w:rsidR="006A70F3" w:rsidRPr="00F117EB" w:rsidRDefault="006A70F3"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8629A6" w:rsidRPr="00F117EB">
        <w:rPr>
          <w:rFonts w:ascii="Times New Roman" w:hAnsi="Times New Roman"/>
          <w:i/>
          <w:iCs/>
          <w:sz w:val="24"/>
        </w:rPr>
        <w:t>Legal Profession Uniform Conduct (Barristers) Rules 2015</w:t>
      </w:r>
      <w:r w:rsidR="00562178" w:rsidRPr="00F117EB">
        <w:rPr>
          <w:rFonts w:ascii="Times New Roman" w:hAnsi="Times New Roman"/>
          <w:sz w:val="24"/>
        </w:rPr>
        <w:t xml:space="preserve"> (NSW)</w:t>
      </w:r>
      <w:r w:rsidR="008629A6" w:rsidRPr="00F117EB">
        <w:rPr>
          <w:rFonts w:ascii="Times New Roman" w:hAnsi="Times New Roman"/>
          <w:sz w:val="24"/>
        </w:rPr>
        <w:t>,</w:t>
      </w:r>
      <w:r w:rsidR="008629A6" w:rsidRPr="00F117EB">
        <w:rPr>
          <w:rFonts w:ascii="Times New Roman" w:hAnsi="Times New Roman"/>
          <w:i/>
          <w:iCs/>
          <w:sz w:val="24"/>
        </w:rPr>
        <w:t xml:space="preserve"> </w:t>
      </w:r>
      <w:r w:rsidR="008629A6" w:rsidRPr="00F117EB">
        <w:rPr>
          <w:rFonts w:ascii="Times New Roman" w:hAnsi="Times New Roman"/>
          <w:sz w:val="24"/>
        </w:rPr>
        <w:t>r</w:t>
      </w:r>
      <w:r w:rsidRPr="00F117EB">
        <w:rPr>
          <w:rFonts w:ascii="Times New Roman" w:hAnsi="Times New Roman"/>
          <w:sz w:val="24"/>
        </w:rPr>
        <w:t xml:space="preserve"> 7.</w:t>
      </w:r>
    </w:p>
  </w:footnote>
  <w:footnote w:id="73">
    <w:p w14:paraId="39E7F612" w14:textId="63BC4638" w:rsidR="003A0997" w:rsidRPr="00F117EB" w:rsidRDefault="003A0997"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t xml:space="preserve">See </w:t>
      </w:r>
      <w:proofErr w:type="spellStart"/>
      <w:r w:rsidR="000D79D0" w:rsidRPr="00F117EB">
        <w:rPr>
          <w:rFonts w:ascii="Times New Roman" w:hAnsi="Times New Roman"/>
          <w:i/>
          <w:iCs/>
          <w:sz w:val="24"/>
        </w:rPr>
        <w:t>Atanaskovic</w:t>
      </w:r>
      <w:proofErr w:type="spellEnd"/>
      <w:r w:rsidR="000D79D0" w:rsidRPr="00F117EB">
        <w:rPr>
          <w:rFonts w:ascii="Times New Roman" w:hAnsi="Times New Roman"/>
          <w:i/>
          <w:iCs/>
          <w:sz w:val="24"/>
        </w:rPr>
        <w:t xml:space="preserve"> Hartnell </w:t>
      </w:r>
      <w:r w:rsidR="000D79D0" w:rsidRPr="00F117EB">
        <w:rPr>
          <w:rFonts w:ascii="Times New Roman" w:hAnsi="Times New Roman"/>
          <w:sz w:val="24"/>
        </w:rPr>
        <w:t>(2021) 105 NSWLR 542</w:t>
      </w:r>
      <w:r w:rsidR="00562178" w:rsidRPr="00F117EB">
        <w:rPr>
          <w:rFonts w:ascii="Times New Roman" w:hAnsi="Times New Roman"/>
          <w:sz w:val="24"/>
        </w:rPr>
        <w:t xml:space="preserve"> </w:t>
      </w:r>
      <w:r w:rsidRPr="00F117EB">
        <w:rPr>
          <w:rFonts w:ascii="Times New Roman" w:hAnsi="Times New Roman"/>
          <w:sz w:val="24"/>
        </w:rPr>
        <w:t xml:space="preserve">at </w:t>
      </w:r>
      <w:r w:rsidR="00663744" w:rsidRPr="00F117EB">
        <w:rPr>
          <w:rFonts w:ascii="Times New Roman" w:hAnsi="Times New Roman"/>
          <w:sz w:val="24"/>
        </w:rPr>
        <w:t xml:space="preserve">564 </w:t>
      </w:r>
      <w:r w:rsidRPr="00F117EB">
        <w:rPr>
          <w:rFonts w:ascii="Times New Roman" w:hAnsi="Times New Roman"/>
          <w:sz w:val="24"/>
        </w:rPr>
        <w:t>[104]</w:t>
      </w:r>
      <w:r w:rsidR="00663744" w:rsidRPr="00F117EB">
        <w:rPr>
          <w:rFonts w:ascii="Times New Roman" w:hAnsi="Times New Roman"/>
          <w:sz w:val="24"/>
        </w:rPr>
        <w:t>-[106</w:t>
      </w:r>
      <w:r w:rsidRPr="00F117EB">
        <w:rPr>
          <w:rFonts w:ascii="Times New Roman" w:hAnsi="Times New Roman"/>
          <w:sz w:val="24"/>
        </w:rPr>
        <w:t>].</w:t>
      </w:r>
    </w:p>
  </w:footnote>
  <w:footnote w:id="74">
    <w:p w14:paraId="16BD180E" w14:textId="684A3364" w:rsidR="00A40F5F" w:rsidRPr="00F117EB" w:rsidRDefault="00A40F5F"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t>See above at [4</w:t>
      </w:r>
      <w:r w:rsidR="00D47696" w:rsidRPr="00F117EB">
        <w:rPr>
          <w:rFonts w:ascii="Times New Roman" w:hAnsi="Times New Roman"/>
          <w:sz w:val="24"/>
        </w:rPr>
        <w:t>2</w:t>
      </w:r>
      <w:r w:rsidRPr="00F117EB">
        <w:rPr>
          <w:rFonts w:ascii="Times New Roman" w:hAnsi="Times New Roman"/>
          <w:sz w:val="24"/>
        </w:rPr>
        <w:t>].</w:t>
      </w:r>
    </w:p>
  </w:footnote>
  <w:footnote w:id="75">
    <w:p w14:paraId="0BEF2DEC" w14:textId="2B5064FE" w:rsidR="00C507E4" w:rsidRPr="00F117EB" w:rsidRDefault="00C507E4"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R v Pham</w:t>
      </w:r>
      <w:r w:rsidRPr="00F117EB">
        <w:rPr>
          <w:rFonts w:ascii="Times New Roman" w:hAnsi="Times New Roman"/>
          <w:sz w:val="24"/>
        </w:rPr>
        <w:t xml:space="preserve"> [2017] QCA 43 at [58]-[60]; </w:t>
      </w:r>
      <w:r w:rsidRPr="00F117EB">
        <w:rPr>
          <w:rFonts w:ascii="Times New Roman" w:hAnsi="Times New Roman"/>
          <w:i/>
          <w:iCs/>
          <w:sz w:val="24"/>
        </w:rPr>
        <w:t>Mills v The Queen</w:t>
      </w:r>
      <w:r w:rsidRPr="00F117EB">
        <w:rPr>
          <w:rFonts w:ascii="Times New Roman" w:hAnsi="Times New Roman"/>
          <w:sz w:val="24"/>
        </w:rPr>
        <w:t xml:space="preserve"> [1995] 1 WLR 511 at 523</w:t>
      </w:r>
      <w:r w:rsidR="001C43CB" w:rsidRPr="00F117EB">
        <w:rPr>
          <w:rFonts w:ascii="Times New Roman" w:hAnsi="Times New Roman"/>
          <w:sz w:val="24"/>
        </w:rPr>
        <w:t xml:space="preserve">; [1995] 3 All ER 865 at </w:t>
      </w:r>
      <w:r w:rsidR="006B1C74" w:rsidRPr="00F117EB">
        <w:rPr>
          <w:rFonts w:ascii="Times New Roman" w:hAnsi="Times New Roman"/>
          <w:sz w:val="24"/>
        </w:rPr>
        <w:t>877-878</w:t>
      </w:r>
      <w:r w:rsidRPr="00F117EB">
        <w:rPr>
          <w:rFonts w:ascii="Times New Roman" w:hAnsi="Times New Roman"/>
          <w:sz w:val="24"/>
        </w:rPr>
        <w:t>.</w:t>
      </w:r>
    </w:p>
  </w:footnote>
  <w:footnote w:id="76">
    <w:p w14:paraId="2B228733" w14:textId="2B6FA9DC" w:rsidR="00CD4526" w:rsidRPr="00F117EB" w:rsidRDefault="00CD4526"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Clark</w:t>
      </w:r>
      <w:r w:rsidRPr="00F117EB">
        <w:rPr>
          <w:rFonts w:ascii="Times New Roman" w:hAnsi="Times New Roman"/>
          <w:sz w:val="24"/>
        </w:rPr>
        <w:t xml:space="preserve"> (1996) 91 A Crim R 46 at 71.</w:t>
      </w:r>
    </w:p>
  </w:footnote>
  <w:footnote w:id="77">
    <w:p w14:paraId="40F8B2BF" w14:textId="05E39096" w:rsidR="001243CA" w:rsidRPr="00F117EB" w:rsidRDefault="001243CA"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Hospital Products</w:t>
      </w:r>
      <w:r w:rsidRPr="00F117EB">
        <w:rPr>
          <w:rFonts w:ascii="Times New Roman" w:hAnsi="Times New Roman"/>
          <w:i/>
          <w:sz w:val="24"/>
        </w:rPr>
        <w:t xml:space="preserve"> </w:t>
      </w:r>
      <w:r w:rsidR="0022211C" w:rsidRPr="00F117EB">
        <w:rPr>
          <w:rFonts w:ascii="Times New Roman" w:hAnsi="Times New Roman"/>
          <w:i/>
          <w:iCs/>
          <w:sz w:val="24"/>
        </w:rPr>
        <w:t xml:space="preserve">Ltd </w:t>
      </w:r>
      <w:r w:rsidR="0022211C" w:rsidRPr="00F117EB">
        <w:rPr>
          <w:rFonts w:ascii="Times New Roman" w:hAnsi="Times New Roman"/>
          <w:sz w:val="24"/>
        </w:rPr>
        <w:t>(1984) 156 CLR 41</w:t>
      </w:r>
      <w:r w:rsidRPr="00F117EB">
        <w:rPr>
          <w:rFonts w:ascii="Times New Roman" w:hAnsi="Times New Roman"/>
          <w:sz w:val="24"/>
        </w:rPr>
        <w:t xml:space="preserve"> at 102; </w:t>
      </w:r>
      <w:r w:rsidRPr="00F117EB">
        <w:rPr>
          <w:rFonts w:ascii="Times New Roman" w:hAnsi="Times New Roman"/>
          <w:i/>
          <w:iCs/>
          <w:sz w:val="24"/>
        </w:rPr>
        <w:t>Beach Petroleum</w:t>
      </w:r>
      <w:r w:rsidRPr="00F117EB">
        <w:rPr>
          <w:rFonts w:ascii="Times New Roman" w:hAnsi="Times New Roman"/>
          <w:i/>
          <w:sz w:val="24"/>
        </w:rPr>
        <w:t xml:space="preserve"> </w:t>
      </w:r>
      <w:r w:rsidR="001239C5" w:rsidRPr="00F117EB">
        <w:rPr>
          <w:rFonts w:ascii="Times New Roman" w:hAnsi="Times New Roman"/>
          <w:i/>
          <w:iCs/>
          <w:sz w:val="24"/>
        </w:rPr>
        <w:t xml:space="preserve">NL </w:t>
      </w:r>
      <w:r w:rsidR="001239C5" w:rsidRPr="00F117EB">
        <w:rPr>
          <w:rFonts w:ascii="Times New Roman" w:hAnsi="Times New Roman"/>
          <w:sz w:val="24"/>
        </w:rPr>
        <w:t>(1999) 48 NSWLR 1</w:t>
      </w:r>
      <w:r w:rsidRPr="00F117EB">
        <w:rPr>
          <w:rFonts w:ascii="Times New Roman" w:hAnsi="Times New Roman"/>
          <w:sz w:val="24"/>
        </w:rPr>
        <w:t xml:space="preserve"> at </w:t>
      </w:r>
      <w:r w:rsidR="002E51F0" w:rsidRPr="00F117EB">
        <w:rPr>
          <w:rFonts w:ascii="Times New Roman" w:hAnsi="Times New Roman"/>
          <w:sz w:val="24"/>
        </w:rPr>
        <w:t>45</w:t>
      </w:r>
      <w:r w:rsidRPr="00F117EB">
        <w:rPr>
          <w:rFonts w:ascii="Times New Roman" w:hAnsi="Times New Roman"/>
          <w:sz w:val="24"/>
        </w:rPr>
        <w:t xml:space="preserve"> [188].</w:t>
      </w:r>
    </w:p>
  </w:footnote>
  <w:footnote w:id="78">
    <w:p w14:paraId="55CEE0C7" w14:textId="57CA50A3" w:rsidR="00C820D4" w:rsidRPr="00F117EB" w:rsidRDefault="00C820D4"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 xml:space="preserve">Mills </w:t>
      </w:r>
      <w:r w:rsidRPr="00F117EB">
        <w:rPr>
          <w:rFonts w:ascii="Times New Roman" w:hAnsi="Times New Roman"/>
          <w:sz w:val="24"/>
        </w:rPr>
        <w:t>[1995] 1 WLR 511 at 523 (emphasis added)</w:t>
      </w:r>
      <w:r w:rsidR="000B478E" w:rsidRPr="00F117EB">
        <w:rPr>
          <w:rFonts w:ascii="Times New Roman" w:hAnsi="Times New Roman"/>
          <w:sz w:val="24"/>
        </w:rPr>
        <w:t>; [1995] 3 All ER 865 at 877</w:t>
      </w:r>
      <w:r w:rsidRPr="00F117EB">
        <w:rPr>
          <w:rFonts w:ascii="Times New Roman" w:hAnsi="Times New Roman"/>
          <w:sz w:val="24"/>
        </w:rPr>
        <w:t>.</w:t>
      </w:r>
    </w:p>
  </w:footnote>
  <w:footnote w:id="79">
    <w:p w14:paraId="60119F96" w14:textId="2D5EAECF" w:rsidR="00592EC7" w:rsidRPr="00F117EB" w:rsidRDefault="00592EC7"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CA47B1" w:rsidRPr="00F117EB">
        <w:rPr>
          <w:rFonts w:ascii="Times New Roman" w:hAnsi="Times New Roman"/>
          <w:sz w:val="24"/>
        </w:rPr>
        <w:t xml:space="preserve">See </w:t>
      </w:r>
      <w:r w:rsidR="00CA47B1" w:rsidRPr="00F117EB">
        <w:rPr>
          <w:rFonts w:ascii="Times New Roman" w:hAnsi="Times New Roman"/>
          <w:i/>
          <w:iCs/>
          <w:sz w:val="24"/>
        </w:rPr>
        <w:t>Legal Profession Uniform Conduct (Barristers) Rules 2015</w:t>
      </w:r>
      <w:r w:rsidR="005D6313" w:rsidRPr="00F117EB">
        <w:rPr>
          <w:rFonts w:ascii="Times New Roman" w:hAnsi="Times New Roman"/>
          <w:sz w:val="24"/>
        </w:rPr>
        <w:t xml:space="preserve"> (NSW)</w:t>
      </w:r>
      <w:r w:rsidR="00A8034E" w:rsidRPr="00F117EB">
        <w:rPr>
          <w:rFonts w:ascii="Times New Roman" w:hAnsi="Times New Roman"/>
          <w:sz w:val="24"/>
        </w:rPr>
        <w:t>,</w:t>
      </w:r>
      <w:r w:rsidR="00CA47B1" w:rsidRPr="00F117EB">
        <w:rPr>
          <w:rFonts w:ascii="Times New Roman" w:hAnsi="Times New Roman"/>
          <w:i/>
          <w:iCs/>
          <w:sz w:val="24"/>
        </w:rPr>
        <w:t xml:space="preserve"> </w:t>
      </w:r>
      <w:r w:rsidR="00CA47B1" w:rsidRPr="00F117EB">
        <w:rPr>
          <w:rFonts w:ascii="Times New Roman" w:hAnsi="Times New Roman"/>
          <w:sz w:val="24"/>
        </w:rPr>
        <w:t>r</w:t>
      </w:r>
      <w:r w:rsidR="00AB462E" w:rsidRPr="00F117EB">
        <w:rPr>
          <w:rFonts w:ascii="Times New Roman" w:hAnsi="Times New Roman"/>
          <w:sz w:val="24"/>
        </w:rPr>
        <w:t> </w:t>
      </w:r>
      <w:r w:rsidR="00CA47B1" w:rsidRPr="00F117EB">
        <w:rPr>
          <w:rFonts w:ascii="Times New Roman" w:hAnsi="Times New Roman"/>
          <w:sz w:val="24"/>
        </w:rPr>
        <w:t>4(c)</w:t>
      </w:r>
      <w:r w:rsidR="00587164" w:rsidRPr="00F117EB">
        <w:rPr>
          <w:rFonts w:ascii="Times New Roman" w:hAnsi="Times New Roman"/>
          <w:sz w:val="24"/>
        </w:rPr>
        <w:t xml:space="preserve">; </w:t>
      </w:r>
      <w:r w:rsidR="00587164" w:rsidRPr="00F117EB">
        <w:rPr>
          <w:rFonts w:ascii="Times New Roman" w:hAnsi="Times New Roman"/>
          <w:i/>
          <w:iCs/>
          <w:sz w:val="24"/>
        </w:rPr>
        <w:t>Legal Profession Uniform Law Australian Solicitors' Conduct Rules 2015</w:t>
      </w:r>
      <w:r w:rsidR="003F1374" w:rsidRPr="00F117EB">
        <w:rPr>
          <w:rFonts w:ascii="Times New Roman" w:hAnsi="Times New Roman"/>
          <w:sz w:val="24"/>
        </w:rPr>
        <w:t xml:space="preserve"> (NSW)</w:t>
      </w:r>
      <w:r w:rsidR="00A8034E" w:rsidRPr="00F117EB">
        <w:rPr>
          <w:rFonts w:ascii="Times New Roman" w:hAnsi="Times New Roman"/>
          <w:sz w:val="24"/>
        </w:rPr>
        <w:t>,</w:t>
      </w:r>
      <w:r w:rsidR="00587164" w:rsidRPr="00F117EB">
        <w:rPr>
          <w:rFonts w:ascii="Times New Roman" w:hAnsi="Times New Roman"/>
          <w:i/>
          <w:iCs/>
          <w:sz w:val="24"/>
        </w:rPr>
        <w:t xml:space="preserve"> </w:t>
      </w:r>
      <w:r w:rsidR="00587164" w:rsidRPr="00F117EB">
        <w:rPr>
          <w:rFonts w:ascii="Times New Roman" w:hAnsi="Times New Roman"/>
          <w:sz w:val="24"/>
        </w:rPr>
        <w:t>r</w:t>
      </w:r>
      <w:r w:rsidR="00A470D8" w:rsidRPr="00F117EB">
        <w:rPr>
          <w:rFonts w:ascii="Times New Roman" w:hAnsi="Times New Roman"/>
          <w:i/>
          <w:iCs/>
          <w:sz w:val="24"/>
        </w:rPr>
        <w:t> </w:t>
      </w:r>
      <w:r w:rsidR="00915436" w:rsidRPr="00F117EB">
        <w:rPr>
          <w:rFonts w:ascii="Times New Roman" w:hAnsi="Times New Roman"/>
          <w:sz w:val="24"/>
        </w:rPr>
        <w:t>4.1.3;</w:t>
      </w:r>
      <w:r w:rsidR="00CA47B1" w:rsidRPr="00F117EB">
        <w:rPr>
          <w:rFonts w:ascii="Times New Roman" w:hAnsi="Times New Roman"/>
          <w:sz w:val="24"/>
        </w:rPr>
        <w:t xml:space="preserve"> </w:t>
      </w:r>
      <w:r w:rsidR="00F265B3" w:rsidRPr="00F117EB">
        <w:rPr>
          <w:rFonts w:ascii="Times New Roman" w:hAnsi="Times New Roman"/>
          <w:i/>
          <w:iCs/>
          <w:sz w:val="24"/>
        </w:rPr>
        <w:t xml:space="preserve">Nudd </w:t>
      </w:r>
      <w:r w:rsidR="00F265B3" w:rsidRPr="00F117EB">
        <w:rPr>
          <w:rFonts w:ascii="Times New Roman" w:hAnsi="Times New Roman"/>
          <w:sz w:val="24"/>
        </w:rPr>
        <w:t xml:space="preserve">(2006) 80 ALJR 614 at </w:t>
      </w:r>
      <w:r w:rsidR="000D3442" w:rsidRPr="00F117EB">
        <w:rPr>
          <w:rFonts w:ascii="Times New Roman" w:hAnsi="Times New Roman"/>
          <w:sz w:val="24"/>
        </w:rPr>
        <w:t>625 [42]</w:t>
      </w:r>
      <w:r w:rsidR="003F1374" w:rsidRPr="00F117EB">
        <w:rPr>
          <w:rFonts w:ascii="Times New Roman" w:hAnsi="Times New Roman"/>
          <w:sz w:val="24"/>
        </w:rPr>
        <w:t>; 225 ALR 161 at 174</w:t>
      </w:r>
      <w:r w:rsidR="000D3442" w:rsidRPr="00F117EB">
        <w:rPr>
          <w:rFonts w:ascii="Times New Roman" w:hAnsi="Times New Roman"/>
          <w:sz w:val="24"/>
        </w:rPr>
        <w:t>.</w:t>
      </w:r>
      <w:r w:rsidR="00CA47B1" w:rsidRPr="00F117EB">
        <w:rPr>
          <w:rFonts w:ascii="Times New Roman" w:hAnsi="Times New Roman"/>
          <w:sz w:val="24"/>
        </w:rPr>
        <w:t xml:space="preserve"> </w:t>
      </w:r>
    </w:p>
  </w:footnote>
  <w:footnote w:id="80">
    <w:p w14:paraId="2C423A00" w14:textId="6B6DB6A0" w:rsidR="00E122E7" w:rsidRPr="00F117EB" w:rsidRDefault="00E122E7"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471AF6" w:rsidRPr="00F117EB">
        <w:rPr>
          <w:rFonts w:ascii="Times New Roman" w:hAnsi="Times New Roman"/>
          <w:sz w:val="24"/>
        </w:rPr>
        <w:t>S</w:t>
      </w:r>
      <w:r w:rsidRPr="00F117EB">
        <w:rPr>
          <w:rFonts w:ascii="Times New Roman" w:hAnsi="Times New Roman"/>
          <w:sz w:val="24"/>
        </w:rPr>
        <w:t>ee</w:t>
      </w:r>
      <w:r w:rsidR="00193BD4" w:rsidRPr="00F117EB">
        <w:rPr>
          <w:rFonts w:ascii="Times New Roman" w:hAnsi="Times New Roman"/>
          <w:sz w:val="24"/>
        </w:rPr>
        <w:t xml:space="preserve">, </w:t>
      </w:r>
      <w:proofErr w:type="spellStart"/>
      <w:r w:rsidR="00193BD4" w:rsidRPr="00F117EB">
        <w:rPr>
          <w:rFonts w:ascii="Times New Roman" w:hAnsi="Times New Roman"/>
          <w:sz w:val="24"/>
        </w:rPr>
        <w:t>eg</w:t>
      </w:r>
      <w:proofErr w:type="spellEnd"/>
      <w:r w:rsidR="007F7D7F" w:rsidRPr="00F117EB">
        <w:rPr>
          <w:rFonts w:ascii="Times New Roman" w:hAnsi="Times New Roman"/>
          <w:sz w:val="24"/>
        </w:rPr>
        <w:t xml:space="preserve">, </w:t>
      </w:r>
      <w:r w:rsidR="007F7D7F" w:rsidRPr="00F117EB">
        <w:rPr>
          <w:rFonts w:ascii="Times New Roman" w:hAnsi="Times New Roman"/>
          <w:i/>
          <w:iCs/>
          <w:sz w:val="24"/>
        </w:rPr>
        <w:t>Hunter</w:t>
      </w:r>
      <w:r w:rsidR="007F7D7F" w:rsidRPr="00F117EB">
        <w:rPr>
          <w:rFonts w:ascii="Times New Roman" w:hAnsi="Times New Roman"/>
          <w:sz w:val="24"/>
        </w:rPr>
        <w:t xml:space="preserve"> (1999) 105 A Crim R 223.</w:t>
      </w:r>
    </w:p>
  </w:footnote>
  <w:footnote w:id="81">
    <w:p w14:paraId="4A076191" w14:textId="167F2C56" w:rsidR="005B138B" w:rsidRPr="00F117EB" w:rsidRDefault="005B138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EC554E" w:rsidRPr="00F117EB">
        <w:rPr>
          <w:rFonts w:ascii="Times New Roman" w:hAnsi="Times New Roman"/>
          <w:i/>
          <w:iCs/>
          <w:sz w:val="24"/>
        </w:rPr>
        <w:t>TKWJ</w:t>
      </w:r>
      <w:r w:rsidR="00EC554E" w:rsidRPr="00F117EB">
        <w:rPr>
          <w:rFonts w:ascii="Times New Roman" w:hAnsi="Times New Roman"/>
          <w:sz w:val="24"/>
        </w:rPr>
        <w:t xml:space="preserve"> (2002) 212 CLR 124 at 149 [79]; </w:t>
      </w:r>
      <w:r w:rsidR="00912F0B" w:rsidRPr="00F117EB">
        <w:rPr>
          <w:rFonts w:ascii="Times New Roman" w:hAnsi="Times New Roman"/>
          <w:i/>
          <w:iCs/>
          <w:sz w:val="24"/>
        </w:rPr>
        <w:t>Ali v The Queen</w:t>
      </w:r>
      <w:r w:rsidR="00912F0B" w:rsidRPr="00F117EB">
        <w:rPr>
          <w:rFonts w:ascii="Times New Roman" w:hAnsi="Times New Roman"/>
          <w:sz w:val="24"/>
        </w:rPr>
        <w:t xml:space="preserve"> (2005) 79 ALJR 662 at 665 [18]; 214 ALR 1 at 6</w:t>
      </w:r>
      <w:r w:rsidR="003558D6" w:rsidRPr="00F117EB">
        <w:rPr>
          <w:rFonts w:ascii="Times New Roman" w:hAnsi="Times New Roman"/>
          <w:sz w:val="24"/>
        </w:rPr>
        <w:t xml:space="preserve">; </w:t>
      </w:r>
      <w:r w:rsidR="00A4738C" w:rsidRPr="00F117EB">
        <w:rPr>
          <w:rFonts w:ascii="Times New Roman" w:hAnsi="Times New Roman"/>
          <w:i/>
          <w:iCs/>
          <w:sz w:val="24"/>
        </w:rPr>
        <w:t xml:space="preserve">Nudd </w:t>
      </w:r>
      <w:r w:rsidR="00A4738C" w:rsidRPr="00F117EB">
        <w:rPr>
          <w:rFonts w:ascii="Times New Roman" w:hAnsi="Times New Roman"/>
          <w:sz w:val="24"/>
        </w:rPr>
        <w:t xml:space="preserve">(2006) </w:t>
      </w:r>
      <w:r w:rsidR="00A4738C" w:rsidRPr="00F117EB" w:rsidDel="00481170">
        <w:rPr>
          <w:rFonts w:ascii="Times New Roman" w:hAnsi="Times New Roman"/>
          <w:sz w:val="24"/>
        </w:rPr>
        <w:t>80 ALJR 614</w:t>
      </w:r>
      <w:r w:rsidR="00A4738C" w:rsidRPr="00F117EB">
        <w:rPr>
          <w:rFonts w:ascii="Times New Roman" w:hAnsi="Times New Roman"/>
          <w:sz w:val="24"/>
        </w:rPr>
        <w:t xml:space="preserve"> at 616 [2], 622 [24], 623 [25], 628 [56], 629 [59], 643 [151]; 225 ALR 161 at 162, 170, 178-179, 198</w:t>
      </w:r>
      <w:r w:rsidRPr="00F117EB">
        <w:rPr>
          <w:rFonts w:ascii="Times New Roman" w:hAnsi="Times New Roman"/>
          <w:sz w:val="24"/>
        </w:rPr>
        <w:t>.</w:t>
      </w:r>
    </w:p>
  </w:footnote>
  <w:footnote w:id="82">
    <w:p w14:paraId="6591AF73" w14:textId="239BD4F8" w:rsidR="00F40CD0" w:rsidRPr="00F117EB" w:rsidRDefault="00F40CD0"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03586C" w:rsidRPr="00F117EB">
        <w:rPr>
          <w:rFonts w:ascii="Times New Roman" w:hAnsi="Times New Roman"/>
          <w:i/>
          <w:iCs/>
          <w:sz w:val="24"/>
        </w:rPr>
        <w:t>Ali v The Queen</w:t>
      </w:r>
      <w:r w:rsidR="0003586C" w:rsidRPr="00F117EB">
        <w:rPr>
          <w:rFonts w:ascii="Times New Roman" w:hAnsi="Times New Roman"/>
          <w:sz w:val="24"/>
        </w:rPr>
        <w:t xml:space="preserve"> (2005) 79 ALJR 662 at 666 [25]; 214 ALR 1 at 7; </w:t>
      </w:r>
      <w:r w:rsidRPr="00F117EB">
        <w:rPr>
          <w:rFonts w:ascii="Times New Roman" w:hAnsi="Times New Roman"/>
          <w:i/>
          <w:iCs/>
          <w:sz w:val="24"/>
        </w:rPr>
        <w:t>Nudd</w:t>
      </w:r>
      <w:r w:rsidRPr="00F117EB">
        <w:rPr>
          <w:rFonts w:ascii="Times New Roman" w:hAnsi="Times New Roman"/>
          <w:i/>
          <w:sz w:val="24"/>
        </w:rPr>
        <w:t xml:space="preserve"> </w:t>
      </w:r>
      <w:r w:rsidR="00E06E95" w:rsidRPr="00F117EB">
        <w:rPr>
          <w:rFonts w:ascii="Times New Roman" w:hAnsi="Times New Roman"/>
          <w:sz w:val="24"/>
        </w:rPr>
        <w:t xml:space="preserve">(2006) </w:t>
      </w:r>
      <w:r w:rsidR="00B35976" w:rsidRPr="00F117EB">
        <w:rPr>
          <w:rFonts w:ascii="Times New Roman" w:hAnsi="Times New Roman"/>
          <w:sz w:val="24"/>
        </w:rPr>
        <w:t>80 ALJR 614</w:t>
      </w:r>
      <w:r w:rsidR="008F036B" w:rsidRPr="00F117EB">
        <w:rPr>
          <w:rFonts w:ascii="Times New Roman" w:hAnsi="Times New Roman"/>
          <w:sz w:val="24"/>
        </w:rPr>
        <w:t xml:space="preserve"> </w:t>
      </w:r>
      <w:r w:rsidRPr="00F117EB">
        <w:rPr>
          <w:rFonts w:ascii="Times New Roman" w:hAnsi="Times New Roman"/>
          <w:sz w:val="24"/>
        </w:rPr>
        <w:t xml:space="preserve">at </w:t>
      </w:r>
      <w:r w:rsidR="004817FD" w:rsidRPr="00F117EB">
        <w:rPr>
          <w:rFonts w:ascii="Times New Roman" w:hAnsi="Times New Roman"/>
          <w:sz w:val="24"/>
        </w:rPr>
        <w:t>619</w:t>
      </w:r>
      <w:r w:rsidR="00551A69" w:rsidRPr="00F117EB">
        <w:rPr>
          <w:rFonts w:ascii="Times New Roman" w:hAnsi="Times New Roman"/>
          <w:sz w:val="24"/>
        </w:rPr>
        <w:t xml:space="preserve"> </w:t>
      </w:r>
      <w:r w:rsidRPr="00F117EB">
        <w:rPr>
          <w:rFonts w:ascii="Times New Roman" w:hAnsi="Times New Roman"/>
          <w:sz w:val="24"/>
        </w:rPr>
        <w:t>[10]</w:t>
      </w:r>
      <w:r w:rsidR="00DE7FCB" w:rsidRPr="00F117EB">
        <w:rPr>
          <w:rFonts w:ascii="Times New Roman" w:hAnsi="Times New Roman"/>
          <w:sz w:val="24"/>
        </w:rPr>
        <w:t>,</w:t>
      </w:r>
      <w:r w:rsidRPr="00F117EB">
        <w:rPr>
          <w:rFonts w:ascii="Times New Roman" w:hAnsi="Times New Roman"/>
          <w:sz w:val="24"/>
        </w:rPr>
        <w:t xml:space="preserve"> </w:t>
      </w:r>
      <w:r w:rsidR="00CF6642" w:rsidRPr="00F117EB">
        <w:rPr>
          <w:rFonts w:ascii="Times New Roman" w:hAnsi="Times New Roman"/>
          <w:sz w:val="24"/>
        </w:rPr>
        <w:t>620-621</w:t>
      </w:r>
      <w:r w:rsidR="00654F27" w:rsidRPr="00F117EB">
        <w:rPr>
          <w:rFonts w:ascii="Times New Roman" w:hAnsi="Times New Roman"/>
          <w:sz w:val="24"/>
        </w:rPr>
        <w:t xml:space="preserve"> </w:t>
      </w:r>
      <w:r w:rsidRPr="00F117EB">
        <w:rPr>
          <w:rFonts w:ascii="Times New Roman" w:hAnsi="Times New Roman"/>
          <w:sz w:val="24"/>
        </w:rPr>
        <w:t>[17]</w:t>
      </w:r>
      <w:r w:rsidR="000B58E5" w:rsidRPr="00F117EB">
        <w:rPr>
          <w:rFonts w:ascii="Times New Roman" w:hAnsi="Times New Roman"/>
          <w:sz w:val="24"/>
        </w:rPr>
        <w:t>;</w:t>
      </w:r>
      <w:r w:rsidR="00B35976" w:rsidRPr="00F117EB">
        <w:rPr>
          <w:rFonts w:ascii="Times New Roman" w:hAnsi="Times New Roman"/>
          <w:sz w:val="24"/>
        </w:rPr>
        <w:t xml:space="preserve"> </w:t>
      </w:r>
      <w:r w:rsidR="008F036B" w:rsidRPr="00F117EB">
        <w:rPr>
          <w:rFonts w:ascii="Times New Roman" w:hAnsi="Times New Roman"/>
          <w:sz w:val="24"/>
        </w:rPr>
        <w:t xml:space="preserve">225 ALR 161 </w:t>
      </w:r>
      <w:r w:rsidRPr="00F117EB">
        <w:rPr>
          <w:rFonts w:ascii="Times New Roman" w:hAnsi="Times New Roman"/>
          <w:sz w:val="24"/>
        </w:rPr>
        <w:t xml:space="preserve">at </w:t>
      </w:r>
      <w:r w:rsidR="004D4D94" w:rsidRPr="00F117EB">
        <w:rPr>
          <w:rFonts w:ascii="Times New Roman" w:hAnsi="Times New Roman"/>
          <w:sz w:val="24"/>
        </w:rPr>
        <w:t>165</w:t>
      </w:r>
      <w:r w:rsidR="00B647D3" w:rsidRPr="00F117EB">
        <w:rPr>
          <w:rFonts w:ascii="Times New Roman" w:hAnsi="Times New Roman"/>
          <w:sz w:val="24"/>
        </w:rPr>
        <w:t>,</w:t>
      </w:r>
      <w:r w:rsidR="00B35976" w:rsidRPr="00F117EB">
        <w:rPr>
          <w:rFonts w:ascii="Times New Roman" w:hAnsi="Times New Roman"/>
          <w:sz w:val="24"/>
        </w:rPr>
        <w:t xml:space="preserve"> </w:t>
      </w:r>
      <w:r w:rsidR="004D4D94" w:rsidRPr="00F117EB">
        <w:rPr>
          <w:rFonts w:ascii="Times New Roman" w:hAnsi="Times New Roman"/>
          <w:sz w:val="24"/>
        </w:rPr>
        <w:t>167</w:t>
      </w:r>
      <w:r w:rsidR="0003586C" w:rsidRPr="00F117EB">
        <w:rPr>
          <w:rFonts w:ascii="Times New Roman" w:hAnsi="Times New Roman"/>
          <w:sz w:val="24"/>
        </w:rPr>
        <w:t>.</w:t>
      </w:r>
      <w:r w:rsidRPr="00F117EB">
        <w:rPr>
          <w:rFonts w:ascii="Times New Roman" w:hAnsi="Times New Roman"/>
          <w:sz w:val="24"/>
        </w:rPr>
        <w:t xml:space="preserve"> </w:t>
      </w:r>
    </w:p>
  </w:footnote>
  <w:footnote w:id="83">
    <w:p w14:paraId="79D1D328" w14:textId="368C858B" w:rsidR="00DE7FCB" w:rsidRPr="00F117EB" w:rsidRDefault="00DE7FC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Nudd</w:t>
      </w:r>
      <w:r w:rsidRPr="00F117EB">
        <w:rPr>
          <w:rFonts w:ascii="Times New Roman" w:hAnsi="Times New Roman"/>
          <w:sz w:val="24"/>
        </w:rPr>
        <w:t xml:space="preserve"> </w:t>
      </w:r>
      <w:r w:rsidR="00205AEB" w:rsidRPr="00F117EB">
        <w:rPr>
          <w:rFonts w:ascii="Times New Roman" w:hAnsi="Times New Roman"/>
          <w:sz w:val="24"/>
        </w:rPr>
        <w:t xml:space="preserve">(2006) </w:t>
      </w:r>
      <w:r w:rsidR="00CF6642" w:rsidRPr="00F117EB">
        <w:rPr>
          <w:rFonts w:ascii="Times New Roman" w:hAnsi="Times New Roman"/>
          <w:sz w:val="24"/>
        </w:rPr>
        <w:t>80 ALJR 614</w:t>
      </w:r>
      <w:r w:rsidR="00205AEB" w:rsidRPr="00F117EB">
        <w:rPr>
          <w:rFonts w:ascii="Times New Roman" w:hAnsi="Times New Roman"/>
          <w:sz w:val="24"/>
        </w:rPr>
        <w:t xml:space="preserve"> </w:t>
      </w:r>
      <w:r w:rsidRPr="00F117EB">
        <w:rPr>
          <w:rFonts w:ascii="Times New Roman" w:hAnsi="Times New Roman"/>
          <w:sz w:val="24"/>
        </w:rPr>
        <w:t xml:space="preserve">at </w:t>
      </w:r>
      <w:r w:rsidR="00CF6642" w:rsidRPr="00F117EB">
        <w:rPr>
          <w:rFonts w:ascii="Times New Roman" w:hAnsi="Times New Roman"/>
          <w:sz w:val="24"/>
        </w:rPr>
        <w:t>619</w:t>
      </w:r>
      <w:r w:rsidR="004D4D94" w:rsidRPr="00F117EB">
        <w:rPr>
          <w:rFonts w:ascii="Times New Roman" w:hAnsi="Times New Roman"/>
          <w:sz w:val="24"/>
        </w:rPr>
        <w:t xml:space="preserve"> </w:t>
      </w:r>
      <w:r w:rsidRPr="00F117EB">
        <w:rPr>
          <w:rFonts w:ascii="Times New Roman" w:hAnsi="Times New Roman"/>
          <w:sz w:val="24"/>
        </w:rPr>
        <w:t>[10]</w:t>
      </w:r>
      <w:r w:rsidR="00CF6642" w:rsidRPr="00F117EB">
        <w:rPr>
          <w:rFonts w:ascii="Times New Roman" w:hAnsi="Times New Roman"/>
          <w:sz w:val="24"/>
        </w:rPr>
        <w:t xml:space="preserve">; </w:t>
      </w:r>
      <w:r w:rsidR="008F036B" w:rsidRPr="00F117EB">
        <w:rPr>
          <w:rFonts w:ascii="Times New Roman" w:hAnsi="Times New Roman"/>
          <w:sz w:val="24"/>
        </w:rPr>
        <w:t>225 ALR 161</w:t>
      </w:r>
      <w:r w:rsidR="00205AEB" w:rsidRPr="00F117EB">
        <w:rPr>
          <w:rFonts w:ascii="Times New Roman" w:hAnsi="Times New Roman"/>
          <w:sz w:val="24"/>
        </w:rPr>
        <w:t xml:space="preserve"> </w:t>
      </w:r>
      <w:r w:rsidRPr="00F117EB">
        <w:rPr>
          <w:rFonts w:ascii="Times New Roman" w:hAnsi="Times New Roman"/>
          <w:sz w:val="24"/>
        </w:rPr>
        <w:t xml:space="preserve">at </w:t>
      </w:r>
      <w:r w:rsidR="004D4D94" w:rsidRPr="00F117EB">
        <w:rPr>
          <w:rFonts w:ascii="Times New Roman" w:hAnsi="Times New Roman"/>
          <w:sz w:val="24"/>
        </w:rPr>
        <w:t>165</w:t>
      </w:r>
      <w:r w:rsidRPr="00F117EB">
        <w:rPr>
          <w:rFonts w:ascii="Times New Roman" w:hAnsi="Times New Roman"/>
          <w:sz w:val="24"/>
        </w:rPr>
        <w:t>.</w:t>
      </w:r>
    </w:p>
  </w:footnote>
  <w:footnote w:id="84">
    <w:p w14:paraId="47C3880A" w14:textId="3CB5DBC6" w:rsidR="00DE7FCB" w:rsidRPr="00F117EB" w:rsidRDefault="00DE7FC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Nudd</w:t>
      </w:r>
      <w:r w:rsidRPr="00F117EB">
        <w:rPr>
          <w:rFonts w:ascii="Times New Roman" w:hAnsi="Times New Roman"/>
          <w:sz w:val="24"/>
        </w:rPr>
        <w:t xml:space="preserve"> </w:t>
      </w:r>
      <w:r w:rsidR="008F036B" w:rsidRPr="00F117EB">
        <w:rPr>
          <w:rFonts w:ascii="Times New Roman" w:hAnsi="Times New Roman"/>
          <w:sz w:val="24"/>
        </w:rPr>
        <w:t xml:space="preserve">(2006) </w:t>
      </w:r>
      <w:r w:rsidR="00CF6642" w:rsidRPr="00F117EB">
        <w:rPr>
          <w:rFonts w:ascii="Times New Roman" w:hAnsi="Times New Roman"/>
          <w:sz w:val="24"/>
        </w:rPr>
        <w:t xml:space="preserve">80 ALJR 614 </w:t>
      </w:r>
      <w:r w:rsidRPr="00F117EB">
        <w:rPr>
          <w:rFonts w:ascii="Times New Roman" w:hAnsi="Times New Roman"/>
          <w:sz w:val="24"/>
        </w:rPr>
        <w:t xml:space="preserve">at </w:t>
      </w:r>
      <w:r w:rsidR="00CF6642" w:rsidRPr="00F117EB">
        <w:rPr>
          <w:rFonts w:ascii="Times New Roman" w:hAnsi="Times New Roman"/>
          <w:sz w:val="24"/>
        </w:rPr>
        <w:t>619</w:t>
      </w:r>
      <w:r w:rsidR="004D4D94" w:rsidRPr="00F117EB">
        <w:rPr>
          <w:rFonts w:ascii="Times New Roman" w:hAnsi="Times New Roman"/>
          <w:sz w:val="24"/>
        </w:rPr>
        <w:t xml:space="preserve"> </w:t>
      </w:r>
      <w:r w:rsidRPr="00F117EB">
        <w:rPr>
          <w:rFonts w:ascii="Times New Roman" w:hAnsi="Times New Roman"/>
          <w:sz w:val="24"/>
        </w:rPr>
        <w:t xml:space="preserve">[10], </w:t>
      </w:r>
      <w:r w:rsidR="008B274D" w:rsidRPr="00F117EB">
        <w:rPr>
          <w:rFonts w:ascii="Times New Roman" w:hAnsi="Times New Roman"/>
          <w:sz w:val="24"/>
        </w:rPr>
        <w:t>620-621</w:t>
      </w:r>
      <w:r w:rsidR="004D4D94" w:rsidRPr="00F117EB">
        <w:rPr>
          <w:rFonts w:ascii="Times New Roman" w:hAnsi="Times New Roman"/>
          <w:sz w:val="24"/>
        </w:rPr>
        <w:t xml:space="preserve"> </w:t>
      </w:r>
      <w:r w:rsidRPr="00F117EB">
        <w:rPr>
          <w:rFonts w:ascii="Times New Roman" w:hAnsi="Times New Roman"/>
          <w:sz w:val="24"/>
        </w:rPr>
        <w:t>[17]</w:t>
      </w:r>
      <w:r w:rsidR="00CF6642" w:rsidRPr="00F117EB">
        <w:rPr>
          <w:rFonts w:ascii="Times New Roman" w:hAnsi="Times New Roman"/>
          <w:sz w:val="24"/>
        </w:rPr>
        <w:t xml:space="preserve">; </w:t>
      </w:r>
      <w:r w:rsidR="008F036B" w:rsidRPr="00F117EB">
        <w:rPr>
          <w:rFonts w:ascii="Times New Roman" w:hAnsi="Times New Roman"/>
          <w:sz w:val="24"/>
        </w:rPr>
        <w:t xml:space="preserve">225 ALR 161 </w:t>
      </w:r>
      <w:r w:rsidRPr="00F117EB">
        <w:rPr>
          <w:rFonts w:ascii="Times New Roman" w:hAnsi="Times New Roman"/>
          <w:sz w:val="24"/>
        </w:rPr>
        <w:t xml:space="preserve">at </w:t>
      </w:r>
      <w:r w:rsidR="004D4D94" w:rsidRPr="00F117EB">
        <w:rPr>
          <w:rFonts w:ascii="Times New Roman" w:hAnsi="Times New Roman"/>
          <w:sz w:val="24"/>
        </w:rPr>
        <w:t>165</w:t>
      </w:r>
      <w:r w:rsidR="00F05BC8" w:rsidRPr="00F117EB">
        <w:rPr>
          <w:rFonts w:ascii="Times New Roman" w:hAnsi="Times New Roman"/>
          <w:sz w:val="24"/>
        </w:rPr>
        <w:t>,</w:t>
      </w:r>
      <w:r w:rsidR="00CF6642" w:rsidRPr="00F117EB">
        <w:rPr>
          <w:rFonts w:ascii="Times New Roman" w:hAnsi="Times New Roman"/>
          <w:sz w:val="24"/>
        </w:rPr>
        <w:t xml:space="preserve"> </w:t>
      </w:r>
      <w:r w:rsidR="004D4D94" w:rsidRPr="00F117EB">
        <w:rPr>
          <w:rFonts w:ascii="Times New Roman" w:hAnsi="Times New Roman"/>
          <w:sz w:val="24"/>
        </w:rPr>
        <w:t>167</w:t>
      </w:r>
      <w:r w:rsidRPr="00F117EB">
        <w:rPr>
          <w:rFonts w:ascii="Times New Roman" w:hAnsi="Times New Roman"/>
          <w:sz w:val="24"/>
        </w:rPr>
        <w:t>.</w:t>
      </w:r>
    </w:p>
  </w:footnote>
  <w:footnote w:id="85">
    <w:p w14:paraId="138A00FC" w14:textId="5DA8736E" w:rsidR="005715AC" w:rsidRPr="00F117EB" w:rsidRDefault="005715AC"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TKWJ</w:t>
      </w:r>
      <w:r w:rsidRPr="00F117EB">
        <w:rPr>
          <w:rFonts w:ascii="Times New Roman" w:hAnsi="Times New Roman"/>
          <w:sz w:val="24"/>
        </w:rPr>
        <w:t xml:space="preserve"> </w:t>
      </w:r>
      <w:r w:rsidR="008B274D" w:rsidRPr="00F117EB">
        <w:rPr>
          <w:rFonts w:ascii="Times New Roman" w:hAnsi="Times New Roman"/>
          <w:sz w:val="24"/>
        </w:rPr>
        <w:t xml:space="preserve">(2002) 212 CLR 124 </w:t>
      </w:r>
      <w:r w:rsidRPr="00F117EB">
        <w:rPr>
          <w:rFonts w:ascii="Times New Roman" w:hAnsi="Times New Roman"/>
          <w:sz w:val="24"/>
        </w:rPr>
        <w:t xml:space="preserve">at </w:t>
      </w:r>
      <w:r w:rsidR="00202064" w:rsidRPr="00F117EB">
        <w:rPr>
          <w:rFonts w:ascii="Times New Roman" w:hAnsi="Times New Roman"/>
          <w:sz w:val="24"/>
        </w:rPr>
        <w:t>147</w:t>
      </w:r>
      <w:r w:rsidR="00EF7764" w:rsidRPr="00F117EB">
        <w:rPr>
          <w:rFonts w:ascii="Times New Roman" w:hAnsi="Times New Roman"/>
          <w:sz w:val="24"/>
        </w:rPr>
        <w:t>-148</w:t>
      </w:r>
      <w:r w:rsidR="00202064" w:rsidRPr="00F117EB">
        <w:rPr>
          <w:rFonts w:ascii="Times New Roman" w:hAnsi="Times New Roman"/>
          <w:sz w:val="24"/>
        </w:rPr>
        <w:t xml:space="preserve"> </w:t>
      </w:r>
      <w:r w:rsidRPr="00F117EB">
        <w:rPr>
          <w:rFonts w:ascii="Times New Roman" w:hAnsi="Times New Roman"/>
          <w:sz w:val="24"/>
        </w:rPr>
        <w:t>[74]</w:t>
      </w:r>
      <w:r w:rsidR="00C52B95" w:rsidRPr="00F117EB">
        <w:rPr>
          <w:rFonts w:ascii="Times New Roman" w:hAnsi="Times New Roman"/>
          <w:sz w:val="24"/>
        </w:rPr>
        <w:t>.</w:t>
      </w:r>
    </w:p>
  </w:footnote>
  <w:footnote w:id="86">
    <w:p w14:paraId="506D732B" w14:textId="0DBC4E48" w:rsidR="00784EE1" w:rsidRPr="00F117EB" w:rsidRDefault="00784EE1"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Munro</w:t>
      </w:r>
      <w:r w:rsidR="00847500" w:rsidRPr="00F117EB">
        <w:rPr>
          <w:rFonts w:ascii="Times New Roman" w:hAnsi="Times New Roman"/>
          <w:sz w:val="24"/>
        </w:rPr>
        <w:t xml:space="preserve"> </w:t>
      </w:r>
      <w:r w:rsidRPr="00F117EB">
        <w:rPr>
          <w:rFonts w:ascii="Times New Roman" w:hAnsi="Times New Roman"/>
          <w:sz w:val="24"/>
        </w:rPr>
        <w:t>[2006] NSWCCA 350</w:t>
      </w:r>
      <w:r w:rsidR="00661646" w:rsidRPr="00F117EB">
        <w:rPr>
          <w:rFonts w:ascii="Times New Roman" w:hAnsi="Times New Roman"/>
          <w:sz w:val="24"/>
        </w:rPr>
        <w:t>.</w:t>
      </w:r>
      <w:r w:rsidRPr="00F117EB">
        <w:rPr>
          <w:rFonts w:ascii="Times New Roman" w:hAnsi="Times New Roman"/>
          <w:sz w:val="24"/>
        </w:rPr>
        <w:t xml:space="preserve"> </w:t>
      </w:r>
    </w:p>
  </w:footnote>
  <w:footnote w:id="87">
    <w:p w14:paraId="554428BB" w14:textId="4245E480" w:rsidR="00784EE1" w:rsidRPr="00F117EB" w:rsidRDefault="00784EE1"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937ED1" w:rsidRPr="00F117EB">
        <w:rPr>
          <w:rFonts w:ascii="Times New Roman" w:hAnsi="Times New Roman"/>
          <w:sz w:val="24"/>
        </w:rPr>
        <w:t>See</w:t>
      </w:r>
      <w:r w:rsidR="00CF1918" w:rsidRPr="00F117EB">
        <w:rPr>
          <w:rFonts w:ascii="Times New Roman" w:hAnsi="Times New Roman"/>
          <w:sz w:val="24"/>
        </w:rPr>
        <w:t>,</w:t>
      </w:r>
      <w:r w:rsidR="00937ED1" w:rsidRPr="00F117EB">
        <w:rPr>
          <w:rFonts w:ascii="Times New Roman" w:hAnsi="Times New Roman"/>
          <w:sz w:val="24"/>
        </w:rPr>
        <w:t xml:space="preserve"> </w:t>
      </w:r>
      <w:proofErr w:type="spellStart"/>
      <w:r w:rsidR="00EF5585" w:rsidRPr="00F117EB">
        <w:rPr>
          <w:rFonts w:ascii="Times New Roman" w:hAnsi="Times New Roman"/>
          <w:sz w:val="24"/>
        </w:rPr>
        <w:t>eg</w:t>
      </w:r>
      <w:proofErr w:type="spellEnd"/>
      <w:r w:rsidR="00CF1918" w:rsidRPr="00F117EB">
        <w:rPr>
          <w:rFonts w:ascii="Times New Roman" w:hAnsi="Times New Roman"/>
          <w:sz w:val="24"/>
        </w:rPr>
        <w:t>,</w:t>
      </w:r>
      <w:r w:rsidR="00EF5585" w:rsidRPr="00F117EB">
        <w:rPr>
          <w:rFonts w:ascii="Times New Roman" w:hAnsi="Times New Roman"/>
          <w:sz w:val="24"/>
        </w:rPr>
        <w:t xml:space="preserve"> </w:t>
      </w:r>
      <w:r w:rsidRPr="00F117EB">
        <w:rPr>
          <w:rFonts w:ascii="Times New Roman" w:hAnsi="Times New Roman"/>
          <w:i/>
          <w:iCs/>
          <w:sz w:val="24"/>
        </w:rPr>
        <w:t>Munro</w:t>
      </w:r>
      <w:r w:rsidRPr="00F117EB">
        <w:rPr>
          <w:rFonts w:ascii="Times New Roman" w:hAnsi="Times New Roman"/>
          <w:sz w:val="24"/>
        </w:rPr>
        <w:t xml:space="preserve"> </w:t>
      </w:r>
      <w:r w:rsidR="00CF1918" w:rsidRPr="00F117EB">
        <w:rPr>
          <w:rFonts w:ascii="Times New Roman" w:hAnsi="Times New Roman"/>
          <w:sz w:val="24"/>
        </w:rPr>
        <w:t>[2006] NSWCCA 350</w:t>
      </w:r>
      <w:r w:rsidRPr="00F117EB">
        <w:rPr>
          <w:rFonts w:ascii="Times New Roman" w:hAnsi="Times New Roman"/>
          <w:sz w:val="24"/>
        </w:rPr>
        <w:t xml:space="preserve"> at [24]; </w:t>
      </w:r>
      <w:r w:rsidRPr="00F117EB">
        <w:rPr>
          <w:rFonts w:ascii="Times New Roman" w:hAnsi="Times New Roman"/>
          <w:i/>
          <w:iCs/>
          <w:sz w:val="24"/>
        </w:rPr>
        <w:t>Puan</w:t>
      </w:r>
      <w:r w:rsidRPr="00F117EB">
        <w:rPr>
          <w:rFonts w:ascii="Times New Roman" w:hAnsi="Times New Roman"/>
          <w:i/>
          <w:sz w:val="24"/>
        </w:rPr>
        <w:t xml:space="preserve"> </w:t>
      </w:r>
      <w:r w:rsidR="006F3013" w:rsidRPr="00F117EB">
        <w:rPr>
          <w:rFonts w:ascii="Times New Roman" w:hAnsi="Times New Roman"/>
          <w:i/>
          <w:iCs/>
          <w:sz w:val="24"/>
        </w:rPr>
        <w:t xml:space="preserve">v </w:t>
      </w:r>
      <w:r w:rsidR="00755435" w:rsidRPr="00F117EB">
        <w:rPr>
          <w:rFonts w:ascii="Times New Roman" w:hAnsi="Times New Roman"/>
          <w:i/>
          <w:iCs/>
          <w:sz w:val="24"/>
        </w:rPr>
        <w:t>The Queen</w:t>
      </w:r>
      <w:r w:rsidR="006F3013" w:rsidRPr="00F117EB">
        <w:rPr>
          <w:rFonts w:ascii="Times New Roman" w:hAnsi="Times New Roman"/>
          <w:i/>
          <w:iCs/>
          <w:sz w:val="24"/>
        </w:rPr>
        <w:t xml:space="preserve"> </w:t>
      </w:r>
      <w:r w:rsidR="006F3013" w:rsidRPr="00F117EB">
        <w:rPr>
          <w:rFonts w:ascii="Times New Roman" w:hAnsi="Times New Roman"/>
          <w:sz w:val="24"/>
        </w:rPr>
        <w:t>[2009] NSWCCA 194</w:t>
      </w:r>
      <w:r w:rsidRPr="00F117EB">
        <w:rPr>
          <w:rFonts w:ascii="Times New Roman" w:hAnsi="Times New Roman"/>
          <w:sz w:val="24"/>
        </w:rPr>
        <w:t xml:space="preserve"> at [</w:t>
      </w:r>
      <w:r w:rsidR="00DB486E" w:rsidRPr="00F117EB">
        <w:rPr>
          <w:rFonts w:ascii="Times New Roman" w:hAnsi="Times New Roman"/>
          <w:sz w:val="24"/>
        </w:rPr>
        <w:t>54</w:t>
      </w:r>
      <w:r w:rsidRPr="00F117EB">
        <w:rPr>
          <w:rFonts w:ascii="Times New Roman" w:hAnsi="Times New Roman"/>
          <w:sz w:val="24"/>
        </w:rPr>
        <w:t xml:space="preserve">]; </w:t>
      </w:r>
      <w:r w:rsidRPr="00F117EB">
        <w:rPr>
          <w:rFonts w:ascii="Times New Roman" w:hAnsi="Times New Roman"/>
          <w:i/>
          <w:iCs/>
          <w:sz w:val="24"/>
        </w:rPr>
        <w:t xml:space="preserve">Garland v </w:t>
      </w:r>
      <w:r w:rsidR="00755435" w:rsidRPr="00F117EB">
        <w:rPr>
          <w:rFonts w:ascii="Times New Roman" w:hAnsi="Times New Roman"/>
          <w:i/>
          <w:iCs/>
          <w:sz w:val="24"/>
        </w:rPr>
        <w:t>The Queen</w:t>
      </w:r>
      <w:r w:rsidRPr="00F117EB">
        <w:rPr>
          <w:rFonts w:ascii="Times New Roman" w:hAnsi="Times New Roman"/>
          <w:sz w:val="24"/>
        </w:rPr>
        <w:t xml:space="preserve"> [2009] NSWCCA 217 at [26]</w:t>
      </w:r>
      <w:r w:rsidR="00EA4D20" w:rsidRPr="00F117EB">
        <w:rPr>
          <w:rFonts w:ascii="Times New Roman" w:hAnsi="Times New Roman"/>
          <w:sz w:val="24"/>
        </w:rPr>
        <w:t>;</w:t>
      </w:r>
      <w:r w:rsidRPr="00F117EB">
        <w:rPr>
          <w:rFonts w:ascii="Times New Roman" w:hAnsi="Times New Roman"/>
          <w:sz w:val="24"/>
        </w:rPr>
        <w:t xml:space="preserve"> </w:t>
      </w:r>
      <w:proofErr w:type="spellStart"/>
      <w:r w:rsidR="00721CAF" w:rsidRPr="00F117EB">
        <w:rPr>
          <w:rFonts w:ascii="Times New Roman" w:hAnsi="Times New Roman"/>
          <w:i/>
          <w:iCs/>
          <w:sz w:val="24"/>
        </w:rPr>
        <w:t>Tsiakas</w:t>
      </w:r>
      <w:proofErr w:type="spellEnd"/>
      <w:r w:rsidR="00721CAF" w:rsidRPr="00F117EB">
        <w:rPr>
          <w:rFonts w:ascii="Times New Roman" w:hAnsi="Times New Roman"/>
          <w:sz w:val="24"/>
        </w:rPr>
        <w:t xml:space="preserve"> </w:t>
      </w:r>
      <w:r w:rsidR="009926BC" w:rsidRPr="00F117EB">
        <w:rPr>
          <w:rFonts w:ascii="Times New Roman" w:hAnsi="Times New Roman"/>
          <w:i/>
          <w:iCs/>
          <w:sz w:val="24"/>
        </w:rPr>
        <w:t xml:space="preserve">v The Queen </w:t>
      </w:r>
      <w:r w:rsidR="0091130A" w:rsidRPr="00F117EB">
        <w:rPr>
          <w:rFonts w:ascii="Times New Roman" w:hAnsi="Times New Roman"/>
          <w:sz w:val="24"/>
        </w:rPr>
        <w:t xml:space="preserve">[2015] NSWCCA 187 </w:t>
      </w:r>
      <w:r w:rsidRPr="00F117EB">
        <w:rPr>
          <w:rFonts w:ascii="Times New Roman" w:hAnsi="Times New Roman"/>
          <w:sz w:val="24"/>
        </w:rPr>
        <w:t>at [44].</w:t>
      </w:r>
    </w:p>
  </w:footnote>
  <w:footnote w:id="88">
    <w:p w14:paraId="1F169136" w14:textId="236A6376" w:rsidR="007262EE" w:rsidRPr="00F117EB" w:rsidRDefault="007262EE"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Brown</w:t>
      </w:r>
      <w:r w:rsidRPr="00F117EB">
        <w:rPr>
          <w:rFonts w:ascii="Times New Roman" w:hAnsi="Times New Roman"/>
          <w:sz w:val="24"/>
        </w:rPr>
        <w:t xml:space="preserve"> </w:t>
      </w:r>
      <w:r w:rsidRPr="00F117EB">
        <w:rPr>
          <w:rFonts w:ascii="Times New Roman" w:hAnsi="Times New Roman"/>
          <w:i/>
          <w:iCs/>
          <w:sz w:val="24"/>
        </w:rPr>
        <w:t xml:space="preserve">v </w:t>
      </w:r>
      <w:r w:rsidR="00350377" w:rsidRPr="00F117EB">
        <w:rPr>
          <w:rFonts w:ascii="Times New Roman" w:hAnsi="Times New Roman"/>
          <w:i/>
          <w:iCs/>
          <w:sz w:val="24"/>
        </w:rPr>
        <w:t>The Queen</w:t>
      </w:r>
      <w:r w:rsidR="00350377" w:rsidRPr="00F117EB">
        <w:rPr>
          <w:rFonts w:ascii="Times New Roman" w:hAnsi="Times New Roman"/>
          <w:sz w:val="24"/>
        </w:rPr>
        <w:t xml:space="preserve"> </w:t>
      </w:r>
      <w:r w:rsidR="00E452DC" w:rsidRPr="00F117EB">
        <w:rPr>
          <w:rFonts w:ascii="Times New Roman" w:hAnsi="Times New Roman"/>
          <w:sz w:val="24"/>
        </w:rPr>
        <w:t>(</w:t>
      </w:r>
      <w:r w:rsidRPr="00F117EB">
        <w:rPr>
          <w:rFonts w:ascii="Times New Roman" w:hAnsi="Times New Roman"/>
          <w:sz w:val="24"/>
        </w:rPr>
        <w:t>2018</w:t>
      </w:r>
      <w:r w:rsidR="00E452DC" w:rsidRPr="00F117EB">
        <w:rPr>
          <w:rFonts w:ascii="Times New Roman" w:hAnsi="Times New Roman"/>
          <w:sz w:val="24"/>
        </w:rPr>
        <w:t>) 99</w:t>
      </w:r>
      <w:r w:rsidRPr="00F117EB">
        <w:rPr>
          <w:rFonts w:ascii="Times New Roman" w:hAnsi="Times New Roman"/>
          <w:sz w:val="24"/>
        </w:rPr>
        <w:t xml:space="preserve"> NSW</w:t>
      </w:r>
      <w:r w:rsidR="00E452DC" w:rsidRPr="00F117EB">
        <w:rPr>
          <w:rFonts w:ascii="Times New Roman" w:hAnsi="Times New Roman"/>
          <w:sz w:val="24"/>
        </w:rPr>
        <w:t>LR</w:t>
      </w:r>
      <w:r w:rsidRPr="00F117EB">
        <w:rPr>
          <w:rFonts w:ascii="Times New Roman" w:hAnsi="Times New Roman"/>
          <w:sz w:val="24"/>
        </w:rPr>
        <w:t xml:space="preserve"> </w:t>
      </w:r>
      <w:r w:rsidR="00E452DC" w:rsidRPr="00F117EB">
        <w:rPr>
          <w:rFonts w:ascii="Times New Roman" w:hAnsi="Times New Roman"/>
          <w:sz w:val="24"/>
        </w:rPr>
        <w:t>151</w:t>
      </w:r>
      <w:r w:rsidRPr="00F117EB">
        <w:rPr>
          <w:rFonts w:ascii="Times New Roman" w:hAnsi="Times New Roman"/>
          <w:sz w:val="24"/>
        </w:rPr>
        <w:t xml:space="preserve"> at </w:t>
      </w:r>
      <w:r w:rsidR="00E452DC" w:rsidRPr="00F117EB">
        <w:rPr>
          <w:rFonts w:ascii="Times New Roman" w:hAnsi="Times New Roman"/>
          <w:sz w:val="24"/>
        </w:rPr>
        <w:t xml:space="preserve">159 </w:t>
      </w:r>
      <w:r w:rsidRPr="00F117EB">
        <w:rPr>
          <w:rFonts w:ascii="Times New Roman" w:hAnsi="Times New Roman"/>
          <w:sz w:val="24"/>
        </w:rPr>
        <w:t xml:space="preserve">[39]; </w:t>
      </w:r>
      <w:proofErr w:type="spellStart"/>
      <w:r w:rsidR="00445B64" w:rsidRPr="00F117EB">
        <w:rPr>
          <w:rFonts w:ascii="Times New Roman" w:hAnsi="Times New Roman"/>
          <w:i/>
          <w:iCs/>
          <w:sz w:val="24"/>
        </w:rPr>
        <w:t>Tsiakas</w:t>
      </w:r>
      <w:proofErr w:type="spellEnd"/>
      <w:r w:rsidR="00445B64" w:rsidRPr="00F117EB">
        <w:rPr>
          <w:rFonts w:ascii="Times New Roman" w:hAnsi="Times New Roman"/>
          <w:i/>
          <w:sz w:val="24"/>
        </w:rPr>
        <w:t xml:space="preserve"> </w:t>
      </w:r>
      <w:r w:rsidR="0074505E" w:rsidRPr="00F117EB">
        <w:rPr>
          <w:rFonts w:ascii="Times New Roman" w:hAnsi="Times New Roman"/>
          <w:sz w:val="24"/>
        </w:rPr>
        <w:t>[2015] NSWCCA 187</w:t>
      </w:r>
      <w:r w:rsidRPr="00F117EB">
        <w:rPr>
          <w:rFonts w:ascii="Times New Roman" w:hAnsi="Times New Roman"/>
          <w:sz w:val="24"/>
        </w:rPr>
        <w:t xml:space="preserve"> at [44].</w:t>
      </w:r>
    </w:p>
  </w:footnote>
  <w:footnote w:id="89">
    <w:p w14:paraId="683141D7" w14:textId="3082B965" w:rsidR="006D640F" w:rsidRPr="00F117EB" w:rsidRDefault="006D640F"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884E70" w:rsidRPr="00F117EB">
        <w:rPr>
          <w:rFonts w:ascii="Times New Roman" w:hAnsi="Times New Roman"/>
          <w:sz w:val="24"/>
        </w:rPr>
        <w:t xml:space="preserve">See by analogy </w:t>
      </w:r>
      <w:r w:rsidR="00884E70" w:rsidRPr="00F117EB">
        <w:rPr>
          <w:rFonts w:ascii="Times New Roman" w:hAnsi="Times New Roman"/>
          <w:i/>
          <w:iCs/>
          <w:sz w:val="24"/>
        </w:rPr>
        <w:t>TKWJ</w:t>
      </w:r>
      <w:r w:rsidR="00884E70" w:rsidRPr="00F117EB">
        <w:rPr>
          <w:rFonts w:ascii="Times New Roman" w:hAnsi="Times New Roman"/>
          <w:sz w:val="24"/>
        </w:rPr>
        <w:t xml:space="preserve"> (2002) 212 CLR 124 at </w:t>
      </w:r>
      <w:r w:rsidR="00A64E7D" w:rsidRPr="00F117EB">
        <w:rPr>
          <w:rFonts w:ascii="Times New Roman" w:hAnsi="Times New Roman"/>
          <w:sz w:val="24"/>
        </w:rPr>
        <w:t>128 [8], 130-131 [16]-[17].</w:t>
      </w:r>
    </w:p>
  </w:footnote>
  <w:footnote w:id="90">
    <w:p w14:paraId="221AEC08" w14:textId="7C5E05BA" w:rsidR="00061B6A" w:rsidRPr="00F117EB" w:rsidRDefault="00061B6A"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Lowe v The Queen</w:t>
      </w:r>
      <w:r w:rsidRPr="00F117EB">
        <w:rPr>
          <w:rFonts w:ascii="Times New Roman" w:hAnsi="Times New Roman"/>
          <w:sz w:val="24"/>
        </w:rPr>
        <w:t xml:space="preserve"> (1984) 154 CLR 606 at 617; </w:t>
      </w:r>
      <w:r w:rsidR="005C65CC" w:rsidRPr="00F117EB">
        <w:rPr>
          <w:rFonts w:ascii="Times New Roman" w:hAnsi="Times New Roman"/>
          <w:i/>
          <w:iCs/>
          <w:sz w:val="24"/>
        </w:rPr>
        <w:t xml:space="preserve">Postiglione v The Queen </w:t>
      </w:r>
      <w:r w:rsidR="005C65CC" w:rsidRPr="00F117EB">
        <w:rPr>
          <w:rFonts w:ascii="Times New Roman" w:hAnsi="Times New Roman"/>
          <w:sz w:val="24"/>
        </w:rPr>
        <w:t>(1997) 1</w:t>
      </w:r>
      <w:r w:rsidR="005E1B7A" w:rsidRPr="00F117EB">
        <w:rPr>
          <w:rFonts w:ascii="Times New Roman" w:hAnsi="Times New Roman"/>
          <w:sz w:val="24"/>
        </w:rPr>
        <w:t>89 CLR 295 at 301</w:t>
      </w:r>
      <w:r w:rsidR="000E2B24" w:rsidRPr="00F117EB">
        <w:rPr>
          <w:rFonts w:ascii="Times New Roman" w:hAnsi="Times New Roman"/>
          <w:sz w:val="24"/>
        </w:rPr>
        <w:t>-302</w:t>
      </w:r>
      <w:r w:rsidR="005E1B7A" w:rsidRPr="00F117EB">
        <w:rPr>
          <w:rFonts w:ascii="Times New Roman" w:hAnsi="Times New Roman"/>
          <w:sz w:val="24"/>
        </w:rPr>
        <w:t>;</w:t>
      </w:r>
      <w:r w:rsidR="00C84138" w:rsidRPr="00F117EB">
        <w:rPr>
          <w:rFonts w:ascii="Times New Roman" w:hAnsi="Times New Roman"/>
          <w:sz w:val="24"/>
        </w:rPr>
        <w:t xml:space="preserve"> </w:t>
      </w:r>
      <w:r w:rsidR="00C84138" w:rsidRPr="00F117EB">
        <w:rPr>
          <w:rFonts w:ascii="Times New Roman" w:hAnsi="Times New Roman"/>
          <w:i/>
          <w:iCs/>
          <w:sz w:val="24"/>
        </w:rPr>
        <w:t xml:space="preserve">Green v The Queen </w:t>
      </w:r>
      <w:r w:rsidR="00C84138" w:rsidRPr="00F117EB">
        <w:rPr>
          <w:rFonts w:ascii="Times New Roman" w:hAnsi="Times New Roman"/>
          <w:sz w:val="24"/>
        </w:rPr>
        <w:t xml:space="preserve">(2011) 244 CLR 462 at </w:t>
      </w:r>
      <w:r w:rsidR="001B2A15" w:rsidRPr="00F117EB">
        <w:rPr>
          <w:rFonts w:ascii="Times New Roman" w:hAnsi="Times New Roman"/>
          <w:sz w:val="24"/>
        </w:rPr>
        <w:t xml:space="preserve">480 </w:t>
      </w:r>
      <w:r w:rsidR="00C84138" w:rsidRPr="00F117EB">
        <w:rPr>
          <w:rFonts w:ascii="Times New Roman" w:hAnsi="Times New Roman"/>
          <w:sz w:val="24"/>
        </w:rPr>
        <w:t>[45]</w:t>
      </w:r>
      <w:r w:rsidR="002E0DA9" w:rsidRPr="00F117EB">
        <w:rPr>
          <w:rFonts w:ascii="Times New Roman" w:hAnsi="Times New Roman"/>
          <w:sz w:val="24"/>
        </w:rPr>
        <w:t>.</w:t>
      </w:r>
    </w:p>
  </w:footnote>
  <w:footnote w:id="91">
    <w:p w14:paraId="687A29DF" w14:textId="3E0EA216" w:rsidR="002E0DA9" w:rsidRPr="00F117EB" w:rsidRDefault="002E0DA9"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Green v The Queen</w:t>
      </w:r>
      <w:r w:rsidRPr="00F117EB">
        <w:rPr>
          <w:rFonts w:ascii="Times New Roman" w:hAnsi="Times New Roman"/>
          <w:sz w:val="24"/>
        </w:rPr>
        <w:t xml:space="preserve"> (2011) 244 CLR 462 at 487 [71].</w:t>
      </w:r>
    </w:p>
  </w:footnote>
  <w:footnote w:id="92">
    <w:p w14:paraId="0BF25340" w14:textId="5C322565" w:rsidR="00485122" w:rsidRPr="00F117EB" w:rsidRDefault="00485122"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009F595F" w:rsidRPr="00F117EB">
        <w:rPr>
          <w:rFonts w:ascii="Times New Roman" w:hAnsi="Times New Roman"/>
          <w:sz w:val="24"/>
        </w:rPr>
        <w:tab/>
      </w:r>
      <w:r w:rsidRPr="00F117EB">
        <w:rPr>
          <w:rFonts w:ascii="Times New Roman" w:hAnsi="Times New Roman"/>
          <w:sz w:val="24"/>
        </w:rPr>
        <w:t xml:space="preserve">See above </w:t>
      </w:r>
      <w:r w:rsidR="000E00A2" w:rsidRPr="00F117EB">
        <w:rPr>
          <w:rFonts w:ascii="Times New Roman" w:hAnsi="Times New Roman"/>
          <w:sz w:val="24"/>
        </w:rPr>
        <w:t>at [17].</w:t>
      </w:r>
    </w:p>
  </w:footnote>
  <w:footnote w:id="93">
    <w:p w14:paraId="069684FB" w14:textId="246512A4" w:rsidR="003C07F7" w:rsidRPr="00F117EB" w:rsidRDefault="003C07F7"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t>See</w:t>
      </w:r>
      <w:r w:rsidR="00B64D7C" w:rsidRPr="00F117EB">
        <w:rPr>
          <w:rFonts w:ascii="Times New Roman" w:hAnsi="Times New Roman"/>
          <w:sz w:val="24"/>
        </w:rPr>
        <w:t xml:space="preserve"> above at</w:t>
      </w:r>
      <w:r w:rsidRPr="00F117EB">
        <w:rPr>
          <w:rFonts w:ascii="Times New Roman" w:hAnsi="Times New Roman"/>
          <w:sz w:val="24"/>
        </w:rPr>
        <w:t xml:space="preserve"> [4</w:t>
      </w:r>
      <w:r w:rsidR="0092473A" w:rsidRPr="00F117EB">
        <w:rPr>
          <w:rFonts w:ascii="Times New Roman" w:hAnsi="Times New Roman"/>
          <w:sz w:val="24"/>
        </w:rPr>
        <w:t>5</w:t>
      </w:r>
      <w:r w:rsidRPr="00F117EB">
        <w:rPr>
          <w:rFonts w:ascii="Times New Roman" w:hAnsi="Times New Roman"/>
          <w:sz w:val="24"/>
        </w:rPr>
        <w:t>]</w:t>
      </w:r>
      <w:r w:rsidR="00F92F90" w:rsidRPr="00F117EB">
        <w:rPr>
          <w:rFonts w:ascii="Times New Roman" w:hAnsi="Times New Roman"/>
          <w:sz w:val="24"/>
        </w:rPr>
        <w:t>;</w:t>
      </w:r>
      <w:r w:rsidR="002C6D73" w:rsidRPr="00F117EB">
        <w:rPr>
          <w:rFonts w:ascii="Times New Roman" w:hAnsi="Times New Roman"/>
          <w:sz w:val="24"/>
        </w:rPr>
        <w:t xml:space="preserve"> </w:t>
      </w:r>
      <w:r w:rsidRPr="00F117EB">
        <w:rPr>
          <w:rFonts w:ascii="Times New Roman" w:hAnsi="Times New Roman"/>
          <w:i/>
          <w:iCs/>
          <w:sz w:val="24"/>
        </w:rPr>
        <w:t xml:space="preserve">Mills </w:t>
      </w:r>
      <w:r w:rsidRPr="00F117EB">
        <w:rPr>
          <w:rFonts w:ascii="Times New Roman" w:hAnsi="Times New Roman"/>
          <w:sz w:val="24"/>
        </w:rPr>
        <w:t>[1995] 1 WLR 511 at 523</w:t>
      </w:r>
      <w:r w:rsidR="00D062FC" w:rsidRPr="00F117EB">
        <w:rPr>
          <w:rFonts w:ascii="Times New Roman" w:hAnsi="Times New Roman"/>
          <w:sz w:val="24"/>
        </w:rPr>
        <w:t xml:space="preserve">; </w:t>
      </w:r>
      <w:r w:rsidR="0029294D" w:rsidRPr="00F117EB">
        <w:rPr>
          <w:rFonts w:ascii="Times New Roman" w:hAnsi="Times New Roman"/>
          <w:sz w:val="24"/>
        </w:rPr>
        <w:t>[1995] 3 All ER 865 at 877</w:t>
      </w:r>
      <w:r w:rsidRPr="00F117EB">
        <w:rPr>
          <w:rFonts w:ascii="Times New Roman" w:hAnsi="Times New Roman"/>
          <w:sz w:val="24"/>
        </w:rPr>
        <w:t>.</w:t>
      </w:r>
    </w:p>
  </w:footnote>
  <w:footnote w:id="94">
    <w:p w14:paraId="4E3CD167" w14:textId="430ABDC2" w:rsidR="00355EA9" w:rsidRPr="00F117EB" w:rsidRDefault="00355EA9"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0F1090" w:rsidRPr="00F117EB">
        <w:rPr>
          <w:rFonts w:ascii="Times New Roman" w:hAnsi="Times New Roman"/>
          <w:sz w:val="24"/>
        </w:rPr>
        <w:t xml:space="preserve">See </w:t>
      </w:r>
      <w:r w:rsidR="00195008" w:rsidRPr="00F117EB">
        <w:rPr>
          <w:rFonts w:ascii="Times New Roman" w:hAnsi="Times New Roman"/>
          <w:i/>
          <w:iCs/>
          <w:sz w:val="24"/>
        </w:rPr>
        <w:t xml:space="preserve">Pearce v The Queen </w:t>
      </w:r>
      <w:r w:rsidR="00195008" w:rsidRPr="00F117EB">
        <w:rPr>
          <w:rFonts w:ascii="Times New Roman" w:hAnsi="Times New Roman"/>
          <w:sz w:val="24"/>
        </w:rPr>
        <w:t>(1998) 194 CLR 610</w:t>
      </w:r>
      <w:r w:rsidR="004304F4" w:rsidRPr="00F117EB">
        <w:rPr>
          <w:rFonts w:ascii="Times New Roman" w:hAnsi="Times New Roman"/>
          <w:sz w:val="24"/>
        </w:rPr>
        <w:t xml:space="preserve"> at 623-624</w:t>
      </w:r>
      <w:r w:rsidR="000F1090" w:rsidRPr="00F117EB">
        <w:rPr>
          <w:rFonts w:ascii="Times New Roman" w:hAnsi="Times New Roman"/>
          <w:sz w:val="24"/>
        </w:rPr>
        <w:t xml:space="preserve"> [45]</w:t>
      </w:r>
      <w:r w:rsidR="00195008" w:rsidRPr="00F117EB">
        <w:rPr>
          <w:rFonts w:ascii="Times New Roman" w:hAnsi="Times New Roman"/>
          <w:sz w:val="24"/>
        </w:rPr>
        <w:t>.</w:t>
      </w:r>
    </w:p>
  </w:footnote>
  <w:footnote w:id="95">
    <w:p w14:paraId="69EE48EE" w14:textId="2E659FBC" w:rsidR="002D3B17" w:rsidRPr="00F117EB" w:rsidRDefault="002D3B17"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FF05BC" w:rsidRPr="00F117EB">
        <w:rPr>
          <w:rFonts w:ascii="Times New Roman" w:hAnsi="Times New Roman"/>
          <w:sz w:val="24"/>
        </w:rPr>
        <w:t xml:space="preserve">See, </w:t>
      </w:r>
      <w:proofErr w:type="spellStart"/>
      <w:r w:rsidR="00FF05BC" w:rsidRPr="00F117EB">
        <w:rPr>
          <w:rFonts w:ascii="Times New Roman" w:hAnsi="Times New Roman"/>
          <w:sz w:val="24"/>
        </w:rPr>
        <w:t>eg</w:t>
      </w:r>
      <w:proofErr w:type="spellEnd"/>
      <w:r w:rsidR="00FF05BC" w:rsidRPr="00F117EB">
        <w:rPr>
          <w:rFonts w:ascii="Times New Roman" w:hAnsi="Times New Roman"/>
          <w:sz w:val="24"/>
        </w:rPr>
        <w:t xml:space="preserve">, </w:t>
      </w:r>
      <w:r w:rsidR="00E662FD" w:rsidRPr="00F117EB">
        <w:rPr>
          <w:rFonts w:ascii="Times New Roman" w:hAnsi="Times New Roman"/>
          <w:i/>
          <w:iCs/>
          <w:sz w:val="24"/>
        </w:rPr>
        <w:t>Nudd</w:t>
      </w:r>
      <w:r w:rsidR="00E662FD" w:rsidRPr="00F117EB">
        <w:rPr>
          <w:rFonts w:ascii="Times New Roman" w:hAnsi="Times New Roman"/>
          <w:sz w:val="24"/>
        </w:rPr>
        <w:t xml:space="preserve"> (2006) 80 ALJR 614 at 619 [10], 620-621 [17]; 225 ALR 161 at 165</w:t>
      </w:r>
      <w:r w:rsidR="00E161E9" w:rsidRPr="00F117EB">
        <w:rPr>
          <w:rFonts w:ascii="Times New Roman" w:hAnsi="Times New Roman"/>
          <w:sz w:val="24"/>
        </w:rPr>
        <w:t>,</w:t>
      </w:r>
      <w:r w:rsidR="00E662FD" w:rsidRPr="00F117EB">
        <w:rPr>
          <w:rFonts w:ascii="Times New Roman" w:hAnsi="Times New Roman"/>
          <w:sz w:val="24"/>
        </w:rPr>
        <w:t xml:space="preserve"> 167.</w:t>
      </w:r>
    </w:p>
  </w:footnote>
  <w:footnote w:id="96">
    <w:p w14:paraId="4CBC6217" w14:textId="54132355" w:rsidR="0014799E" w:rsidRPr="00F117EB" w:rsidRDefault="0014799E"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Mills</w:t>
      </w:r>
      <w:r w:rsidRPr="00F117EB">
        <w:rPr>
          <w:rFonts w:ascii="Times New Roman" w:hAnsi="Times New Roman"/>
          <w:sz w:val="24"/>
        </w:rPr>
        <w:t xml:space="preserve"> </w:t>
      </w:r>
      <w:r w:rsidR="00915874" w:rsidRPr="00F117EB">
        <w:rPr>
          <w:rFonts w:ascii="Times New Roman" w:hAnsi="Times New Roman"/>
          <w:sz w:val="24"/>
        </w:rPr>
        <w:t xml:space="preserve">[1995] 1 WLR 511 </w:t>
      </w:r>
      <w:r w:rsidRPr="00F117EB">
        <w:rPr>
          <w:rFonts w:ascii="Times New Roman" w:hAnsi="Times New Roman"/>
          <w:sz w:val="24"/>
        </w:rPr>
        <w:t>at 523</w:t>
      </w:r>
      <w:r w:rsidR="00E161E9" w:rsidRPr="00F117EB">
        <w:rPr>
          <w:rFonts w:ascii="Times New Roman" w:hAnsi="Times New Roman"/>
          <w:sz w:val="24"/>
        </w:rPr>
        <w:t xml:space="preserve">; </w:t>
      </w:r>
      <w:r w:rsidR="00AE0DFF" w:rsidRPr="00F117EB">
        <w:rPr>
          <w:rFonts w:ascii="Times New Roman" w:hAnsi="Times New Roman"/>
          <w:sz w:val="24"/>
        </w:rPr>
        <w:t xml:space="preserve">[1995] 3 All ER </w:t>
      </w:r>
      <w:r w:rsidR="00EC0AC6" w:rsidRPr="00F117EB">
        <w:rPr>
          <w:rFonts w:ascii="Times New Roman" w:hAnsi="Times New Roman"/>
          <w:sz w:val="24"/>
        </w:rPr>
        <w:t>8</w:t>
      </w:r>
      <w:r w:rsidR="00AE0DFF" w:rsidRPr="00F117EB">
        <w:rPr>
          <w:rFonts w:ascii="Times New Roman" w:hAnsi="Times New Roman"/>
          <w:sz w:val="24"/>
        </w:rPr>
        <w:t>65 at</w:t>
      </w:r>
      <w:r w:rsidR="00AC2E89" w:rsidRPr="00F117EB">
        <w:rPr>
          <w:rFonts w:ascii="Times New Roman" w:hAnsi="Times New Roman"/>
          <w:sz w:val="24"/>
        </w:rPr>
        <w:t xml:space="preserve"> </w:t>
      </w:r>
      <w:r w:rsidR="00EC0AC6" w:rsidRPr="00F117EB">
        <w:rPr>
          <w:rFonts w:ascii="Times New Roman" w:hAnsi="Times New Roman"/>
          <w:sz w:val="24"/>
        </w:rPr>
        <w:t>877</w:t>
      </w:r>
      <w:r w:rsidR="00213F69" w:rsidRPr="00F117EB">
        <w:rPr>
          <w:rFonts w:ascii="Times New Roman" w:hAnsi="Times New Roman"/>
          <w:sz w:val="24"/>
        </w:rPr>
        <w:t>-878</w:t>
      </w:r>
      <w:r w:rsidR="0060033A" w:rsidRPr="00F117EB">
        <w:rPr>
          <w:rFonts w:ascii="Times New Roman" w:hAnsi="Times New Roman"/>
          <w:sz w:val="24"/>
        </w:rPr>
        <w:t>.</w:t>
      </w:r>
    </w:p>
  </w:footnote>
  <w:footnote w:id="97">
    <w:p w14:paraId="2AC9B334" w14:textId="32B8F463" w:rsidR="00573FC9" w:rsidRPr="00F117EB" w:rsidRDefault="00573FC9"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505B57" w:rsidRPr="00F117EB">
        <w:rPr>
          <w:rFonts w:ascii="Times New Roman" w:hAnsi="Times New Roman"/>
          <w:i/>
          <w:iCs/>
          <w:sz w:val="24"/>
        </w:rPr>
        <w:t xml:space="preserve">R v Olbrich </w:t>
      </w:r>
      <w:r w:rsidR="00505B57" w:rsidRPr="00F117EB">
        <w:rPr>
          <w:rFonts w:ascii="Times New Roman" w:hAnsi="Times New Roman"/>
          <w:sz w:val="24"/>
        </w:rPr>
        <w:t xml:space="preserve">(1999) 199 CLR 270 at 281 [25]-[26]; </w:t>
      </w:r>
      <w:r w:rsidRPr="00F117EB">
        <w:rPr>
          <w:rFonts w:ascii="Times New Roman" w:hAnsi="Times New Roman"/>
          <w:i/>
          <w:iCs/>
          <w:sz w:val="24"/>
        </w:rPr>
        <w:t>CMB v Attorney</w:t>
      </w:r>
      <w:r w:rsidR="004D226F" w:rsidRPr="00F117EB">
        <w:rPr>
          <w:rFonts w:ascii="Times New Roman" w:hAnsi="Times New Roman"/>
          <w:i/>
          <w:iCs/>
          <w:sz w:val="24"/>
        </w:rPr>
        <w:t>-</w:t>
      </w:r>
      <w:r w:rsidRPr="00F117EB">
        <w:rPr>
          <w:rFonts w:ascii="Times New Roman" w:hAnsi="Times New Roman"/>
          <w:i/>
          <w:iCs/>
          <w:sz w:val="24"/>
        </w:rPr>
        <w:t>General (NSW)</w:t>
      </w:r>
      <w:r w:rsidRPr="00F117EB">
        <w:rPr>
          <w:rFonts w:ascii="Times New Roman" w:hAnsi="Times New Roman"/>
          <w:sz w:val="24"/>
        </w:rPr>
        <w:t xml:space="preserve"> (2015) 256 CLR 346 at </w:t>
      </w:r>
      <w:r w:rsidR="00B11D1B" w:rsidRPr="00F117EB">
        <w:rPr>
          <w:rFonts w:ascii="Times New Roman" w:hAnsi="Times New Roman"/>
          <w:sz w:val="24"/>
        </w:rPr>
        <w:t xml:space="preserve">358 </w:t>
      </w:r>
      <w:r w:rsidRPr="00F117EB">
        <w:rPr>
          <w:rFonts w:ascii="Times New Roman" w:hAnsi="Times New Roman"/>
          <w:sz w:val="24"/>
        </w:rPr>
        <w:t>[</w:t>
      </w:r>
      <w:r w:rsidR="009800F9" w:rsidRPr="00F117EB">
        <w:rPr>
          <w:rFonts w:ascii="Times New Roman" w:hAnsi="Times New Roman"/>
          <w:sz w:val="24"/>
        </w:rPr>
        <w:t>33</w:t>
      </w:r>
      <w:r w:rsidRPr="00F117EB">
        <w:rPr>
          <w:rFonts w:ascii="Times New Roman" w:hAnsi="Times New Roman"/>
          <w:sz w:val="24"/>
        </w:rPr>
        <w:t xml:space="preserve">]; </w:t>
      </w:r>
      <w:r w:rsidRPr="00F117EB">
        <w:rPr>
          <w:rFonts w:ascii="Times New Roman" w:hAnsi="Times New Roman"/>
          <w:i/>
          <w:iCs/>
          <w:sz w:val="24"/>
        </w:rPr>
        <w:t xml:space="preserve">R v Tait </w:t>
      </w:r>
      <w:r w:rsidRPr="00F117EB">
        <w:rPr>
          <w:rFonts w:ascii="Times New Roman" w:hAnsi="Times New Roman"/>
          <w:sz w:val="24"/>
        </w:rPr>
        <w:t>(1979) 24 ALR 473 at 483</w:t>
      </w:r>
      <w:r w:rsidR="00227CC8" w:rsidRPr="00F117EB">
        <w:rPr>
          <w:rFonts w:ascii="Times New Roman" w:hAnsi="Times New Roman"/>
          <w:sz w:val="24"/>
        </w:rPr>
        <w:t>.</w:t>
      </w:r>
    </w:p>
  </w:footnote>
  <w:footnote w:id="98">
    <w:p w14:paraId="1EE6427E" w14:textId="7C534EB6" w:rsidR="008A0A8D" w:rsidRPr="00F117EB" w:rsidRDefault="008A0A8D"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iCs/>
          <w:sz w:val="24"/>
        </w:rPr>
        <w:t>Mann v Carnell</w:t>
      </w:r>
      <w:r w:rsidRPr="00F117EB">
        <w:rPr>
          <w:rFonts w:ascii="Times New Roman" w:hAnsi="Times New Roman"/>
          <w:sz w:val="24"/>
        </w:rPr>
        <w:t xml:space="preserve"> (1999) 201 CLR 1 at 13</w:t>
      </w:r>
      <w:r w:rsidR="000A6A42" w:rsidRPr="00F117EB">
        <w:rPr>
          <w:rFonts w:ascii="Times New Roman" w:hAnsi="Times New Roman"/>
          <w:sz w:val="24"/>
        </w:rPr>
        <w:t xml:space="preserve"> [28]-[29]</w:t>
      </w:r>
      <w:r w:rsidR="00185676" w:rsidRPr="00F117EB">
        <w:rPr>
          <w:rFonts w:ascii="Times New Roman" w:hAnsi="Times New Roman"/>
          <w:sz w:val="24"/>
        </w:rPr>
        <w:t>.</w:t>
      </w:r>
      <w:r w:rsidR="00CC32DB" w:rsidRPr="00F117EB">
        <w:rPr>
          <w:rFonts w:ascii="Times New Roman" w:hAnsi="Times New Roman"/>
          <w:sz w:val="24"/>
        </w:rPr>
        <w:t xml:space="preserve"> </w:t>
      </w:r>
      <w:r w:rsidR="00185676" w:rsidRPr="00F117EB">
        <w:rPr>
          <w:rFonts w:ascii="Times New Roman" w:hAnsi="Times New Roman"/>
          <w:sz w:val="24"/>
        </w:rPr>
        <w:t>T</w:t>
      </w:r>
      <w:r w:rsidRPr="00F117EB">
        <w:rPr>
          <w:rFonts w:ascii="Times New Roman" w:hAnsi="Times New Roman"/>
          <w:sz w:val="24"/>
        </w:rPr>
        <w:t xml:space="preserve">o the extent applicable </w:t>
      </w:r>
      <w:r w:rsidR="0081534A" w:rsidRPr="00F117EB">
        <w:rPr>
          <w:rFonts w:ascii="Times New Roman" w:hAnsi="Times New Roman"/>
          <w:sz w:val="24"/>
        </w:rPr>
        <w:t>see</w:t>
      </w:r>
      <w:r w:rsidRPr="00F117EB">
        <w:rPr>
          <w:rFonts w:ascii="Times New Roman" w:hAnsi="Times New Roman"/>
          <w:sz w:val="24"/>
        </w:rPr>
        <w:t xml:space="preserve"> </w:t>
      </w:r>
      <w:r w:rsidR="00185676" w:rsidRPr="00F117EB">
        <w:rPr>
          <w:rFonts w:ascii="Times New Roman" w:hAnsi="Times New Roman"/>
          <w:sz w:val="24"/>
        </w:rPr>
        <w:t xml:space="preserve">also </w:t>
      </w:r>
      <w:r w:rsidRPr="00F117EB">
        <w:rPr>
          <w:rFonts w:ascii="Times New Roman" w:hAnsi="Times New Roman"/>
          <w:i/>
          <w:iCs/>
          <w:sz w:val="24"/>
        </w:rPr>
        <w:t>Evidence Act 1995</w:t>
      </w:r>
      <w:r w:rsidRPr="00F117EB">
        <w:rPr>
          <w:rFonts w:ascii="Times New Roman" w:hAnsi="Times New Roman"/>
          <w:sz w:val="24"/>
        </w:rPr>
        <w:t xml:space="preserve"> (</w:t>
      </w:r>
      <w:r w:rsidR="00BF095C" w:rsidRPr="00F117EB">
        <w:rPr>
          <w:rFonts w:ascii="Times New Roman" w:hAnsi="Times New Roman"/>
          <w:sz w:val="24"/>
        </w:rPr>
        <w:t>NSW</w:t>
      </w:r>
      <w:r w:rsidRPr="00F117EB">
        <w:rPr>
          <w:rFonts w:ascii="Times New Roman" w:hAnsi="Times New Roman"/>
          <w:sz w:val="24"/>
        </w:rPr>
        <w:t>), s 122(2)</w:t>
      </w:r>
      <w:r w:rsidR="005F3EBC" w:rsidRPr="00F117EB">
        <w:rPr>
          <w:rFonts w:ascii="Times New Roman" w:hAnsi="Times New Roman"/>
          <w:sz w:val="24"/>
        </w:rPr>
        <w:t xml:space="preserve"> and </w:t>
      </w:r>
      <w:r w:rsidR="008967E7" w:rsidRPr="00F117EB">
        <w:rPr>
          <w:rStyle w:val="Emphasis"/>
          <w:rFonts w:ascii="Times New Roman" w:hAnsi="Times New Roman"/>
          <w:sz w:val="24"/>
        </w:rPr>
        <w:t xml:space="preserve">Expense Reduction Analysts Group Pty Ltd v Armstrong Strategic Management and Marketing Pty </w:t>
      </w:r>
      <w:r w:rsidR="00D205EA" w:rsidRPr="00F117EB">
        <w:rPr>
          <w:rStyle w:val="Emphasis"/>
          <w:rFonts w:ascii="Times New Roman" w:hAnsi="Times New Roman"/>
          <w:sz w:val="24"/>
        </w:rPr>
        <w:t>Ltd</w:t>
      </w:r>
      <w:r w:rsidR="00D205EA" w:rsidRPr="00F117EB">
        <w:rPr>
          <w:rFonts w:ascii="Times New Roman" w:hAnsi="Times New Roman"/>
          <w:sz w:val="24"/>
        </w:rPr>
        <w:t> </w:t>
      </w:r>
      <w:r w:rsidR="008967E7" w:rsidRPr="00F117EB">
        <w:rPr>
          <w:rFonts w:ascii="Times New Roman" w:hAnsi="Times New Roman"/>
          <w:sz w:val="24"/>
        </w:rPr>
        <w:t xml:space="preserve">(2013) 250 CLR 303 at </w:t>
      </w:r>
      <w:r w:rsidR="006C0AD1" w:rsidRPr="00F117EB">
        <w:rPr>
          <w:rFonts w:ascii="Times New Roman" w:hAnsi="Times New Roman"/>
          <w:sz w:val="24"/>
        </w:rPr>
        <w:t xml:space="preserve">316 </w:t>
      </w:r>
      <w:r w:rsidR="008967E7" w:rsidRPr="00F117EB">
        <w:rPr>
          <w:rFonts w:ascii="Times New Roman" w:hAnsi="Times New Roman"/>
          <w:sz w:val="24"/>
        </w:rPr>
        <w:t>[32]</w:t>
      </w:r>
      <w:r w:rsidR="0081534A" w:rsidRPr="00F117EB">
        <w:rPr>
          <w:rFonts w:ascii="Times New Roman" w:hAnsi="Times New Roman"/>
          <w:sz w:val="24"/>
        </w:rPr>
        <w:t>.</w:t>
      </w:r>
    </w:p>
  </w:footnote>
  <w:footnote w:id="99">
    <w:p w14:paraId="1BBC282E" w14:textId="5344C70C" w:rsidR="00AE154D" w:rsidRPr="00F117EB" w:rsidRDefault="00AE154D"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2E3E05" w:rsidRPr="00F117EB">
        <w:rPr>
          <w:rFonts w:ascii="Times New Roman" w:hAnsi="Times New Roman"/>
          <w:sz w:val="24"/>
        </w:rPr>
        <w:t>S</w:t>
      </w:r>
      <w:r w:rsidR="004F2CF6" w:rsidRPr="00F117EB">
        <w:rPr>
          <w:rFonts w:ascii="Times New Roman" w:hAnsi="Times New Roman"/>
          <w:sz w:val="24"/>
        </w:rPr>
        <w:t>ee</w:t>
      </w:r>
      <w:r w:rsidR="002E3E05" w:rsidRPr="00F117EB">
        <w:rPr>
          <w:rFonts w:ascii="Times New Roman" w:hAnsi="Times New Roman"/>
          <w:sz w:val="24"/>
        </w:rPr>
        <w:t xml:space="preserve">, </w:t>
      </w:r>
      <w:proofErr w:type="spellStart"/>
      <w:r w:rsidR="002E3E05" w:rsidRPr="00F117EB">
        <w:rPr>
          <w:rFonts w:ascii="Times New Roman" w:hAnsi="Times New Roman"/>
          <w:sz w:val="24"/>
        </w:rPr>
        <w:t>eg</w:t>
      </w:r>
      <w:proofErr w:type="spellEnd"/>
      <w:r w:rsidR="002E3E05" w:rsidRPr="00F117EB">
        <w:rPr>
          <w:rFonts w:ascii="Times New Roman" w:hAnsi="Times New Roman"/>
          <w:sz w:val="24"/>
        </w:rPr>
        <w:t>,</w:t>
      </w:r>
      <w:r w:rsidR="004F2CF6" w:rsidRPr="00F117EB">
        <w:rPr>
          <w:rFonts w:ascii="Times New Roman" w:hAnsi="Times New Roman"/>
          <w:sz w:val="24"/>
        </w:rPr>
        <w:t xml:space="preserve"> </w:t>
      </w:r>
      <w:r w:rsidR="00DB255F" w:rsidRPr="00F117EB">
        <w:rPr>
          <w:rFonts w:ascii="Times New Roman" w:hAnsi="Times New Roman"/>
          <w:i/>
          <w:iCs/>
          <w:sz w:val="24"/>
        </w:rPr>
        <w:t xml:space="preserve">Australian </w:t>
      </w:r>
      <w:r w:rsidR="00F90979" w:rsidRPr="00F117EB">
        <w:rPr>
          <w:rFonts w:ascii="Times New Roman" w:hAnsi="Times New Roman"/>
          <w:i/>
          <w:iCs/>
          <w:sz w:val="24"/>
        </w:rPr>
        <w:t>Securities and Investments Commission</w:t>
      </w:r>
      <w:r w:rsidR="00DB255F" w:rsidRPr="00F117EB">
        <w:rPr>
          <w:rFonts w:ascii="Times New Roman" w:hAnsi="Times New Roman"/>
          <w:i/>
          <w:iCs/>
          <w:sz w:val="24"/>
        </w:rPr>
        <w:t xml:space="preserve"> </w:t>
      </w:r>
      <w:r w:rsidR="004F2CF6" w:rsidRPr="00F117EB">
        <w:rPr>
          <w:rFonts w:ascii="Times New Roman" w:hAnsi="Times New Roman"/>
          <w:i/>
          <w:iCs/>
          <w:sz w:val="24"/>
        </w:rPr>
        <w:t xml:space="preserve">v </w:t>
      </w:r>
      <w:r w:rsidR="00F90979" w:rsidRPr="00F117EB">
        <w:rPr>
          <w:rFonts w:ascii="Times New Roman" w:hAnsi="Times New Roman"/>
          <w:i/>
          <w:iCs/>
          <w:sz w:val="24"/>
        </w:rPr>
        <w:t xml:space="preserve">Australia and New Zealand </w:t>
      </w:r>
      <w:r w:rsidR="004F2CF6" w:rsidRPr="00F117EB">
        <w:rPr>
          <w:rFonts w:ascii="Times New Roman" w:hAnsi="Times New Roman"/>
          <w:i/>
          <w:iCs/>
          <w:sz w:val="24"/>
        </w:rPr>
        <w:t xml:space="preserve">Banking Group Ltd </w:t>
      </w:r>
      <w:r w:rsidR="000C30C5" w:rsidRPr="00F117EB">
        <w:rPr>
          <w:rFonts w:ascii="Times New Roman" w:hAnsi="Times New Roman"/>
          <w:i/>
          <w:iCs/>
          <w:sz w:val="24"/>
        </w:rPr>
        <w:t>[</w:t>
      </w:r>
      <w:r w:rsidR="004F2CF6" w:rsidRPr="00F117EB">
        <w:rPr>
          <w:rFonts w:ascii="Times New Roman" w:hAnsi="Times New Roman"/>
          <w:i/>
          <w:iCs/>
          <w:sz w:val="24"/>
        </w:rPr>
        <w:t>No 2</w:t>
      </w:r>
      <w:r w:rsidR="000C30C5" w:rsidRPr="00F117EB">
        <w:rPr>
          <w:rFonts w:ascii="Times New Roman" w:hAnsi="Times New Roman"/>
          <w:i/>
          <w:iCs/>
          <w:sz w:val="24"/>
        </w:rPr>
        <w:t>]</w:t>
      </w:r>
      <w:r w:rsidR="004F2CF6" w:rsidRPr="00F117EB">
        <w:rPr>
          <w:rFonts w:ascii="Times New Roman" w:hAnsi="Times New Roman"/>
          <w:sz w:val="24"/>
        </w:rPr>
        <w:t xml:space="preserve"> [2020] FCA 1013 at [27]-[3</w:t>
      </w:r>
      <w:r w:rsidR="00FD0ADD" w:rsidRPr="00F117EB">
        <w:rPr>
          <w:rFonts w:ascii="Times New Roman" w:hAnsi="Times New Roman"/>
          <w:sz w:val="24"/>
        </w:rPr>
        <w:t>1</w:t>
      </w:r>
      <w:r w:rsidR="004F2CF6" w:rsidRPr="00F117EB">
        <w:rPr>
          <w:rFonts w:ascii="Times New Roman" w:hAnsi="Times New Roman"/>
          <w:sz w:val="24"/>
        </w:rPr>
        <w:t>]</w:t>
      </w:r>
      <w:r w:rsidR="00C616FF" w:rsidRPr="00F117EB">
        <w:rPr>
          <w:rFonts w:ascii="Times New Roman" w:hAnsi="Times New Roman"/>
          <w:sz w:val="24"/>
        </w:rPr>
        <w:t>. T</w:t>
      </w:r>
      <w:r w:rsidR="005B6506" w:rsidRPr="00F117EB">
        <w:rPr>
          <w:rFonts w:ascii="Times New Roman" w:hAnsi="Times New Roman"/>
          <w:sz w:val="24"/>
        </w:rPr>
        <w:t xml:space="preserve">o the extent applicable, </w:t>
      </w:r>
      <w:r w:rsidR="0066577D" w:rsidRPr="00F117EB">
        <w:rPr>
          <w:rFonts w:ascii="Times New Roman" w:hAnsi="Times New Roman"/>
          <w:sz w:val="24"/>
        </w:rPr>
        <w:t xml:space="preserve">see </w:t>
      </w:r>
      <w:r w:rsidRPr="00F117EB">
        <w:rPr>
          <w:rFonts w:ascii="Times New Roman" w:hAnsi="Times New Roman"/>
          <w:i/>
          <w:iCs/>
          <w:sz w:val="24"/>
        </w:rPr>
        <w:t>Evidence Act</w:t>
      </w:r>
      <w:r w:rsidR="00171C67" w:rsidRPr="00F117EB">
        <w:rPr>
          <w:rFonts w:ascii="Times New Roman" w:hAnsi="Times New Roman"/>
          <w:sz w:val="24"/>
        </w:rPr>
        <w:t xml:space="preserve"> </w:t>
      </w:r>
      <w:r w:rsidR="00171C67" w:rsidRPr="00F117EB">
        <w:rPr>
          <w:rFonts w:ascii="Times New Roman" w:hAnsi="Times New Roman"/>
          <w:i/>
          <w:iCs/>
          <w:sz w:val="24"/>
        </w:rPr>
        <w:t xml:space="preserve">1995 </w:t>
      </w:r>
      <w:r w:rsidR="00171C67" w:rsidRPr="00F117EB">
        <w:rPr>
          <w:rFonts w:ascii="Times New Roman" w:hAnsi="Times New Roman"/>
          <w:sz w:val="24"/>
        </w:rPr>
        <w:t>(</w:t>
      </w:r>
      <w:r w:rsidR="00BF095C" w:rsidRPr="00F117EB">
        <w:rPr>
          <w:rFonts w:ascii="Times New Roman" w:hAnsi="Times New Roman"/>
          <w:sz w:val="24"/>
        </w:rPr>
        <w:t>NSW</w:t>
      </w:r>
      <w:r w:rsidR="00171C67" w:rsidRPr="00F117EB">
        <w:rPr>
          <w:rFonts w:ascii="Times New Roman" w:hAnsi="Times New Roman"/>
          <w:sz w:val="24"/>
        </w:rPr>
        <w:t>)</w:t>
      </w:r>
      <w:r w:rsidR="000C30C5" w:rsidRPr="00F117EB">
        <w:rPr>
          <w:rFonts w:ascii="Times New Roman" w:hAnsi="Times New Roman"/>
          <w:sz w:val="24"/>
        </w:rPr>
        <w:t>,</w:t>
      </w:r>
      <w:r w:rsidRPr="00F117EB">
        <w:rPr>
          <w:rFonts w:ascii="Times New Roman" w:hAnsi="Times New Roman"/>
          <w:sz w:val="24"/>
        </w:rPr>
        <w:t xml:space="preserve"> s</w:t>
      </w:r>
      <w:r w:rsidR="00171C67" w:rsidRPr="00F117EB">
        <w:rPr>
          <w:rFonts w:ascii="Times New Roman" w:hAnsi="Times New Roman"/>
          <w:sz w:val="24"/>
        </w:rPr>
        <w:t>s</w:t>
      </w:r>
      <w:r w:rsidRPr="00F117EB">
        <w:rPr>
          <w:rFonts w:ascii="Times New Roman" w:hAnsi="Times New Roman"/>
          <w:sz w:val="24"/>
        </w:rPr>
        <w:t> 122(3)(b)</w:t>
      </w:r>
      <w:r w:rsidR="00383042" w:rsidRPr="00F117EB">
        <w:rPr>
          <w:rFonts w:ascii="Times New Roman" w:hAnsi="Times New Roman"/>
          <w:sz w:val="24"/>
        </w:rPr>
        <w:t xml:space="preserve"> and </w:t>
      </w:r>
      <w:r w:rsidR="005B6506" w:rsidRPr="00F117EB">
        <w:rPr>
          <w:rFonts w:ascii="Times New Roman" w:hAnsi="Times New Roman"/>
          <w:sz w:val="24"/>
        </w:rPr>
        <w:t>126</w:t>
      </w:r>
      <w:r w:rsidR="0048340D" w:rsidRPr="00F117EB">
        <w:rPr>
          <w:rFonts w:ascii="Times New Roman" w:hAnsi="Times New Roman"/>
          <w:sz w:val="24"/>
        </w:rPr>
        <w:t>.</w:t>
      </w:r>
      <w:r w:rsidR="005B6506" w:rsidRPr="00F117EB">
        <w:rPr>
          <w:rFonts w:ascii="Times New Roman" w:hAnsi="Times New Roman"/>
          <w:sz w:val="24"/>
        </w:rPr>
        <w:t xml:space="preserve"> </w:t>
      </w:r>
    </w:p>
  </w:footnote>
  <w:footnote w:id="100">
    <w:p w14:paraId="6E6AA5D0" w14:textId="5F208A45" w:rsidR="000276BF" w:rsidRPr="00F117EB" w:rsidRDefault="000276BF"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330733" w:rsidRPr="00F117EB">
        <w:rPr>
          <w:rFonts w:ascii="Times New Roman" w:hAnsi="Times New Roman"/>
          <w:i/>
          <w:iCs/>
          <w:sz w:val="24"/>
        </w:rPr>
        <w:t xml:space="preserve">R v Olbrich </w:t>
      </w:r>
      <w:r w:rsidR="00330733" w:rsidRPr="00F117EB">
        <w:rPr>
          <w:rFonts w:ascii="Times New Roman" w:hAnsi="Times New Roman"/>
          <w:sz w:val="24"/>
        </w:rPr>
        <w:t xml:space="preserve">(1999) 199 CLR 270 at </w:t>
      </w:r>
      <w:r w:rsidR="000A352B" w:rsidRPr="00F117EB">
        <w:rPr>
          <w:rFonts w:ascii="Times New Roman" w:hAnsi="Times New Roman"/>
          <w:sz w:val="24"/>
        </w:rPr>
        <w:t xml:space="preserve">281 </w:t>
      </w:r>
      <w:r w:rsidR="00330733" w:rsidRPr="00F117EB">
        <w:rPr>
          <w:rFonts w:ascii="Times New Roman" w:hAnsi="Times New Roman"/>
          <w:sz w:val="24"/>
        </w:rPr>
        <w:t xml:space="preserve">[25]-[26]; </w:t>
      </w:r>
      <w:r w:rsidR="00DF627D" w:rsidRPr="00F117EB">
        <w:rPr>
          <w:rFonts w:ascii="Times New Roman" w:hAnsi="Times New Roman"/>
          <w:i/>
          <w:iCs/>
          <w:sz w:val="24"/>
        </w:rPr>
        <w:t>CMB v Attorney-General (NSW)</w:t>
      </w:r>
      <w:r w:rsidR="00DF627D" w:rsidRPr="00F117EB">
        <w:rPr>
          <w:rFonts w:ascii="Times New Roman" w:hAnsi="Times New Roman"/>
          <w:sz w:val="24"/>
        </w:rPr>
        <w:t xml:space="preserve"> (2015) 256 CLR 346 at 358 [33]; </w:t>
      </w:r>
      <w:r w:rsidR="00330733" w:rsidRPr="00F117EB">
        <w:rPr>
          <w:rFonts w:ascii="Times New Roman" w:hAnsi="Times New Roman"/>
          <w:i/>
          <w:iCs/>
          <w:sz w:val="24"/>
        </w:rPr>
        <w:t xml:space="preserve">R v Tait </w:t>
      </w:r>
      <w:r w:rsidR="00330733" w:rsidRPr="00F117EB">
        <w:rPr>
          <w:rFonts w:ascii="Times New Roman" w:hAnsi="Times New Roman"/>
          <w:sz w:val="24"/>
        </w:rPr>
        <w:t>(1979) 24 ALR 473 at 483</w:t>
      </w:r>
      <w:r w:rsidR="001E5D4C" w:rsidRPr="00F117EB">
        <w:rPr>
          <w:rFonts w:ascii="Times New Roman" w:hAnsi="Times New Roman"/>
          <w:sz w:val="24"/>
        </w:rPr>
        <w:t>.</w:t>
      </w:r>
    </w:p>
  </w:footnote>
  <w:footnote w:id="101">
    <w:p w14:paraId="4CC95DD0" w14:textId="07F25F20" w:rsidR="00FB0EE8" w:rsidRPr="00F117EB" w:rsidRDefault="00FB0EE8"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D8474C" w:rsidRPr="00F117EB">
        <w:rPr>
          <w:rFonts w:ascii="Times New Roman" w:hAnsi="Times New Roman"/>
          <w:sz w:val="24"/>
        </w:rPr>
        <w:t>(2016) 258 CLR 420</w:t>
      </w:r>
      <w:r w:rsidRPr="00F117EB">
        <w:rPr>
          <w:rFonts w:ascii="Times New Roman" w:hAnsi="Times New Roman"/>
          <w:sz w:val="24"/>
        </w:rPr>
        <w:t xml:space="preserve"> at </w:t>
      </w:r>
      <w:r w:rsidR="006E5269" w:rsidRPr="00F117EB">
        <w:rPr>
          <w:rFonts w:ascii="Times New Roman" w:hAnsi="Times New Roman"/>
          <w:sz w:val="24"/>
        </w:rPr>
        <w:t>427-429</w:t>
      </w:r>
      <w:r w:rsidR="00C0643E" w:rsidRPr="00F117EB">
        <w:rPr>
          <w:rFonts w:ascii="Times New Roman" w:hAnsi="Times New Roman"/>
          <w:sz w:val="24"/>
        </w:rPr>
        <w:t xml:space="preserve"> </w:t>
      </w:r>
      <w:r w:rsidR="000157E4" w:rsidRPr="00F117EB">
        <w:rPr>
          <w:rFonts w:ascii="Times New Roman" w:hAnsi="Times New Roman"/>
          <w:sz w:val="24"/>
        </w:rPr>
        <w:t>[15]</w:t>
      </w:r>
      <w:r w:rsidR="00BD3684" w:rsidRPr="00F117EB">
        <w:rPr>
          <w:rFonts w:ascii="Times New Roman" w:hAnsi="Times New Roman"/>
          <w:sz w:val="24"/>
        </w:rPr>
        <w:t>-</w:t>
      </w:r>
      <w:r w:rsidR="000157E4" w:rsidRPr="00F117EB">
        <w:rPr>
          <w:rFonts w:ascii="Times New Roman" w:hAnsi="Times New Roman"/>
          <w:sz w:val="24"/>
        </w:rPr>
        <w:t>[19]</w:t>
      </w:r>
      <w:r w:rsidR="00C0643E" w:rsidRPr="00F117EB">
        <w:rPr>
          <w:rFonts w:ascii="Times New Roman" w:hAnsi="Times New Roman"/>
          <w:sz w:val="24"/>
        </w:rPr>
        <w:t>.</w:t>
      </w:r>
    </w:p>
  </w:footnote>
  <w:footnote w:id="102">
    <w:p w14:paraId="6441B1E9" w14:textId="783801FB" w:rsidR="00ED3251" w:rsidRPr="00F117EB" w:rsidRDefault="00ED3251"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t>[2</w:t>
      </w:r>
      <w:r w:rsidR="00D21CFF" w:rsidRPr="00F117EB">
        <w:rPr>
          <w:rFonts w:ascii="Times New Roman" w:hAnsi="Times New Roman"/>
          <w:sz w:val="24"/>
        </w:rPr>
        <w:t>010] NSWCCA 42</w:t>
      </w:r>
      <w:r w:rsidR="00AB3CBC" w:rsidRPr="00F117EB">
        <w:rPr>
          <w:rFonts w:ascii="Times New Roman" w:hAnsi="Times New Roman"/>
          <w:sz w:val="24"/>
        </w:rPr>
        <w:t>, cited in</w:t>
      </w:r>
      <w:r w:rsidR="00D21CFF" w:rsidRPr="00F117EB">
        <w:rPr>
          <w:rFonts w:ascii="Times New Roman" w:hAnsi="Times New Roman"/>
          <w:sz w:val="24"/>
        </w:rPr>
        <w:t xml:space="preserve"> </w:t>
      </w:r>
      <w:r w:rsidR="00D21CFF" w:rsidRPr="00F117EB">
        <w:rPr>
          <w:rFonts w:ascii="Times New Roman" w:hAnsi="Times New Roman"/>
          <w:i/>
          <w:sz w:val="24"/>
        </w:rPr>
        <w:t>Betts</w:t>
      </w:r>
      <w:r w:rsidR="00AB3CBC" w:rsidRPr="00F117EB">
        <w:rPr>
          <w:rFonts w:ascii="Times New Roman" w:hAnsi="Times New Roman"/>
          <w:i/>
          <w:iCs/>
          <w:sz w:val="24"/>
        </w:rPr>
        <w:t xml:space="preserve"> </w:t>
      </w:r>
      <w:r w:rsidR="00AB3CBC" w:rsidRPr="00F117EB">
        <w:rPr>
          <w:rFonts w:ascii="Times New Roman" w:hAnsi="Times New Roman"/>
          <w:sz w:val="24"/>
        </w:rPr>
        <w:t>(2016) 258 CLR 420</w:t>
      </w:r>
      <w:r w:rsidR="00D21CFF" w:rsidRPr="00F117EB">
        <w:rPr>
          <w:rFonts w:ascii="Times New Roman" w:hAnsi="Times New Roman"/>
          <w:sz w:val="24"/>
        </w:rPr>
        <w:t xml:space="preserve"> at</w:t>
      </w:r>
      <w:r w:rsidR="00AB3CBC" w:rsidRPr="00F117EB">
        <w:rPr>
          <w:rFonts w:ascii="Times New Roman" w:hAnsi="Times New Roman"/>
          <w:sz w:val="24"/>
        </w:rPr>
        <w:t xml:space="preserve"> 429</w:t>
      </w:r>
      <w:r w:rsidR="00D21CFF" w:rsidRPr="00F117EB">
        <w:rPr>
          <w:rFonts w:ascii="Times New Roman" w:hAnsi="Times New Roman"/>
          <w:sz w:val="24"/>
        </w:rPr>
        <w:t xml:space="preserve"> </w:t>
      </w:r>
      <w:r w:rsidR="00A5298F" w:rsidRPr="00F117EB">
        <w:rPr>
          <w:rFonts w:ascii="Times New Roman" w:hAnsi="Times New Roman"/>
          <w:sz w:val="24"/>
        </w:rPr>
        <w:t>[19]</w:t>
      </w:r>
      <w:r w:rsidR="00AB3CBC" w:rsidRPr="00F117EB">
        <w:rPr>
          <w:rFonts w:ascii="Times New Roman" w:hAnsi="Times New Roman"/>
          <w:sz w:val="24"/>
        </w:rPr>
        <w:t>.</w:t>
      </w:r>
    </w:p>
  </w:footnote>
  <w:footnote w:id="103">
    <w:p w14:paraId="2082E297" w14:textId="63DD6B0B" w:rsidR="00795FBE" w:rsidRPr="00F117EB" w:rsidRDefault="00795FBE"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983CE5" w:rsidRPr="00F117EB">
        <w:rPr>
          <w:rFonts w:ascii="Times New Roman" w:hAnsi="Times New Roman"/>
          <w:i/>
          <w:iCs/>
          <w:sz w:val="24"/>
        </w:rPr>
        <w:t xml:space="preserve">O'Neil-Shaw </w:t>
      </w:r>
      <w:r w:rsidR="00983CE5" w:rsidRPr="00F117EB">
        <w:rPr>
          <w:rFonts w:ascii="Times New Roman" w:hAnsi="Times New Roman"/>
          <w:sz w:val="24"/>
        </w:rPr>
        <w:t xml:space="preserve">[2010] NSWCCA 42 </w:t>
      </w:r>
      <w:r w:rsidR="000608FD" w:rsidRPr="00F117EB">
        <w:rPr>
          <w:rFonts w:ascii="Times New Roman" w:hAnsi="Times New Roman"/>
          <w:sz w:val="24"/>
        </w:rPr>
        <w:t>at [26]</w:t>
      </w:r>
      <w:r w:rsidR="001A1E16" w:rsidRPr="00F117EB">
        <w:rPr>
          <w:rFonts w:ascii="Times New Roman" w:hAnsi="Times New Roman"/>
          <w:sz w:val="24"/>
        </w:rPr>
        <w:t>-</w:t>
      </w:r>
      <w:r w:rsidR="000608FD" w:rsidRPr="00F117EB">
        <w:rPr>
          <w:rFonts w:ascii="Times New Roman" w:hAnsi="Times New Roman"/>
          <w:sz w:val="24"/>
        </w:rPr>
        <w:t>[2</w:t>
      </w:r>
      <w:r w:rsidR="007E76E2" w:rsidRPr="00F117EB">
        <w:rPr>
          <w:rFonts w:ascii="Times New Roman" w:hAnsi="Times New Roman"/>
          <w:sz w:val="24"/>
        </w:rPr>
        <w:t>8</w:t>
      </w:r>
      <w:r w:rsidR="000608FD" w:rsidRPr="00F117EB">
        <w:rPr>
          <w:rFonts w:ascii="Times New Roman" w:hAnsi="Times New Roman"/>
          <w:sz w:val="24"/>
        </w:rPr>
        <w:t>]</w:t>
      </w:r>
      <w:r w:rsidR="00983CE5" w:rsidRPr="00F117EB">
        <w:rPr>
          <w:rFonts w:ascii="Times New Roman" w:hAnsi="Times New Roman"/>
          <w:sz w:val="24"/>
        </w:rPr>
        <w:t>.</w:t>
      </w:r>
    </w:p>
  </w:footnote>
  <w:footnote w:id="104">
    <w:p w14:paraId="01212ECC" w14:textId="2466A963" w:rsidR="00D40FB1" w:rsidRPr="00F117EB" w:rsidRDefault="00D40FB1"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223735" w:rsidRPr="00F117EB">
        <w:rPr>
          <w:rFonts w:ascii="Times New Roman" w:hAnsi="Times New Roman"/>
          <w:i/>
          <w:iCs/>
          <w:sz w:val="24"/>
        </w:rPr>
        <w:t xml:space="preserve">O'Neil-Shaw </w:t>
      </w:r>
      <w:r w:rsidR="00223735" w:rsidRPr="00F117EB">
        <w:rPr>
          <w:rFonts w:ascii="Times New Roman" w:hAnsi="Times New Roman"/>
          <w:sz w:val="24"/>
        </w:rPr>
        <w:t xml:space="preserve">[2010] NSWCCA 42 </w:t>
      </w:r>
      <w:r w:rsidRPr="00F117EB">
        <w:rPr>
          <w:rFonts w:ascii="Times New Roman" w:hAnsi="Times New Roman"/>
          <w:sz w:val="24"/>
        </w:rPr>
        <w:t>at [32]</w:t>
      </w:r>
      <w:r w:rsidR="00DE4674" w:rsidRPr="00F117EB">
        <w:rPr>
          <w:rFonts w:ascii="Times New Roman" w:hAnsi="Times New Roman"/>
          <w:sz w:val="24"/>
        </w:rPr>
        <w:t>.</w:t>
      </w:r>
    </w:p>
  </w:footnote>
  <w:footnote w:id="105">
    <w:p w14:paraId="71BE561F" w14:textId="0F39B1C8" w:rsidR="00F5516B" w:rsidRPr="00F117EB" w:rsidRDefault="00F5516B"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Pr="00F117EB">
        <w:rPr>
          <w:rFonts w:ascii="Times New Roman" w:hAnsi="Times New Roman"/>
          <w:i/>
          <w:sz w:val="24"/>
        </w:rPr>
        <w:t>Betts</w:t>
      </w:r>
      <w:r w:rsidRPr="00F117EB">
        <w:rPr>
          <w:rFonts w:ascii="Times New Roman" w:hAnsi="Times New Roman"/>
          <w:sz w:val="24"/>
        </w:rPr>
        <w:t xml:space="preserve"> </w:t>
      </w:r>
      <w:r w:rsidR="00A97E0C" w:rsidRPr="00F117EB">
        <w:rPr>
          <w:rFonts w:ascii="Times New Roman" w:hAnsi="Times New Roman"/>
          <w:sz w:val="24"/>
        </w:rPr>
        <w:t xml:space="preserve">(2016) 258 CLR 420 </w:t>
      </w:r>
      <w:r w:rsidRPr="00F117EB">
        <w:rPr>
          <w:rFonts w:ascii="Times New Roman" w:hAnsi="Times New Roman"/>
          <w:sz w:val="24"/>
        </w:rPr>
        <w:t xml:space="preserve">at </w:t>
      </w:r>
      <w:r w:rsidR="00A97E0C" w:rsidRPr="00F117EB">
        <w:rPr>
          <w:rFonts w:ascii="Times New Roman" w:hAnsi="Times New Roman"/>
          <w:sz w:val="24"/>
        </w:rPr>
        <w:t xml:space="preserve">429 </w:t>
      </w:r>
      <w:r w:rsidRPr="00F117EB">
        <w:rPr>
          <w:rFonts w:ascii="Times New Roman" w:hAnsi="Times New Roman"/>
          <w:sz w:val="24"/>
        </w:rPr>
        <w:t>[19]</w:t>
      </w:r>
      <w:r w:rsidR="00A97E0C" w:rsidRPr="00F117EB">
        <w:rPr>
          <w:rFonts w:ascii="Times New Roman" w:hAnsi="Times New Roman"/>
          <w:sz w:val="24"/>
        </w:rPr>
        <w:t>.</w:t>
      </w:r>
    </w:p>
  </w:footnote>
  <w:footnote w:id="106">
    <w:p w14:paraId="57C4A3B0" w14:textId="3E157761" w:rsidR="00584D67" w:rsidRPr="00F117EB" w:rsidRDefault="00584D67" w:rsidP="00F117EB">
      <w:pPr>
        <w:pStyle w:val="FootnoteText"/>
        <w:spacing w:line="280" w:lineRule="exact"/>
        <w:ind w:right="0"/>
        <w:jc w:val="both"/>
        <w:rPr>
          <w:rFonts w:ascii="Times New Roman" w:hAnsi="Times New Roman"/>
          <w:sz w:val="24"/>
        </w:rPr>
      </w:pPr>
      <w:r w:rsidRPr="00F117EB">
        <w:rPr>
          <w:rStyle w:val="FootnoteReference"/>
          <w:rFonts w:ascii="Times New Roman" w:hAnsi="Times New Roman"/>
          <w:sz w:val="22"/>
          <w:vertAlign w:val="baseline"/>
        </w:rPr>
        <w:footnoteRef/>
      </w:r>
      <w:r w:rsidRPr="00F117EB">
        <w:rPr>
          <w:rFonts w:ascii="Times New Roman" w:hAnsi="Times New Roman"/>
          <w:sz w:val="24"/>
        </w:rPr>
        <w:t xml:space="preserve"> </w:t>
      </w:r>
      <w:r w:rsidRPr="00F117EB">
        <w:rPr>
          <w:rFonts w:ascii="Times New Roman" w:hAnsi="Times New Roman"/>
          <w:sz w:val="24"/>
        </w:rPr>
        <w:tab/>
      </w:r>
      <w:r w:rsidR="002543B2" w:rsidRPr="00F117EB">
        <w:rPr>
          <w:rFonts w:ascii="Times New Roman" w:hAnsi="Times New Roman"/>
          <w:sz w:val="24"/>
        </w:rPr>
        <w:t xml:space="preserve">See, </w:t>
      </w:r>
      <w:proofErr w:type="spellStart"/>
      <w:r w:rsidRPr="00F117EB">
        <w:rPr>
          <w:rFonts w:ascii="Times New Roman" w:hAnsi="Times New Roman"/>
          <w:sz w:val="24"/>
        </w:rPr>
        <w:t>eg</w:t>
      </w:r>
      <w:proofErr w:type="spellEnd"/>
      <w:r w:rsidR="002543B2" w:rsidRPr="00F117EB">
        <w:rPr>
          <w:rFonts w:ascii="Times New Roman" w:hAnsi="Times New Roman"/>
          <w:sz w:val="24"/>
        </w:rPr>
        <w:t>,</w:t>
      </w:r>
      <w:r w:rsidRPr="00F117EB">
        <w:rPr>
          <w:rFonts w:ascii="Times New Roman" w:hAnsi="Times New Roman"/>
          <w:sz w:val="24"/>
        </w:rPr>
        <w:t xml:space="preserve"> </w:t>
      </w:r>
      <w:r w:rsidR="003C29E3" w:rsidRPr="00F117EB">
        <w:rPr>
          <w:rFonts w:ascii="Times New Roman" w:hAnsi="Times New Roman"/>
          <w:i/>
          <w:sz w:val="24"/>
        </w:rPr>
        <w:t>Criminal Procedure Act</w:t>
      </w:r>
      <w:r w:rsidR="001A3B75" w:rsidRPr="00F117EB">
        <w:rPr>
          <w:rFonts w:ascii="Times New Roman" w:hAnsi="Times New Roman"/>
          <w:i/>
          <w:sz w:val="24"/>
        </w:rPr>
        <w:t xml:space="preserve"> 2009</w:t>
      </w:r>
      <w:r w:rsidR="001A3B75" w:rsidRPr="00F117EB">
        <w:rPr>
          <w:rFonts w:ascii="Times New Roman" w:hAnsi="Times New Roman"/>
          <w:sz w:val="24"/>
        </w:rPr>
        <w:t xml:space="preserve"> (Vic),</w:t>
      </w:r>
      <w:r w:rsidR="002543B2" w:rsidRPr="00F117EB">
        <w:rPr>
          <w:rFonts w:ascii="Times New Roman" w:hAnsi="Times New Roman"/>
          <w:sz w:val="24"/>
        </w:rPr>
        <w:t xml:space="preserve"> </w:t>
      </w:r>
      <w:r w:rsidR="001A3B75" w:rsidRPr="00F117EB">
        <w:rPr>
          <w:rFonts w:ascii="Times New Roman" w:hAnsi="Times New Roman"/>
          <w:sz w:val="24"/>
        </w:rPr>
        <w:t xml:space="preserve">ss 281, 282; </w:t>
      </w:r>
      <w:r w:rsidR="0086205F" w:rsidRPr="00F117EB">
        <w:rPr>
          <w:rFonts w:ascii="Times New Roman" w:hAnsi="Times New Roman"/>
          <w:i/>
          <w:iCs/>
          <w:sz w:val="24"/>
        </w:rPr>
        <w:t>Criminal Procedure Act 1921</w:t>
      </w:r>
      <w:r w:rsidR="0086205F" w:rsidRPr="00F117EB">
        <w:rPr>
          <w:rFonts w:ascii="Times New Roman" w:hAnsi="Times New Roman"/>
          <w:sz w:val="24"/>
        </w:rPr>
        <w:t xml:space="preserve"> (SA), s 158(7); </w:t>
      </w:r>
      <w:r w:rsidR="00591001" w:rsidRPr="00F117EB">
        <w:rPr>
          <w:rFonts w:ascii="Times New Roman" w:hAnsi="Times New Roman"/>
          <w:i/>
          <w:sz w:val="24"/>
        </w:rPr>
        <w:t>Criminal Appe</w:t>
      </w:r>
      <w:r w:rsidR="007B4174" w:rsidRPr="00F117EB">
        <w:rPr>
          <w:rFonts w:ascii="Times New Roman" w:hAnsi="Times New Roman"/>
          <w:i/>
          <w:sz w:val="24"/>
        </w:rPr>
        <w:t>als Act 2004</w:t>
      </w:r>
      <w:r w:rsidR="007B4174" w:rsidRPr="00F117EB">
        <w:rPr>
          <w:rFonts w:ascii="Times New Roman" w:hAnsi="Times New Roman"/>
          <w:sz w:val="24"/>
        </w:rPr>
        <w:t xml:space="preserve"> (WA)</w:t>
      </w:r>
      <w:r w:rsidR="00A53BCE" w:rsidRPr="00F117EB">
        <w:rPr>
          <w:rFonts w:ascii="Times New Roman" w:hAnsi="Times New Roman"/>
          <w:sz w:val="24"/>
        </w:rPr>
        <w:t>, s</w:t>
      </w:r>
      <w:r w:rsidR="00E0460E" w:rsidRPr="00F117EB">
        <w:rPr>
          <w:rFonts w:ascii="Times New Roman" w:hAnsi="Times New Roman"/>
          <w:sz w:val="24"/>
        </w:rPr>
        <w:t>s</w:t>
      </w:r>
      <w:r w:rsidR="00A53BCE" w:rsidRPr="00F117EB">
        <w:rPr>
          <w:rFonts w:ascii="Times New Roman" w:hAnsi="Times New Roman"/>
          <w:sz w:val="24"/>
        </w:rPr>
        <w:t xml:space="preserve"> </w:t>
      </w:r>
      <w:r w:rsidR="00B60121" w:rsidRPr="00F117EB">
        <w:rPr>
          <w:rFonts w:ascii="Times New Roman" w:hAnsi="Times New Roman"/>
          <w:sz w:val="24"/>
        </w:rPr>
        <w:t xml:space="preserve">31(1)(a), 31(5); </w:t>
      </w:r>
      <w:r w:rsidR="002D7107" w:rsidRPr="00F117EB">
        <w:rPr>
          <w:rFonts w:ascii="Times New Roman" w:hAnsi="Times New Roman"/>
          <w:i/>
          <w:sz w:val="24"/>
        </w:rPr>
        <w:t xml:space="preserve">Criminal Code </w:t>
      </w:r>
      <w:r w:rsidR="002D7107" w:rsidRPr="00F117EB">
        <w:rPr>
          <w:rFonts w:ascii="Times New Roman" w:hAnsi="Times New Roman"/>
          <w:sz w:val="24"/>
        </w:rPr>
        <w:t xml:space="preserve">(Tas), s 402(4C); </w:t>
      </w:r>
      <w:r w:rsidR="005D2B9F" w:rsidRPr="00F117EB">
        <w:rPr>
          <w:rFonts w:ascii="Times New Roman" w:hAnsi="Times New Roman"/>
          <w:i/>
          <w:iCs/>
          <w:sz w:val="24"/>
        </w:rPr>
        <w:t xml:space="preserve">Criminal Code </w:t>
      </w:r>
      <w:r w:rsidR="005D2B9F" w:rsidRPr="00F117EB">
        <w:rPr>
          <w:rFonts w:ascii="Times New Roman" w:hAnsi="Times New Roman"/>
          <w:sz w:val="24"/>
        </w:rPr>
        <w:t xml:space="preserve">(NT), s 411(4); </w:t>
      </w:r>
      <w:r w:rsidR="004B012D" w:rsidRPr="00F117EB">
        <w:rPr>
          <w:rFonts w:ascii="Times New Roman" w:hAnsi="Times New Roman"/>
          <w:i/>
          <w:sz w:val="24"/>
        </w:rPr>
        <w:t>Supreme Court Act 1933</w:t>
      </w:r>
      <w:r w:rsidR="004B012D" w:rsidRPr="00F117EB">
        <w:rPr>
          <w:rFonts w:ascii="Times New Roman" w:hAnsi="Times New Roman"/>
          <w:sz w:val="24"/>
        </w:rPr>
        <w:t xml:space="preserve"> (ACT), s 37</w:t>
      </w:r>
      <w:proofErr w:type="gramStart"/>
      <w:r w:rsidR="004B012D" w:rsidRPr="00F117EB">
        <w:rPr>
          <w:rFonts w:ascii="Times New Roman" w:hAnsi="Times New Roman"/>
          <w:sz w:val="24"/>
        </w:rPr>
        <w:t>O</w:t>
      </w:r>
      <w:r w:rsidR="00626919" w:rsidRPr="00F117EB">
        <w:rPr>
          <w:rFonts w:ascii="Times New Roman" w:hAnsi="Times New Roman"/>
          <w:sz w:val="24"/>
        </w:rPr>
        <w:t>(</w:t>
      </w:r>
      <w:proofErr w:type="gramEnd"/>
      <w:r w:rsidR="00626919" w:rsidRPr="00F117EB">
        <w:rPr>
          <w:rFonts w:ascii="Times New Roman" w:hAnsi="Times New Roman"/>
          <w:sz w:val="24"/>
        </w:rPr>
        <w:t>1).</w:t>
      </w:r>
    </w:p>
  </w:footnote>
  <w:footnote w:id="107">
    <w:p w14:paraId="53FD2D99"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Criminal Code </w:t>
      </w:r>
      <w:r w:rsidRPr="00A10137">
        <w:rPr>
          <w:rFonts w:ascii="Times New Roman" w:hAnsi="Times New Roman"/>
          <w:sz w:val="24"/>
        </w:rPr>
        <w:t>(</w:t>
      </w:r>
      <w:proofErr w:type="spellStart"/>
      <w:r w:rsidRPr="00A10137">
        <w:rPr>
          <w:rFonts w:ascii="Times New Roman" w:hAnsi="Times New Roman"/>
          <w:sz w:val="24"/>
        </w:rPr>
        <w:t>Cth</w:t>
      </w:r>
      <w:proofErr w:type="spellEnd"/>
      <w:r w:rsidRPr="00A10137">
        <w:rPr>
          <w:rFonts w:ascii="Times New Roman" w:hAnsi="Times New Roman"/>
          <w:sz w:val="24"/>
        </w:rPr>
        <w:t>), ss 11.5(1), 302.2(1).</w:t>
      </w:r>
    </w:p>
  </w:footnote>
  <w:footnote w:id="108">
    <w:p w14:paraId="32CB3720"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Criminal Code</w:t>
      </w:r>
      <w:r w:rsidRPr="00A10137">
        <w:rPr>
          <w:rFonts w:ascii="Times New Roman" w:hAnsi="Times New Roman"/>
          <w:sz w:val="24"/>
        </w:rPr>
        <w:t>, ss 400.3(1), 400.4(1).</w:t>
      </w:r>
    </w:p>
  </w:footnote>
  <w:footnote w:id="109">
    <w:p w14:paraId="390E99B9"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Crimes Act 1914 </w:t>
      </w:r>
      <w:r w:rsidRPr="00A10137">
        <w:rPr>
          <w:rFonts w:ascii="Times New Roman" w:hAnsi="Times New Roman"/>
          <w:sz w:val="24"/>
        </w:rPr>
        <w:t>(</w:t>
      </w:r>
      <w:proofErr w:type="spellStart"/>
      <w:r w:rsidRPr="00A10137">
        <w:rPr>
          <w:rFonts w:ascii="Times New Roman" w:hAnsi="Times New Roman"/>
          <w:sz w:val="24"/>
        </w:rPr>
        <w:t>Cth</w:t>
      </w:r>
      <w:proofErr w:type="spellEnd"/>
      <w:r w:rsidRPr="00A10137">
        <w:rPr>
          <w:rFonts w:ascii="Times New Roman" w:hAnsi="Times New Roman"/>
          <w:sz w:val="24"/>
        </w:rPr>
        <w:t>), s 16BA.</w:t>
      </w:r>
    </w:p>
  </w:footnote>
  <w:footnote w:id="110">
    <w:p w14:paraId="002C128C"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Davis, "Conflict of Interest", in Chadwick (ed), </w:t>
      </w:r>
      <w:r w:rsidRPr="00A10137">
        <w:rPr>
          <w:rFonts w:ascii="Times New Roman" w:hAnsi="Times New Roman"/>
          <w:i/>
          <w:iCs/>
          <w:sz w:val="24"/>
        </w:rPr>
        <w:t>Encyclopedia of Applied Ethics</w:t>
      </w:r>
      <w:r w:rsidRPr="00A10137">
        <w:rPr>
          <w:rFonts w:ascii="Times New Roman" w:hAnsi="Times New Roman"/>
          <w:sz w:val="24"/>
        </w:rPr>
        <w:t>, 2nd</w:t>
      </w:r>
      <w:r>
        <w:rPr>
          <w:rFonts w:ascii="Times New Roman" w:hAnsi="Times New Roman"/>
          <w:sz w:val="24"/>
        </w:rPr>
        <w:t> </w:t>
      </w:r>
      <w:r w:rsidRPr="00A10137">
        <w:rPr>
          <w:rFonts w:ascii="Times New Roman" w:hAnsi="Times New Roman"/>
          <w:sz w:val="24"/>
        </w:rPr>
        <w:t xml:space="preserve">ed (2012), vol 1, 571 at 576. See also Smith, </w:t>
      </w:r>
      <w:r w:rsidRPr="00A10137">
        <w:rPr>
          <w:rFonts w:ascii="Times New Roman" w:hAnsi="Times New Roman"/>
          <w:i/>
          <w:iCs/>
          <w:sz w:val="24"/>
        </w:rPr>
        <w:t xml:space="preserve">The Law of Loyalty </w:t>
      </w:r>
      <w:r w:rsidRPr="00A10137">
        <w:rPr>
          <w:rFonts w:ascii="Times New Roman" w:hAnsi="Times New Roman"/>
          <w:sz w:val="24"/>
        </w:rPr>
        <w:t xml:space="preserve">(2023) at 167-168.   </w:t>
      </w:r>
    </w:p>
  </w:footnote>
  <w:footnote w:id="111">
    <w:p w14:paraId="35D02B26"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Farrugia v The King </w:t>
      </w:r>
      <w:r w:rsidRPr="00A10137">
        <w:rPr>
          <w:rFonts w:ascii="Times New Roman" w:hAnsi="Times New Roman"/>
          <w:sz w:val="24"/>
        </w:rPr>
        <w:t>[2025] NSWCCA 49 at [1]-[3].</w:t>
      </w:r>
    </w:p>
  </w:footnote>
  <w:footnote w:id="112">
    <w:p w14:paraId="0E1423AE"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Farrugia v The King </w:t>
      </w:r>
      <w:r w:rsidRPr="00A10137">
        <w:rPr>
          <w:rFonts w:ascii="Times New Roman" w:hAnsi="Times New Roman"/>
          <w:sz w:val="24"/>
        </w:rPr>
        <w:t>[2025] NSWCCA 49 at [56].</w:t>
      </w:r>
    </w:p>
  </w:footnote>
  <w:footnote w:id="113">
    <w:p w14:paraId="35A98807"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Farrugia v The King </w:t>
      </w:r>
      <w:r w:rsidRPr="00A10137">
        <w:rPr>
          <w:rFonts w:ascii="Times New Roman" w:hAnsi="Times New Roman"/>
          <w:sz w:val="24"/>
        </w:rPr>
        <w:t>[2025] NSWCCA 49 at [65].</w:t>
      </w:r>
    </w:p>
  </w:footnote>
  <w:footnote w:id="114">
    <w:p w14:paraId="43D448C3"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Davis, "Conflict of Interest", in Chadwick (ed), </w:t>
      </w:r>
      <w:r w:rsidRPr="00A10137">
        <w:rPr>
          <w:rFonts w:ascii="Times New Roman" w:hAnsi="Times New Roman"/>
          <w:i/>
          <w:iCs/>
          <w:sz w:val="24"/>
        </w:rPr>
        <w:t>Encyclopedia of Applied Ethics</w:t>
      </w:r>
      <w:r w:rsidRPr="00A10137">
        <w:rPr>
          <w:rFonts w:ascii="Times New Roman" w:hAnsi="Times New Roman"/>
          <w:sz w:val="24"/>
        </w:rPr>
        <w:t>, 2nd</w:t>
      </w:r>
      <w:r>
        <w:rPr>
          <w:rFonts w:ascii="Times New Roman" w:hAnsi="Times New Roman"/>
          <w:sz w:val="24"/>
        </w:rPr>
        <w:t> </w:t>
      </w:r>
      <w:r w:rsidRPr="00A10137">
        <w:rPr>
          <w:rFonts w:ascii="Times New Roman" w:hAnsi="Times New Roman"/>
          <w:sz w:val="24"/>
        </w:rPr>
        <w:t xml:space="preserve">ed (2012), vol 1, 571 at 575. See also Smith, </w:t>
      </w:r>
      <w:r w:rsidRPr="00A10137">
        <w:rPr>
          <w:rFonts w:ascii="Times New Roman" w:hAnsi="Times New Roman"/>
          <w:i/>
          <w:iCs/>
          <w:sz w:val="24"/>
        </w:rPr>
        <w:t xml:space="preserve">The Law of Loyalty </w:t>
      </w:r>
      <w:r w:rsidRPr="00A10137">
        <w:rPr>
          <w:rFonts w:ascii="Times New Roman" w:hAnsi="Times New Roman"/>
          <w:sz w:val="24"/>
        </w:rPr>
        <w:t xml:space="preserve">(2023) at 168.  </w:t>
      </w:r>
    </w:p>
  </w:footnote>
  <w:footnote w:id="115">
    <w:p w14:paraId="41F840F9"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Strother v 3464920 Canada Inc </w:t>
      </w:r>
      <w:r w:rsidRPr="00A10137">
        <w:rPr>
          <w:rFonts w:ascii="Times New Roman" w:hAnsi="Times New Roman"/>
          <w:sz w:val="24"/>
        </w:rPr>
        <w:t>[2007] 2 SCR 177 at 250 [135].</w:t>
      </w:r>
    </w:p>
  </w:footnote>
  <w:footnote w:id="116">
    <w:p w14:paraId="6BE16C04"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Finn, "The Fiduciary Principle", in </w:t>
      </w:r>
      <w:proofErr w:type="spellStart"/>
      <w:r w:rsidRPr="00A10137">
        <w:rPr>
          <w:rFonts w:ascii="Times New Roman" w:hAnsi="Times New Roman"/>
          <w:sz w:val="24"/>
        </w:rPr>
        <w:t>Youdan</w:t>
      </w:r>
      <w:proofErr w:type="spellEnd"/>
      <w:r w:rsidRPr="00A10137">
        <w:rPr>
          <w:rFonts w:ascii="Times New Roman" w:hAnsi="Times New Roman"/>
          <w:sz w:val="24"/>
        </w:rPr>
        <w:t xml:space="preserve"> (ed), </w:t>
      </w:r>
      <w:r w:rsidRPr="00A10137">
        <w:rPr>
          <w:rFonts w:ascii="Times New Roman" w:hAnsi="Times New Roman"/>
          <w:i/>
          <w:iCs/>
          <w:sz w:val="24"/>
        </w:rPr>
        <w:t>Equity, Fiduciaries and Trusts</w:t>
      </w:r>
      <w:r w:rsidRPr="00A10137">
        <w:rPr>
          <w:rFonts w:ascii="Times New Roman" w:hAnsi="Times New Roman"/>
          <w:sz w:val="24"/>
        </w:rPr>
        <w:t xml:space="preserve"> (1989) 1 at 34.</w:t>
      </w:r>
    </w:p>
  </w:footnote>
  <w:footnote w:id="117">
    <w:p w14:paraId="41F9D44F"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Pilmer v Duke Group Ltd (In </w:t>
      </w:r>
      <w:proofErr w:type="spellStart"/>
      <w:r w:rsidRPr="00A10137">
        <w:rPr>
          <w:rFonts w:ascii="Times New Roman" w:hAnsi="Times New Roman"/>
          <w:i/>
          <w:iCs/>
          <w:sz w:val="24"/>
        </w:rPr>
        <w:t>liq</w:t>
      </w:r>
      <w:proofErr w:type="spellEnd"/>
      <w:r w:rsidRPr="00A10137">
        <w:rPr>
          <w:rFonts w:ascii="Times New Roman" w:hAnsi="Times New Roman"/>
          <w:i/>
          <w:iCs/>
          <w:sz w:val="24"/>
        </w:rPr>
        <w:t xml:space="preserve">) </w:t>
      </w:r>
      <w:r w:rsidRPr="00A10137">
        <w:rPr>
          <w:rFonts w:ascii="Times New Roman" w:hAnsi="Times New Roman"/>
          <w:sz w:val="24"/>
        </w:rPr>
        <w:t xml:space="preserve">(2001) 207 CLR 165 at 197-198 [74]. See also </w:t>
      </w:r>
      <w:r w:rsidRPr="00A10137">
        <w:rPr>
          <w:rFonts w:ascii="Times New Roman" w:hAnsi="Times New Roman"/>
          <w:i/>
          <w:iCs/>
          <w:sz w:val="24"/>
        </w:rPr>
        <w:t xml:space="preserve">Breen v Williams </w:t>
      </w:r>
      <w:r w:rsidRPr="00A10137">
        <w:rPr>
          <w:rFonts w:ascii="Times New Roman" w:hAnsi="Times New Roman"/>
          <w:sz w:val="24"/>
        </w:rPr>
        <w:t xml:space="preserve">(1996) 186 CLR 71 at 113, 137-138. </w:t>
      </w:r>
    </w:p>
  </w:footnote>
  <w:footnote w:id="118">
    <w:p w14:paraId="2852A21C"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Girardet v Crease &amp; Co </w:t>
      </w:r>
      <w:r w:rsidRPr="00A10137">
        <w:rPr>
          <w:rFonts w:ascii="Times New Roman" w:hAnsi="Times New Roman"/>
          <w:sz w:val="24"/>
        </w:rPr>
        <w:t xml:space="preserve">(1987) 11 BCLR (2d) 361 at 362; </w:t>
      </w:r>
      <w:r w:rsidRPr="00A10137">
        <w:rPr>
          <w:rFonts w:ascii="Times New Roman" w:hAnsi="Times New Roman"/>
          <w:i/>
          <w:iCs/>
          <w:sz w:val="24"/>
        </w:rPr>
        <w:t xml:space="preserve">Permanent Building Society (In </w:t>
      </w:r>
      <w:proofErr w:type="spellStart"/>
      <w:r w:rsidRPr="00A10137">
        <w:rPr>
          <w:rFonts w:ascii="Times New Roman" w:hAnsi="Times New Roman"/>
          <w:i/>
          <w:iCs/>
          <w:sz w:val="24"/>
        </w:rPr>
        <w:t>liq</w:t>
      </w:r>
      <w:proofErr w:type="spellEnd"/>
      <w:r w:rsidRPr="00A10137">
        <w:rPr>
          <w:rFonts w:ascii="Times New Roman" w:hAnsi="Times New Roman"/>
          <w:i/>
          <w:iCs/>
          <w:sz w:val="24"/>
        </w:rPr>
        <w:t xml:space="preserve">) v Wheeler </w:t>
      </w:r>
      <w:r w:rsidRPr="00A10137">
        <w:rPr>
          <w:rFonts w:ascii="Times New Roman" w:hAnsi="Times New Roman"/>
          <w:sz w:val="24"/>
        </w:rPr>
        <w:t xml:space="preserve">(1994) 11 WAR 187 at 237; </w:t>
      </w:r>
      <w:r w:rsidRPr="00A10137">
        <w:rPr>
          <w:rFonts w:ascii="Times New Roman" w:hAnsi="Times New Roman"/>
          <w:i/>
          <w:iCs/>
          <w:sz w:val="24"/>
        </w:rPr>
        <w:t xml:space="preserve">Henderson v Merrett Syndicates Ltd </w:t>
      </w:r>
      <w:r w:rsidRPr="00A10137">
        <w:rPr>
          <w:rFonts w:ascii="Times New Roman" w:hAnsi="Times New Roman"/>
          <w:sz w:val="24"/>
        </w:rPr>
        <w:t xml:space="preserve">[1995] 2 AC 145 at 205; </w:t>
      </w:r>
      <w:r w:rsidRPr="00A10137">
        <w:rPr>
          <w:rFonts w:ascii="Times New Roman" w:hAnsi="Times New Roman"/>
          <w:i/>
          <w:iCs/>
          <w:sz w:val="24"/>
        </w:rPr>
        <w:t xml:space="preserve">Bristol and West Building Society v </w:t>
      </w:r>
      <w:proofErr w:type="spellStart"/>
      <w:r w:rsidRPr="00A10137">
        <w:rPr>
          <w:rFonts w:ascii="Times New Roman" w:hAnsi="Times New Roman"/>
          <w:i/>
          <w:iCs/>
          <w:sz w:val="24"/>
        </w:rPr>
        <w:t>Mothew</w:t>
      </w:r>
      <w:proofErr w:type="spellEnd"/>
      <w:r w:rsidRPr="00A10137">
        <w:rPr>
          <w:rFonts w:ascii="Times New Roman" w:hAnsi="Times New Roman"/>
          <w:i/>
          <w:iCs/>
          <w:sz w:val="24"/>
        </w:rPr>
        <w:t xml:space="preserve"> </w:t>
      </w:r>
      <w:r w:rsidRPr="00A10137">
        <w:rPr>
          <w:rFonts w:ascii="Times New Roman" w:hAnsi="Times New Roman"/>
          <w:sz w:val="24"/>
        </w:rPr>
        <w:t xml:space="preserve">[1998] Ch 1 at 16. See also </w:t>
      </w:r>
      <w:r w:rsidRPr="00A10137">
        <w:rPr>
          <w:rFonts w:ascii="Times New Roman" w:hAnsi="Times New Roman"/>
          <w:i/>
          <w:iCs/>
          <w:sz w:val="24"/>
        </w:rPr>
        <w:t xml:space="preserve">Breen v Williams </w:t>
      </w:r>
      <w:r w:rsidRPr="00A10137">
        <w:rPr>
          <w:rFonts w:ascii="Times New Roman" w:hAnsi="Times New Roman"/>
          <w:sz w:val="24"/>
        </w:rPr>
        <w:t xml:space="preserve">(1996) 186 CLR 71 at 92, 137; Birks, "The Content of Fiduciary Obligation" (2000) 34 </w:t>
      </w:r>
      <w:r w:rsidRPr="00A10137">
        <w:rPr>
          <w:rFonts w:ascii="Times New Roman" w:hAnsi="Times New Roman"/>
          <w:i/>
          <w:iCs/>
          <w:sz w:val="24"/>
        </w:rPr>
        <w:t>Israel Law Review</w:t>
      </w:r>
      <w:r w:rsidRPr="00A10137">
        <w:rPr>
          <w:rFonts w:ascii="Times New Roman" w:hAnsi="Times New Roman"/>
          <w:sz w:val="24"/>
        </w:rPr>
        <w:t xml:space="preserve"> 3 at 32-37; </w:t>
      </w:r>
      <w:proofErr w:type="spellStart"/>
      <w:r w:rsidRPr="00A10137">
        <w:rPr>
          <w:rFonts w:ascii="Times New Roman" w:hAnsi="Times New Roman"/>
          <w:sz w:val="24"/>
        </w:rPr>
        <w:t>Conaglen</w:t>
      </w:r>
      <w:proofErr w:type="spellEnd"/>
      <w:r w:rsidRPr="00A10137">
        <w:rPr>
          <w:rFonts w:ascii="Times New Roman" w:hAnsi="Times New Roman"/>
          <w:sz w:val="24"/>
        </w:rPr>
        <w:t xml:space="preserve">, </w:t>
      </w:r>
      <w:r w:rsidRPr="00A10137">
        <w:rPr>
          <w:rFonts w:ascii="Times New Roman" w:hAnsi="Times New Roman"/>
          <w:i/>
          <w:iCs/>
          <w:sz w:val="24"/>
        </w:rPr>
        <w:t xml:space="preserve">Fiduciary Loyalty: Protecting the Due Performance of Non-Fiduciary Duties </w:t>
      </w:r>
      <w:r w:rsidRPr="00A10137">
        <w:rPr>
          <w:rFonts w:ascii="Times New Roman" w:hAnsi="Times New Roman"/>
          <w:sz w:val="24"/>
        </w:rPr>
        <w:t>(2010) at 16-31.</w:t>
      </w:r>
    </w:p>
  </w:footnote>
  <w:footnote w:id="119">
    <w:p w14:paraId="0521C39F"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See </w:t>
      </w:r>
      <w:proofErr w:type="spellStart"/>
      <w:r w:rsidRPr="00A10137">
        <w:rPr>
          <w:rFonts w:ascii="Times New Roman" w:hAnsi="Times New Roman"/>
          <w:sz w:val="24"/>
        </w:rPr>
        <w:t>Conaglen</w:t>
      </w:r>
      <w:proofErr w:type="spellEnd"/>
      <w:r w:rsidRPr="00A10137">
        <w:rPr>
          <w:rFonts w:ascii="Times New Roman" w:hAnsi="Times New Roman"/>
          <w:sz w:val="24"/>
        </w:rPr>
        <w:t xml:space="preserve">, </w:t>
      </w:r>
      <w:r w:rsidRPr="00A10137">
        <w:rPr>
          <w:rFonts w:ascii="Times New Roman" w:hAnsi="Times New Roman"/>
          <w:i/>
          <w:iCs/>
          <w:sz w:val="24"/>
        </w:rPr>
        <w:t xml:space="preserve">Fiduciary Loyalty: Protecting the Due Performance of Non-Fiduciary Duties </w:t>
      </w:r>
      <w:r w:rsidRPr="00A10137">
        <w:rPr>
          <w:rFonts w:ascii="Times New Roman" w:hAnsi="Times New Roman"/>
          <w:sz w:val="24"/>
        </w:rPr>
        <w:t xml:space="preserve">(2010) at 54. </w:t>
      </w:r>
    </w:p>
  </w:footnote>
  <w:footnote w:id="120">
    <w:p w14:paraId="7B5A6E1E"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R v Neil </w:t>
      </w:r>
      <w:r w:rsidRPr="00A10137">
        <w:rPr>
          <w:rFonts w:ascii="Times New Roman" w:hAnsi="Times New Roman"/>
          <w:sz w:val="24"/>
        </w:rPr>
        <w:t xml:space="preserve">[2002] 3 SCR 631 at 645 [19]. </w:t>
      </w:r>
    </w:p>
  </w:footnote>
  <w:footnote w:id="121">
    <w:p w14:paraId="573F806A"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Naaman v Jaken Properties Australia Pty Ltd</w:t>
      </w:r>
      <w:r w:rsidRPr="00A10137">
        <w:rPr>
          <w:rFonts w:ascii="Times New Roman" w:hAnsi="Times New Roman"/>
          <w:sz w:val="24"/>
        </w:rPr>
        <w:t xml:space="preserve"> (2025) 281 CLR 635 at 664 [81], citing </w:t>
      </w:r>
      <w:r w:rsidRPr="00A10137">
        <w:rPr>
          <w:rFonts w:ascii="Times New Roman" w:hAnsi="Times New Roman"/>
          <w:i/>
          <w:iCs/>
          <w:sz w:val="24"/>
        </w:rPr>
        <w:t>New Zealand Netherlands Society "</w:t>
      </w:r>
      <w:proofErr w:type="spellStart"/>
      <w:r w:rsidRPr="00A10137">
        <w:rPr>
          <w:rFonts w:ascii="Times New Roman" w:hAnsi="Times New Roman"/>
          <w:i/>
          <w:iCs/>
          <w:sz w:val="24"/>
        </w:rPr>
        <w:t>Oranje</w:t>
      </w:r>
      <w:proofErr w:type="spellEnd"/>
      <w:r w:rsidRPr="00A10137">
        <w:rPr>
          <w:rFonts w:ascii="Times New Roman" w:hAnsi="Times New Roman"/>
          <w:i/>
          <w:iCs/>
          <w:sz w:val="24"/>
        </w:rPr>
        <w:t xml:space="preserve">" Inc v </w:t>
      </w:r>
      <w:proofErr w:type="spellStart"/>
      <w:r w:rsidRPr="00A10137">
        <w:rPr>
          <w:rFonts w:ascii="Times New Roman" w:hAnsi="Times New Roman"/>
          <w:i/>
          <w:iCs/>
          <w:sz w:val="24"/>
        </w:rPr>
        <w:t>Kuys</w:t>
      </w:r>
      <w:proofErr w:type="spellEnd"/>
      <w:r w:rsidRPr="00A10137">
        <w:rPr>
          <w:rFonts w:ascii="Times New Roman" w:hAnsi="Times New Roman"/>
          <w:sz w:val="24"/>
        </w:rPr>
        <w:t xml:space="preserve"> [1973] 1 WLR 1126 at 1130; [1973] 2 All ER 1222 at 1225-1226 (quoting </w:t>
      </w:r>
      <w:proofErr w:type="spellStart"/>
      <w:r w:rsidRPr="00A10137">
        <w:rPr>
          <w:rFonts w:ascii="Times New Roman" w:hAnsi="Times New Roman"/>
          <w:i/>
          <w:iCs/>
          <w:sz w:val="24"/>
        </w:rPr>
        <w:t>Birtchnell</w:t>
      </w:r>
      <w:proofErr w:type="spellEnd"/>
      <w:r w:rsidRPr="00A10137">
        <w:rPr>
          <w:rFonts w:ascii="Times New Roman" w:hAnsi="Times New Roman"/>
          <w:i/>
          <w:iCs/>
          <w:sz w:val="24"/>
        </w:rPr>
        <w:t xml:space="preserve"> v Equity Trustees, Executors and Agency Co Ltd</w:t>
      </w:r>
      <w:r w:rsidRPr="00A10137">
        <w:rPr>
          <w:rFonts w:ascii="Times New Roman" w:hAnsi="Times New Roman"/>
          <w:sz w:val="24"/>
        </w:rPr>
        <w:t xml:space="preserve"> (1929) 42 CLR 384 at 408 and </w:t>
      </w:r>
      <w:r w:rsidRPr="00A10137">
        <w:rPr>
          <w:rFonts w:ascii="Times New Roman" w:hAnsi="Times New Roman"/>
          <w:i/>
          <w:iCs/>
          <w:sz w:val="24"/>
        </w:rPr>
        <w:t xml:space="preserve">Boardman v Phipps </w:t>
      </w:r>
      <w:r w:rsidRPr="00A10137">
        <w:rPr>
          <w:rFonts w:ascii="Times New Roman" w:hAnsi="Times New Roman"/>
          <w:sz w:val="24"/>
        </w:rPr>
        <w:t xml:space="preserve">[1967] 2 AC 46 at 123), </w:t>
      </w:r>
      <w:r w:rsidRPr="00A10137">
        <w:rPr>
          <w:rFonts w:ascii="Times New Roman" w:hAnsi="Times New Roman"/>
          <w:i/>
          <w:iCs/>
          <w:sz w:val="24"/>
        </w:rPr>
        <w:t>Hospital Products Ltd v United States Surgical Corporation</w:t>
      </w:r>
      <w:r w:rsidRPr="00A10137">
        <w:rPr>
          <w:rFonts w:ascii="Times New Roman" w:hAnsi="Times New Roman"/>
          <w:sz w:val="24"/>
        </w:rPr>
        <w:t xml:space="preserve"> (1984) 156 CLR 41 at 102, </w:t>
      </w:r>
      <w:r w:rsidRPr="00A10137">
        <w:rPr>
          <w:rFonts w:ascii="Times New Roman" w:hAnsi="Times New Roman"/>
          <w:i/>
          <w:iCs/>
          <w:sz w:val="24"/>
        </w:rPr>
        <w:t>Kelly v Cooper</w:t>
      </w:r>
      <w:r w:rsidRPr="00A10137">
        <w:rPr>
          <w:rFonts w:ascii="Times New Roman" w:hAnsi="Times New Roman"/>
          <w:sz w:val="24"/>
        </w:rPr>
        <w:t xml:space="preserve"> [1993] AC 205 at 215, </w:t>
      </w:r>
      <w:r w:rsidRPr="00A10137">
        <w:rPr>
          <w:rFonts w:ascii="Times New Roman" w:hAnsi="Times New Roman"/>
          <w:i/>
          <w:iCs/>
          <w:sz w:val="24"/>
        </w:rPr>
        <w:t>Clay v Clay</w:t>
      </w:r>
      <w:r w:rsidRPr="00A10137">
        <w:rPr>
          <w:rFonts w:ascii="Times New Roman" w:hAnsi="Times New Roman"/>
          <w:sz w:val="24"/>
        </w:rPr>
        <w:t xml:space="preserve"> (2001) 202 CLR 410 at 432-433 [46], and </w:t>
      </w:r>
      <w:r w:rsidRPr="00A10137">
        <w:rPr>
          <w:rFonts w:ascii="Times New Roman" w:hAnsi="Times New Roman"/>
          <w:i/>
          <w:iCs/>
          <w:sz w:val="24"/>
        </w:rPr>
        <w:t>Hilton v Barker Booth &amp; Eastwood (a firm)</w:t>
      </w:r>
      <w:r w:rsidRPr="00A10137">
        <w:rPr>
          <w:rFonts w:ascii="Times New Roman" w:hAnsi="Times New Roman"/>
          <w:sz w:val="24"/>
        </w:rPr>
        <w:t xml:space="preserve"> [2005] 1 WLR 567 at 575 [30]; [2005] 1 All ER 651 at 661.</w:t>
      </w:r>
    </w:p>
  </w:footnote>
  <w:footnote w:id="122">
    <w:p w14:paraId="3A2E44BD"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Rules made under </w:t>
      </w:r>
      <w:r w:rsidRPr="00A10137">
        <w:rPr>
          <w:rFonts w:ascii="Times New Roman" w:hAnsi="Times New Roman"/>
          <w:i/>
          <w:iCs/>
          <w:sz w:val="24"/>
        </w:rPr>
        <w:t xml:space="preserve">Legal Profession Uniform Law </w:t>
      </w:r>
      <w:r w:rsidRPr="00A10137">
        <w:rPr>
          <w:rFonts w:ascii="Times New Roman" w:hAnsi="Times New Roman"/>
          <w:sz w:val="24"/>
        </w:rPr>
        <w:t>(NSW), ss 419, 423.</w:t>
      </w:r>
    </w:p>
  </w:footnote>
  <w:footnote w:id="123">
    <w:p w14:paraId="1C0FE586"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See also </w:t>
      </w:r>
      <w:r w:rsidRPr="00A10137">
        <w:rPr>
          <w:rFonts w:ascii="Times New Roman" w:hAnsi="Times New Roman"/>
          <w:i/>
          <w:iCs/>
          <w:sz w:val="24"/>
        </w:rPr>
        <w:t xml:space="preserve">Mills v The Queen </w:t>
      </w:r>
      <w:r w:rsidRPr="00A10137">
        <w:rPr>
          <w:rFonts w:ascii="Times New Roman" w:hAnsi="Times New Roman"/>
          <w:sz w:val="24"/>
        </w:rPr>
        <w:t xml:space="preserve">[1995] 1 WLR 511 at 523; [1995] 3 All ER 865 at 877. </w:t>
      </w:r>
    </w:p>
  </w:footnote>
  <w:footnote w:id="124">
    <w:p w14:paraId="28E4F782"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See </w:t>
      </w:r>
      <w:r w:rsidRPr="00A10137">
        <w:rPr>
          <w:rFonts w:ascii="Times New Roman" w:hAnsi="Times New Roman"/>
          <w:i/>
          <w:iCs/>
          <w:sz w:val="24"/>
        </w:rPr>
        <w:t xml:space="preserve">AA v Trustees of the Roman Catholic Church for the Diocese of Maitland-Newcastle </w:t>
      </w:r>
      <w:r w:rsidRPr="00A10137">
        <w:rPr>
          <w:rFonts w:ascii="Times New Roman" w:hAnsi="Times New Roman"/>
          <w:sz w:val="24"/>
        </w:rPr>
        <w:t>(2026) 100 ALJR 170 at 245-250 [342]-[359]; 427 ALR 67 at 159-165.</w:t>
      </w:r>
    </w:p>
  </w:footnote>
  <w:footnote w:id="125">
    <w:p w14:paraId="72F8080C"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proofErr w:type="spellStart"/>
      <w:r w:rsidRPr="00A10137">
        <w:rPr>
          <w:rFonts w:ascii="Times New Roman" w:hAnsi="Times New Roman"/>
          <w:sz w:val="24"/>
        </w:rPr>
        <w:t>Ipp</w:t>
      </w:r>
      <w:proofErr w:type="spellEnd"/>
      <w:r w:rsidRPr="00A10137">
        <w:rPr>
          <w:rFonts w:ascii="Times New Roman" w:hAnsi="Times New Roman"/>
          <w:sz w:val="24"/>
        </w:rPr>
        <w:t xml:space="preserve">, "Lawyers' duties to the court" (1998) 114 </w:t>
      </w:r>
      <w:r w:rsidRPr="00A10137">
        <w:rPr>
          <w:rFonts w:ascii="Times New Roman" w:hAnsi="Times New Roman"/>
          <w:i/>
          <w:iCs/>
          <w:sz w:val="24"/>
        </w:rPr>
        <w:t>Law Quarterly Review</w:t>
      </w:r>
      <w:r w:rsidRPr="00A10137">
        <w:rPr>
          <w:rFonts w:ascii="Times New Roman" w:hAnsi="Times New Roman"/>
          <w:sz w:val="24"/>
        </w:rPr>
        <w:t xml:space="preserve"> 63 at 63.</w:t>
      </w:r>
    </w:p>
  </w:footnote>
  <w:footnote w:id="126">
    <w:p w14:paraId="30599BB0"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See Nicolson and Webb, </w:t>
      </w:r>
      <w:r w:rsidRPr="00A10137">
        <w:rPr>
          <w:rFonts w:ascii="Times New Roman" w:hAnsi="Times New Roman"/>
          <w:i/>
          <w:iCs/>
          <w:sz w:val="24"/>
        </w:rPr>
        <w:t xml:space="preserve">Professional Legal Ethics: Critical Interrogations </w:t>
      </w:r>
      <w:r w:rsidRPr="00A10137">
        <w:rPr>
          <w:rFonts w:ascii="Times New Roman" w:hAnsi="Times New Roman"/>
          <w:sz w:val="24"/>
        </w:rPr>
        <w:t xml:space="preserve">(1999) at 124-130; Simon, "Lawyer Advice and Client Autonomy: Mrs Jones's Case" (1991) 50 </w:t>
      </w:r>
      <w:r w:rsidRPr="00A10137">
        <w:rPr>
          <w:rFonts w:ascii="Times New Roman" w:hAnsi="Times New Roman"/>
          <w:i/>
          <w:iCs/>
          <w:sz w:val="24"/>
        </w:rPr>
        <w:t xml:space="preserve">Maryland Law Review </w:t>
      </w:r>
      <w:r w:rsidRPr="00A10137">
        <w:rPr>
          <w:rFonts w:ascii="Times New Roman" w:hAnsi="Times New Roman"/>
          <w:sz w:val="24"/>
        </w:rPr>
        <w:t xml:space="preserve">213. </w:t>
      </w:r>
    </w:p>
  </w:footnote>
  <w:footnote w:id="127">
    <w:p w14:paraId="78B674FE"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Pilmer v Duke Group Ltd (In </w:t>
      </w:r>
      <w:proofErr w:type="spellStart"/>
      <w:r w:rsidRPr="00A10137">
        <w:rPr>
          <w:rFonts w:ascii="Times New Roman" w:hAnsi="Times New Roman"/>
          <w:i/>
          <w:iCs/>
          <w:sz w:val="24"/>
        </w:rPr>
        <w:t>liq</w:t>
      </w:r>
      <w:proofErr w:type="spellEnd"/>
      <w:r w:rsidRPr="00A10137">
        <w:rPr>
          <w:rFonts w:ascii="Times New Roman" w:hAnsi="Times New Roman"/>
          <w:i/>
          <w:iCs/>
          <w:sz w:val="24"/>
        </w:rPr>
        <w:t xml:space="preserve">) </w:t>
      </w:r>
      <w:r w:rsidRPr="00A10137">
        <w:rPr>
          <w:rFonts w:ascii="Times New Roman" w:hAnsi="Times New Roman"/>
          <w:sz w:val="24"/>
        </w:rPr>
        <w:t>(2001) 207 CLR 165 at 200 [82]-[83]. See also Le</w:t>
      </w:r>
      <w:r>
        <w:rPr>
          <w:rFonts w:ascii="Times New Roman" w:hAnsi="Times New Roman"/>
          <w:sz w:val="24"/>
        </w:rPr>
        <w:t> </w:t>
      </w:r>
      <w:proofErr w:type="spellStart"/>
      <w:r w:rsidRPr="00A10137">
        <w:rPr>
          <w:rFonts w:ascii="Times New Roman" w:hAnsi="Times New Roman"/>
          <w:sz w:val="24"/>
        </w:rPr>
        <w:t>Miere</w:t>
      </w:r>
      <w:proofErr w:type="spellEnd"/>
      <w:r w:rsidRPr="00A10137">
        <w:rPr>
          <w:rFonts w:ascii="Times New Roman" w:hAnsi="Times New Roman"/>
          <w:sz w:val="24"/>
        </w:rPr>
        <w:t xml:space="preserve">, "London &amp; New Mashonaland Exploration Co Ltd v New Mashonaland Exploration Co Ltd: Is It Authority that Directors can Compete with the Company?" (2017) 42 </w:t>
      </w:r>
      <w:r w:rsidRPr="00A10137">
        <w:rPr>
          <w:rFonts w:ascii="Times New Roman" w:hAnsi="Times New Roman"/>
          <w:i/>
          <w:iCs/>
          <w:sz w:val="24"/>
        </w:rPr>
        <w:t xml:space="preserve">University of Western Australia Law Review </w:t>
      </w:r>
      <w:r w:rsidRPr="00A10137">
        <w:rPr>
          <w:rFonts w:ascii="Times New Roman" w:hAnsi="Times New Roman"/>
          <w:sz w:val="24"/>
        </w:rPr>
        <w:t>98 at 125-126.</w:t>
      </w:r>
    </w:p>
  </w:footnote>
  <w:footnote w:id="128">
    <w:p w14:paraId="0AB32E1C"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See also </w:t>
      </w:r>
      <w:proofErr w:type="gramStart"/>
      <w:r w:rsidRPr="00A10137">
        <w:rPr>
          <w:rFonts w:ascii="Times New Roman" w:hAnsi="Times New Roman"/>
          <w:i/>
          <w:iCs/>
          <w:sz w:val="24"/>
        </w:rPr>
        <w:t>In</w:t>
      </w:r>
      <w:proofErr w:type="gramEnd"/>
      <w:r w:rsidRPr="00A10137">
        <w:rPr>
          <w:rFonts w:ascii="Times New Roman" w:hAnsi="Times New Roman"/>
          <w:i/>
          <w:iCs/>
          <w:sz w:val="24"/>
        </w:rPr>
        <w:t xml:space="preserve"> re Beatty (</w:t>
      </w:r>
      <w:proofErr w:type="spellStart"/>
      <w:r w:rsidRPr="00A10137">
        <w:rPr>
          <w:rFonts w:ascii="Times New Roman" w:hAnsi="Times New Roman"/>
          <w:i/>
          <w:iCs/>
          <w:sz w:val="24"/>
        </w:rPr>
        <w:t>decd</w:t>
      </w:r>
      <w:proofErr w:type="spellEnd"/>
      <w:r w:rsidRPr="00A10137">
        <w:rPr>
          <w:rFonts w:ascii="Times New Roman" w:hAnsi="Times New Roman"/>
          <w:i/>
          <w:iCs/>
          <w:sz w:val="24"/>
        </w:rPr>
        <w:t xml:space="preserve">) </w:t>
      </w:r>
      <w:r w:rsidRPr="00A10137">
        <w:rPr>
          <w:rFonts w:ascii="Times New Roman" w:hAnsi="Times New Roman"/>
          <w:sz w:val="24"/>
        </w:rPr>
        <w:t>[1990] 1 WLR 1503 at 1506; [1990] 3 All ER 844 at 846.</w:t>
      </w:r>
    </w:p>
  </w:footnote>
  <w:footnote w:id="129">
    <w:p w14:paraId="16FCA923"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Kelly v Cooper</w:t>
      </w:r>
      <w:r w:rsidRPr="00A10137">
        <w:rPr>
          <w:rFonts w:ascii="Times New Roman" w:hAnsi="Times New Roman"/>
          <w:sz w:val="24"/>
        </w:rPr>
        <w:t xml:space="preserve"> [1993] AC 205 at 215.</w:t>
      </w:r>
    </w:p>
  </w:footnote>
  <w:footnote w:id="130">
    <w:p w14:paraId="75F169B2"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Links Golf Tasmania Pty Ltd v Sattler </w:t>
      </w:r>
      <w:r w:rsidRPr="00A10137">
        <w:rPr>
          <w:rFonts w:ascii="Times New Roman" w:hAnsi="Times New Roman"/>
          <w:sz w:val="24"/>
        </w:rPr>
        <w:t xml:space="preserve">(2012) 213 FCR 1 at 184-191 [545]-[565], discussing, amongst other cases, </w:t>
      </w:r>
      <w:r w:rsidRPr="00A10137">
        <w:rPr>
          <w:rFonts w:ascii="Times New Roman" w:hAnsi="Times New Roman"/>
          <w:i/>
          <w:iCs/>
          <w:sz w:val="24"/>
        </w:rPr>
        <w:t xml:space="preserve">London and Mashonaland Exploration Co Ltd v New Mashonaland Exploration Co Ltd </w:t>
      </w:r>
      <w:r w:rsidRPr="00A10137">
        <w:rPr>
          <w:rFonts w:ascii="Times New Roman" w:hAnsi="Times New Roman"/>
          <w:sz w:val="24"/>
        </w:rPr>
        <w:t xml:space="preserve">[1891] WN 165 and </w:t>
      </w:r>
      <w:r w:rsidRPr="00A10137">
        <w:rPr>
          <w:rFonts w:ascii="Times New Roman" w:hAnsi="Times New Roman"/>
          <w:i/>
          <w:iCs/>
          <w:sz w:val="24"/>
        </w:rPr>
        <w:t>Bell v Lever Bro</w:t>
      </w:r>
      <w:r w:rsidRPr="00A10137">
        <w:rPr>
          <w:rFonts w:ascii="Times New Roman" w:hAnsi="Times New Roman"/>
          <w:i/>
          <w:sz w:val="24"/>
        </w:rPr>
        <w:t>ther</w:t>
      </w:r>
      <w:r w:rsidRPr="00A10137">
        <w:rPr>
          <w:rFonts w:ascii="Times New Roman" w:hAnsi="Times New Roman"/>
          <w:i/>
          <w:iCs/>
          <w:sz w:val="24"/>
        </w:rPr>
        <w:t xml:space="preserve">s Ltd </w:t>
      </w:r>
      <w:r w:rsidRPr="00A10137">
        <w:rPr>
          <w:rFonts w:ascii="Times New Roman" w:hAnsi="Times New Roman"/>
          <w:sz w:val="24"/>
        </w:rPr>
        <w:t xml:space="preserve">[1932] AC 161 at 195. </w:t>
      </w:r>
    </w:p>
  </w:footnote>
  <w:footnote w:id="131">
    <w:p w14:paraId="4970C487"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See also </w:t>
      </w:r>
      <w:r w:rsidRPr="00A10137">
        <w:rPr>
          <w:rFonts w:ascii="Times New Roman" w:hAnsi="Times New Roman"/>
          <w:i/>
          <w:iCs/>
          <w:sz w:val="24"/>
        </w:rPr>
        <w:t xml:space="preserve">Beach Petroleum NL v Kennedy </w:t>
      </w:r>
      <w:r w:rsidRPr="00A10137">
        <w:rPr>
          <w:rFonts w:ascii="Times New Roman" w:hAnsi="Times New Roman"/>
          <w:sz w:val="24"/>
        </w:rPr>
        <w:t>(1999) 48 NSWLR 1 at 45 [188].</w:t>
      </w:r>
    </w:p>
  </w:footnote>
  <w:footnote w:id="132">
    <w:p w14:paraId="06305A6B"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[1995] 1 WLR 511; [1995] 3 All ER 865.</w:t>
      </w:r>
    </w:p>
  </w:footnote>
  <w:footnote w:id="133">
    <w:p w14:paraId="08097984"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Mills v The Queen</w:t>
      </w:r>
      <w:r w:rsidRPr="00A10137">
        <w:rPr>
          <w:rFonts w:ascii="Times New Roman" w:hAnsi="Times New Roman"/>
          <w:sz w:val="24"/>
        </w:rPr>
        <w:t xml:space="preserve"> [1995] 1 WLR 511 at 523-524; [1995] 3 All ER 865 at 878.</w:t>
      </w:r>
    </w:p>
  </w:footnote>
  <w:footnote w:id="134">
    <w:p w14:paraId="6E876ABB"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(1978) 435 US 475. </w:t>
      </w:r>
    </w:p>
  </w:footnote>
  <w:footnote w:id="135">
    <w:p w14:paraId="5C168776"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Holloway v Arkansas</w:t>
      </w:r>
      <w:r w:rsidRPr="00A10137">
        <w:rPr>
          <w:rFonts w:ascii="Times New Roman" w:hAnsi="Times New Roman"/>
          <w:sz w:val="24"/>
        </w:rPr>
        <w:t xml:space="preserve"> (1978) 435 US 475 at 478.</w:t>
      </w:r>
    </w:p>
  </w:footnote>
  <w:footnote w:id="136">
    <w:p w14:paraId="675799B3"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Holloway v Arkansas</w:t>
      </w:r>
      <w:r w:rsidRPr="00A10137">
        <w:rPr>
          <w:rFonts w:ascii="Times New Roman" w:hAnsi="Times New Roman"/>
          <w:sz w:val="24"/>
        </w:rPr>
        <w:t xml:space="preserve"> (1978) 435 US 475 at 483-484.</w:t>
      </w:r>
    </w:p>
  </w:footnote>
  <w:footnote w:id="137">
    <w:p w14:paraId="26B04E15"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[1969] 1 AC 191 at 227. </w:t>
      </w:r>
    </w:p>
  </w:footnote>
  <w:footnote w:id="138">
    <w:p w14:paraId="54B03E3D"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[2017] QCA 43 at [60]. </w:t>
      </w:r>
    </w:p>
  </w:footnote>
  <w:footnote w:id="139">
    <w:p w14:paraId="0850965C"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Commonwealth Bank of Australia v Smith </w:t>
      </w:r>
      <w:r w:rsidRPr="00A10137">
        <w:rPr>
          <w:rFonts w:ascii="Times New Roman" w:hAnsi="Times New Roman"/>
          <w:sz w:val="24"/>
        </w:rPr>
        <w:t>(1991) 42 FCR 390</w:t>
      </w:r>
      <w:r w:rsidRPr="00A10137">
        <w:rPr>
          <w:rFonts w:ascii="Times New Roman" w:hAnsi="Times New Roman"/>
          <w:i/>
          <w:iCs/>
          <w:sz w:val="24"/>
        </w:rPr>
        <w:t xml:space="preserve"> </w:t>
      </w:r>
      <w:r w:rsidRPr="00A10137">
        <w:rPr>
          <w:rFonts w:ascii="Times New Roman" w:hAnsi="Times New Roman"/>
          <w:sz w:val="24"/>
        </w:rPr>
        <w:t xml:space="preserve">at 393. See </w:t>
      </w:r>
      <w:proofErr w:type="spellStart"/>
      <w:r w:rsidRPr="00A10137">
        <w:rPr>
          <w:rFonts w:ascii="Times New Roman" w:hAnsi="Times New Roman"/>
          <w:i/>
          <w:iCs/>
          <w:sz w:val="24"/>
        </w:rPr>
        <w:t>Birtchnell</w:t>
      </w:r>
      <w:proofErr w:type="spellEnd"/>
      <w:r w:rsidRPr="00A10137">
        <w:rPr>
          <w:rFonts w:ascii="Times New Roman" w:hAnsi="Times New Roman"/>
          <w:i/>
          <w:iCs/>
          <w:sz w:val="24"/>
        </w:rPr>
        <w:t xml:space="preserve"> v Equity Trustees, Executors and Agency Co Ltd</w:t>
      </w:r>
      <w:r w:rsidRPr="00A10137">
        <w:rPr>
          <w:rFonts w:ascii="Times New Roman" w:hAnsi="Times New Roman"/>
          <w:sz w:val="24"/>
        </w:rPr>
        <w:t xml:space="preserve"> (1929) 42 CLR 384 at 398; </w:t>
      </w:r>
      <w:r w:rsidRPr="00A10137">
        <w:rPr>
          <w:rFonts w:ascii="Times New Roman" w:hAnsi="Times New Roman"/>
          <w:i/>
          <w:iCs/>
          <w:sz w:val="24"/>
        </w:rPr>
        <w:t xml:space="preserve">Maguire v </w:t>
      </w:r>
      <w:proofErr w:type="spellStart"/>
      <w:r w:rsidRPr="00A10137">
        <w:rPr>
          <w:rFonts w:ascii="Times New Roman" w:hAnsi="Times New Roman"/>
          <w:i/>
          <w:iCs/>
          <w:sz w:val="24"/>
        </w:rPr>
        <w:t>Makaronis</w:t>
      </w:r>
      <w:proofErr w:type="spellEnd"/>
      <w:r w:rsidRPr="00A10137">
        <w:rPr>
          <w:rFonts w:ascii="Times New Roman" w:hAnsi="Times New Roman"/>
          <w:i/>
          <w:iCs/>
          <w:sz w:val="24"/>
        </w:rPr>
        <w:t xml:space="preserve"> </w:t>
      </w:r>
      <w:r w:rsidRPr="00A10137">
        <w:rPr>
          <w:rFonts w:ascii="Times New Roman" w:hAnsi="Times New Roman"/>
          <w:sz w:val="24"/>
        </w:rPr>
        <w:t>(1997) 188 CLR 449 at 466.</w:t>
      </w:r>
    </w:p>
  </w:footnote>
  <w:footnote w:id="140">
    <w:p w14:paraId="16A505FD"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Brawn v The King</w:t>
      </w:r>
      <w:r w:rsidRPr="00A10137">
        <w:rPr>
          <w:rFonts w:ascii="Times New Roman" w:hAnsi="Times New Roman"/>
          <w:sz w:val="24"/>
        </w:rPr>
        <w:t xml:space="preserve"> (2025) 99 ALJR 872 at 876 [10]; 423 ALR 69 at 73. See also </w:t>
      </w:r>
      <w:r w:rsidRPr="00A10137">
        <w:rPr>
          <w:rFonts w:ascii="Times New Roman" w:hAnsi="Times New Roman"/>
          <w:i/>
          <w:iCs/>
          <w:sz w:val="24"/>
        </w:rPr>
        <w:t>Nathanson v Minister for Home Affairs</w:t>
      </w:r>
      <w:r w:rsidRPr="00A10137">
        <w:rPr>
          <w:rFonts w:ascii="Times New Roman" w:hAnsi="Times New Roman"/>
          <w:sz w:val="24"/>
        </w:rPr>
        <w:t xml:space="preserve"> (2022) 276 CLR 80 at 123-124 [95(1)].</w:t>
      </w:r>
    </w:p>
  </w:footnote>
  <w:footnote w:id="141">
    <w:p w14:paraId="53E38816"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Mraz v The Queen</w:t>
      </w:r>
      <w:r w:rsidRPr="00A10137">
        <w:rPr>
          <w:rFonts w:ascii="Times New Roman" w:hAnsi="Times New Roman"/>
          <w:sz w:val="24"/>
        </w:rPr>
        <w:t xml:space="preserve"> (1955) 93 CLR 493 at 514; </w:t>
      </w:r>
      <w:r w:rsidRPr="00A10137">
        <w:rPr>
          <w:rFonts w:ascii="Times New Roman" w:hAnsi="Times New Roman"/>
          <w:i/>
          <w:iCs/>
          <w:sz w:val="24"/>
        </w:rPr>
        <w:t>KBT v The Queen</w:t>
      </w:r>
      <w:r w:rsidRPr="00A10137">
        <w:rPr>
          <w:rFonts w:ascii="Times New Roman" w:hAnsi="Times New Roman"/>
          <w:sz w:val="24"/>
        </w:rPr>
        <w:t xml:space="preserve"> (1997) 191 CLR 417 at 434; </w:t>
      </w:r>
      <w:r w:rsidRPr="00A10137">
        <w:rPr>
          <w:rFonts w:ascii="Times New Roman" w:hAnsi="Times New Roman"/>
          <w:i/>
          <w:iCs/>
          <w:sz w:val="24"/>
        </w:rPr>
        <w:t>TKWJ v The Queen</w:t>
      </w:r>
      <w:r w:rsidRPr="00A10137">
        <w:rPr>
          <w:rFonts w:ascii="Times New Roman" w:hAnsi="Times New Roman"/>
          <w:sz w:val="24"/>
        </w:rPr>
        <w:t xml:space="preserve"> (2002) 212 CLR 124 at 143 [63]; </w:t>
      </w:r>
      <w:r w:rsidRPr="00A10137">
        <w:rPr>
          <w:rFonts w:ascii="Times New Roman" w:hAnsi="Times New Roman"/>
          <w:i/>
          <w:iCs/>
          <w:sz w:val="24"/>
        </w:rPr>
        <w:t>Lindsay v The</w:t>
      </w:r>
      <w:r>
        <w:rPr>
          <w:rFonts w:ascii="Times New Roman" w:hAnsi="Times New Roman"/>
          <w:i/>
          <w:iCs/>
          <w:sz w:val="24"/>
        </w:rPr>
        <w:t> </w:t>
      </w:r>
      <w:r w:rsidRPr="00A10137">
        <w:rPr>
          <w:rFonts w:ascii="Times New Roman" w:hAnsi="Times New Roman"/>
          <w:i/>
          <w:iCs/>
          <w:sz w:val="24"/>
        </w:rPr>
        <w:t>Queen</w:t>
      </w:r>
      <w:r w:rsidRPr="00A10137">
        <w:rPr>
          <w:rFonts w:ascii="Times New Roman" w:hAnsi="Times New Roman"/>
          <w:sz w:val="24"/>
        </w:rPr>
        <w:t xml:space="preserve"> (2015) 255 CLR 272 at 294 [64]; </w:t>
      </w:r>
      <w:r w:rsidRPr="00A10137">
        <w:rPr>
          <w:rFonts w:ascii="Times New Roman" w:hAnsi="Times New Roman"/>
          <w:i/>
          <w:iCs/>
          <w:sz w:val="24"/>
        </w:rPr>
        <w:t>GBF v The Queen</w:t>
      </w:r>
      <w:r w:rsidRPr="00A10137">
        <w:rPr>
          <w:rFonts w:ascii="Times New Roman" w:hAnsi="Times New Roman"/>
          <w:sz w:val="24"/>
        </w:rPr>
        <w:t xml:space="preserve"> (2020) 271 CLR 537 at 547 [24]; </w:t>
      </w:r>
      <w:r w:rsidRPr="00A10137">
        <w:rPr>
          <w:rFonts w:ascii="Times New Roman" w:hAnsi="Times New Roman"/>
          <w:i/>
          <w:iCs/>
          <w:sz w:val="24"/>
        </w:rPr>
        <w:t>Hofer v The Queen</w:t>
      </w:r>
      <w:r w:rsidRPr="00A10137">
        <w:rPr>
          <w:rFonts w:ascii="Times New Roman" w:hAnsi="Times New Roman"/>
          <w:sz w:val="24"/>
        </w:rPr>
        <w:t xml:space="preserve"> (2021) 274 CLR 351 at 394 [132]; </w:t>
      </w:r>
      <w:r w:rsidRPr="00A10137">
        <w:rPr>
          <w:rFonts w:ascii="Times New Roman" w:hAnsi="Times New Roman"/>
          <w:i/>
          <w:iCs/>
          <w:sz w:val="24"/>
        </w:rPr>
        <w:t>Awad v The</w:t>
      </w:r>
      <w:r>
        <w:rPr>
          <w:rFonts w:ascii="Times New Roman" w:hAnsi="Times New Roman"/>
          <w:i/>
          <w:iCs/>
          <w:sz w:val="24"/>
        </w:rPr>
        <w:t> </w:t>
      </w:r>
      <w:r w:rsidRPr="00A10137">
        <w:rPr>
          <w:rFonts w:ascii="Times New Roman" w:hAnsi="Times New Roman"/>
          <w:i/>
          <w:iCs/>
          <w:sz w:val="24"/>
        </w:rPr>
        <w:t>Queen</w:t>
      </w:r>
      <w:r w:rsidRPr="00A10137">
        <w:rPr>
          <w:rFonts w:ascii="Times New Roman" w:hAnsi="Times New Roman"/>
          <w:sz w:val="24"/>
        </w:rPr>
        <w:t xml:space="preserve"> (2022) 275 CLR 421 at 445 [78]; </w:t>
      </w:r>
      <w:r w:rsidRPr="00A10137">
        <w:rPr>
          <w:rFonts w:ascii="Times New Roman" w:hAnsi="Times New Roman"/>
          <w:i/>
          <w:iCs/>
          <w:sz w:val="24"/>
        </w:rPr>
        <w:t>HCF v The Queen</w:t>
      </w:r>
      <w:r w:rsidRPr="00A10137">
        <w:rPr>
          <w:rFonts w:ascii="Times New Roman" w:hAnsi="Times New Roman"/>
          <w:sz w:val="24"/>
        </w:rPr>
        <w:t xml:space="preserve"> (2023) 280 CLR 596 at 633-635 [111]-[112]. </w:t>
      </w:r>
    </w:p>
  </w:footnote>
  <w:footnote w:id="142">
    <w:p w14:paraId="5AE89147"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MDP v The King </w:t>
      </w:r>
      <w:r w:rsidRPr="00A10137">
        <w:rPr>
          <w:rFonts w:ascii="Times New Roman" w:hAnsi="Times New Roman"/>
          <w:sz w:val="24"/>
        </w:rPr>
        <w:t>(2025) 99 ALJR 969 at 986 [63]; 423 ALR 204 at 222 and the authorities cited.</w:t>
      </w:r>
    </w:p>
  </w:footnote>
  <w:footnote w:id="143">
    <w:p w14:paraId="271A301B"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(2014) 252 CLR 601 at 617-618 [42].</w:t>
      </w:r>
    </w:p>
  </w:footnote>
  <w:footnote w:id="144">
    <w:p w14:paraId="32B43115"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House v The King </w:t>
      </w:r>
      <w:r w:rsidRPr="00A10137">
        <w:rPr>
          <w:rFonts w:ascii="Times New Roman" w:hAnsi="Times New Roman"/>
          <w:sz w:val="24"/>
        </w:rPr>
        <w:t>(1936) 55 CLR 499 at 505.</w:t>
      </w:r>
    </w:p>
  </w:footnote>
  <w:footnote w:id="145">
    <w:p w14:paraId="45CBD216"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MZAPC v Minister for Immigration and Border Protection</w:t>
      </w:r>
      <w:r w:rsidRPr="00A10137">
        <w:rPr>
          <w:rFonts w:ascii="Times New Roman" w:hAnsi="Times New Roman"/>
          <w:sz w:val="24"/>
        </w:rPr>
        <w:t xml:space="preserve"> (2021) 273 CLR 506 at 563 [159]-[160]; </w:t>
      </w:r>
      <w:r w:rsidRPr="00A10137">
        <w:rPr>
          <w:rFonts w:ascii="Times New Roman" w:hAnsi="Times New Roman"/>
          <w:i/>
          <w:iCs/>
          <w:sz w:val="24"/>
        </w:rPr>
        <w:t>Nathanson v Minister for Home Affairs</w:t>
      </w:r>
      <w:r w:rsidRPr="00A10137">
        <w:rPr>
          <w:rFonts w:ascii="Times New Roman" w:hAnsi="Times New Roman"/>
          <w:sz w:val="24"/>
        </w:rPr>
        <w:t xml:space="preserve"> (2022) 276 CLR 80 at 123-124 [95(1)].</w:t>
      </w:r>
    </w:p>
  </w:footnote>
  <w:footnote w:id="146">
    <w:p w14:paraId="37477F91"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(2014) 252 CLR 601 at 618 [42].</w:t>
      </w:r>
    </w:p>
  </w:footnote>
  <w:footnote w:id="147">
    <w:p w14:paraId="4CF5B4E4"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See </w:t>
      </w:r>
      <w:r w:rsidRPr="00A10137">
        <w:rPr>
          <w:rFonts w:ascii="Times New Roman" w:hAnsi="Times New Roman"/>
          <w:i/>
          <w:iCs/>
          <w:sz w:val="24"/>
        </w:rPr>
        <w:t xml:space="preserve">Wilde v The Queen </w:t>
      </w:r>
      <w:r w:rsidRPr="00A10137">
        <w:rPr>
          <w:rFonts w:ascii="Times New Roman" w:hAnsi="Times New Roman"/>
          <w:sz w:val="24"/>
        </w:rPr>
        <w:t xml:space="preserve">(1988) 164 CLR 365 at 373; </w:t>
      </w:r>
      <w:r w:rsidRPr="00A10137">
        <w:rPr>
          <w:rFonts w:ascii="Times New Roman" w:hAnsi="Times New Roman"/>
          <w:i/>
          <w:iCs/>
          <w:sz w:val="24"/>
        </w:rPr>
        <w:t xml:space="preserve">MDP v The King </w:t>
      </w:r>
      <w:r w:rsidRPr="00A10137">
        <w:rPr>
          <w:rFonts w:ascii="Times New Roman" w:hAnsi="Times New Roman"/>
          <w:sz w:val="24"/>
        </w:rPr>
        <w:t xml:space="preserve">(2025) 99 ALJR 969 at 985 [60]; 423 ALR 204 at 220-221. </w:t>
      </w:r>
    </w:p>
  </w:footnote>
  <w:footnote w:id="148">
    <w:p w14:paraId="09297928"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See </w:t>
      </w:r>
      <w:r w:rsidRPr="00A10137">
        <w:rPr>
          <w:rFonts w:ascii="Times New Roman" w:hAnsi="Times New Roman"/>
          <w:i/>
          <w:iCs/>
          <w:sz w:val="24"/>
        </w:rPr>
        <w:t xml:space="preserve">MDP v The King </w:t>
      </w:r>
      <w:r w:rsidRPr="00A10137">
        <w:rPr>
          <w:rFonts w:ascii="Times New Roman" w:hAnsi="Times New Roman"/>
          <w:sz w:val="24"/>
        </w:rPr>
        <w:t>(2025) 99 ALJR 969 at 985 [61]-[62]; 423 ALR 204 at 221.</w:t>
      </w:r>
    </w:p>
  </w:footnote>
  <w:footnote w:id="149">
    <w:p w14:paraId="17199D58"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HCF v The Queen </w:t>
      </w:r>
      <w:r w:rsidRPr="00A10137">
        <w:rPr>
          <w:rFonts w:ascii="Times New Roman" w:hAnsi="Times New Roman"/>
          <w:sz w:val="24"/>
        </w:rPr>
        <w:t xml:space="preserve">(2023) 280 CLR 596 at 601 [7], 625 [83]. </w:t>
      </w:r>
    </w:p>
  </w:footnote>
  <w:footnote w:id="150">
    <w:p w14:paraId="4CB5FA15"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Brawn v The King</w:t>
      </w:r>
      <w:r w:rsidRPr="00A10137">
        <w:rPr>
          <w:rFonts w:ascii="Times New Roman" w:hAnsi="Times New Roman"/>
          <w:sz w:val="24"/>
        </w:rPr>
        <w:t xml:space="preserve"> (2025) 99 ALJR 872 at 876 [10]; 423 ALR 69 at 73.</w:t>
      </w:r>
    </w:p>
  </w:footnote>
  <w:footnote w:id="151">
    <w:p w14:paraId="7C47CB8C"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R v </w:t>
      </w:r>
      <w:proofErr w:type="spellStart"/>
      <w:r w:rsidRPr="00A10137">
        <w:rPr>
          <w:rFonts w:ascii="Times New Roman" w:hAnsi="Times New Roman"/>
          <w:i/>
          <w:iCs/>
          <w:sz w:val="24"/>
        </w:rPr>
        <w:t>Silvini</w:t>
      </w:r>
      <w:proofErr w:type="spellEnd"/>
      <w:r w:rsidRPr="00A10137">
        <w:rPr>
          <w:rFonts w:ascii="Times New Roman" w:hAnsi="Times New Roman"/>
          <w:i/>
          <w:iCs/>
          <w:sz w:val="24"/>
        </w:rPr>
        <w:t xml:space="preserve"> </w:t>
      </w:r>
      <w:r w:rsidRPr="00A10137">
        <w:rPr>
          <w:rFonts w:ascii="Times New Roman" w:hAnsi="Times New Roman"/>
          <w:sz w:val="24"/>
        </w:rPr>
        <w:t xml:space="preserve">(1991) 5 OR (3d) 545 at 549. </w:t>
      </w:r>
    </w:p>
  </w:footnote>
  <w:footnote w:id="152">
    <w:p w14:paraId="6958A47B"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R v </w:t>
      </w:r>
      <w:proofErr w:type="spellStart"/>
      <w:r w:rsidRPr="00A10137">
        <w:rPr>
          <w:rFonts w:ascii="Times New Roman" w:hAnsi="Times New Roman"/>
          <w:i/>
          <w:iCs/>
          <w:sz w:val="24"/>
        </w:rPr>
        <w:t>Silvini</w:t>
      </w:r>
      <w:proofErr w:type="spellEnd"/>
      <w:r w:rsidRPr="00A10137">
        <w:rPr>
          <w:rFonts w:ascii="Times New Roman" w:hAnsi="Times New Roman"/>
          <w:i/>
          <w:iCs/>
          <w:sz w:val="24"/>
        </w:rPr>
        <w:t xml:space="preserve"> </w:t>
      </w:r>
      <w:r w:rsidRPr="00A10137">
        <w:rPr>
          <w:rFonts w:ascii="Times New Roman" w:hAnsi="Times New Roman"/>
          <w:sz w:val="24"/>
        </w:rPr>
        <w:t xml:space="preserve">(1991) 5 OR (3d) 545 at 550. </w:t>
      </w:r>
    </w:p>
  </w:footnote>
  <w:footnote w:id="153">
    <w:p w14:paraId="08AAEECF"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At </w:t>
      </w:r>
      <w:r w:rsidRPr="006E77CD">
        <w:rPr>
          <w:rFonts w:ascii="Times New Roman" w:hAnsi="Times New Roman"/>
          <w:sz w:val="24"/>
        </w:rPr>
        <w:t>[78].</w:t>
      </w:r>
    </w:p>
  </w:footnote>
  <w:footnote w:id="154">
    <w:p w14:paraId="209832CC"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Rondel v Worsley</w:t>
      </w:r>
      <w:r w:rsidRPr="00A10137">
        <w:rPr>
          <w:rFonts w:ascii="Times New Roman" w:hAnsi="Times New Roman"/>
          <w:sz w:val="24"/>
        </w:rPr>
        <w:t xml:space="preserve"> [1969] 1 AC 191 at 227.</w:t>
      </w:r>
    </w:p>
  </w:footnote>
  <w:footnote w:id="155">
    <w:p w14:paraId="09E18D69"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At </w:t>
      </w:r>
      <w:r w:rsidRPr="00BD2131">
        <w:rPr>
          <w:rFonts w:ascii="Times New Roman" w:hAnsi="Times New Roman"/>
          <w:sz w:val="24"/>
        </w:rPr>
        <w:t>[97]-[100].</w:t>
      </w:r>
    </w:p>
  </w:footnote>
  <w:footnote w:id="156">
    <w:p w14:paraId="2CFAABB2"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Judiciary Act 1903 </w:t>
      </w:r>
      <w:r w:rsidRPr="00A10137">
        <w:rPr>
          <w:rFonts w:ascii="Times New Roman" w:hAnsi="Times New Roman"/>
          <w:sz w:val="24"/>
        </w:rPr>
        <w:t>(</w:t>
      </w:r>
      <w:proofErr w:type="spellStart"/>
      <w:r w:rsidRPr="00A10137">
        <w:rPr>
          <w:rFonts w:ascii="Times New Roman" w:hAnsi="Times New Roman"/>
          <w:sz w:val="24"/>
        </w:rPr>
        <w:t>Cth</w:t>
      </w:r>
      <w:proofErr w:type="spellEnd"/>
      <w:r w:rsidRPr="00A10137">
        <w:rPr>
          <w:rFonts w:ascii="Times New Roman" w:hAnsi="Times New Roman"/>
          <w:sz w:val="24"/>
        </w:rPr>
        <w:t xml:space="preserve">), s 37. </w:t>
      </w:r>
    </w:p>
  </w:footnote>
  <w:footnote w:id="157">
    <w:p w14:paraId="27998822"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 xml:space="preserve">Betts v The Queen </w:t>
      </w:r>
      <w:r w:rsidRPr="00A10137">
        <w:rPr>
          <w:rFonts w:ascii="Times New Roman" w:hAnsi="Times New Roman"/>
          <w:sz w:val="24"/>
        </w:rPr>
        <w:t>(2016) 258 CLR 420 at 428 [17].</w:t>
      </w:r>
    </w:p>
  </w:footnote>
  <w:footnote w:id="158">
    <w:p w14:paraId="48084A3B"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t xml:space="preserve">See, </w:t>
      </w:r>
      <w:proofErr w:type="spellStart"/>
      <w:r w:rsidRPr="00A10137">
        <w:rPr>
          <w:rFonts w:ascii="Times New Roman" w:hAnsi="Times New Roman"/>
          <w:sz w:val="24"/>
        </w:rPr>
        <w:t>eg</w:t>
      </w:r>
      <w:proofErr w:type="spellEnd"/>
      <w:r w:rsidRPr="00A10137">
        <w:rPr>
          <w:rFonts w:ascii="Times New Roman" w:hAnsi="Times New Roman"/>
          <w:sz w:val="24"/>
        </w:rPr>
        <w:t xml:space="preserve">, </w:t>
      </w:r>
      <w:r w:rsidRPr="00A10137">
        <w:rPr>
          <w:rFonts w:ascii="Times New Roman" w:hAnsi="Times New Roman"/>
          <w:i/>
          <w:iCs/>
          <w:sz w:val="24"/>
        </w:rPr>
        <w:t xml:space="preserve">R v Jacobs Group (Australia) Pty Ltd </w:t>
      </w:r>
      <w:r w:rsidRPr="00A10137">
        <w:rPr>
          <w:rFonts w:ascii="Times New Roman" w:hAnsi="Times New Roman"/>
          <w:sz w:val="24"/>
        </w:rPr>
        <w:t xml:space="preserve">[2023] NSWCCA 280 at [15]-[17]. </w:t>
      </w:r>
    </w:p>
  </w:footnote>
  <w:footnote w:id="159">
    <w:p w14:paraId="01149706" w14:textId="77777777" w:rsidR="005B483D" w:rsidRPr="00A10137" w:rsidRDefault="005B483D" w:rsidP="00A10137">
      <w:pPr>
        <w:pStyle w:val="FootnoteText"/>
        <w:spacing w:line="280" w:lineRule="exact"/>
        <w:ind w:right="0"/>
        <w:jc w:val="both"/>
        <w:rPr>
          <w:rFonts w:ascii="Times New Roman" w:hAnsi="Times New Roman"/>
          <w:sz w:val="24"/>
        </w:rPr>
      </w:pPr>
      <w:r w:rsidRPr="00A10137">
        <w:rPr>
          <w:rStyle w:val="FootnoteReference"/>
          <w:rFonts w:ascii="Times New Roman" w:hAnsi="Times New Roman"/>
          <w:sz w:val="22"/>
          <w:vertAlign w:val="baseline"/>
        </w:rPr>
        <w:footnoteRef/>
      </w:r>
      <w:r w:rsidRPr="00A10137">
        <w:rPr>
          <w:rFonts w:ascii="Times New Roman" w:hAnsi="Times New Roman"/>
          <w:sz w:val="24"/>
        </w:rPr>
        <w:t xml:space="preserve"> </w:t>
      </w:r>
      <w:r w:rsidRPr="00A10137">
        <w:rPr>
          <w:rFonts w:ascii="Times New Roman" w:hAnsi="Times New Roman"/>
          <w:sz w:val="24"/>
        </w:rPr>
        <w:tab/>
      </w:r>
      <w:r w:rsidRPr="00A10137">
        <w:rPr>
          <w:rFonts w:ascii="Times New Roman" w:hAnsi="Times New Roman"/>
          <w:i/>
          <w:iCs/>
          <w:sz w:val="24"/>
        </w:rPr>
        <w:t>Criminal Appeal Act</w:t>
      </w:r>
      <w:r w:rsidRPr="00A10137">
        <w:rPr>
          <w:rFonts w:ascii="Times New Roman" w:hAnsi="Times New Roman"/>
          <w:sz w:val="24"/>
        </w:rPr>
        <w:t xml:space="preserve">, s 12(2). </w:t>
      </w:r>
    </w:p>
  </w:footnote>
  <w:footnote w:id="160">
    <w:p w14:paraId="7ABB5597"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 xml:space="preserve">Brawn v The King </w:t>
      </w:r>
      <w:r w:rsidRPr="00B516EB">
        <w:rPr>
          <w:rFonts w:ascii="Times New Roman" w:hAnsi="Times New Roman"/>
          <w:sz w:val="24"/>
        </w:rPr>
        <w:t>(2025) 99 ALJR 872 at 876 [10]; 423 ALR 69 at 73.</w:t>
      </w:r>
    </w:p>
  </w:footnote>
  <w:footnote w:id="161">
    <w:p w14:paraId="7FCF7025"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 xml:space="preserve">eg, </w:t>
      </w:r>
      <w:r w:rsidRPr="00B516EB">
        <w:rPr>
          <w:rFonts w:ascii="Times New Roman" w:hAnsi="Times New Roman"/>
          <w:i/>
          <w:iCs/>
          <w:sz w:val="24"/>
        </w:rPr>
        <w:t>Maclean v Brylewski</w:t>
      </w:r>
      <w:r w:rsidRPr="00B516EB">
        <w:rPr>
          <w:rFonts w:ascii="Times New Roman" w:hAnsi="Times New Roman"/>
          <w:sz w:val="24"/>
        </w:rPr>
        <w:t xml:space="preserve"> (2025) 312 FCR 318 at 322-325 [13]-[24]. See also, eg, </w:t>
      </w:r>
      <w:r w:rsidRPr="00B516EB">
        <w:rPr>
          <w:rFonts w:ascii="Times New Roman" w:hAnsi="Times New Roman"/>
          <w:i/>
          <w:iCs/>
          <w:sz w:val="24"/>
        </w:rPr>
        <w:t>MacPherson v The Queen</w:t>
      </w:r>
      <w:r w:rsidRPr="00B516EB">
        <w:rPr>
          <w:rFonts w:ascii="Times New Roman" w:hAnsi="Times New Roman"/>
          <w:sz w:val="24"/>
        </w:rPr>
        <w:t xml:space="preserve"> (1981) 147 CLR 512 at 523, 534, 547; </w:t>
      </w:r>
      <w:r w:rsidRPr="00B516EB">
        <w:rPr>
          <w:rFonts w:ascii="Times New Roman" w:hAnsi="Times New Roman"/>
          <w:i/>
          <w:iCs/>
          <w:sz w:val="24"/>
        </w:rPr>
        <w:t>X7 v Australian Crime Commission</w:t>
      </w:r>
      <w:r w:rsidRPr="00B516EB">
        <w:rPr>
          <w:rFonts w:ascii="Times New Roman" w:hAnsi="Times New Roman"/>
          <w:sz w:val="24"/>
        </w:rPr>
        <w:t xml:space="preserve"> (2013) 248 CLR 92 at 116-117 [38].</w:t>
      </w:r>
    </w:p>
  </w:footnote>
  <w:footnote w:id="162">
    <w:p w14:paraId="540E4A07"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Brawn v The King</w:t>
      </w:r>
      <w:r w:rsidRPr="00B516EB">
        <w:rPr>
          <w:rFonts w:ascii="Times New Roman" w:hAnsi="Times New Roman"/>
          <w:sz w:val="24"/>
        </w:rPr>
        <w:t xml:space="preserve"> (2025) 99 ALJR 872 at 874 [3], 876-877 [9]-[16]; 423 ALR 69 at 71, 73-75.</w:t>
      </w:r>
    </w:p>
  </w:footnote>
  <w:footnote w:id="163">
    <w:p w14:paraId="433AE1DC"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Pilmer v Duke Group Ltd (In liq)</w:t>
      </w:r>
      <w:r w:rsidRPr="00B516EB">
        <w:rPr>
          <w:rFonts w:ascii="Times New Roman" w:hAnsi="Times New Roman"/>
          <w:sz w:val="24"/>
        </w:rPr>
        <w:t xml:space="preserve"> (2001) 207 CLR 165 at 199 [79], referring to </w:t>
      </w:r>
      <w:r w:rsidRPr="00B516EB">
        <w:rPr>
          <w:rFonts w:ascii="Times New Roman" w:hAnsi="Times New Roman"/>
          <w:i/>
          <w:iCs/>
          <w:sz w:val="24"/>
        </w:rPr>
        <w:t>Hospital Products Ltd v United States Surgical Corporation</w:t>
      </w:r>
      <w:r w:rsidRPr="00B516EB">
        <w:rPr>
          <w:rFonts w:ascii="Times New Roman" w:hAnsi="Times New Roman"/>
          <w:sz w:val="24"/>
        </w:rPr>
        <w:t xml:space="preserve"> (1984) 156 CLR 41 at 104.</w:t>
      </w:r>
    </w:p>
  </w:footnote>
  <w:footnote w:id="164">
    <w:p w14:paraId="44F77D4D"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Farrugia v The King</w:t>
      </w:r>
      <w:r w:rsidRPr="00B516EB">
        <w:rPr>
          <w:rFonts w:ascii="Times New Roman" w:hAnsi="Times New Roman"/>
          <w:sz w:val="24"/>
        </w:rPr>
        <w:t xml:space="preserve"> [2025] NSWCCA 49.</w:t>
      </w:r>
    </w:p>
  </w:footnote>
  <w:footnote w:id="165">
    <w:p w14:paraId="658EDEA5"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 xml:space="preserve">Law Society of New South Wales v Harvey </w:t>
      </w:r>
      <w:r w:rsidRPr="00B516EB">
        <w:rPr>
          <w:rFonts w:ascii="Times New Roman" w:hAnsi="Times New Roman"/>
          <w:sz w:val="24"/>
        </w:rPr>
        <w:t xml:space="preserve">[1976] 2 NSWLR 154 at 170. See also </w:t>
      </w:r>
      <w:r w:rsidRPr="00B516EB">
        <w:rPr>
          <w:rFonts w:ascii="Times New Roman" w:hAnsi="Times New Roman"/>
          <w:i/>
          <w:iCs/>
          <w:sz w:val="24"/>
        </w:rPr>
        <w:t xml:space="preserve">Atanaskovic Hartnell v Birketu Pty Ltd </w:t>
      </w:r>
      <w:r w:rsidRPr="00B516EB">
        <w:rPr>
          <w:rFonts w:ascii="Times New Roman" w:hAnsi="Times New Roman"/>
          <w:sz w:val="24"/>
        </w:rPr>
        <w:t>(2021) 105 NSWLR 542 at 561 [85]-[88].</w:t>
      </w:r>
    </w:p>
  </w:footnote>
  <w:footnote w:id="166">
    <w:p w14:paraId="35003A75"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 xml:space="preserve">eg, </w:t>
      </w:r>
      <w:r w:rsidRPr="00B516EB">
        <w:rPr>
          <w:rFonts w:ascii="Times New Roman" w:hAnsi="Times New Roman"/>
          <w:i/>
          <w:iCs/>
          <w:sz w:val="24"/>
        </w:rPr>
        <w:t xml:space="preserve">Beach Petroleum NL v Kennedy </w:t>
      </w:r>
      <w:r w:rsidRPr="00B516EB">
        <w:rPr>
          <w:rFonts w:ascii="Times New Roman" w:hAnsi="Times New Roman"/>
          <w:sz w:val="24"/>
        </w:rPr>
        <w:t xml:space="preserve">(1999) 48 NSWLR 1 at 45 [185]-[188]; </w:t>
      </w:r>
      <w:r w:rsidRPr="00B516EB">
        <w:rPr>
          <w:rFonts w:ascii="Times New Roman" w:hAnsi="Times New Roman"/>
          <w:i/>
          <w:iCs/>
          <w:sz w:val="24"/>
        </w:rPr>
        <w:t xml:space="preserve">Pilmer v Duke Group Ltd (In liq) </w:t>
      </w:r>
      <w:r w:rsidRPr="00B516EB">
        <w:rPr>
          <w:rFonts w:ascii="Times New Roman" w:hAnsi="Times New Roman"/>
          <w:sz w:val="24"/>
        </w:rPr>
        <w:t>(2001) 207 CLR 165 at 199 [78]-[79].</w:t>
      </w:r>
    </w:p>
  </w:footnote>
  <w:footnote w:id="167">
    <w:p w14:paraId="64CF5E2A"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(1999) 48 NSWLR 1.</w:t>
      </w:r>
    </w:p>
  </w:footnote>
  <w:footnote w:id="168">
    <w:p w14:paraId="025C4BED"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(1999) 48 NSWLR 1 at 45 [188].</w:t>
      </w:r>
    </w:p>
  </w:footnote>
  <w:footnote w:id="169">
    <w:p w14:paraId="29D96E55"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 xml:space="preserve">TKWJ v The Queen </w:t>
      </w:r>
      <w:r w:rsidRPr="00B516EB">
        <w:rPr>
          <w:rFonts w:ascii="Times New Roman" w:hAnsi="Times New Roman"/>
          <w:sz w:val="24"/>
        </w:rPr>
        <w:t>(2002) 212 CLR 124 at 147 [74].</w:t>
      </w:r>
    </w:p>
  </w:footnote>
  <w:footnote w:id="170">
    <w:p w14:paraId="156A854E"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r>
      <w:r w:rsidRPr="00B516EB">
        <w:rPr>
          <w:rFonts w:ascii="Times New Roman" w:hAnsi="Times New Roman"/>
          <w:i/>
          <w:iCs/>
          <w:sz w:val="24"/>
        </w:rPr>
        <w:t xml:space="preserve">TKWJ v The Queen </w:t>
      </w:r>
      <w:r w:rsidRPr="00B516EB">
        <w:rPr>
          <w:rFonts w:ascii="Times New Roman" w:hAnsi="Times New Roman"/>
          <w:sz w:val="24"/>
        </w:rPr>
        <w:t xml:space="preserve">(2002) 212 CLR 124 at 148 [76]. See also, eg, </w:t>
      </w:r>
      <w:r w:rsidRPr="00B516EB">
        <w:rPr>
          <w:rFonts w:ascii="Times New Roman" w:hAnsi="Times New Roman"/>
          <w:i/>
          <w:iCs/>
          <w:sz w:val="24"/>
        </w:rPr>
        <w:t>R v Birks</w:t>
      </w:r>
      <w:r w:rsidRPr="00B516EB">
        <w:rPr>
          <w:rFonts w:ascii="Times New Roman" w:hAnsi="Times New Roman"/>
          <w:sz w:val="24"/>
        </w:rPr>
        <w:t xml:space="preserve"> (1990) 19 NSWLR 677 at 683.</w:t>
      </w:r>
    </w:p>
  </w:footnote>
  <w:footnote w:id="171">
    <w:p w14:paraId="3288C453"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r>
      <w:r w:rsidRPr="00B516EB">
        <w:rPr>
          <w:rFonts w:ascii="Times New Roman" w:hAnsi="Times New Roman"/>
          <w:i/>
          <w:iCs/>
          <w:sz w:val="24"/>
        </w:rPr>
        <w:t xml:space="preserve">R v Olbrich </w:t>
      </w:r>
      <w:r w:rsidRPr="00B516EB">
        <w:rPr>
          <w:rFonts w:ascii="Times New Roman" w:hAnsi="Times New Roman"/>
          <w:sz w:val="24"/>
        </w:rPr>
        <w:t>(1999) 199 CLR 270 at 290-291 [52].</w:t>
      </w:r>
    </w:p>
  </w:footnote>
  <w:footnote w:id="172">
    <w:p w14:paraId="43E06677"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t xml:space="preserve">eg, </w:t>
      </w:r>
      <w:r w:rsidRPr="00B516EB">
        <w:rPr>
          <w:rFonts w:ascii="Times New Roman" w:hAnsi="Times New Roman"/>
          <w:i/>
          <w:iCs/>
          <w:sz w:val="24"/>
        </w:rPr>
        <w:t xml:space="preserve">Jago v District Court (NSW) </w:t>
      </w:r>
      <w:r w:rsidRPr="00B516EB">
        <w:rPr>
          <w:rFonts w:ascii="Times New Roman" w:hAnsi="Times New Roman"/>
          <w:sz w:val="24"/>
        </w:rPr>
        <w:t xml:space="preserve">(1989) 168 CLR 23 at 29, 56-57; </w:t>
      </w:r>
      <w:r w:rsidRPr="00B516EB">
        <w:rPr>
          <w:rFonts w:ascii="Times New Roman" w:hAnsi="Times New Roman"/>
          <w:i/>
          <w:iCs/>
          <w:sz w:val="24"/>
        </w:rPr>
        <w:t>Dietrich v The Queen</w:t>
      </w:r>
      <w:r w:rsidRPr="00B516EB">
        <w:rPr>
          <w:rFonts w:ascii="Times New Roman" w:hAnsi="Times New Roman"/>
          <w:sz w:val="24"/>
        </w:rPr>
        <w:t xml:space="preserve"> (1992) 177 CLR 292 at 298-300, 311; </w:t>
      </w:r>
      <w:r w:rsidRPr="00B516EB">
        <w:rPr>
          <w:rFonts w:ascii="Times New Roman" w:hAnsi="Times New Roman"/>
          <w:i/>
          <w:iCs/>
          <w:sz w:val="24"/>
        </w:rPr>
        <w:t>X7 v Australian Crime Commission</w:t>
      </w:r>
      <w:r w:rsidRPr="00B516EB">
        <w:rPr>
          <w:rFonts w:ascii="Times New Roman" w:hAnsi="Times New Roman"/>
          <w:sz w:val="24"/>
        </w:rPr>
        <w:t xml:space="preserve"> (2013) 248 CLR 92 at 116-117 [38].</w:t>
      </w:r>
    </w:p>
  </w:footnote>
  <w:footnote w:id="173">
    <w:p w14:paraId="12C7B38F"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Kentwell v The Queen</w:t>
      </w:r>
      <w:r w:rsidRPr="00B516EB">
        <w:rPr>
          <w:rFonts w:ascii="Times New Roman" w:hAnsi="Times New Roman"/>
          <w:sz w:val="24"/>
        </w:rPr>
        <w:t xml:space="preserve"> (2014) 252 CLR 601 at 619 [44].</w:t>
      </w:r>
    </w:p>
  </w:footnote>
  <w:footnote w:id="174">
    <w:p w14:paraId="12401DA3"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 xml:space="preserve">R v Miller </w:t>
      </w:r>
      <w:r w:rsidRPr="00B516EB">
        <w:rPr>
          <w:rFonts w:ascii="Times New Roman" w:hAnsi="Times New Roman"/>
          <w:sz w:val="24"/>
        </w:rPr>
        <w:t>[1952] 2 All ER 667 at 669 (emphasis added).</w:t>
      </w:r>
    </w:p>
  </w:footnote>
  <w:footnote w:id="175">
    <w:p w14:paraId="40BDC1E5"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 xml:space="preserve">Lowery v The Queen </w:t>
      </w:r>
      <w:r w:rsidRPr="00B516EB">
        <w:rPr>
          <w:rFonts w:ascii="Times New Roman" w:hAnsi="Times New Roman"/>
          <w:sz w:val="24"/>
        </w:rPr>
        <w:t>[1974] AC 85 at 101.</w:t>
      </w:r>
    </w:p>
  </w:footnote>
  <w:footnote w:id="176">
    <w:p w14:paraId="4AC43333"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Pilmer v Duke Group Ltd (In liq)</w:t>
      </w:r>
      <w:r w:rsidRPr="00B516EB">
        <w:rPr>
          <w:rFonts w:ascii="Times New Roman" w:hAnsi="Times New Roman"/>
          <w:sz w:val="24"/>
        </w:rPr>
        <w:t xml:space="preserve"> (2001) 207 CLR 165 at 197-198 [74], quoting </w:t>
      </w:r>
      <w:r w:rsidRPr="00B516EB">
        <w:rPr>
          <w:rFonts w:ascii="Times New Roman" w:hAnsi="Times New Roman"/>
          <w:i/>
          <w:iCs/>
          <w:sz w:val="24"/>
        </w:rPr>
        <w:t>Breen v Williams</w:t>
      </w:r>
      <w:r w:rsidRPr="00B516EB">
        <w:rPr>
          <w:rFonts w:ascii="Times New Roman" w:hAnsi="Times New Roman"/>
          <w:sz w:val="24"/>
        </w:rPr>
        <w:t xml:space="preserve"> (1996) 186 CLR 71 at 113.</w:t>
      </w:r>
    </w:p>
  </w:footnote>
  <w:footnote w:id="177">
    <w:p w14:paraId="63ED1087"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t xml:space="preserve">eg, Dal Pont, </w:t>
      </w:r>
      <w:r w:rsidRPr="00B516EB">
        <w:rPr>
          <w:rFonts w:ascii="Times New Roman" w:hAnsi="Times New Roman"/>
          <w:i/>
          <w:iCs/>
          <w:sz w:val="24"/>
        </w:rPr>
        <w:t>Lawyers' Professional Responsibility</w:t>
      </w:r>
      <w:r w:rsidRPr="00B516EB">
        <w:rPr>
          <w:rFonts w:ascii="Times New Roman" w:hAnsi="Times New Roman"/>
          <w:sz w:val="24"/>
        </w:rPr>
        <w:t xml:space="preserve">, 8th ed (2025) at 283 [7.105]. </w:t>
      </w:r>
    </w:p>
  </w:footnote>
  <w:footnote w:id="178">
    <w:p w14:paraId="18A0058E"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r>
      <w:r w:rsidRPr="00B516EB">
        <w:rPr>
          <w:rFonts w:ascii="Times New Roman" w:hAnsi="Times New Roman"/>
          <w:i/>
          <w:iCs/>
          <w:sz w:val="24"/>
        </w:rPr>
        <w:t xml:space="preserve">TKWJ v The Queen </w:t>
      </w:r>
      <w:r w:rsidRPr="00B516EB">
        <w:rPr>
          <w:rFonts w:ascii="Times New Roman" w:hAnsi="Times New Roman"/>
          <w:sz w:val="24"/>
        </w:rPr>
        <w:t>(2002) 212 CLR 124 at 128 [8], 147-148 [74].</w:t>
      </w:r>
    </w:p>
  </w:footnote>
  <w:footnote w:id="179">
    <w:p w14:paraId="4E01CB63"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t xml:space="preserve">eg, </w:t>
      </w:r>
      <w:r w:rsidRPr="00B516EB">
        <w:rPr>
          <w:rFonts w:ascii="Times New Roman" w:hAnsi="Times New Roman"/>
          <w:i/>
          <w:iCs/>
          <w:sz w:val="24"/>
        </w:rPr>
        <w:t xml:space="preserve">Nudd v The Queen </w:t>
      </w:r>
      <w:r w:rsidRPr="00B516EB">
        <w:rPr>
          <w:rFonts w:ascii="Times New Roman" w:hAnsi="Times New Roman"/>
          <w:sz w:val="24"/>
        </w:rPr>
        <w:t>(2006) 80 ALJR 614 at 618 [9]; 225 ALR 161 at 164.</w:t>
      </w:r>
    </w:p>
  </w:footnote>
  <w:footnote w:id="180">
    <w:p w14:paraId="35E474A6"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r>
      <w:r w:rsidRPr="00B516EB">
        <w:rPr>
          <w:rFonts w:ascii="Times New Roman" w:hAnsi="Times New Roman"/>
          <w:i/>
          <w:iCs/>
          <w:sz w:val="24"/>
        </w:rPr>
        <w:t xml:space="preserve">Brawn v The King </w:t>
      </w:r>
      <w:r w:rsidRPr="00B516EB">
        <w:rPr>
          <w:rFonts w:ascii="Times New Roman" w:hAnsi="Times New Roman"/>
          <w:sz w:val="24"/>
        </w:rPr>
        <w:t>(2025) 99 ALJR 872 at 874 [3], 876 [9]-[11]; 423 ALR 69 at 71, 73-74.</w:t>
      </w:r>
    </w:p>
  </w:footnote>
  <w:footnote w:id="181">
    <w:p w14:paraId="185BDC6C"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r>
      <w:r w:rsidRPr="00B516EB">
        <w:rPr>
          <w:rFonts w:ascii="Times New Roman" w:hAnsi="Times New Roman"/>
          <w:i/>
          <w:iCs/>
          <w:sz w:val="24"/>
        </w:rPr>
        <w:t xml:space="preserve">TKWJ v The Queen </w:t>
      </w:r>
      <w:r w:rsidRPr="00B516EB">
        <w:rPr>
          <w:rFonts w:ascii="Times New Roman" w:hAnsi="Times New Roman"/>
          <w:sz w:val="24"/>
        </w:rPr>
        <w:t xml:space="preserve">(2002) 212 CLR 124 at 147 [74], quoting </w:t>
      </w:r>
      <w:r w:rsidRPr="00B516EB">
        <w:rPr>
          <w:rFonts w:ascii="Times New Roman" w:hAnsi="Times New Roman"/>
          <w:i/>
          <w:iCs/>
          <w:sz w:val="24"/>
        </w:rPr>
        <w:t xml:space="preserve">Strauss v Francis </w:t>
      </w:r>
      <w:r w:rsidRPr="00B516EB">
        <w:rPr>
          <w:rFonts w:ascii="Times New Roman" w:hAnsi="Times New Roman"/>
          <w:sz w:val="24"/>
        </w:rPr>
        <w:t>(1866) LR 1 QB 379 at 381.</w:t>
      </w:r>
    </w:p>
  </w:footnote>
  <w:footnote w:id="182">
    <w:p w14:paraId="1723E617"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r>
      <w:r w:rsidRPr="00B516EB">
        <w:rPr>
          <w:rFonts w:ascii="Times New Roman" w:hAnsi="Times New Roman"/>
          <w:i/>
          <w:iCs/>
          <w:sz w:val="24"/>
        </w:rPr>
        <w:t xml:space="preserve">TKWJ v The Queen </w:t>
      </w:r>
      <w:r w:rsidRPr="00B516EB">
        <w:rPr>
          <w:rFonts w:ascii="Times New Roman" w:hAnsi="Times New Roman"/>
          <w:sz w:val="24"/>
        </w:rPr>
        <w:t xml:space="preserve">(2002) 212 CLR 124 at 128 [8]. </w:t>
      </w:r>
    </w:p>
  </w:footnote>
  <w:footnote w:id="183">
    <w:p w14:paraId="573EC570"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r>
      <w:r w:rsidRPr="00B516EB">
        <w:rPr>
          <w:rFonts w:ascii="Times New Roman" w:hAnsi="Times New Roman"/>
          <w:i/>
          <w:iCs/>
          <w:sz w:val="24"/>
        </w:rPr>
        <w:t xml:space="preserve">Nudd v The Queen </w:t>
      </w:r>
      <w:r w:rsidRPr="00B516EB">
        <w:rPr>
          <w:rFonts w:ascii="Times New Roman" w:hAnsi="Times New Roman"/>
          <w:sz w:val="24"/>
        </w:rPr>
        <w:t>(2006) 80 ALJR 614 at 618 [9]; 225 ALR 161 at 164.</w:t>
      </w:r>
    </w:p>
  </w:footnote>
  <w:footnote w:id="184">
    <w:p w14:paraId="1E2945A9"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r>
      <w:r w:rsidRPr="00B516EB">
        <w:rPr>
          <w:rFonts w:ascii="Times New Roman" w:hAnsi="Times New Roman"/>
          <w:i/>
          <w:iCs/>
          <w:sz w:val="24"/>
        </w:rPr>
        <w:t xml:space="preserve">Strauss v Francis </w:t>
      </w:r>
      <w:r w:rsidRPr="00B516EB">
        <w:rPr>
          <w:rFonts w:ascii="Times New Roman" w:hAnsi="Times New Roman"/>
          <w:sz w:val="24"/>
        </w:rPr>
        <w:t>(1866) LR 1 QB 379 at 381.</w:t>
      </w:r>
    </w:p>
  </w:footnote>
  <w:footnote w:id="185">
    <w:p w14:paraId="3062346B"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 xml:space="preserve">cf, eg, </w:t>
      </w:r>
      <w:r w:rsidRPr="00B516EB">
        <w:rPr>
          <w:rFonts w:ascii="Times New Roman" w:hAnsi="Times New Roman"/>
          <w:i/>
          <w:iCs/>
          <w:sz w:val="24"/>
        </w:rPr>
        <w:t xml:space="preserve">Howard v Federal Commissioner of Taxation </w:t>
      </w:r>
      <w:r w:rsidRPr="00B516EB">
        <w:rPr>
          <w:rFonts w:ascii="Times New Roman" w:hAnsi="Times New Roman"/>
          <w:sz w:val="24"/>
        </w:rPr>
        <w:t>(2014) 253 CLR 83 at 107 [60].</w:t>
      </w:r>
    </w:p>
  </w:footnote>
  <w:footnote w:id="186">
    <w:p w14:paraId="4281C669"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r>
      <w:r w:rsidRPr="00B516EB">
        <w:rPr>
          <w:rFonts w:ascii="Times New Roman" w:hAnsi="Times New Roman"/>
          <w:i/>
          <w:iCs/>
          <w:sz w:val="24"/>
        </w:rPr>
        <w:t xml:space="preserve">R v Pham </w:t>
      </w:r>
      <w:r w:rsidRPr="00B516EB">
        <w:rPr>
          <w:rFonts w:ascii="Times New Roman" w:hAnsi="Times New Roman"/>
          <w:sz w:val="24"/>
        </w:rPr>
        <w:t xml:space="preserve">[2017] QCA 43 at [58]-[59]. See also, eg, </w:t>
      </w:r>
      <w:r w:rsidRPr="00B516EB">
        <w:rPr>
          <w:rFonts w:ascii="Times New Roman" w:hAnsi="Times New Roman"/>
          <w:i/>
          <w:iCs/>
          <w:sz w:val="24"/>
        </w:rPr>
        <w:t xml:space="preserve">Clark </w:t>
      </w:r>
      <w:r w:rsidRPr="00B516EB">
        <w:rPr>
          <w:rFonts w:ascii="Times New Roman" w:hAnsi="Times New Roman"/>
          <w:sz w:val="24"/>
        </w:rPr>
        <w:t>(1996) 91 A Crim R 46 at 71-72.</w:t>
      </w:r>
    </w:p>
  </w:footnote>
  <w:footnote w:id="187">
    <w:p w14:paraId="07A5864F"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t>[1995] 1 WLR 511 at 523; [1995] 3 All ER 865 at 877.</w:t>
      </w:r>
    </w:p>
  </w:footnote>
  <w:footnote w:id="188">
    <w:p w14:paraId="741E4835"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t>[1995] 1 WLR 511 at 523; [1995] 3 All ER 865 at 877.</w:t>
      </w:r>
    </w:p>
  </w:footnote>
  <w:footnote w:id="189">
    <w:p w14:paraId="48C50C58"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ab/>
        <w:t xml:space="preserve">Finn, </w:t>
      </w:r>
      <w:r w:rsidRPr="00B516EB">
        <w:rPr>
          <w:rFonts w:ascii="Times New Roman" w:hAnsi="Times New Roman"/>
          <w:i/>
          <w:iCs/>
          <w:sz w:val="24"/>
        </w:rPr>
        <w:t xml:space="preserve">Fiduciary Obligations: 40th Anniversary Republication with Additional Essays </w:t>
      </w:r>
      <w:r w:rsidRPr="00B516EB">
        <w:rPr>
          <w:rFonts w:ascii="Times New Roman" w:hAnsi="Times New Roman"/>
          <w:sz w:val="24"/>
        </w:rPr>
        <w:t>(2016) at 270 [580].</w:t>
      </w:r>
    </w:p>
  </w:footnote>
  <w:footnote w:id="190">
    <w:p w14:paraId="4A7765CF"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 xml:space="preserve">eg, </w:t>
      </w:r>
      <w:r w:rsidRPr="00B516EB">
        <w:rPr>
          <w:rFonts w:ascii="Times New Roman" w:hAnsi="Times New Roman"/>
          <w:i/>
          <w:iCs/>
          <w:sz w:val="24"/>
        </w:rPr>
        <w:t>Hall v The Queen</w:t>
      </w:r>
      <w:r w:rsidRPr="00B516EB">
        <w:rPr>
          <w:rFonts w:ascii="Times New Roman" w:hAnsi="Times New Roman"/>
          <w:sz w:val="24"/>
        </w:rPr>
        <w:t xml:space="preserve"> [2007] NSWCCA 301; </w:t>
      </w:r>
      <w:r w:rsidRPr="00B516EB">
        <w:rPr>
          <w:rFonts w:ascii="Times New Roman" w:hAnsi="Times New Roman"/>
          <w:i/>
          <w:iCs/>
          <w:sz w:val="24"/>
        </w:rPr>
        <w:t>Brown v The Queen</w:t>
      </w:r>
      <w:r w:rsidRPr="00B516EB">
        <w:rPr>
          <w:rFonts w:ascii="Times New Roman" w:hAnsi="Times New Roman"/>
          <w:sz w:val="24"/>
        </w:rPr>
        <w:t xml:space="preserve"> (2018) 99 NSWLR 151. </w:t>
      </w:r>
    </w:p>
  </w:footnote>
  <w:footnote w:id="191">
    <w:p w14:paraId="618987DF"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(1978) 435 US 475.</w:t>
      </w:r>
    </w:p>
  </w:footnote>
  <w:footnote w:id="192">
    <w:p w14:paraId="742E4F66"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(1978) 435 US 475 at 490 (emphasis in original).</w:t>
      </w:r>
    </w:p>
  </w:footnote>
  <w:footnote w:id="193">
    <w:p w14:paraId="2FA8F0A5"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 xml:space="preserve">eg, United Kingdom, Bar Standards Board, </w:t>
      </w:r>
      <w:r w:rsidRPr="00B516EB">
        <w:rPr>
          <w:rFonts w:ascii="Times New Roman" w:hAnsi="Times New Roman"/>
          <w:i/>
          <w:iCs/>
          <w:sz w:val="24"/>
        </w:rPr>
        <w:t>BSB Handbook</w:t>
      </w:r>
      <w:r w:rsidRPr="00B516EB">
        <w:rPr>
          <w:rFonts w:ascii="Times New Roman" w:hAnsi="Times New Roman"/>
          <w:sz w:val="24"/>
        </w:rPr>
        <w:t>, version 5.0 (2026), rr C15-C17, C21;</w:t>
      </w:r>
      <w:r w:rsidRPr="00B516EB">
        <w:rPr>
          <w:rFonts w:ascii="Times New Roman" w:hAnsi="Times New Roman"/>
          <w:i/>
          <w:iCs/>
          <w:sz w:val="24"/>
        </w:rPr>
        <w:t xml:space="preserve"> </w:t>
      </w:r>
      <w:r w:rsidRPr="00B516EB">
        <w:rPr>
          <w:rFonts w:ascii="Times New Roman" w:hAnsi="Times New Roman"/>
          <w:sz w:val="24"/>
        </w:rPr>
        <w:t xml:space="preserve">United Kingdom, Law Society, </w:t>
      </w:r>
      <w:r w:rsidRPr="00B516EB">
        <w:rPr>
          <w:rFonts w:ascii="Times New Roman" w:hAnsi="Times New Roman"/>
          <w:i/>
          <w:iCs/>
          <w:sz w:val="24"/>
        </w:rPr>
        <w:t>Practice Note: Conflicts of Interest in Criminal Cases</w:t>
      </w:r>
      <w:r w:rsidRPr="00B516EB">
        <w:rPr>
          <w:rFonts w:ascii="Times New Roman" w:hAnsi="Times New Roman"/>
          <w:sz w:val="24"/>
        </w:rPr>
        <w:t xml:space="preserve"> (5 December 2019) at [2].</w:t>
      </w:r>
    </w:p>
  </w:footnote>
  <w:footnote w:id="194">
    <w:p w14:paraId="7F24B5B1"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 xml:space="preserve">eg, </w:t>
      </w:r>
      <w:r w:rsidRPr="00B516EB">
        <w:rPr>
          <w:rFonts w:ascii="Times New Roman" w:hAnsi="Times New Roman"/>
          <w:i/>
          <w:iCs/>
          <w:sz w:val="24"/>
        </w:rPr>
        <w:t>Re Minister for Immigration and Multicultural and Indigenous Affairs; Ex parte Lam</w:t>
      </w:r>
      <w:r w:rsidRPr="00B516EB">
        <w:rPr>
          <w:rFonts w:ascii="Times New Roman" w:hAnsi="Times New Roman"/>
          <w:sz w:val="24"/>
        </w:rPr>
        <w:t xml:space="preserve"> (2003) 214 CLR 1 at 14 [37].</w:t>
      </w:r>
    </w:p>
  </w:footnote>
  <w:footnote w:id="195">
    <w:p w14:paraId="3E5B39A4"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Uniform Barristers Rules</w:t>
      </w:r>
      <w:r w:rsidRPr="00B516EB">
        <w:rPr>
          <w:rFonts w:ascii="Times New Roman" w:hAnsi="Times New Roman"/>
          <w:sz w:val="24"/>
        </w:rPr>
        <w:t xml:space="preserve">, r 35. </w:t>
      </w:r>
    </w:p>
  </w:footnote>
  <w:footnote w:id="196">
    <w:p w14:paraId="4CBF299C"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Green v The Queen</w:t>
      </w:r>
      <w:r w:rsidRPr="00B516EB">
        <w:rPr>
          <w:rFonts w:ascii="Times New Roman" w:hAnsi="Times New Roman"/>
          <w:sz w:val="24"/>
        </w:rPr>
        <w:t xml:space="preserve"> (2011) 244 CLR 462 at 487 [71].</w:t>
      </w:r>
    </w:p>
  </w:footnote>
  <w:footnote w:id="197">
    <w:p w14:paraId="5CAC2820"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Tyler v The Queen</w:t>
      </w:r>
      <w:r w:rsidRPr="00B516EB">
        <w:rPr>
          <w:rFonts w:ascii="Times New Roman" w:hAnsi="Times New Roman"/>
          <w:sz w:val="24"/>
        </w:rPr>
        <w:t xml:space="preserve"> (2007) 173 A Crim R 458 at 471 [79]-[80].</w:t>
      </w:r>
    </w:p>
  </w:footnote>
  <w:footnote w:id="198">
    <w:p w14:paraId="538C4763"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R v Olbrich</w:t>
      </w:r>
      <w:r w:rsidRPr="00B516EB">
        <w:rPr>
          <w:rFonts w:ascii="Times New Roman" w:hAnsi="Times New Roman"/>
          <w:sz w:val="24"/>
        </w:rPr>
        <w:t xml:space="preserve"> (1999) 199 CLR 270 at 278 [14].</w:t>
      </w:r>
    </w:p>
  </w:footnote>
  <w:footnote w:id="199">
    <w:p w14:paraId="479B9328"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 xml:space="preserve">TKWJ v The Queen </w:t>
      </w:r>
      <w:r w:rsidRPr="00B516EB">
        <w:rPr>
          <w:rFonts w:ascii="Times New Roman" w:hAnsi="Times New Roman"/>
          <w:sz w:val="24"/>
        </w:rPr>
        <w:t>(2002) 212 CLR 124 at 147 [74].</w:t>
      </w:r>
    </w:p>
  </w:footnote>
  <w:footnote w:id="200">
    <w:p w14:paraId="3669387A"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Emphasis added.</w:t>
      </w:r>
    </w:p>
  </w:footnote>
  <w:footnote w:id="201">
    <w:p w14:paraId="7DA87D14"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 xml:space="preserve">eg, </w:t>
      </w:r>
      <w:r w:rsidRPr="00B516EB">
        <w:rPr>
          <w:rFonts w:ascii="Times New Roman" w:hAnsi="Times New Roman"/>
          <w:i/>
          <w:iCs/>
          <w:sz w:val="24"/>
        </w:rPr>
        <w:t>Farrugia v The King</w:t>
      </w:r>
      <w:r w:rsidRPr="00B516EB">
        <w:rPr>
          <w:rFonts w:ascii="Times New Roman" w:hAnsi="Times New Roman"/>
          <w:sz w:val="24"/>
        </w:rPr>
        <w:t xml:space="preserve"> [2025] NSWCCA 49 at [60]-[61].</w:t>
      </w:r>
    </w:p>
  </w:footnote>
  <w:footnote w:id="202">
    <w:p w14:paraId="43D36386"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Farrugia v The King</w:t>
      </w:r>
      <w:r w:rsidRPr="00B516EB">
        <w:rPr>
          <w:rFonts w:ascii="Times New Roman" w:hAnsi="Times New Roman"/>
          <w:sz w:val="24"/>
        </w:rPr>
        <w:t xml:space="preserve"> [2025] NSWCCA 49 at [67].</w:t>
      </w:r>
    </w:p>
  </w:footnote>
  <w:footnote w:id="203">
    <w:p w14:paraId="1F9DDDE1"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(2016) 258 CLR 420.</w:t>
      </w:r>
    </w:p>
  </w:footnote>
  <w:footnote w:id="204">
    <w:p w14:paraId="0655BE2F"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(2016) 258 CLR 420 at 425 [7].</w:t>
      </w:r>
    </w:p>
  </w:footnote>
  <w:footnote w:id="205">
    <w:p w14:paraId="226DC274"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 xml:space="preserve">(2016) 258 CLR 420 at 428 [17], 429 [19]. </w:t>
      </w:r>
    </w:p>
  </w:footnote>
  <w:footnote w:id="206">
    <w:p w14:paraId="67C9AA83"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(2014) 252 CLR 601.</w:t>
      </w:r>
    </w:p>
  </w:footnote>
  <w:footnote w:id="207">
    <w:p w14:paraId="3E9F63A5"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(2014) 252 CLR 601 at 615 [35].</w:t>
      </w:r>
    </w:p>
  </w:footnote>
  <w:footnote w:id="208">
    <w:p w14:paraId="03BE74AE"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(2014) 252 CLR 601 at 617-618 [42] (footnote omitted).</w:t>
      </w:r>
    </w:p>
  </w:footnote>
  <w:footnote w:id="209">
    <w:p w14:paraId="3C8EF27B"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 xml:space="preserve">eg, </w:t>
      </w:r>
      <w:r w:rsidRPr="00B516EB">
        <w:rPr>
          <w:rFonts w:ascii="Times New Roman" w:hAnsi="Times New Roman"/>
          <w:i/>
          <w:iCs/>
          <w:sz w:val="24"/>
        </w:rPr>
        <w:t>R v Henderson</w:t>
      </w:r>
      <w:r w:rsidRPr="00B516EB">
        <w:rPr>
          <w:rFonts w:ascii="Times New Roman" w:hAnsi="Times New Roman"/>
          <w:sz w:val="24"/>
        </w:rPr>
        <w:t xml:space="preserve"> [1966] VR 41 at 43-44; </w:t>
      </w:r>
      <w:r w:rsidRPr="00B516EB">
        <w:rPr>
          <w:rFonts w:ascii="Times New Roman" w:hAnsi="Times New Roman"/>
          <w:i/>
          <w:iCs/>
          <w:sz w:val="24"/>
        </w:rPr>
        <w:t>Webber</w:t>
      </w:r>
      <w:r w:rsidRPr="00B516EB">
        <w:rPr>
          <w:rFonts w:ascii="Times New Roman" w:hAnsi="Times New Roman"/>
          <w:sz w:val="24"/>
        </w:rPr>
        <w:t xml:space="preserve"> (1996) 86 A Crim R 361 at 365; </w:t>
      </w:r>
      <w:r w:rsidRPr="00B516EB">
        <w:rPr>
          <w:rFonts w:ascii="Times New Roman" w:hAnsi="Times New Roman"/>
          <w:i/>
          <w:iCs/>
          <w:sz w:val="24"/>
        </w:rPr>
        <w:t>R v Bishop</w:t>
      </w:r>
      <w:r w:rsidRPr="00B516EB">
        <w:rPr>
          <w:rFonts w:ascii="Times New Roman" w:hAnsi="Times New Roman"/>
          <w:sz w:val="24"/>
        </w:rPr>
        <w:t xml:space="preserve"> [1998] 1 VR 531 at 536, 537-538.</w:t>
      </w:r>
    </w:p>
  </w:footnote>
  <w:footnote w:id="210">
    <w:p w14:paraId="52F92629"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Criminal Procedure Act 2009</w:t>
      </w:r>
      <w:r w:rsidRPr="00B516EB">
        <w:rPr>
          <w:rFonts w:ascii="Times New Roman" w:hAnsi="Times New Roman"/>
          <w:sz w:val="24"/>
        </w:rPr>
        <w:t xml:space="preserve"> (Vic), s 282.</w:t>
      </w:r>
    </w:p>
  </w:footnote>
  <w:footnote w:id="211">
    <w:p w14:paraId="3B39C5B1"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t>(2016) 258 CLR 420 at 428 [18].</w:t>
      </w:r>
    </w:p>
  </w:footnote>
  <w:footnote w:id="212">
    <w:p w14:paraId="3261E620"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Zreika v The Queen</w:t>
      </w:r>
      <w:r w:rsidRPr="00B516EB">
        <w:rPr>
          <w:rFonts w:ascii="Times New Roman" w:hAnsi="Times New Roman"/>
          <w:sz w:val="24"/>
        </w:rPr>
        <w:t xml:space="preserve"> (2012) 223 A Crim R 460 at 478 [81].</w:t>
      </w:r>
    </w:p>
  </w:footnote>
  <w:footnote w:id="213">
    <w:p w14:paraId="70C636C2" w14:textId="77777777" w:rsidR="00FC5642" w:rsidRPr="00B516EB" w:rsidRDefault="00FC5642" w:rsidP="00B516EB">
      <w:pPr>
        <w:pStyle w:val="FootnoteText"/>
        <w:spacing w:line="280" w:lineRule="exact"/>
        <w:ind w:right="0"/>
        <w:jc w:val="both"/>
        <w:rPr>
          <w:rFonts w:ascii="Times New Roman" w:hAnsi="Times New Roman"/>
          <w:sz w:val="24"/>
        </w:rPr>
      </w:pPr>
      <w:r w:rsidRPr="00B516EB">
        <w:rPr>
          <w:rStyle w:val="FootnoteReference"/>
          <w:rFonts w:ascii="Times New Roman" w:hAnsi="Times New Roman"/>
          <w:sz w:val="22"/>
          <w:vertAlign w:val="baseline"/>
        </w:rPr>
        <w:footnoteRef/>
      </w:r>
      <w:r w:rsidRPr="00B516EB">
        <w:rPr>
          <w:rFonts w:ascii="Times New Roman" w:hAnsi="Times New Roman"/>
          <w:sz w:val="24"/>
        </w:rPr>
        <w:t xml:space="preserve"> </w:t>
      </w:r>
      <w:r w:rsidRPr="00B516EB">
        <w:rPr>
          <w:rFonts w:ascii="Times New Roman" w:hAnsi="Times New Roman"/>
          <w:sz w:val="24"/>
        </w:rPr>
        <w:tab/>
      </w:r>
      <w:r w:rsidRPr="00B516EB">
        <w:rPr>
          <w:rFonts w:ascii="Times New Roman" w:hAnsi="Times New Roman"/>
          <w:i/>
          <w:iCs/>
          <w:sz w:val="24"/>
        </w:rPr>
        <w:t>Farrugia v The King</w:t>
      </w:r>
      <w:r w:rsidRPr="00B516EB">
        <w:rPr>
          <w:rFonts w:ascii="Times New Roman" w:hAnsi="Times New Roman"/>
          <w:sz w:val="24"/>
        </w:rPr>
        <w:t xml:space="preserve"> [2025] NSWCCA 49 at [42].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E904" w14:textId="77777777" w:rsidR="00F117EB" w:rsidRPr="00F66ECC" w:rsidRDefault="00F117EB" w:rsidP="00F66EC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A835" w14:textId="77777777" w:rsidR="00FC5642" w:rsidRDefault="00FC5642" w:rsidP="00B516EB">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Jagot</w:t>
    </w:r>
    <w:r>
      <w:rPr>
        <w:rFonts w:ascii="Times New Roman" w:hAnsi="Times New Roman"/>
        <w:i/>
        <w:sz w:val="22"/>
      </w:rPr>
      <w:tab/>
      <w:t>J</w:t>
    </w:r>
  </w:p>
  <w:p w14:paraId="625503A5" w14:textId="77777777" w:rsidR="00FC5642" w:rsidRDefault="00FC5642" w:rsidP="00B516EB">
    <w:pPr>
      <w:pStyle w:val="Header"/>
      <w:tabs>
        <w:tab w:val="clear" w:pos="4153"/>
        <w:tab w:val="clear" w:pos="8306"/>
        <w:tab w:val="right" w:pos="1304"/>
      </w:tabs>
      <w:spacing w:line="280" w:lineRule="exact"/>
      <w:ind w:firstLine="0"/>
      <w:rPr>
        <w:rFonts w:ascii="Times New Roman" w:hAnsi="Times New Roman"/>
        <w:i/>
        <w:sz w:val="22"/>
      </w:rPr>
    </w:pPr>
  </w:p>
  <w:p w14:paraId="7279BDA9" w14:textId="77777777" w:rsidR="00FC5642" w:rsidRDefault="00FC5642" w:rsidP="00B516EB">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436DEBBD" w14:textId="77777777" w:rsidR="00FC5642" w:rsidRPr="00B516EB" w:rsidRDefault="00FC5642" w:rsidP="00B516EB">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68459" w14:textId="77777777" w:rsidR="00FC5642" w:rsidRDefault="00FC5642" w:rsidP="00B516EB">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Jagot</w:t>
    </w:r>
    <w:r>
      <w:rPr>
        <w:rFonts w:ascii="Times New Roman" w:hAnsi="Times New Roman"/>
        <w:i/>
        <w:sz w:val="22"/>
      </w:rPr>
      <w:tab/>
      <w:t>J</w:t>
    </w:r>
  </w:p>
  <w:p w14:paraId="694008E5" w14:textId="77777777" w:rsidR="00FC5642" w:rsidRDefault="00FC5642" w:rsidP="00B516EB">
    <w:pPr>
      <w:pStyle w:val="Header"/>
      <w:tabs>
        <w:tab w:val="clear" w:pos="4153"/>
        <w:tab w:val="clear" w:pos="8306"/>
        <w:tab w:val="left" w:pos="7200"/>
        <w:tab w:val="right" w:pos="8504"/>
      </w:tabs>
      <w:spacing w:line="280" w:lineRule="exact"/>
      <w:jc w:val="right"/>
      <w:rPr>
        <w:rFonts w:ascii="Times New Roman" w:hAnsi="Times New Roman"/>
        <w:i/>
        <w:sz w:val="22"/>
      </w:rPr>
    </w:pPr>
  </w:p>
  <w:p w14:paraId="58A22CBB" w14:textId="77777777" w:rsidR="00FC5642" w:rsidRDefault="00FC5642" w:rsidP="00B516EB">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609AF638" w14:textId="77777777" w:rsidR="00FC5642" w:rsidRPr="00B516EB" w:rsidRDefault="00FC5642" w:rsidP="00B516EB">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E4CBD" w14:textId="77777777" w:rsidR="00FC5642" w:rsidRDefault="00FC5642" w:rsidP="00B516EB">
    <w:pPr>
      <w:pStyle w:val="Header"/>
      <w:tabs>
        <w:tab w:val="clear" w:pos="4153"/>
        <w:tab w:val="clear" w:pos="8306"/>
        <w:tab w:val="center" w:pos="1134"/>
      </w:tabs>
      <w:spacing w:line="280" w:lineRule="exact"/>
      <w:ind w:firstLine="0"/>
      <w:rPr>
        <w:rFonts w:ascii="Times New Roman" w:hAnsi="Times New Roman"/>
        <w:i/>
        <w:sz w:val="22"/>
      </w:rPr>
    </w:pPr>
  </w:p>
  <w:p w14:paraId="2D52CE0C" w14:textId="77777777" w:rsidR="00FC5642" w:rsidRDefault="00FC5642" w:rsidP="00B516EB">
    <w:pPr>
      <w:pStyle w:val="Header"/>
      <w:tabs>
        <w:tab w:val="clear" w:pos="4153"/>
        <w:tab w:val="clear" w:pos="8306"/>
        <w:tab w:val="center" w:pos="1134"/>
      </w:tabs>
      <w:spacing w:line="280" w:lineRule="exact"/>
      <w:ind w:firstLine="0"/>
      <w:rPr>
        <w:rFonts w:ascii="Times New Roman" w:hAnsi="Times New Roman"/>
        <w:i/>
        <w:sz w:val="22"/>
      </w:rPr>
    </w:pPr>
  </w:p>
  <w:p w14:paraId="5CB75E9A" w14:textId="77777777" w:rsidR="00FC5642" w:rsidRDefault="00FC5642" w:rsidP="00B516EB">
    <w:pPr>
      <w:pStyle w:val="Header"/>
      <w:tabs>
        <w:tab w:val="clear" w:pos="4153"/>
        <w:tab w:val="clear" w:pos="8306"/>
        <w:tab w:val="center" w:pos="1134"/>
      </w:tabs>
      <w:spacing w:line="280" w:lineRule="exact"/>
      <w:ind w:firstLine="0"/>
      <w:rPr>
        <w:rFonts w:ascii="Times New Roman" w:hAnsi="Times New Roman"/>
        <w:i/>
        <w:sz w:val="22"/>
      </w:rPr>
    </w:pPr>
  </w:p>
  <w:p w14:paraId="01B51549" w14:textId="77777777" w:rsidR="00FC5642" w:rsidRPr="00B516EB" w:rsidRDefault="00FC5642" w:rsidP="00B516EB">
    <w:pPr>
      <w:pStyle w:val="Header"/>
      <w:tabs>
        <w:tab w:val="clear" w:pos="4153"/>
        <w:tab w:val="clear" w:pos="8306"/>
        <w:tab w:val="center" w:pos="1134"/>
      </w:tabs>
      <w:spacing w:line="280" w:lineRule="exact"/>
      <w:ind w:firstLine="0"/>
      <w:rPr>
        <w:rFonts w:ascii="Times New Roman" w:hAnsi="Times New Roman"/>
        <w: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CB797" w14:textId="77777777" w:rsidR="00FC5642" w:rsidRPr="00B516EB" w:rsidRDefault="00FC5642" w:rsidP="00B516EB">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F8B5F" w14:textId="0A67E71E" w:rsidR="00F117EB" w:rsidRPr="00F66ECC" w:rsidRDefault="00F66ECC" w:rsidP="00F66ECC">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sidR="004617FD">
      <w:rPr>
        <w:rFonts w:ascii="Times New Roman" w:hAnsi="Times New Roman"/>
        <w:noProof/>
        <w:sz w:val="22"/>
      </w:rPr>
      <w:instrText>3</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sidR="004617FD">
      <w:rPr>
        <w:rFonts w:ascii="Times New Roman" w:hAnsi="Times New Roman"/>
        <w:noProof/>
        <w:sz w:val="22"/>
      </w:rPr>
      <w:t>2</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6508" w14:textId="41503008" w:rsidR="00C65CFD" w:rsidRPr="00F66ECC" w:rsidRDefault="00C65CFD" w:rsidP="00F66E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836FF" w14:textId="77777777" w:rsidR="00F66ECC" w:rsidRPr="00F117EB" w:rsidRDefault="00F66ECC" w:rsidP="00F117EB">
    <w:pPr>
      <w:pStyle w:val="Header"/>
      <w:tabs>
        <w:tab w:val="clear" w:pos="4153"/>
        <w:tab w:val="clear" w:pos="8306"/>
        <w:tab w:val="right" w:pos="1304"/>
      </w:tabs>
      <w:spacing w:line="280" w:lineRule="exact"/>
      <w:ind w:firstLine="0"/>
      <w:rPr>
        <w:rFonts w:ascii="Times New Roman" w:hAnsi="Times New Roman"/>
        <w:i/>
        <w:sz w:val="22"/>
      </w:rPr>
    </w:pPr>
    <w:r w:rsidRPr="00F117EB">
      <w:rPr>
        <w:rFonts w:ascii="Times New Roman" w:hAnsi="Times New Roman"/>
        <w:i/>
        <w:sz w:val="22"/>
      </w:rPr>
      <w:t>Gageler</w:t>
    </w:r>
    <w:r w:rsidRPr="00F117EB">
      <w:rPr>
        <w:rFonts w:ascii="Times New Roman" w:hAnsi="Times New Roman"/>
        <w:i/>
        <w:sz w:val="22"/>
      </w:rPr>
      <w:tab/>
      <w:t>CJ</w:t>
    </w:r>
  </w:p>
  <w:p w14:paraId="27E29CF2" w14:textId="77777777" w:rsidR="00F66ECC" w:rsidRPr="00F117EB" w:rsidRDefault="00F66ECC" w:rsidP="00F117EB">
    <w:pPr>
      <w:pStyle w:val="Header"/>
      <w:tabs>
        <w:tab w:val="clear" w:pos="4153"/>
        <w:tab w:val="clear" w:pos="8306"/>
        <w:tab w:val="right" w:pos="1304"/>
      </w:tabs>
      <w:spacing w:line="280" w:lineRule="exact"/>
      <w:ind w:firstLine="0"/>
      <w:rPr>
        <w:rFonts w:ascii="Times New Roman" w:hAnsi="Times New Roman"/>
        <w:i/>
        <w:sz w:val="22"/>
      </w:rPr>
    </w:pPr>
    <w:r w:rsidRPr="00F117EB">
      <w:rPr>
        <w:rFonts w:ascii="Times New Roman" w:hAnsi="Times New Roman"/>
        <w:i/>
        <w:sz w:val="22"/>
      </w:rPr>
      <w:t>Gordon</w:t>
    </w:r>
    <w:r w:rsidRPr="00F117EB">
      <w:rPr>
        <w:rFonts w:ascii="Times New Roman" w:hAnsi="Times New Roman"/>
        <w:i/>
        <w:sz w:val="22"/>
      </w:rPr>
      <w:tab/>
      <w:t>J</w:t>
    </w:r>
  </w:p>
  <w:p w14:paraId="3BABAE41" w14:textId="77777777" w:rsidR="00F66ECC" w:rsidRPr="00F117EB" w:rsidRDefault="00F66ECC" w:rsidP="00F117EB">
    <w:pPr>
      <w:pStyle w:val="Header"/>
      <w:tabs>
        <w:tab w:val="clear" w:pos="4153"/>
        <w:tab w:val="clear" w:pos="8306"/>
        <w:tab w:val="right" w:pos="1304"/>
      </w:tabs>
      <w:spacing w:line="280" w:lineRule="exact"/>
      <w:ind w:firstLine="0"/>
      <w:rPr>
        <w:rFonts w:ascii="Times New Roman" w:hAnsi="Times New Roman"/>
        <w:i/>
        <w:sz w:val="22"/>
      </w:rPr>
    </w:pPr>
    <w:r w:rsidRPr="00F117EB">
      <w:rPr>
        <w:rFonts w:ascii="Times New Roman" w:hAnsi="Times New Roman"/>
        <w:i/>
        <w:sz w:val="22"/>
      </w:rPr>
      <w:t>Steward</w:t>
    </w:r>
    <w:r w:rsidRPr="00F117EB">
      <w:rPr>
        <w:rFonts w:ascii="Times New Roman" w:hAnsi="Times New Roman"/>
        <w:i/>
        <w:sz w:val="22"/>
      </w:rPr>
      <w:tab/>
      <w:t>J</w:t>
    </w:r>
  </w:p>
  <w:p w14:paraId="4448D23F" w14:textId="77777777" w:rsidR="00F66ECC" w:rsidRPr="00F117EB" w:rsidRDefault="00F66ECC" w:rsidP="00F117EB">
    <w:pPr>
      <w:pStyle w:val="Header"/>
      <w:tabs>
        <w:tab w:val="clear" w:pos="4153"/>
        <w:tab w:val="clear" w:pos="8306"/>
        <w:tab w:val="right" w:pos="1304"/>
      </w:tabs>
      <w:spacing w:line="280" w:lineRule="exact"/>
      <w:ind w:firstLine="0"/>
      <w:rPr>
        <w:rFonts w:ascii="Times New Roman" w:hAnsi="Times New Roman"/>
        <w:i/>
        <w:sz w:val="22"/>
      </w:rPr>
    </w:pPr>
    <w:r w:rsidRPr="00F117EB">
      <w:rPr>
        <w:rFonts w:ascii="Times New Roman" w:hAnsi="Times New Roman"/>
        <w:i/>
        <w:sz w:val="22"/>
      </w:rPr>
      <w:t>Gleeson</w:t>
    </w:r>
    <w:r w:rsidRPr="00F117EB">
      <w:rPr>
        <w:rFonts w:ascii="Times New Roman" w:hAnsi="Times New Roman"/>
        <w:i/>
        <w:sz w:val="22"/>
      </w:rPr>
      <w:tab/>
      <w:t>J</w:t>
    </w:r>
  </w:p>
  <w:p w14:paraId="38B6A489" w14:textId="77777777" w:rsidR="00F66ECC" w:rsidRDefault="00F66ECC" w:rsidP="00F117EB">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51D2F9F4" w14:textId="77777777" w:rsidR="00F66ECC" w:rsidRDefault="00F66ECC" w:rsidP="00F117EB">
    <w:pPr>
      <w:pStyle w:val="Header"/>
      <w:tabs>
        <w:tab w:val="clear" w:pos="4153"/>
        <w:tab w:val="clear" w:pos="8306"/>
        <w:tab w:val="right" w:pos="1304"/>
      </w:tabs>
      <w:spacing w:line="280" w:lineRule="exact"/>
      <w:ind w:firstLine="0"/>
      <w:rPr>
        <w:rFonts w:ascii="Times New Roman" w:hAnsi="Times New Roman"/>
        <w:i/>
        <w:sz w:val="22"/>
      </w:rPr>
    </w:pPr>
  </w:p>
  <w:p w14:paraId="25CBEBD8" w14:textId="77777777" w:rsidR="00F66ECC" w:rsidRDefault="00F66ECC" w:rsidP="00F117EB">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1B238E05" w14:textId="77777777" w:rsidR="00F66ECC" w:rsidRPr="00F117EB" w:rsidRDefault="00F66ECC" w:rsidP="00F117EB">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9DD87" w14:textId="77777777" w:rsidR="00F66ECC" w:rsidRPr="00F117EB" w:rsidRDefault="00F66ECC" w:rsidP="00F117EB">
    <w:pPr>
      <w:pStyle w:val="Header"/>
      <w:tabs>
        <w:tab w:val="clear" w:pos="4153"/>
        <w:tab w:val="clear" w:pos="8306"/>
        <w:tab w:val="left" w:pos="7200"/>
        <w:tab w:val="right" w:pos="8504"/>
      </w:tabs>
      <w:spacing w:line="280" w:lineRule="exact"/>
      <w:jc w:val="right"/>
      <w:rPr>
        <w:rFonts w:ascii="Times New Roman" w:hAnsi="Times New Roman"/>
        <w:i/>
        <w:sz w:val="22"/>
      </w:rPr>
    </w:pPr>
    <w:r w:rsidRPr="00F117EB">
      <w:rPr>
        <w:rFonts w:ascii="Times New Roman" w:hAnsi="Times New Roman"/>
        <w:i/>
        <w:sz w:val="22"/>
      </w:rPr>
      <w:tab/>
      <w:t>Gageler</w:t>
    </w:r>
    <w:r w:rsidRPr="00F117EB">
      <w:rPr>
        <w:rFonts w:ascii="Times New Roman" w:hAnsi="Times New Roman"/>
        <w:i/>
        <w:sz w:val="22"/>
      </w:rPr>
      <w:tab/>
      <w:t>CJ</w:t>
    </w:r>
  </w:p>
  <w:p w14:paraId="6EE47E19" w14:textId="77777777" w:rsidR="00F66ECC" w:rsidRPr="00F117EB" w:rsidRDefault="00F66ECC" w:rsidP="00F117EB">
    <w:pPr>
      <w:pStyle w:val="Header"/>
      <w:tabs>
        <w:tab w:val="clear" w:pos="4153"/>
        <w:tab w:val="clear" w:pos="8306"/>
        <w:tab w:val="left" w:pos="7200"/>
        <w:tab w:val="right" w:pos="8504"/>
      </w:tabs>
      <w:spacing w:line="280" w:lineRule="exact"/>
      <w:jc w:val="right"/>
      <w:rPr>
        <w:rFonts w:ascii="Times New Roman" w:hAnsi="Times New Roman"/>
        <w:i/>
        <w:sz w:val="22"/>
      </w:rPr>
    </w:pPr>
    <w:r w:rsidRPr="00F117EB">
      <w:rPr>
        <w:rFonts w:ascii="Times New Roman" w:hAnsi="Times New Roman"/>
        <w:i/>
        <w:sz w:val="22"/>
      </w:rPr>
      <w:tab/>
      <w:t>Gordon</w:t>
    </w:r>
    <w:r w:rsidRPr="00F117EB">
      <w:rPr>
        <w:rFonts w:ascii="Times New Roman" w:hAnsi="Times New Roman"/>
        <w:i/>
        <w:sz w:val="22"/>
      </w:rPr>
      <w:tab/>
      <w:t>J</w:t>
    </w:r>
  </w:p>
  <w:p w14:paraId="4EC6812A" w14:textId="77777777" w:rsidR="00F66ECC" w:rsidRPr="00F117EB" w:rsidRDefault="00F66ECC" w:rsidP="00F117EB">
    <w:pPr>
      <w:pStyle w:val="Header"/>
      <w:tabs>
        <w:tab w:val="clear" w:pos="4153"/>
        <w:tab w:val="clear" w:pos="8306"/>
        <w:tab w:val="left" w:pos="7200"/>
        <w:tab w:val="right" w:pos="8504"/>
      </w:tabs>
      <w:spacing w:line="280" w:lineRule="exact"/>
      <w:jc w:val="right"/>
      <w:rPr>
        <w:rFonts w:ascii="Times New Roman" w:hAnsi="Times New Roman"/>
        <w:i/>
        <w:sz w:val="22"/>
      </w:rPr>
    </w:pPr>
    <w:r w:rsidRPr="00F117EB">
      <w:rPr>
        <w:rFonts w:ascii="Times New Roman" w:hAnsi="Times New Roman"/>
        <w:i/>
        <w:sz w:val="22"/>
      </w:rPr>
      <w:tab/>
      <w:t>Steward</w:t>
    </w:r>
    <w:r w:rsidRPr="00F117EB">
      <w:rPr>
        <w:rFonts w:ascii="Times New Roman" w:hAnsi="Times New Roman"/>
        <w:i/>
        <w:sz w:val="22"/>
      </w:rPr>
      <w:tab/>
      <w:t>J</w:t>
    </w:r>
  </w:p>
  <w:p w14:paraId="3055FA4E" w14:textId="77777777" w:rsidR="00F66ECC" w:rsidRPr="00F117EB" w:rsidRDefault="00F66ECC" w:rsidP="00F117EB">
    <w:pPr>
      <w:pStyle w:val="Header"/>
      <w:tabs>
        <w:tab w:val="clear" w:pos="4153"/>
        <w:tab w:val="clear" w:pos="8306"/>
        <w:tab w:val="left" w:pos="7200"/>
        <w:tab w:val="right" w:pos="8504"/>
      </w:tabs>
      <w:spacing w:line="280" w:lineRule="exact"/>
      <w:jc w:val="right"/>
      <w:rPr>
        <w:rFonts w:ascii="Times New Roman" w:hAnsi="Times New Roman"/>
        <w:i/>
        <w:sz w:val="22"/>
      </w:rPr>
    </w:pPr>
    <w:r w:rsidRPr="00F117EB">
      <w:rPr>
        <w:rFonts w:ascii="Times New Roman" w:hAnsi="Times New Roman"/>
        <w:i/>
        <w:sz w:val="22"/>
      </w:rPr>
      <w:tab/>
      <w:t>Gleeson</w:t>
    </w:r>
    <w:r w:rsidRPr="00F117EB">
      <w:rPr>
        <w:rFonts w:ascii="Times New Roman" w:hAnsi="Times New Roman"/>
        <w:i/>
        <w:sz w:val="22"/>
      </w:rPr>
      <w:tab/>
      <w:t>J</w:t>
    </w:r>
  </w:p>
  <w:p w14:paraId="6D705834" w14:textId="77777777" w:rsidR="00F66ECC" w:rsidRDefault="00F66ECC" w:rsidP="00F117EB">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09F4A2E1" w14:textId="77777777" w:rsidR="00F66ECC" w:rsidRDefault="00F66ECC" w:rsidP="00F117EB">
    <w:pPr>
      <w:pStyle w:val="Header"/>
      <w:tabs>
        <w:tab w:val="clear" w:pos="4153"/>
        <w:tab w:val="clear" w:pos="8306"/>
        <w:tab w:val="left" w:pos="7200"/>
        <w:tab w:val="right" w:pos="8504"/>
      </w:tabs>
      <w:spacing w:line="280" w:lineRule="exact"/>
      <w:jc w:val="right"/>
      <w:rPr>
        <w:rFonts w:ascii="Times New Roman" w:hAnsi="Times New Roman"/>
        <w:i/>
        <w:sz w:val="22"/>
      </w:rPr>
    </w:pPr>
  </w:p>
  <w:p w14:paraId="09193914" w14:textId="77777777" w:rsidR="00F66ECC" w:rsidRDefault="00F66ECC" w:rsidP="00F117EB">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27AF759B" w14:textId="77777777" w:rsidR="00F66ECC" w:rsidRPr="00F117EB" w:rsidRDefault="00F66ECC" w:rsidP="00F117EB">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244E" w14:textId="77777777" w:rsidR="00F66ECC" w:rsidRDefault="00F66ECC" w:rsidP="00F117EB">
    <w:pPr>
      <w:pStyle w:val="Header"/>
      <w:tabs>
        <w:tab w:val="clear" w:pos="4153"/>
        <w:tab w:val="clear" w:pos="8306"/>
        <w:tab w:val="center" w:pos="1134"/>
      </w:tabs>
      <w:spacing w:line="280" w:lineRule="exact"/>
      <w:ind w:firstLine="0"/>
      <w:rPr>
        <w:rFonts w:ascii="Times New Roman" w:hAnsi="Times New Roman"/>
        <w:i/>
        <w:sz w:val="22"/>
      </w:rPr>
    </w:pPr>
  </w:p>
  <w:p w14:paraId="4987BE3E" w14:textId="77777777" w:rsidR="00F66ECC" w:rsidRDefault="00F66ECC" w:rsidP="00F117EB">
    <w:pPr>
      <w:pStyle w:val="Header"/>
      <w:tabs>
        <w:tab w:val="clear" w:pos="4153"/>
        <w:tab w:val="clear" w:pos="8306"/>
        <w:tab w:val="center" w:pos="1134"/>
      </w:tabs>
      <w:spacing w:line="280" w:lineRule="exact"/>
      <w:ind w:firstLine="0"/>
      <w:rPr>
        <w:rFonts w:ascii="Times New Roman" w:hAnsi="Times New Roman"/>
        <w:i/>
        <w:sz w:val="22"/>
      </w:rPr>
    </w:pPr>
  </w:p>
  <w:p w14:paraId="779A3EAA" w14:textId="77777777" w:rsidR="00F66ECC" w:rsidRDefault="00F66ECC" w:rsidP="00F117EB">
    <w:pPr>
      <w:pStyle w:val="Header"/>
      <w:tabs>
        <w:tab w:val="clear" w:pos="4153"/>
        <w:tab w:val="clear" w:pos="8306"/>
        <w:tab w:val="center" w:pos="1134"/>
      </w:tabs>
      <w:spacing w:line="280" w:lineRule="exact"/>
      <w:ind w:firstLine="0"/>
      <w:rPr>
        <w:rFonts w:ascii="Times New Roman" w:hAnsi="Times New Roman"/>
        <w:i/>
        <w:sz w:val="22"/>
      </w:rPr>
    </w:pPr>
  </w:p>
  <w:p w14:paraId="73630068" w14:textId="77777777" w:rsidR="00F66ECC" w:rsidRDefault="00F66ECC" w:rsidP="00F117EB">
    <w:pPr>
      <w:pStyle w:val="Header"/>
      <w:tabs>
        <w:tab w:val="clear" w:pos="4153"/>
        <w:tab w:val="clear" w:pos="8306"/>
        <w:tab w:val="center" w:pos="1134"/>
      </w:tabs>
      <w:spacing w:line="280" w:lineRule="exact"/>
      <w:ind w:firstLine="0"/>
      <w:rPr>
        <w:rFonts w:ascii="Times New Roman" w:hAnsi="Times New Roman"/>
        <w:i/>
        <w:sz w:val="22"/>
      </w:rPr>
    </w:pPr>
  </w:p>
  <w:p w14:paraId="38139157" w14:textId="77777777" w:rsidR="00F66ECC" w:rsidRDefault="00F66ECC" w:rsidP="00F117EB">
    <w:pPr>
      <w:pStyle w:val="Header"/>
      <w:tabs>
        <w:tab w:val="clear" w:pos="4153"/>
        <w:tab w:val="clear" w:pos="8306"/>
        <w:tab w:val="center" w:pos="1134"/>
      </w:tabs>
      <w:spacing w:line="280" w:lineRule="exact"/>
      <w:ind w:firstLine="0"/>
      <w:rPr>
        <w:rFonts w:ascii="Times New Roman" w:hAnsi="Times New Roman"/>
        <w:i/>
        <w:sz w:val="22"/>
      </w:rPr>
    </w:pPr>
  </w:p>
  <w:p w14:paraId="61BB7E4F" w14:textId="77777777" w:rsidR="00F66ECC" w:rsidRDefault="00F66ECC" w:rsidP="00F117EB">
    <w:pPr>
      <w:pStyle w:val="Header"/>
      <w:tabs>
        <w:tab w:val="clear" w:pos="4153"/>
        <w:tab w:val="clear" w:pos="8306"/>
        <w:tab w:val="center" w:pos="1134"/>
      </w:tabs>
      <w:spacing w:line="280" w:lineRule="exact"/>
      <w:ind w:firstLine="0"/>
      <w:rPr>
        <w:rFonts w:ascii="Times New Roman" w:hAnsi="Times New Roman"/>
        <w:i/>
        <w:sz w:val="22"/>
      </w:rPr>
    </w:pPr>
  </w:p>
  <w:p w14:paraId="70E99661" w14:textId="77777777" w:rsidR="00F66ECC" w:rsidRDefault="00F66ECC" w:rsidP="00F117EB">
    <w:pPr>
      <w:pStyle w:val="Header"/>
      <w:tabs>
        <w:tab w:val="clear" w:pos="4153"/>
        <w:tab w:val="clear" w:pos="8306"/>
        <w:tab w:val="center" w:pos="1134"/>
      </w:tabs>
      <w:spacing w:line="280" w:lineRule="exact"/>
      <w:ind w:firstLine="0"/>
      <w:rPr>
        <w:rFonts w:ascii="Times New Roman" w:hAnsi="Times New Roman"/>
        <w:i/>
        <w:sz w:val="22"/>
      </w:rPr>
    </w:pPr>
  </w:p>
  <w:p w14:paraId="4C3B06D7" w14:textId="77777777" w:rsidR="00F66ECC" w:rsidRPr="00F117EB" w:rsidRDefault="00F66ECC" w:rsidP="00F117EB">
    <w:pPr>
      <w:pStyle w:val="Header"/>
      <w:tabs>
        <w:tab w:val="clear" w:pos="4153"/>
        <w:tab w:val="clear" w:pos="8306"/>
        <w:tab w:val="center" w:pos="1134"/>
      </w:tabs>
      <w:spacing w:line="280" w:lineRule="exact"/>
      <w:ind w:firstLine="0"/>
      <w:rPr>
        <w:rFonts w:ascii="Times New Roman" w:hAnsi="Times New Roman"/>
        <w: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6FA3" w14:textId="77777777" w:rsidR="005B483D" w:rsidRDefault="005B483D" w:rsidP="00A10137">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Edelman</w:t>
    </w:r>
    <w:r>
      <w:rPr>
        <w:rFonts w:ascii="Times New Roman" w:hAnsi="Times New Roman"/>
        <w:i/>
        <w:sz w:val="22"/>
      </w:rPr>
      <w:tab/>
      <w:t>J</w:t>
    </w:r>
  </w:p>
  <w:p w14:paraId="28B18B5F" w14:textId="77777777" w:rsidR="005B483D" w:rsidRDefault="005B483D" w:rsidP="00A10137">
    <w:pPr>
      <w:pStyle w:val="Header"/>
      <w:tabs>
        <w:tab w:val="clear" w:pos="4153"/>
        <w:tab w:val="clear" w:pos="8306"/>
        <w:tab w:val="right" w:pos="1304"/>
      </w:tabs>
      <w:spacing w:line="280" w:lineRule="exact"/>
      <w:ind w:firstLine="0"/>
      <w:rPr>
        <w:rFonts w:ascii="Times New Roman" w:hAnsi="Times New Roman"/>
        <w:i/>
        <w:sz w:val="22"/>
      </w:rPr>
    </w:pPr>
  </w:p>
  <w:p w14:paraId="3E3C819C" w14:textId="77777777" w:rsidR="005B483D" w:rsidRDefault="005B483D" w:rsidP="00A10137">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32450172" w14:textId="77777777" w:rsidR="005B483D" w:rsidRPr="00A10137" w:rsidRDefault="005B483D" w:rsidP="00A10137">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58DE" w14:textId="77777777" w:rsidR="005B483D" w:rsidRDefault="005B483D" w:rsidP="00A10137">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Edelman</w:t>
    </w:r>
    <w:r>
      <w:rPr>
        <w:rFonts w:ascii="Times New Roman" w:hAnsi="Times New Roman"/>
        <w:i/>
        <w:sz w:val="22"/>
      </w:rPr>
      <w:tab/>
      <w:t>J</w:t>
    </w:r>
  </w:p>
  <w:p w14:paraId="7CB6FA63" w14:textId="77777777" w:rsidR="005B483D" w:rsidRDefault="005B483D" w:rsidP="00A10137">
    <w:pPr>
      <w:pStyle w:val="Header"/>
      <w:tabs>
        <w:tab w:val="clear" w:pos="4153"/>
        <w:tab w:val="clear" w:pos="8306"/>
        <w:tab w:val="left" w:pos="7200"/>
        <w:tab w:val="right" w:pos="8504"/>
      </w:tabs>
      <w:spacing w:line="280" w:lineRule="exact"/>
      <w:jc w:val="right"/>
      <w:rPr>
        <w:rFonts w:ascii="Times New Roman" w:hAnsi="Times New Roman"/>
        <w:i/>
        <w:sz w:val="22"/>
      </w:rPr>
    </w:pPr>
  </w:p>
  <w:p w14:paraId="12B09B95" w14:textId="77777777" w:rsidR="005B483D" w:rsidRDefault="005B483D" w:rsidP="00A10137">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1C4D6119" w14:textId="77777777" w:rsidR="005B483D" w:rsidRPr="00A10137" w:rsidRDefault="005B483D" w:rsidP="00A10137">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E8302" w14:textId="77777777" w:rsidR="005B483D" w:rsidRDefault="005B483D" w:rsidP="00A10137">
    <w:pPr>
      <w:pStyle w:val="Header"/>
      <w:tabs>
        <w:tab w:val="clear" w:pos="4153"/>
        <w:tab w:val="clear" w:pos="8306"/>
        <w:tab w:val="center" w:pos="1134"/>
      </w:tabs>
      <w:spacing w:line="280" w:lineRule="exact"/>
      <w:ind w:firstLine="0"/>
      <w:rPr>
        <w:rFonts w:ascii="Times New Roman" w:hAnsi="Times New Roman"/>
        <w:i/>
        <w:sz w:val="22"/>
      </w:rPr>
    </w:pPr>
  </w:p>
  <w:p w14:paraId="3714AE5B" w14:textId="77777777" w:rsidR="005B483D" w:rsidRDefault="005B483D" w:rsidP="00A10137">
    <w:pPr>
      <w:pStyle w:val="Header"/>
      <w:tabs>
        <w:tab w:val="clear" w:pos="4153"/>
        <w:tab w:val="clear" w:pos="8306"/>
        <w:tab w:val="center" w:pos="1134"/>
      </w:tabs>
      <w:spacing w:line="280" w:lineRule="exact"/>
      <w:ind w:firstLine="0"/>
      <w:rPr>
        <w:rFonts w:ascii="Times New Roman" w:hAnsi="Times New Roman"/>
        <w:i/>
        <w:sz w:val="22"/>
      </w:rPr>
    </w:pPr>
  </w:p>
  <w:p w14:paraId="2F71AF9A" w14:textId="77777777" w:rsidR="005B483D" w:rsidRDefault="005B483D" w:rsidP="00A10137">
    <w:pPr>
      <w:pStyle w:val="Header"/>
      <w:tabs>
        <w:tab w:val="clear" w:pos="4153"/>
        <w:tab w:val="clear" w:pos="8306"/>
        <w:tab w:val="center" w:pos="1134"/>
      </w:tabs>
      <w:spacing w:line="280" w:lineRule="exact"/>
      <w:ind w:firstLine="0"/>
      <w:rPr>
        <w:rFonts w:ascii="Times New Roman" w:hAnsi="Times New Roman"/>
        <w:i/>
        <w:sz w:val="22"/>
      </w:rPr>
    </w:pPr>
  </w:p>
  <w:p w14:paraId="376A78EB" w14:textId="77777777" w:rsidR="005B483D" w:rsidRPr="00A10137" w:rsidRDefault="005B483D" w:rsidP="00A10137">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92C7A"/>
    <w:multiLevelType w:val="hybridMultilevel"/>
    <w:tmpl w:val="0054E672"/>
    <w:lvl w:ilvl="0" w:tplc="6A942F70">
      <w:start w:val="1"/>
      <w:numFmt w:val="bullet"/>
      <w:lvlText w:val=""/>
      <w:lvlJc w:val="left"/>
      <w:pPr>
        <w:ind w:left="720" w:hanging="360"/>
      </w:pPr>
      <w:rPr>
        <w:rFonts w:ascii="Symbol" w:hAnsi="Symbol"/>
      </w:rPr>
    </w:lvl>
    <w:lvl w:ilvl="1" w:tplc="66CAB00E">
      <w:start w:val="1"/>
      <w:numFmt w:val="bullet"/>
      <w:lvlText w:val=""/>
      <w:lvlJc w:val="left"/>
      <w:pPr>
        <w:ind w:left="720" w:hanging="360"/>
      </w:pPr>
      <w:rPr>
        <w:rFonts w:ascii="Symbol" w:hAnsi="Symbol"/>
      </w:rPr>
    </w:lvl>
    <w:lvl w:ilvl="2" w:tplc="8F0E81A6">
      <w:start w:val="1"/>
      <w:numFmt w:val="bullet"/>
      <w:lvlText w:val=""/>
      <w:lvlJc w:val="left"/>
      <w:pPr>
        <w:ind w:left="720" w:hanging="360"/>
      </w:pPr>
      <w:rPr>
        <w:rFonts w:ascii="Symbol" w:hAnsi="Symbol"/>
      </w:rPr>
    </w:lvl>
    <w:lvl w:ilvl="3" w:tplc="503CA4EA">
      <w:start w:val="1"/>
      <w:numFmt w:val="bullet"/>
      <w:lvlText w:val=""/>
      <w:lvlJc w:val="left"/>
      <w:pPr>
        <w:ind w:left="720" w:hanging="360"/>
      </w:pPr>
      <w:rPr>
        <w:rFonts w:ascii="Symbol" w:hAnsi="Symbol"/>
      </w:rPr>
    </w:lvl>
    <w:lvl w:ilvl="4" w:tplc="16E0F428">
      <w:start w:val="1"/>
      <w:numFmt w:val="bullet"/>
      <w:lvlText w:val=""/>
      <w:lvlJc w:val="left"/>
      <w:pPr>
        <w:ind w:left="720" w:hanging="360"/>
      </w:pPr>
      <w:rPr>
        <w:rFonts w:ascii="Symbol" w:hAnsi="Symbol"/>
      </w:rPr>
    </w:lvl>
    <w:lvl w:ilvl="5" w:tplc="2AFEA9FA">
      <w:start w:val="1"/>
      <w:numFmt w:val="bullet"/>
      <w:lvlText w:val=""/>
      <w:lvlJc w:val="left"/>
      <w:pPr>
        <w:ind w:left="720" w:hanging="360"/>
      </w:pPr>
      <w:rPr>
        <w:rFonts w:ascii="Symbol" w:hAnsi="Symbol"/>
      </w:rPr>
    </w:lvl>
    <w:lvl w:ilvl="6" w:tplc="880CD9AA">
      <w:start w:val="1"/>
      <w:numFmt w:val="bullet"/>
      <w:lvlText w:val=""/>
      <w:lvlJc w:val="left"/>
      <w:pPr>
        <w:ind w:left="720" w:hanging="360"/>
      </w:pPr>
      <w:rPr>
        <w:rFonts w:ascii="Symbol" w:hAnsi="Symbol"/>
      </w:rPr>
    </w:lvl>
    <w:lvl w:ilvl="7" w:tplc="06485EE6">
      <w:start w:val="1"/>
      <w:numFmt w:val="bullet"/>
      <w:lvlText w:val=""/>
      <w:lvlJc w:val="left"/>
      <w:pPr>
        <w:ind w:left="720" w:hanging="360"/>
      </w:pPr>
      <w:rPr>
        <w:rFonts w:ascii="Symbol" w:hAnsi="Symbol"/>
      </w:rPr>
    </w:lvl>
    <w:lvl w:ilvl="8" w:tplc="249CBD8E">
      <w:start w:val="1"/>
      <w:numFmt w:val="bullet"/>
      <w:lvlText w:val=""/>
      <w:lvlJc w:val="left"/>
      <w:pPr>
        <w:ind w:left="720" w:hanging="360"/>
      </w:pPr>
      <w:rPr>
        <w:rFonts w:ascii="Symbol" w:hAnsi="Symbol"/>
      </w:rPr>
    </w:lvl>
  </w:abstractNum>
  <w:abstractNum w:abstractNumId="11" w15:restartNumberingAfterBreak="0">
    <w:nsid w:val="03684ED6"/>
    <w:multiLevelType w:val="hybridMultilevel"/>
    <w:tmpl w:val="7714D7F0"/>
    <w:lvl w:ilvl="0" w:tplc="B1B053F4">
      <w:start w:val="1"/>
      <w:numFmt w:val="bullet"/>
      <w:lvlText w:val=""/>
      <w:lvlJc w:val="left"/>
      <w:pPr>
        <w:ind w:left="720" w:hanging="360"/>
      </w:pPr>
      <w:rPr>
        <w:rFonts w:ascii="Symbol" w:hAnsi="Symbol"/>
      </w:rPr>
    </w:lvl>
    <w:lvl w:ilvl="1" w:tplc="3DE849AE">
      <w:start w:val="1"/>
      <w:numFmt w:val="bullet"/>
      <w:lvlText w:val=""/>
      <w:lvlJc w:val="left"/>
      <w:pPr>
        <w:ind w:left="720" w:hanging="360"/>
      </w:pPr>
      <w:rPr>
        <w:rFonts w:ascii="Symbol" w:hAnsi="Symbol"/>
      </w:rPr>
    </w:lvl>
    <w:lvl w:ilvl="2" w:tplc="EFF06248">
      <w:start w:val="1"/>
      <w:numFmt w:val="bullet"/>
      <w:lvlText w:val=""/>
      <w:lvlJc w:val="left"/>
      <w:pPr>
        <w:ind w:left="720" w:hanging="360"/>
      </w:pPr>
      <w:rPr>
        <w:rFonts w:ascii="Symbol" w:hAnsi="Symbol"/>
      </w:rPr>
    </w:lvl>
    <w:lvl w:ilvl="3" w:tplc="C840E238">
      <w:start w:val="1"/>
      <w:numFmt w:val="bullet"/>
      <w:lvlText w:val=""/>
      <w:lvlJc w:val="left"/>
      <w:pPr>
        <w:ind w:left="720" w:hanging="360"/>
      </w:pPr>
      <w:rPr>
        <w:rFonts w:ascii="Symbol" w:hAnsi="Symbol"/>
      </w:rPr>
    </w:lvl>
    <w:lvl w:ilvl="4" w:tplc="391C6AA8">
      <w:start w:val="1"/>
      <w:numFmt w:val="bullet"/>
      <w:lvlText w:val=""/>
      <w:lvlJc w:val="left"/>
      <w:pPr>
        <w:ind w:left="720" w:hanging="360"/>
      </w:pPr>
      <w:rPr>
        <w:rFonts w:ascii="Symbol" w:hAnsi="Symbol"/>
      </w:rPr>
    </w:lvl>
    <w:lvl w:ilvl="5" w:tplc="3188972E">
      <w:start w:val="1"/>
      <w:numFmt w:val="bullet"/>
      <w:lvlText w:val=""/>
      <w:lvlJc w:val="left"/>
      <w:pPr>
        <w:ind w:left="720" w:hanging="360"/>
      </w:pPr>
      <w:rPr>
        <w:rFonts w:ascii="Symbol" w:hAnsi="Symbol"/>
      </w:rPr>
    </w:lvl>
    <w:lvl w:ilvl="6" w:tplc="5C9668F2">
      <w:start w:val="1"/>
      <w:numFmt w:val="bullet"/>
      <w:lvlText w:val=""/>
      <w:lvlJc w:val="left"/>
      <w:pPr>
        <w:ind w:left="720" w:hanging="360"/>
      </w:pPr>
      <w:rPr>
        <w:rFonts w:ascii="Symbol" w:hAnsi="Symbol"/>
      </w:rPr>
    </w:lvl>
    <w:lvl w:ilvl="7" w:tplc="6C5A28F6">
      <w:start w:val="1"/>
      <w:numFmt w:val="bullet"/>
      <w:lvlText w:val=""/>
      <w:lvlJc w:val="left"/>
      <w:pPr>
        <w:ind w:left="720" w:hanging="360"/>
      </w:pPr>
      <w:rPr>
        <w:rFonts w:ascii="Symbol" w:hAnsi="Symbol"/>
      </w:rPr>
    </w:lvl>
    <w:lvl w:ilvl="8" w:tplc="E90067C2">
      <w:start w:val="1"/>
      <w:numFmt w:val="bullet"/>
      <w:lvlText w:val=""/>
      <w:lvlJc w:val="left"/>
      <w:pPr>
        <w:ind w:left="720" w:hanging="360"/>
      </w:pPr>
      <w:rPr>
        <w:rFonts w:ascii="Symbol" w:hAnsi="Symbol"/>
      </w:rPr>
    </w:lvl>
  </w:abstractNum>
  <w:abstractNum w:abstractNumId="12" w15:restartNumberingAfterBreak="0">
    <w:nsid w:val="043518F1"/>
    <w:multiLevelType w:val="hybridMultilevel"/>
    <w:tmpl w:val="252ECD7E"/>
    <w:lvl w:ilvl="0" w:tplc="DD96852C">
      <w:start w:val="1"/>
      <w:numFmt w:val="bullet"/>
      <w:lvlText w:val=""/>
      <w:lvlJc w:val="left"/>
      <w:pPr>
        <w:ind w:left="720" w:hanging="360"/>
      </w:pPr>
      <w:rPr>
        <w:rFonts w:ascii="Symbol" w:hAnsi="Symbol"/>
      </w:rPr>
    </w:lvl>
    <w:lvl w:ilvl="1" w:tplc="8C668CCA">
      <w:start w:val="1"/>
      <w:numFmt w:val="bullet"/>
      <w:lvlText w:val=""/>
      <w:lvlJc w:val="left"/>
      <w:pPr>
        <w:ind w:left="720" w:hanging="360"/>
      </w:pPr>
      <w:rPr>
        <w:rFonts w:ascii="Symbol" w:hAnsi="Symbol"/>
      </w:rPr>
    </w:lvl>
    <w:lvl w:ilvl="2" w:tplc="C0900722">
      <w:start w:val="1"/>
      <w:numFmt w:val="bullet"/>
      <w:lvlText w:val=""/>
      <w:lvlJc w:val="left"/>
      <w:pPr>
        <w:ind w:left="720" w:hanging="360"/>
      </w:pPr>
      <w:rPr>
        <w:rFonts w:ascii="Symbol" w:hAnsi="Symbol"/>
      </w:rPr>
    </w:lvl>
    <w:lvl w:ilvl="3" w:tplc="200CD14C">
      <w:start w:val="1"/>
      <w:numFmt w:val="bullet"/>
      <w:lvlText w:val=""/>
      <w:lvlJc w:val="left"/>
      <w:pPr>
        <w:ind w:left="720" w:hanging="360"/>
      </w:pPr>
      <w:rPr>
        <w:rFonts w:ascii="Symbol" w:hAnsi="Symbol"/>
      </w:rPr>
    </w:lvl>
    <w:lvl w:ilvl="4" w:tplc="D0C6F6BA">
      <w:start w:val="1"/>
      <w:numFmt w:val="bullet"/>
      <w:lvlText w:val=""/>
      <w:lvlJc w:val="left"/>
      <w:pPr>
        <w:ind w:left="720" w:hanging="360"/>
      </w:pPr>
      <w:rPr>
        <w:rFonts w:ascii="Symbol" w:hAnsi="Symbol"/>
      </w:rPr>
    </w:lvl>
    <w:lvl w:ilvl="5" w:tplc="E24E4ABE">
      <w:start w:val="1"/>
      <w:numFmt w:val="bullet"/>
      <w:lvlText w:val=""/>
      <w:lvlJc w:val="left"/>
      <w:pPr>
        <w:ind w:left="720" w:hanging="360"/>
      </w:pPr>
      <w:rPr>
        <w:rFonts w:ascii="Symbol" w:hAnsi="Symbol"/>
      </w:rPr>
    </w:lvl>
    <w:lvl w:ilvl="6" w:tplc="E730B154">
      <w:start w:val="1"/>
      <w:numFmt w:val="bullet"/>
      <w:lvlText w:val=""/>
      <w:lvlJc w:val="left"/>
      <w:pPr>
        <w:ind w:left="720" w:hanging="360"/>
      </w:pPr>
      <w:rPr>
        <w:rFonts w:ascii="Symbol" w:hAnsi="Symbol"/>
      </w:rPr>
    </w:lvl>
    <w:lvl w:ilvl="7" w:tplc="5FE43CA4">
      <w:start w:val="1"/>
      <w:numFmt w:val="bullet"/>
      <w:lvlText w:val=""/>
      <w:lvlJc w:val="left"/>
      <w:pPr>
        <w:ind w:left="720" w:hanging="360"/>
      </w:pPr>
      <w:rPr>
        <w:rFonts w:ascii="Symbol" w:hAnsi="Symbol"/>
      </w:rPr>
    </w:lvl>
    <w:lvl w:ilvl="8" w:tplc="D23AB380">
      <w:start w:val="1"/>
      <w:numFmt w:val="bullet"/>
      <w:lvlText w:val=""/>
      <w:lvlJc w:val="left"/>
      <w:pPr>
        <w:ind w:left="720" w:hanging="360"/>
      </w:pPr>
      <w:rPr>
        <w:rFonts w:ascii="Symbol" w:hAnsi="Symbol"/>
      </w:rPr>
    </w:lvl>
  </w:abstractNum>
  <w:abstractNum w:abstractNumId="13"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4"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109C6EAC"/>
    <w:multiLevelType w:val="hybridMultilevel"/>
    <w:tmpl w:val="0EB803DA"/>
    <w:lvl w:ilvl="0" w:tplc="224C4580">
      <w:start w:val="1"/>
      <w:numFmt w:val="bullet"/>
      <w:lvlText w:val=""/>
      <w:lvlJc w:val="left"/>
      <w:pPr>
        <w:ind w:left="720" w:hanging="360"/>
      </w:pPr>
      <w:rPr>
        <w:rFonts w:ascii="Symbol" w:hAnsi="Symbol"/>
      </w:rPr>
    </w:lvl>
    <w:lvl w:ilvl="1" w:tplc="97E6E77C">
      <w:start w:val="1"/>
      <w:numFmt w:val="bullet"/>
      <w:lvlText w:val=""/>
      <w:lvlJc w:val="left"/>
      <w:pPr>
        <w:ind w:left="720" w:hanging="360"/>
      </w:pPr>
      <w:rPr>
        <w:rFonts w:ascii="Symbol" w:hAnsi="Symbol"/>
      </w:rPr>
    </w:lvl>
    <w:lvl w:ilvl="2" w:tplc="1E7E3822">
      <w:start w:val="1"/>
      <w:numFmt w:val="bullet"/>
      <w:lvlText w:val=""/>
      <w:lvlJc w:val="left"/>
      <w:pPr>
        <w:ind w:left="720" w:hanging="360"/>
      </w:pPr>
      <w:rPr>
        <w:rFonts w:ascii="Symbol" w:hAnsi="Symbol"/>
      </w:rPr>
    </w:lvl>
    <w:lvl w:ilvl="3" w:tplc="D904EF9A">
      <w:start w:val="1"/>
      <w:numFmt w:val="bullet"/>
      <w:lvlText w:val=""/>
      <w:lvlJc w:val="left"/>
      <w:pPr>
        <w:ind w:left="720" w:hanging="360"/>
      </w:pPr>
      <w:rPr>
        <w:rFonts w:ascii="Symbol" w:hAnsi="Symbol"/>
      </w:rPr>
    </w:lvl>
    <w:lvl w:ilvl="4" w:tplc="75E07E78">
      <w:start w:val="1"/>
      <w:numFmt w:val="bullet"/>
      <w:lvlText w:val=""/>
      <w:lvlJc w:val="left"/>
      <w:pPr>
        <w:ind w:left="720" w:hanging="360"/>
      </w:pPr>
      <w:rPr>
        <w:rFonts w:ascii="Symbol" w:hAnsi="Symbol"/>
      </w:rPr>
    </w:lvl>
    <w:lvl w:ilvl="5" w:tplc="5DDC40BE">
      <w:start w:val="1"/>
      <w:numFmt w:val="bullet"/>
      <w:lvlText w:val=""/>
      <w:lvlJc w:val="left"/>
      <w:pPr>
        <w:ind w:left="720" w:hanging="360"/>
      </w:pPr>
      <w:rPr>
        <w:rFonts w:ascii="Symbol" w:hAnsi="Symbol"/>
      </w:rPr>
    </w:lvl>
    <w:lvl w:ilvl="6" w:tplc="27CC20F2">
      <w:start w:val="1"/>
      <w:numFmt w:val="bullet"/>
      <w:lvlText w:val=""/>
      <w:lvlJc w:val="left"/>
      <w:pPr>
        <w:ind w:left="720" w:hanging="360"/>
      </w:pPr>
      <w:rPr>
        <w:rFonts w:ascii="Symbol" w:hAnsi="Symbol"/>
      </w:rPr>
    </w:lvl>
    <w:lvl w:ilvl="7" w:tplc="4732D52C">
      <w:start w:val="1"/>
      <w:numFmt w:val="bullet"/>
      <w:lvlText w:val=""/>
      <w:lvlJc w:val="left"/>
      <w:pPr>
        <w:ind w:left="720" w:hanging="360"/>
      </w:pPr>
      <w:rPr>
        <w:rFonts w:ascii="Symbol" w:hAnsi="Symbol"/>
      </w:rPr>
    </w:lvl>
    <w:lvl w:ilvl="8" w:tplc="9884A508">
      <w:start w:val="1"/>
      <w:numFmt w:val="bullet"/>
      <w:lvlText w:val=""/>
      <w:lvlJc w:val="left"/>
      <w:pPr>
        <w:ind w:left="720" w:hanging="360"/>
      </w:pPr>
      <w:rPr>
        <w:rFonts w:ascii="Symbol" w:hAnsi="Symbol"/>
      </w:rPr>
    </w:lvl>
  </w:abstractNum>
  <w:abstractNum w:abstractNumId="16" w15:restartNumberingAfterBreak="0">
    <w:nsid w:val="126304DE"/>
    <w:multiLevelType w:val="hybridMultilevel"/>
    <w:tmpl w:val="B82E37DE"/>
    <w:lvl w:ilvl="0" w:tplc="923EEC60">
      <w:start w:val="1"/>
      <w:numFmt w:val="bullet"/>
      <w:lvlText w:val=""/>
      <w:lvlJc w:val="left"/>
      <w:pPr>
        <w:ind w:left="720" w:hanging="360"/>
      </w:pPr>
      <w:rPr>
        <w:rFonts w:ascii="Symbol" w:hAnsi="Symbol"/>
      </w:rPr>
    </w:lvl>
    <w:lvl w:ilvl="1" w:tplc="B1B86284">
      <w:start w:val="1"/>
      <w:numFmt w:val="bullet"/>
      <w:lvlText w:val=""/>
      <w:lvlJc w:val="left"/>
      <w:pPr>
        <w:ind w:left="720" w:hanging="360"/>
      </w:pPr>
      <w:rPr>
        <w:rFonts w:ascii="Symbol" w:hAnsi="Symbol"/>
      </w:rPr>
    </w:lvl>
    <w:lvl w:ilvl="2" w:tplc="D946F51E">
      <w:start w:val="1"/>
      <w:numFmt w:val="bullet"/>
      <w:lvlText w:val=""/>
      <w:lvlJc w:val="left"/>
      <w:pPr>
        <w:ind w:left="720" w:hanging="360"/>
      </w:pPr>
      <w:rPr>
        <w:rFonts w:ascii="Symbol" w:hAnsi="Symbol"/>
      </w:rPr>
    </w:lvl>
    <w:lvl w:ilvl="3" w:tplc="4A88D2B8">
      <w:start w:val="1"/>
      <w:numFmt w:val="bullet"/>
      <w:lvlText w:val=""/>
      <w:lvlJc w:val="left"/>
      <w:pPr>
        <w:ind w:left="720" w:hanging="360"/>
      </w:pPr>
      <w:rPr>
        <w:rFonts w:ascii="Symbol" w:hAnsi="Symbol"/>
      </w:rPr>
    </w:lvl>
    <w:lvl w:ilvl="4" w:tplc="5E6020D2">
      <w:start w:val="1"/>
      <w:numFmt w:val="bullet"/>
      <w:lvlText w:val=""/>
      <w:lvlJc w:val="left"/>
      <w:pPr>
        <w:ind w:left="720" w:hanging="360"/>
      </w:pPr>
      <w:rPr>
        <w:rFonts w:ascii="Symbol" w:hAnsi="Symbol"/>
      </w:rPr>
    </w:lvl>
    <w:lvl w:ilvl="5" w:tplc="9F18C624">
      <w:start w:val="1"/>
      <w:numFmt w:val="bullet"/>
      <w:lvlText w:val=""/>
      <w:lvlJc w:val="left"/>
      <w:pPr>
        <w:ind w:left="720" w:hanging="360"/>
      </w:pPr>
      <w:rPr>
        <w:rFonts w:ascii="Symbol" w:hAnsi="Symbol"/>
      </w:rPr>
    </w:lvl>
    <w:lvl w:ilvl="6" w:tplc="C4F45CC0">
      <w:start w:val="1"/>
      <w:numFmt w:val="bullet"/>
      <w:lvlText w:val=""/>
      <w:lvlJc w:val="left"/>
      <w:pPr>
        <w:ind w:left="720" w:hanging="360"/>
      </w:pPr>
      <w:rPr>
        <w:rFonts w:ascii="Symbol" w:hAnsi="Symbol"/>
      </w:rPr>
    </w:lvl>
    <w:lvl w:ilvl="7" w:tplc="89D40BDA">
      <w:start w:val="1"/>
      <w:numFmt w:val="bullet"/>
      <w:lvlText w:val=""/>
      <w:lvlJc w:val="left"/>
      <w:pPr>
        <w:ind w:left="720" w:hanging="360"/>
      </w:pPr>
      <w:rPr>
        <w:rFonts w:ascii="Symbol" w:hAnsi="Symbol"/>
      </w:rPr>
    </w:lvl>
    <w:lvl w:ilvl="8" w:tplc="27AEAAA8">
      <w:start w:val="1"/>
      <w:numFmt w:val="bullet"/>
      <w:lvlText w:val=""/>
      <w:lvlJc w:val="left"/>
      <w:pPr>
        <w:ind w:left="720" w:hanging="360"/>
      </w:pPr>
      <w:rPr>
        <w:rFonts w:ascii="Symbol" w:hAnsi="Symbol"/>
      </w:rPr>
    </w:lvl>
  </w:abstractNum>
  <w:abstractNum w:abstractNumId="17" w15:restartNumberingAfterBreak="0">
    <w:nsid w:val="12851EA4"/>
    <w:multiLevelType w:val="hybridMultilevel"/>
    <w:tmpl w:val="41086468"/>
    <w:lvl w:ilvl="0" w:tplc="5C2461C4">
      <w:start w:val="1"/>
      <w:numFmt w:val="bullet"/>
      <w:lvlText w:val=""/>
      <w:lvlJc w:val="left"/>
      <w:pPr>
        <w:ind w:left="720" w:hanging="360"/>
      </w:pPr>
      <w:rPr>
        <w:rFonts w:ascii="Symbol" w:hAnsi="Symbol"/>
      </w:rPr>
    </w:lvl>
    <w:lvl w:ilvl="1" w:tplc="30242E90">
      <w:start w:val="1"/>
      <w:numFmt w:val="bullet"/>
      <w:lvlText w:val=""/>
      <w:lvlJc w:val="left"/>
      <w:pPr>
        <w:ind w:left="720" w:hanging="360"/>
      </w:pPr>
      <w:rPr>
        <w:rFonts w:ascii="Symbol" w:hAnsi="Symbol"/>
      </w:rPr>
    </w:lvl>
    <w:lvl w:ilvl="2" w:tplc="C4769968">
      <w:start w:val="1"/>
      <w:numFmt w:val="bullet"/>
      <w:lvlText w:val=""/>
      <w:lvlJc w:val="left"/>
      <w:pPr>
        <w:ind w:left="720" w:hanging="360"/>
      </w:pPr>
      <w:rPr>
        <w:rFonts w:ascii="Symbol" w:hAnsi="Symbol"/>
      </w:rPr>
    </w:lvl>
    <w:lvl w:ilvl="3" w:tplc="B1C42016">
      <w:start w:val="1"/>
      <w:numFmt w:val="bullet"/>
      <w:lvlText w:val=""/>
      <w:lvlJc w:val="left"/>
      <w:pPr>
        <w:ind w:left="720" w:hanging="360"/>
      </w:pPr>
      <w:rPr>
        <w:rFonts w:ascii="Symbol" w:hAnsi="Symbol"/>
      </w:rPr>
    </w:lvl>
    <w:lvl w:ilvl="4" w:tplc="47F4C89A">
      <w:start w:val="1"/>
      <w:numFmt w:val="bullet"/>
      <w:lvlText w:val=""/>
      <w:lvlJc w:val="left"/>
      <w:pPr>
        <w:ind w:left="720" w:hanging="360"/>
      </w:pPr>
      <w:rPr>
        <w:rFonts w:ascii="Symbol" w:hAnsi="Symbol"/>
      </w:rPr>
    </w:lvl>
    <w:lvl w:ilvl="5" w:tplc="61B26F54">
      <w:start w:val="1"/>
      <w:numFmt w:val="bullet"/>
      <w:lvlText w:val=""/>
      <w:lvlJc w:val="left"/>
      <w:pPr>
        <w:ind w:left="720" w:hanging="360"/>
      </w:pPr>
      <w:rPr>
        <w:rFonts w:ascii="Symbol" w:hAnsi="Symbol"/>
      </w:rPr>
    </w:lvl>
    <w:lvl w:ilvl="6" w:tplc="4F7CAE12">
      <w:start w:val="1"/>
      <w:numFmt w:val="bullet"/>
      <w:lvlText w:val=""/>
      <w:lvlJc w:val="left"/>
      <w:pPr>
        <w:ind w:left="720" w:hanging="360"/>
      </w:pPr>
      <w:rPr>
        <w:rFonts w:ascii="Symbol" w:hAnsi="Symbol"/>
      </w:rPr>
    </w:lvl>
    <w:lvl w:ilvl="7" w:tplc="73E8FFDC">
      <w:start w:val="1"/>
      <w:numFmt w:val="bullet"/>
      <w:lvlText w:val=""/>
      <w:lvlJc w:val="left"/>
      <w:pPr>
        <w:ind w:left="720" w:hanging="360"/>
      </w:pPr>
      <w:rPr>
        <w:rFonts w:ascii="Symbol" w:hAnsi="Symbol"/>
      </w:rPr>
    </w:lvl>
    <w:lvl w:ilvl="8" w:tplc="2CA8A38E">
      <w:start w:val="1"/>
      <w:numFmt w:val="bullet"/>
      <w:lvlText w:val=""/>
      <w:lvlJc w:val="left"/>
      <w:pPr>
        <w:ind w:left="720" w:hanging="360"/>
      </w:pPr>
      <w:rPr>
        <w:rFonts w:ascii="Symbol" w:hAnsi="Symbol"/>
      </w:rPr>
    </w:lvl>
  </w:abstractNum>
  <w:abstractNum w:abstractNumId="18"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21963248"/>
    <w:multiLevelType w:val="hybridMultilevel"/>
    <w:tmpl w:val="4BB48BCC"/>
    <w:lvl w:ilvl="0" w:tplc="B908F1EC">
      <w:start w:val="1"/>
      <w:numFmt w:val="bullet"/>
      <w:lvlText w:val=""/>
      <w:lvlJc w:val="left"/>
      <w:pPr>
        <w:ind w:left="720" w:hanging="360"/>
      </w:pPr>
      <w:rPr>
        <w:rFonts w:ascii="Symbol" w:hAnsi="Symbol"/>
      </w:rPr>
    </w:lvl>
    <w:lvl w:ilvl="1" w:tplc="999C76F8">
      <w:start w:val="1"/>
      <w:numFmt w:val="bullet"/>
      <w:lvlText w:val=""/>
      <w:lvlJc w:val="left"/>
      <w:pPr>
        <w:ind w:left="720" w:hanging="360"/>
      </w:pPr>
      <w:rPr>
        <w:rFonts w:ascii="Symbol" w:hAnsi="Symbol"/>
      </w:rPr>
    </w:lvl>
    <w:lvl w:ilvl="2" w:tplc="A8763B04">
      <w:start w:val="1"/>
      <w:numFmt w:val="bullet"/>
      <w:lvlText w:val=""/>
      <w:lvlJc w:val="left"/>
      <w:pPr>
        <w:ind w:left="720" w:hanging="360"/>
      </w:pPr>
      <w:rPr>
        <w:rFonts w:ascii="Symbol" w:hAnsi="Symbol"/>
      </w:rPr>
    </w:lvl>
    <w:lvl w:ilvl="3" w:tplc="8ACA0D14">
      <w:start w:val="1"/>
      <w:numFmt w:val="bullet"/>
      <w:lvlText w:val=""/>
      <w:lvlJc w:val="left"/>
      <w:pPr>
        <w:ind w:left="720" w:hanging="360"/>
      </w:pPr>
      <w:rPr>
        <w:rFonts w:ascii="Symbol" w:hAnsi="Symbol"/>
      </w:rPr>
    </w:lvl>
    <w:lvl w:ilvl="4" w:tplc="253CB8F4">
      <w:start w:val="1"/>
      <w:numFmt w:val="bullet"/>
      <w:lvlText w:val=""/>
      <w:lvlJc w:val="left"/>
      <w:pPr>
        <w:ind w:left="720" w:hanging="360"/>
      </w:pPr>
      <w:rPr>
        <w:rFonts w:ascii="Symbol" w:hAnsi="Symbol"/>
      </w:rPr>
    </w:lvl>
    <w:lvl w:ilvl="5" w:tplc="F4C60FEE">
      <w:start w:val="1"/>
      <w:numFmt w:val="bullet"/>
      <w:lvlText w:val=""/>
      <w:lvlJc w:val="left"/>
      <w:pPr>
        <w:ind w:left="720" w:hanging="360"/>
      </w:pPr>
      <w:rPr>
        <w:rFonts w:ascii="Symbol" w:hAnsi="Symbol"/>
      </w:rPr>
    </w:lvl>
    <w:lvl w:ilvl="6" w:tplc="64D8432C">
      <w:start w:val="1"/>
      <w:numFmt w:val="bullet"/>
      <w:lvlText w:val=""/>
      <w:lvlJc w:val="left"/>
      <w:pPr>
        <w:ind w:left="720" w:hanging="360"/>
      </w:pPr>
      <w:rPr>
        <w:rFonts w:ascii="Symbol" w:hAnsi="Symbol"/>
      </w:rPr>
    </w:lvl>
    <w:lvl w:ilvl="7" w:tplc="58B8F74E">
      <w:start w:val="1"/>
      <w:numFmt w:val="bullet"/>
      <w:lvlText w:val=""/>
      <w:lvlJc w:val="left"/>
      <w:pPr>
        <w:ind w:left="720" w:hanging="360"/>
      </w:pPr>
      <w:rPr>
        <w:rFonts w:ascii="Symbol" w:hAnsi="Symbol"/>
      </w:rPr>
    </w:lvl>
    <w:lvl w:ilvl="8" w:tplc="F0FA611C">
      <w:start w:val="1"/>
      <w:numFmt w:val="bullet"/>
      <w:lvlText w:val=""/>
      <w:lvlJc w:val="left"/>
      <w:pPr>
        <w:ind w:left="720" w:hanging="360"/>
      </w:pPr>
      <w:rPr>
        <w:rFonts w:ascii="Symbol" w:hAnsi="Symbol"/>
      </w:rPr>
    </w:lvl>
  </w:abstractNum>
  <w:abstractNum w:abstractNumId="20" w15:restartNumberingAfterBreak="0">
    <w:nsid w:val="258E6162"/>
    <w:multiLevelType w:val="hybridMultilevel"/>
    <w:tmpl w:val="5DA63B4E"/>
    <w:lvl w:ilvl="0" w:tplc="7CE83D64">
      <w:start w:val="1"/>
      <w:numFmt w:val="decimal"/>
      <w:lvlText w:val="%1."/>
      <w:lvlJc w:val="left"/>
      <w:pPr>
        <w:ind w:left="720" w:hanging="360"/>
      </w:pPr>
    </w:lvl>
    <w:lvl w:ilvl="1" w:tplc="8D103F6A">
      <w:start w:val="1"/>
      <w:numFmt w:val="decimal"/>
      <w:lvlText w:val="%2."/>
      <w:lvlJc w:val="left"/>
      <w:pPr>
        <w:ind w:left="720" w:hanging="360"/>
      </w:pPr>
    </w:lvl>
    <w:lvl w:ilvl="2" w:tplc="32C070F8">
      <w:start w:val="1"/>
      <w:numFmt w:val="decimal"/>
      <w:lvlText w:val="%3."/>
      <w:lvlJc w:val="left"/>
      <w:pPr>
        <w:ind w:left="720" w:hanging="360"/>
      </w:pPr>
    </w:lvl>
    <w:lvl w:ilvl="3" w:tplc="779C1BEC">
      <w:start w:val="1"/>
      <w:numFmt w:val="decimal"/>
      <w:lvlText w:val="%4."/>
      <w:lvlJc w:val="left"/>
      <w:pPr>
        <w:ind w:left="720" w:hanging="360"/>
      </w:pPr>
    </w:lvl>
    <w:lvl w:ilvl="4" w:tplc="71C873C4">
      <w:start w:val="1"/>
      <w:numFmt w:val="decimal"/>
      <w:lvlText w:val="%5."/>
      <w:lvlJc w:val="left"/>
      <w:pPr>
        <w:ind w:left="720" w:hanging="360"/>
      </w:pPr>
    </w:lvl>
    <w:lvl w:ilvl="5" w:tplc="847E3F88">
      <w:start w:val="1"/>
      <w:numFmt w:val="decimal"/>
      <w:lvlText w:val="%6."/>
      <w:lvlJc w:val="left"/>
      <w:pPr>
        <w:ind w:left="720" w:hanging="360"/>
      </w:pPr>
    </w:lvl>
    <w:lvl w:ilvl="6" w:tplc="AEBC0DEC">
      <w:start w:val="1"/>
      <w:numFmt w:val="decimal"/>
      <w:lvlText w:val="%7."/>
      <w:lvlJc w:val="left"/>
      <w:pPr>
        <w:ind w:left="720" w:hanging="360"/>
      </w:pPr>
    </w:lvl>
    <w:lvl w:ilvl="7" w:tplc="5B706E96">
      <w:start w:val="1"/>
      <w:numFmt w:val="decimal"/>
      <w:lvlText w:val="%8."/>
      <w:lvlJc w:val="left"/>
      <w:pPr>
        <w:ind w:left="720" w:hanging="360"/>
      </w:pPr>
    </w:lvl>
    <w:lvl w:ilvl="8" w:tplc="E3F825D8">
      <w:start w:val="1"/>
      <w:numFmt w:val="decimal"/>
      <w:lvlText w:val="%9."/>
      <w:lvlJc w:val="left"/>
      <w:pPr>
        <w:ind w:left="720" w:hanging="360"/>
      </w:pPr>
    </w:lvl>
  </w:abstractNum>
  <w:abstractNum w:abstractNumId="21"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21D41E0"/>
    <w:multiLevelType w:val="hybridMultilevel"/>
    <w:tmpl w:val="D4567EA2"/>
    <w:lvl w:ilvl="0" w:tplc="8694437E">
      <w:start w:val="1"/>
      <w:numFmt w:val="decimal"/>
      <w:lvlText w:val="%1."/>
      <w:lvlJc w:val="left"/>
      <w:pPr>
        <w:ind w:left="720" w:hanging="360"/>
      </w:pPr>
    </w:lvl>
    <w:lvl w:ilvl="1" w:tplc="AACA800E">
      <w:start w:val="1"/>
      <w:numFmt w:val="decimal"/>
      <w:lvlText w:val="%2."/>
      <w:lvlJc w:val="left"/>
      <w:pPr>
        <w:ind w:left="720" w:hanging="360"/>
      </w:pPr>
    </w:lvl>
    <w:lvl w:ilvl="2" w:tplc="05722136">
      <w:start w:val="1"/>
      <w:numFmt w:val="decimal"/>
      <w:lvlText w:val="%3."/>
      <w:lvlJc w:val="left"/>
      <w:pPr>
        <w:ind w:left="720" w:hanging="360"/>
      </w:pPr>
    </w:lvl>
    <w:lvl w:ilvl="3" w:tplc="6EC0468C">
      <w:start w:val="1"/>
      <w:numFmt w:val="decimal"/>
      <w:lvlText w:val="%4."/>
      <w:lvlJc w:val="left"/>
      <w:pPr>
        <w:ind w:left="720" w:hanging="360"/>
      </w:pPr>
    </w:lvl>
    <w:lvl w:ilvl="4" w:tplc="FF621CA6">
      <w:start w:val="1"/>
      <w:numFmt w:val="decimal"/>
      <w:lvlText w:val="%5."/>
      <w:lvlJc w:val="left"/>
      <w:pPr>
        <w:ind w:left="720" w:hanging="360"/>
      </w:pPr>
    </w:lvl>
    <w:lvl w:ilvl="5" w:tplc="763A13BC">
      <w:start w:val="1"/>
      <w:numFmt w:val="decimal"/>
      <w:lvlText w:val="%6."/>
      <w:lvlJc w:val="left"/>
      <w:pPr>
        <w:ind w:left="720" w:hanging="360"/>
      </w:pPr>
    </w:lvl>
    <w:lvl w:ilvl="6" w:tplc="7504956C">
      <w:start w:val="1"/>
      <w:numFmt w:val="decimal"/>
      <w:lvlText w:val="%7."/>
      <w:lvlJc w:val="left"/>
      <w:pPr>
        <w:ind w:left="720" w:hanging="360"/>
      </w:pPr>
    </w:lvl>
    <w:lvl w:ilvl="7" w:tplc="C624E1B0">
      <w:start w:val="1"/>
      <w:numFmt w:val="decimal"/>
      <w:lvlText w:val="%8."/>
      <w:lvlJc w:val="left"/>
      <w:pPr>
        <w:ind w:left="720" w:hanging="360"/>
      </w:pPr>
    </w:lvl>
    <w:lvl w:ilvl="8" w:tplc="ACA49F88">
      <w:start w:val="1"/>
      <w:numFmt w:val="decimal"/>
      <w:lvlText w:val="%9."/>
      <w:lvlJc w:val="left"/>
      <w:pPr>
        <w:ind w:left="720" w:hanging="360"/>
      </w:pPr>
    </w:lvl>
  </w:abstractNum>
  <w:abstractNum w:abstractNumId="23"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24" w15:restartNumberingAfterBreak="0">
    <w:nsid w:val="45E46C5B"/>
    <w:multiLevelType w:val="hybridMultilevel"/>
    <w:tmpl w:val="599AF9F0"/>
    <w:lvl w:ilvl="0" w:tplc="2E78F954">
      <w:start w:val="1"/>
      <w:numFmt w:val="bullet"/>
      <w:lvlText w:val=""/>
      <w:lvlJc w:val="left"/>
      <w:pPr>
        <w:ind w:left="720" w:hanging="360"/>
      </w:pPr>
      <w:rPr>
        <w:rFonts w:ascii="Symbol" w:hAnsi="Symbol"/>
      </w:rPr>
    </w:lvl>
    <w:lvl w:ilvl="1" w:tplc="A5F080D6">
      <w:start w:val="1"/>
      <w:numFmt w:val="bullet"/>
      <w:lvlText w:val=""/>
      <w:lvlJc w:val="left"/>
      <w:pPr>
        <w:ind w:left="720" w:hanging="360"/>
      </w:pPr>
      <w:rPr>
        <w:rFonts w:ascii="Symbol" w:hAnsi="Symbol"/>
      </w:rPr>
    </w:lvl>
    <w:lvl w:ilvl="2" w:tplc="15C44232">
      <w:start w:val="1"/>
      <w:numFmt w:val="bullet"/>
      <w:lvlText w:val=""/>
      <w:lvlJc w:val="left"/>
      <w:pPr>
        <w:ind w:left="720" w:hanging="360"/>
      </w:pPr>
      <w:rPr>
        <w:rFonts w:ascii="Symbol" w:hAnsi="Symbol"/>
      </w:rPr>
    </w:lvl>
    <w:lvl w:ilvl="3" w:tplc="F2C40DC4">
      <w:start w:val="1"/>
      <w:numFmt w:val="bullet"/>
      <w:lvlText w:val=""/>
      <w:lvlJc w:val="left"/>
      <w:pPr>
        <w:ind w:left="720" w:hanging="360"/>
      </w:pPr>
      <w:rPr>
        <w:rFonts w:ascii="Symbol" w:hAnsi="Symbol"/>
      </w:rPr>
    </w:lvl>
    <w:lvl w:ilvl="4" w:tplc="61F45BB2">
      <w:start w:val="1"/>
      <w:numFmt w:val="bullet"/>
      <w:lvlText w:val=""/>
      <w:lvlJc w:val="left"/>
      <w:pPr>
        <w:ind w:left="720" w:hanging="360"/>
      </w:pPr>
      <w:rPr>
        <w:rFonts w:ascii="Symbol" w:hAnsi="Symbol"/>
      </w:rPr>
    </w:lvl>
    <w:lvl w:ilvl="5" w:tplc="2BC4684C">
      <w:start w:val="1"/>
      <w:numFmt w:val="bullet"/>
      <w:lvlText w:val=""/>
      <w:lvlJc w:val="left"/>
      <w:pPr>
        <w:ind w:left="720" w:hanging="360"/>
      </w:pPr>
      <w:rPr>
        <w:rFonts w:ascii="Symbol" w:hAnsi="Symbol"/>
      </w:rPr>
    </w:lvl>
    <w:lvl w:ilvl="6" w:tplc="CD6AE364">
      <w:start w:val="1"/>
      <w:numFmt w:val="bullet"/>
      <w:lvlText w:val=""/>
      <w:lvlJc w:val="left"/>
      <w:pPr>
        <w:ind w:left="720" w:hanging="360"/>
      </w:pPr>
      <w:rPr>
        <w:rFonts w:ascii="Symbol" w:hAnsi="Symbol"/>
      </w:rPr>
    </w:lvl>
    <w:lvl w:ilvl="7" w:tplc="2BF8523A">
      <w:start w:val="1"/>
      <w:numFmt w:val="bullet"/>
      <w:lvlText w:val=""/>
      <w:lvlJc w:val="left"/>
      <w:pPr>
        <w:ind w:left="720" w:hanging="360"/>
      </w:pPr>
      <w:rPr>
        <w:rFonts w:ascii="Symbol" w:hAnsi="Symbol"/>
      </w:rPr>
    </w:lvl>
    <w:lvl w:ilvl="8" w:tplc="CB389E62">
      <w:start w:val="1"/>
      <w:numFmt w:val="bullet"/>
      <w:lvlText w:val=""/>
      <w:lvlJc w:val="left"/>
      <w:pPr>
        <w:ind w:left="720" w:hanging="360"/>
      </w:pPr>
      <w:rPr>
        <w:rFonts w:ascii="Symbol" w:hAnsi="Symbol"/>
      </w:rPr>
    </w:lvl>
  </w:abstractNum>
  <w:abstractNum w:abstractNumId="25" w15:restartNumberingAfterBreak="0">
    <w:nsid w:val="488A1D52"/>
    <w:multiLevelType w:val="hybridMultilevel"/>
    <w:tmpl w:val="06B0F3EC"/>
    <w:lvl w:ilvl="0" w:tplc="523C4E92">
      <w:start w:val="1"/>
      <w:numFmt w:val="decimal"/>
      <w:lvlText w:val="%1."/>
      <w:lvlJc w:val="left"/>
      <w:pPr>
        <w:ind w:left="1020" w:hanging="360"/>
      </w:pPr>
    </w:lvl>
    <w:lvl w:ilvl="1" w:tplc="A97C86A8">
      <w:start w:val="1"/>
      <w:numFmt w:val="decimal"/>
      <w:lvlText w:val="%2."/>
      <w:lvlJc w:val="left"/>
      <w:pPr>
        <w:ind w:left="1020" w:hanging="360"/>
      </w:pPr>
    </w:lvl>
    <w:lvl w:ilvl="2" w:tplc="6D7EF13C">
      <w:start w:val="1"/>
      <w:numFmt w:val="decimal"/>
      <w:lvlText w:val="%3."/>
      <w:lvlJc w:val="left"/>
      <w:pPr>
        <w:ind w:left="1020" w:hanging="360"/>
      </w:pPr>
    </w:lvl>
    <w:lvl w:ilvl="3" w:tplc="266C5FCC">
      <w:start w:val="1"/>
      <w:numFmt w:val="decimal"/>
      <w:lvlText w:val="%4."/>
      <w:lvlJc w:val="left"/>
      <w:pPr>
        <w:ind w:left="1020" w:hanging="360"/>
      </w:pPr>
    </w:lvl>
    <w:lvl w:ilvl="4" w:tplc="927C17E6">
      <w:start w:val="1"/>
      <w:numFmt w:val="decimal"/>
      <w:lvlText w:val="%5."/>
      <w:lvlJc w:val="left"/>
      <w:pPr>
        <w:ind w:left="1020" w:hanging="360"/>
      </w:pPr>
    </w:lvl>
    <w:lvl w:ilvl="5" w:tplc="53E88282">
      <w:start w:val="1"/>
      <w:numFmt w:val="decimal"/>
      <w:lvlText w:val="%6."/>
      <w:lvlJc w:val="left"/>
      <w:pPr>
        <w:ind w:left="1020" w:hanging="360"/>
      </w:pPr>
    </w:lvl>
    <w:lvl w:ilvl="6" w:tplc="12EC2938">
      <w:start w:val="1"/>
      <w:numFmt w:val="decimal"/>
      <w:lvlText w:val="%7."/>
      <w:lvlJc w:val="left"/>
      <w:pPr>
        <w:ind w:left="1020" w:hanging="360"/>
      </w:pPr>
    </w:lvl>
    <w:lvl w:ilvl="7" w:tplc="B058C830">
      <w:start w:val="1"/>
      <w:numFmt w:val="decimal"/>
      <w:lvlText w:val="%8."/>
      <w:lvlJc w:val="left"/>
      <w:pPr>
        <w:ind w:left="1020" w:hanging="360"/>
      </w:pPr>
    </w:lvl>
    <w:lvl w:ilvl="8" w:tplc="7C2ADE56">
      <w:start w:val="1"/>
      <w:numFmt w:val="decimal"/>
      <w:lvlText w:val="%9."/>
      <w:lvlJc w:val="left"/>
      <w:pPr>
        <w:ind w:left="1020" w:hanging="360"/>
      </w:pPr>
    </w:lvl>
  </w:abstractNum>
  <w:abstractNum w:abstractNumId="26" w15:restartNumberingAfterBreak="0">
    <w:nsid w:val="4957579D"/>
    <w:multiLevelType w:val="hybridMultilevel"/>
    <w:tmpl w:val="B0124724"/>
    <w:lvl w:ilvl="0" w:tplc="B1C459F4">
      <w:start w:val="1"/>
      <w:numFmt w:val="decimal"/>
      <w:lvlText w:val="%1."/>
      <w:lvlJc w:val="left"/>
      <w:pPr>
        <w:ind w:left="720" w:hanging="360"/>
      </w:pPr>
    </w:lvl>
    <w:lvl w:ilvl="1" w:tplc="753CF696">
      <w:start w:val="1"/>
      <w:numFmt w:val="decimal"/>
      <w:lvlText w:val="%2."/>
      <w:lvlJc w:val="left"/>
      <w:pPr>
        <w:ind w:left="720" w:hanging="360"/>
      </w:pPr>
    </w:lvl>
    <w:lvl w:ilvl="2" w:tplc="9D30B2A0">
      <w:start w:val="1"/>
      <w:numFmt w:val="decimal"/>
      <w:lvlText w:val="%3."/>
      <w:lvlJc w:val="left"/>
      <w:pPr>
        <w:ind w:left="720" w:hanging="360"/>
      </w:pPr>
    </w:lvl>
    <w:lvl w:ilvl="3" w:tplc="27B4A17E">
      <w:start w:val="1"/>
      <w:numFmt w:val="decimal"/>
      <w:lvlText w:val="%4."/>
      <w:lvlJc w:val="left"/>
      <w:pPr>
        <w:ind w:left="720" w:hanging="360"/>
      </w:pPr>
    </w:lvl>
    <w:lvl w:ilvl="4" w:tplc="F08CE3C4">
      <w:start w:val="1"/>
      <w:numFmt w:val="decimal"/>
      <w:lvlText w:val="%5."/>
      <w:lvlJc w:val="left"/>
      <w:pPr>
        <w:ind w:left="720" w:hanging="360"/>
      </w:pPr>
    </w:lvl>
    <w:lvl w:ilvl="5" w:tplc="7CCAAD50">
      <w:start w:val="1"/>
      <w:numFmt w:val="decimal"/>
      <w:lvlText w:val="%6."/>
      <w:lvlJc w:val="left"/>
      <w:pPr>
        <w:ind w:left="720" w:hanging="360"/>
      </w:pPr>
    </w:lvl>
    <w:lvl w:ilvl="6" w:tplc="62F851B6">
      <w:start w:val="1"/>
      <w:numFmt w:val="decimal"/>
      <w:lvlText w:val="%7."/>
      <w:lvlJc w:val="left"/>
      <w:pPr>
        <w:ind w:left="720" w:hanging="360"/>
      </w:pPr>
    </w:lvl>
    <w:lvl w:ilvl="7" w:tplc="0E7048A6">
      <w:start w:val="1"/>
      <w:numFmt w:val="decimal"/>
      <w:lvlText w:val="%8."/>
      <w:lvlJc w:val="left"/>
      <w:pPr>
        <w:ind w:left="720" w:hanging="360"/>
      </w:pPr>
    </w:lvl>
    <w:lvl w:ilvl="8" w:tplc="85B621C0">
      <w:start w:val="1"/>
      <w:numFmt w:val="decimal"/>
      <w:lvlText w:val="%9."/>
      <w:lvlJc w:val="left"/>
      <w:pPr>
        <w:ind w:left="720" w:hanging="360"/>
      </w:pPr>
    </w:lvl>
  </w:abstractNum>
  <w:abstractNum w:abstractNumId="27"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CF46616"/>
    <w:multiLevelType w:val="hybridMultilevel"/>
    <w:tmpl w:val="337A47F4"/>
    <w:lvl w:ilvl="0" w:tplc="E75C6FAC">
      <w:start w:val="1"/>
      <w:numFmt w:val="decimal"/>
      <w:lvlText w:val="%1."/>
      <w:lvlJc w:val="left"/>
      <w:pPr>
        <w:ind w:left="720" w:hanging="360"/>
      </w:pPr>
    </w:lvl>
    <w:lvl w:ilvl="1" w:tplc="AA7CCAE2">
      <w:start w:val="1"/>
      <w:numFmt w:val="decimal"/>
      <w:lvlText w:val="%2."/>
      <w:lvlJc w:val="left"/>
      <w:pPr>
        <w:ind w:left="720" w:hanging="360"/>
      </w:pPr>
    </w:lvl>
    <w:lvl w:ilvl="2" w:tplc="FDDEF346">
      <w:start w:val="1"/>
      <w:numFmt w:val="decimal"/>
      <w:lvlText w:val="%3."/>
      <w:lvlJc w:val="left"/>
      <w:pPr>
        <w:ind w:left="720" w:hanging="360"/>
      </w:pPr>
    </w:lvl>
    <w:lvl w:ilvl="3" w:tplc="7EE6D390">
      <w:start w:val="1"/>
      <w:numFmt w:val="decimal"/>
      <w:lvlText w:val="%4."/>
      <w:lvlJc w:val="left"/>
      <w:pPr>
        <w:ind w:left="720" w:hanging="360"/>
      </w:pPr>
    </w:lvl>
    <w:lvl w:ilvl="4" w:tplc="B7C2208C">
      <w:start w:val="1"/>
      <w:numFmt w:val="decimal"/>
      <w:lvlText w:val="%5."/>
      <w:lvlJc w:val="left"/>
      <w:pPr>
        <w:ind w:left="720" w:hanging="360"/>
      </w:pPr>
    </w:lvl>
    <w:lvl w:ilvl="5" w:tplc="0D28FA3E">
      <w:start w:val="1"/>
      <w:numFmt w:val="decimal"/>
      <w:lvlText w:val="%6."/>
      <w:lvlJc w:val="left"/>
      <w:pPr>
        <w:ind w:left="720" w:hanging="360"/>
      </w:pPr>
    </w:lvl>
    <w:lvl w:ilvl="6" w:tplc="BECE8816">
      <w:start w:val="1"/>
      <w:numFmt w:val="decimal"/>
      <w:lvlText w:val="%7."/>
      <w:lvlJc w:val="left"/>
      <w:pPr>
        <w:ind w:left="720" w:hanging="360"/>
      </w:pPr>
    </w:lvl>
    <w:lvl w:ilvl="7" w:tplc="3120FF62">
      <w:start w:val="1"/>
      <w:numFmt w:val="decimal"/>
      <w:lvlText w:val="%8."/>
      <w:lvlJc w:val="left"/>
      <w:pPr>
        <w:ind w:left="720" w:hanging="360"/>
      </w:pPr>
    </w:lvl>
    <w:lvl w:ilvl="8" w:tplc="19FC62B6">
      <w:start w:val="1"/>
      <w:numFmt w:val="decimal"/>
      <w:lvlText w:val="%9."/>
      <w:lvlJc w:val="left"/>
      <w:pPr>
        <w:ind w:left="720" w:hanging="360"/>
      </w:pPr>
    </w:lvl>
  </w:abstractNum>
  <w:abstractNum w:abstractNumId="29"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21920B3"/>
    <w:multiLevelType w:val="hybridMultilevel"/>
    <w:tmpl w:val="62B2AE46"/>
    <w:lvl w:ilvl="0" w:tplc="653ABA88">
      <w:start w:val="1"/>
      <w:numFmt w:val="bullet"/>
      <w:lvlText w:val=""/>
      <w:lvlJc w:val="left"/>
      <w:pPr>
        <w:ind w:left="1440" w:hanging="360"/>
      </w:pPr>
      <w:rPr>
        <w:rFonts w:ascii="Symbol" w:hAnsi="Symbol"/>
      </w:rPr>
    </w:lvl>
    <w:lvl w:ilvl="1" w:tplc="789A2790">
      <w:start w:val="1"/>
      <w:numFmt w:val="bullet"/>
      <w:lvlText w:val=""/>
      <w:lvlJc w:val="left"/>
      <w:pPr>
        <w:ind w:left="1440" w:hanging="360"/>
      </w:pPr>
      <w:rPr>
        <w:rFonts w:ascii="Symbol" w:hAnsi="Symbol"/>
      </w:rPr>
    </w:lvl>
    <w:lvl w:ilvl="2" w:tplc="2AECE93A">
      <w:start w:val="1"/>
      <w:numFmt w:val="bullet"/>
      <w:lvlText w:val=""/>
      <w:lvlJc w:val="left"/>
      <w:pPr>
        <w:ind w:left="1440" w:hanging="360"/>
      </w:pPr>
      <w:rPr>
        <w:rFonts w:ascii="Symbol" w:hAnsi="Symbol"/>
      </w:rPr>
    </w:lvl>
    <w:lvl w:ilvl="3" w:tplc="E8F8FCF4">
      <w:start w:val="1"/>
      <w:numFmt w:val="bullet"/>
      <w:lvlText w:val=""/>
      <w:lvlJc w:val="left"/>
      <w:pPr>
        <w:ind w:left="1440" w:hanging="360"/>
      </w:pPr>
      <w:rPr>
        <w:rFonts w:ascii="Symbol" w:hAnsi="Symbol"/>
      </w:rPr>
    </w:lvl>
    <w:lvl w:ilvl="4" w:tplc="C2B297F2">
      <w:start w:val="1"/>
      <w:numFmt w:val="bullet"/>
      <w:lvlText w:val=""/>
      <w:lvlJc w:val="left"/>
      <w:pPr>
        <w:ind w:left="1440" w:hanging="360"/>
      </w:pPr>
      <w:rPr>
        <w:rFonts w:ascii="Symbol" w:hAnsi="Symbol"/>
      </w:rPr>
    </w:lvl>
    <w:lvl w:ilvl="5" w:tplc="B65C6AE4">
      <w:start w:val="1"/>
      <w:numFmt w:val="bullet"/>
      <w:lvlText w:val=""/>
      <w:lvlJc w:val="left"/>
      <w:pPr>
        <w:ind w:left="1440" w:hanging="360"/>
      </w:pPr>
      <w:rPr>
        <w:rFonts w:ascii="Symbol" w:hAnsi="Symbol"/>
      </w:rPr>
    </w:lvl>
    <w:lvl w:ilvl="6" w:tplc="10A28A8E">
      <w:start w:val="1"/>
      <w:numFmt w:val="bullet"/>
      <w:lvlText w:val=""/>
      <w:lvlJc w:val="left"/>
      <w:pPr>
        <w:ind w:left="1440" w:hanging="360"/>
      </w:pPr>
      <w:rPr>
        <w:rFonts w:ascii="Symbol" w:hAnsi="Symbol"/>
      </w:rPr>
    </w:lvl>
    <w:lvl w:ilvl="7" w:tplc="1504BD4C">
      <w:start w:val="1"/>
      <w:numFmt w:val="bullet"/>
      <w:lvlText w:val=""/>
      <w:lvlJc w:val="left"/>
      <w:pPr>
        <w:ind w:left="1440" w:hanging="360"/>
      </w:pPr>
      <w:rPr>
        <w:rFonts w:ascii="Symbol" w:hAnsi="Symbol"/>
      </w:rPr>
    </w:lvl>
    <w:lvl w:ilvl="8" w:tplc="907C4DE0">
      <w:start w:val="1"/>
      <w:numFmt w:val="bullet"/>
      <w:lvlText w:val=""/>
      <w:lvlJc w:val="left"/>
      <w:pPr>
        <w:ind w:left="1440" w:hanging="360"/>
      </w:pPr>
      <w:rPr>
        <w:rFonts w:ascii="Symbol" w:hAnsi="Symbol"/>
      </w:rPr>
    </w:lvl>
  </w:abstractNum>
  <w:abstractNum w:abstractNumId="31" w15:restartNumberingAfterBreak="0">
    <w:nsid w:val="67765E6E"/>
    <w:multiLevelType w:val="hybridMultilevel"/>
    <w:tmpl w:val="CF429384"/>
    <w:lvl w:ilvl="0" w:tplc="AB94FBE2">
      <w:start w:val="1"/>
      <w:numFmt w:val="bullet"/>
      <w:lvlText w:val=""/>
      <w:lvlJc w:val="left"/>
      <w:pPr>
        <w:ind w:left="1440" w:hanging="360"/>
      </w:pPr>
      <w:rPr>
        <w:rFonts w:ascii="Symbol" w:hAnsi="Symbol"/>
      </w:rPr>
    </w:lvl>
    <w:lvl w:ilvl="1" w:tplc="BC78D180">
      <w:start w:val="1"/>
      <w:numFmt w:val="bullet"/>
      <w:lvlText w:val=""/>
      <w:lvlJc w:val="left"/>
      <w:pPr>
        <w:ind w:left="1440" w:hanging="360"/>
      </w:pPr>
      <w:rPr>
        <w:rFonts w:ascii="Symbol" w:hAnsi="Symbol"/>
      </w:rPr>
    </w:lvl>
    <w:lvl w:ilvl="2" w:tplc="912A75CA">
      <w:start w:val="1"/>
      <w:numFmt w:val="bullet"/>
      <w:lvlText w:val=""/>
      <w:lvlJc w:val="left"/>
      <w:pPr>
        <w:ind w:left="1440" w:hanging="360"/>
      </w:pPr>
      <w:rPr>
        <w:rFonts w:ascii="Symbol" w:hAnsi="Symbol"/>
      </w:rPr>
    </w:lvl>
    <w:lvl w:ilvl="3" w:tplc="6A6C167C">
      <w:start w:val="1"/>
      <w:numFmt w:val="bullet"/>
      <w:lvlText w:val=""/>
      <w:lvlJc w:val="left"/>
      <w:pPr>
        <w:ind w:left="1440" w:hanging="360"/>
      </w:pPr>
      <w:rPr>
        <w:rFonts w:ascii="Symbol" w:hAnsi="Symbol"/>
      </w:rPr>
    </w:lvl>
    <w:lvl w:ilvl="4" w:tplc="DA1ADB70">
      <w:start w:val="1"/>
      <w:numFmt w:val="bullet"/>
      <w:lvlText w:val=""/>
      <w:lvlJc w:val="left"/>
      <w:pPr>
        <w:ind w:left="1440" w:hanging="360"/>
      </w:pPr>
      <w:rPr>
        <w:rFonts w:ascii="Symbol" w:hAnsi="Symbol"/>
      </w:rPr>
    </w:lvl>
    <w:lvl w:ilvl="5" w:tplc="0B4CE668">
      <w:start w:val="1"/>
      <w:numFmt w:val="bullet"/>
      <w:lvlText w:val=""/>
      <w:lvlJc w:val="left"/>
      <w:pPr>
        <w:ind w:left="1440" w:hanging="360"/>
      </w:pPr>
      <w:rPr>
        <w:rFonts w:ascii="Symbol" w:hAnsi="Symbol"/>
      </w:rPr>
    </w:lvl>
    <w:lvl w:ilvl="6" w:tplc="A6A246AE">
      <w:start w:val="1"/>
      <w:numFmt w:val="bullet"/>
      <w:lvlText w:val=""/>
      <w:lvlJc w:val="left"/>
      <w:pPr>
        <w:ind w:left="1440" w:hanging="360"/>
      </w:pPr>
      <w:rPr>
        <w:rFonts w:ascii="Symbol" w:hAnsi="Symbol"/>
      </w:rPr>
    </w:lvl>
    <w:lvl w:ilvl="7" w:tplc="061003B8">
      <w:start w:val="1"/>
      <w:numFmt w:val="bullet"/>
      <w:lvlText w:val=""/>
      <w:lvlJc w:val="left"/>
      <w:pPr>
        <w:ind w:left="1440" w:hanging="360"/>
      </w:pPr>
      <w:rPr>
        <w:rFonts w:ascii="Symbol" w:hAnsi="Symbol"/>
      </w:rPr>
    </w:lvl>
    <w:lvl w:ilvl="8" w:tplc="FEFCB4A6">
      <w:start w:val="1"/>
      <w:numFmt w:val="bullet"/>
      <w:lvlText w:val=""/>
      <w:lvlJc w:val="left"/>
      <w:pPr>
        <w:ind w:left="1440" w:hanging="360"/>
      </w:pPr>
      <w:rPr>
        <w:rFonts w:ascii="Symbol" w:hAnsi="Symbol"/>
      </w:rPr>
    </w:lvl>
  </w:abstractNum>
  <w:abstractNum w:abstractNumId="32" w15:restartNumberingAfterBreak="0">
    <w:nsid w:val="73BB1EAE"/>
    <w:multiLevelType w:val="hybridMultilevel"/>
    <w:tmpl w:val="7A86C3B2"/>
    <w:lvl w:ilvl="0" w:tplc="3B745E86">
      <w:start w:val="1"/>
      <w:numFmt w:val="decimal"/>
      <w:lvlText w:val="%1."/>
      <w:lvlJc w:val="left"/>
      <w:pPr>
        <w:ind w:left="720" w:hanging="360"/>
      </w:pPr>
    </w:lvl>
    <w:lvl w:ilvl="1" w:tplc="B4107ED8">
      <w:start w:val="1"/>
      <w:numFmt w:val="decimal"/>
      <w:lvlText w:val="%2."/>
      <w:lvlJc w:val="left"/>
      <w:pPr>
        <w:ind w:left="720" w:hanging="360"/>
      </w:pPr>
    </w:lvl>
    <w:lvl w:ilvl="2" w:tplc="A6323EEC">
      <w:start w:val="1"/>
      <w:numFmt w:val="decimal"/>
      <w:lvlText w:val="%3."/>
      <w:lvlJc w:val="left"/>
      <w:pPr>
        <w:ind w:left="720" w:hanging="360"/>
      </w:pPr>
    </w:lvl>
    <w:lvl w:ilvl="3" w:tplc="5C18572E">
      <w:start w:val="1"/>
      <w:numFmt w:val="decimal"/>
      <w:lvlText w:val="%4."/>
      <w:lvlJc w:val="left"/>
      <w:pPr>
        <w:ind w:left="720" w:hanging="360"/>
      </w:pPr>
    </w:lvl>
    <w:lvl w:ilvl="4" w:tplc="F3D6005A">
      <w:start w:val="1"/>
      <w:numFmt w:val="decimal"/>
      <w:lvlText w:val="%5."/>
      <w:lvlJc w:val="left"/>
      <w:pPr>
        <w:ind w:left="720" w:hanging="360"/>
      </w:pPr>
    </w:lvl>
    <w:lvl w:ilvl="5" w:tplc="BCF8E77E">
      <w:start w:val="1"/>
      <w:numFmt w:val="decimal"/>
      <w:lvlText w:val="%6."/>
      <w:lvlJc w:val="left"/>
      <w:pPr>
        <w:ind w:left="720" w:hanging="360"/>
      </w:pPr>
    </w:lvl>
    <w:lvl w:ilvl="6" w:tplc="787A572C">
      <w:start w:val="1"/>
      <w:numFmt w:val="decimal"/>
      <w:lvlText w:val="%7."/>
      <w:lvlJc w:val="left"/>
      <w:pPr>
        <w:ind w:left="720" w:hanging="360"/>
      </w:pPr>
    </w:lvl>
    <w:lvl w:ilvl="7" w:tplc="B5B803E6">
      <w:start w:val="1"/>
      <w:numFmt w:val="decimal"/>
      <w:lvlText w:val="%8."/>
      <w:lvlJc w:val="left"/>
      <w:pPr>
        <w:ind w:left="720" w:hanging="360"/>
      </w:pPr>
    </w:lvl>
    <w:lvl w:ilvl="8" w:tplc="0E06661A">
      <w:start w:val="1"/>
      <w:numFmt w:val="decimal"/>
      <w:lvlText w:val="%9."/>
      <w:lvlJc w:val="left"/>
      <w:pPr>
        <w:ind w:left="720" w:hanging="360"/>
      </w:pPr>
    </w:lvl>
  </w:abstractNum>
  <w:abstractNum w:abstractNumId="33" w15:restartNumberingAfterBreak="0">
    <w:nsid w:val="75452559"/>
    <w:multiLevelType w:val="hybridMultilevel"/>
    <w:tmpl w:val="F03A855C"/>
    <w:lvl w:ilvl="0" w:tplc="97447834">
      <w:start w:val="1"/>
      <w:numFmt w:val="decimal"/>
      <w:lvlText w:val="%1."/>
      <w:lvlJc w:val="left"/>
      <w:pPr>
        <w:ind w:left="720" w:hanging="360"/>
      </w:pPr>
    </w:lvl>
    <w:lvl w:ilvl="1" w:tplc="BF76A92A">
      <w:start w:val="1"/>
      <w:numFmt w:val="decimal"/>
      <w:lvlText w:val="%2."/>
      <w:lvlJc w:val="left"/>
      <w:pPr>
        <w:ind w:left="720" w:hanging="360"/>
      </w:pPr>
    </w:lvl>
    <w:lvl w:ilvl="2" w:tplc="4FE0A154">
      <w:start w:val="1"/>
      <w:numFmt w:val="decimal"/>
      <w:lvlText w:val="%3."/>
      <w:lvlJc w:val="left"/>
      <w:pPr>
        <w:ind w:left="720" w:hanging="360"/>
      </w:pPr>
    </w:lvl>
    <w:lvl w:ilvl="3" w:tplc="9232F64C">
      <w:start w:val="1"/>
      <w:numFmt w:val="decimal"/>
      <w:lvlText w:val="%4."/>
      <w:lvlJc w:val="left"/>
      <w:pPr>
        <w:ind w:left="720" w:hanging="360"/>
      </w:pPr>
    </w:lvl>
    <w:lvl w:ilvl="4" w:tplc="4C8C05CE">
      <w:start w:val="1"/>
      <w:numFmt w:val="decimal"/>
      <w:lvlText w:val="%5."/>
      <w:lvlJc w:val="left"/>
      <w:pPr>
        <w:ind w:left="720" w:hanging="360"/>
      </w:pPr>
    </w:lvl>
    <w:lvl w:ilvl="5" w:tplc="1F927E88">
      <w:start w:val="1"/>
      <w:numFmt w:val="decimal"/>
      <w:lvlText w:val="%6."/>
      <w:lvlJc w:val="left"/>
      <w:pPr>
        <w:ind w:left="720" w:hanging="360"/>
      </w:pPr>
    </w:lvl>
    <w:lvl w:ilvl="6" w:tplc="BD889562">
      <w:start w:val="1"/>
      <w:numFmt w:val="decimal"/>
      <w:lvlText w:val="%7."/>
      <w:lvlJc w:val="left"/>
      <w:pPr>
        <w:ind w:left="720" w:hanging="360"/>
      </w:pPr>
    </w:lvl>
    <w:lvl w:ilvl="7" w:tplc="530A1AAE">
      <w:start w:val="1"/>
      <w:numFmt w:val="decimal"/>
      <w:lvlText w:val="%8."/>
      <w:lvlJc w:val="left"/>
      <w:pPr>
        <w:ind w:left="720" w:hanging="360"/>
      </w:pPr>
    </w:lvl>
    <w:lvl w:ilvl="8" w:tplc="F64ECA36">
      <w:start w:val="1"/>
      <w:numFmt w:val="decimal"/>
      <w:lvlText w:val="%9."/>
      <w:lvlJc w:val="left"/>
      <w:pPr>
        <w:ind w:left="720" w:hanging="360"/>
      </w:pPr>
    </w:lvl>
  </w:abstractNum>
  <w:abstractNum w:abstractNumId="34" w15:restartNumberingAfterBreak="0">
    <w:nsid w:val="78D31243"/>
    <w:multiLevelType w:val="hybridMultilevel"/>
    <w:tmpl w:val="7596675A"/>
    <w:lvl w:ilvl="0" w:tplc="7BA25664">
      <w:start w:val="1"/>
      <w:numFmt w:val="bullet"/>
      <w:lvlText w:val=""/>
      <w:lvlJc w:val="left"/>
      <w:pPr>
        <w:ind w:left="720" w:hanging="360"/>
      </w:pPr>
      <w:rPr>
        <w:rFonts w:ascii="Symbol" w:hAnsi="Symbol"/>
      </w:rPr>
    </w:lvl>
    <w:lvl w:ilvl="1" w:tplc="95209A12">
      <w:start w:val="1"/>
      <w:numFmt w:val="bullet"/>
      <w:lvlText w:val=""/>
      <w:lvlJc w:val="left"/>
      <w:pPr>
        <w:ind w:left="720" w:hanging="360"/>
      </w:pPr>
      <w:rPr>
        <w:rFonts w:ascii="Symbol" w:hAnsi="Symbol"/>
      </w:rPr>
    </w:lvl>
    <w:lvl w:ilvl="2" w:tplc="48322698">
      <w:start w:val="1"/>
      <w:numFmt w:val="bullet"/>
      <w:lvlText w:val=""/>
      <w:lvlJc w:val="left"/>
      <w:pPr>
        <w:ind w:left="720" w:hanging="360"/>
      </w:pPr>
      <w:rPr>
        <w:rFonts w:ascii="Symbol" w:hAnsi="Symbol"/>
      </w:rPr>
    </w:lvl>
    <w:lvl w:ilvl="3" w:tplc="F628FE64">
      <w:start w:val="1"/>
      <w:numFmt w:val="bullet"/>
      <w:lvlText w:val=""/>
      <w:lvlJc w:val="left"/>
      <w:pPr>
        <w:ind w:left="720" w:hanging="360"/>
      </w:pPr>
      <w:rPr>
        <w:rFonts w:ascii="Symbol" w:hAnsi="Symbol"/>
      </w:rPr>
    </w:lvl>
    <w:lvl w:ilvl="4" w:tplc="EFD21318">
      <w:start w:val="1"/>
      <w:numFmt w:val="bullet"/>
      <w:lvlText w:val=""/>
      <w:lvlJc w:val="left"/>
      <w:pPr>
        <w:ind w:left="720" w:hanging="360"/>
      </w:pPr>
      <w:rPr>
        <w:rFonts w:ascii="Symbol" w:hAnsi="Symbol"/>
      </w:rPr>
    </w:lvl>
    <w:lvl w:ilvl="5" w:tplc="C33ECA94">
      <w:start w:val="1"/>
      <w:numFmt w:val="bullet"/>
      <w:lvlText w:val=""/>
      <w:lvlJc w:val="left"/>
      <w:pPr>
        <w:ind w:left="720" w:hanging="360"/>
      </w:pPr>
      <w:rPr>
        <w:rFonts w:ascii="Symbol" w:hAnsi="Symbol"/>
      </w:rPr>
    </w:lvl>
    <w:lvl w:ilvl="6" w:tplc="2710DA92">
      <w:start w:val="1"/>
      <w:numFmt w:val="bullet"/>
      <w:lvlText w:val=""/>
      <w:lvlJc w:val="left"/>
      <w:pPr>
        <w:ind w:left="720" w:hanging="360"/>
      </w:pPr>
      <w:rPr>
        <w:rFonts w:ascii="Symbol" w:hAnsi="Symbol"/>
      </w:rPr>
    </w:lvl>
    <w:lvl w:ilvl="7" w:tplc="ADDA366C">
      <w:start w:val="1"/>
      <w:numFmt w:val="bullet"/>
      <w:lvlText w:val=""/>
      <w:lvlJc w:val="left"/>
      <w:pPr>
        <w:ind w:left="720" w:hanging="360"/>
      </w:pPr>
      <w:rPr>
        <w:rFonts w:ascii="Symbol" w:hAnsi="Symbol"/>
      </w:rPr>
    </w:lvl>
    <w:lvl w:ilvl="8" w:tplc="513840C4">
      <w:start w:val="1"/>
      <w:numFmt w:val="bullet"/>
      <w:lvlText w:val=""/>
      <w:lvlJc w:val="left"/>
      <w:pPr>
        <w:ind w:left="720" w:hanging="360"/>
      </w:pPr>
      <w:rPr>
        <w:rFonts w:ascii="Symbol" w:hAnsi="Symbol"/>
      </w:rPr>
    </w:lvl>
  </w:abstractNum>
  <w:abstractNum w:abstractNumId="35" w15:restartNumberingAfterBreak="0">
    <w:nsid w:val="7D905E5D"/>
    <w:multiLevelType w:val="hybridMultilevel"/>
    <w:tmpl w:val="CC0CA562"/>
    <w:lvl w:ilvl="0" w:tplc="1DB4C7F2">
      <w:start w:val="1"/>
      <w:numFmt w:val="decimal"/>
      <w:lvlText w:val="%1."/>
      <w:lvlJc w:val="left"/>
      <w:pPr>
        <w:ind w:left="720" w:hanging="360"/>
      </w:pPr>
    </w:lvl>
    <w:lvl w:ilvl="1" w:tplc="451CA658">
      <w:start w:val="1"/>
      <w:numFmt w:val="decimal"/>
      <w:lvlText w:val="%2."/>
      <w:lvlJc w:val="left"/>
      <w:pPr>
        <w:ind w:left="720" w:hanging="360"/>
      </w:pPr>
    </w:lvl>
    <w:lvl w:ilvl="2" w:tplc="0E9274DE">
      <w:start w:val="1"/>
      <w:numFmt w:val="decimal"/>
      <w:lvlText w:val="%3."/>
      <w:lvlJc w:val="left"/>
      <w:pPr>
        <w:ind w:left="720" w:hanging="360"/>
      </w:pPr>
    </w:lvl>
    <w:lvl w:ilvl="3" w:tplc="DD9E895E">
      <w:start w:val="1"/>
      <w:numFmt w:val="decimal"/>
      <w:lvlText w:val="%4."/>
      <w:lvlJc w:val="left"/>
      <w:pPr>
        <w:ind w:left="720" w:hanging="360"/>
      </w:pPr>
    </w:lvl>
    <w:lvl w:ilvl="4" w:tplc="5950E510">
      <w:start w:val="1"/>
      <w:numFmt w:val="decimal"/>
      <w:lvlText w:val="%5."/>
      <w:lvlJc w:val="left"/>
      <w:pPr>
        <w:ind w:left="720" w:hanging="360"/>
      </w:pPr>
    </w:lvl>
    <w:lvl w:ilvl="5" w:tplc="153292C0">
      <w:start w:val="1"/>
      <w:numFmt w:val="decimal"/>
      <w:lvlText w:val="%6."/>
      <w:lvlJc w:val="left"/>
      <w:pPr>
        <w:ind w:left="720" w:hanging="360"/>
      </w:pPr>
    </w:lvl>
    <w:lvl w:ilvl="6" w:tplc="580ACEC8">
      <w:start w:val="1"/>
      <w:numFmt w:val="decimal"/>
      <w:lvlText w:val="%7."/>
      <w:lvlJc w:val="left"/>
      <w:pPr>
        <w:ind w:left="720" w:hanging="360"/>
      </w:pPr>
    </w:lvl>
    <w:lvl w:ilvl="7" w:tplc="66786292">
      <w:start w:val="1"/>
      <w:numFmt w:val="decimal"/>
      <w:lvlText w:val="%8."/>
      <w:lvlJc w:val="left"/>
      <w:pPr>
        <w:ind w:left="720" w:hanging="360"/>
      </w:pPr>
    </w:lvl>
    <w:lvl w:ilvl="8" w:tplc="D21C3AAC">
      <w:start w:val="1"/>
      <w:numFmt w:val="decimal"/>
      <w:lvlText w:val="%9."/>
      <w:lvlJc w:val="left"/>
      <w:pPr>
        <w:ind w:left="720" w:hanging="360"/>
      </w:pPr>
    </w:lvl>
  </w:abstractNum>
  <w:abstractNum w:abstractNumId="36"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3"/>
  </w:num>
  <w:num w:numId="2" w16cid:durableId="375815310">
    <w:abstractNumId w:val="23"/>
  </w:num>
  <w:num w:numId="3" w16cid:durableId="1375159326">
    <w:abstractNumId w:val="36"/>
  </w:num>
  <w:num w:numId="4" w16cid:durableId="1020468450">
    <w:abstractNumId w:val="21"/>
  </w:num>
  <w:num w:numId="5" w16cid:durableId="298609604">
    <w:abstractNumId w:val="29"/>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8"/>
  </w:num>
  <w:num w:numId="17" w16cid:durableId="952325839">
    <w:abstractNumId w:val="27"/>
  </w:num>
  <w:num w:numId="18" w16cid:durableId="586305847">
    <w:abstractNumId w:val="14"/>
  </w:num>
  <w:num w:numId="19" w16cid:durableId="650985869">
    <w:abstractNumId w:val="14"/>
  </w:num>
  <w:num w:numId="20" w16cid:durableId="537014058">
    <w:abstractNumId w:val="25"/>
  </w:num>
  <w:num w:numId="21" w16cid:durableId="831219697">
    <w:abstractNumId w:val="32"/>
  </w:num>
  <w:num w:numId="22" w16cid:durableId="364520632">
    <w:abstractNumId w:val="33"/>
  </w:num>
  <w:num w:numId="23" w16cid:durableId="319818449">
    <w:abstractNumId w:val="20"/>
  </w:num>
  <w:num w:numId="24" w16cid:durableId="822089221">
    <w:abstractNumId w:val="28"/>
  </w:num>
  <w:num w:numId="25" w16cid:durableId="906959195">
    <w:abstractNumId w:val="35"/>
  </w:num>
  <w:num w:numId="26" w16cid:durableId="214854951">
    <w:abstractNumId w:val="26"/>
  </w:num>
  <w:num w:numId="27" w16cid:durableId="1178540351">
    <w:abstractNumId w:val="22"/>
  </w:num>
  <w:num w:numId="28" w16cid:durableId="1889103684">
    <w:abstractNumId w:val="19"/>
  </w:num>
  <w:num w:numId="29" w16cid:durableId="286084670">
    <w:abstractNumId w:val="34"/>
  </w:num>
  <w:num w:numId="30" w16cid:durableId="1195575811">
    <w:abstractNumId w:val="15"/>
  </w:num>
  <w:num w:numId="31" w16cid:durableId="1258369201">
    <w:abstractNumId w:val="24"/>
  </w:num>
  <w:num w:numId="32" w16cid:durableId="2034727629">
    <w:abstractNumId w:val="31"/>
  </w:num>
  <w:num w:numId="33" w16cid:durableId="193077513">
    <w:abstractNumId w:val="11"/>
  </w:num>
  <w:num w:numId="34" w16cid:durableId="151414880">
    <w:abstractNumId w:val="30"/>
  </w:num>
  <w:num w:numId="35" w16cid:durableId="1380980316">
    <w:abstractNumId w:val="10"/>
  </w:num>
  <w:num w:numId="36" w16cid:durableId="1016884244">
    <w:abstractNumId w:val="16"/>
  </w:num>
  <w:num w:numId="37" w16cid:durableId="1846892869">
    <w:abstractNumId w:val="12"/>
  </w:num>
  <w:num w:numId="38" w16cid:durableId="92165056">
    <w:abstractNumId w:val="17"/>
  </w:num>
  <w:num w:numId="39" w16cid:durableId="270938107">
    <w:abstractNumId w:val="8"/>
    <w:lvlOverride w:ilvl="0">
      <w:startOverride w:val="1"/>
    </w:lvlOverride>
  </w:num>
  <w:num w:numId="40" w16cid:durableId="834149875">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60"/>
    <w:rsid w:val="000008DA"/>
    <w:rsid w:val="00000B2B"/>
    <w:rsid w:val="000012C6"/>
    <w:rsid w:val="000012DC"/>
    <w:rsid w:val="00001343"/>
    <w:rsid w:val="000018A0"/>
    <w:rsid w:val="00001903"/>
    <w:rsid w:val="00001C04"/>
    <w:rsid w:val="00002069"/>
    <w:rsid w:val="00002C0B"/>
    <w:rsid w:val="00002CE6"/>
    <w:rsid w:val="00002D74"/>
    <w:rsid w:val="00002E42"/>
    <w:rsid w:val="00002F6E"/>
    <w:rsid w:val="0000316A"/>
    <w:rsid w:val="00003DA5"/>
    <w:rsid w:val="00003F59"/>
    <w:rsid w:val="0000409B"/>
    <w:rsid w:val="00004442"/>
    <w:rsid w:val="000044D3"/>
    <w:rsid w:val="000049B7"/>
    <w:rsid w:val="0000502E"/>
    <w:rsid w:val="000050ED"/>
    <w:rsid w:val="000054E2"/>
    <w:rsid w:val="0000569C"/>
    <w:rsid w:val="00006A1D"/>
    <w:rsid w:val="00006EDD"/>
    <w:rsid w:val="0000789D"/>
    <w:rsid w:val="00007C0A"/>
    <w:rsid w:val="00010229"/>
    <w:rsid w:val="00010342"/>
    <w:rsid w:val="00010625"/>
    <w:rsid w:val="00010CAE"/>
    <w:rsid w:val="000111BC"/>
    <w:rsid w:val="000113F6"/>
    <w:rsid w:val="00011C53"/>
    <w:rsid w:val="00011EA4"/>
    <w:rsid w:val="00012012"/>
    <w:rsid w:val="00013707"/>
    <w:rsid w:val="000139D1"/>
    <w:rsid w:val="00013A84"/>
    <w:rsid w:val="00013A97"/>
    <w:rsid w:val="00013BF3"/>
    <w:rsid w:val="00013C20"/>
    <w:rsid w:val="00014077"/>
    <w:rsid w:val="000141CA"/>
    <w:rsid w:val="0001428A"/>
    <w:rsid w:val="0001442E"/>
    <w:rsid w:val="000148E7"/>
    <w:rsid w:val="00014B34"/>
    <w:rsid w:val="00014E2A"/>
    <w:rsid w:val="00015611"/>
    <w:rsid w:val="000157E4"/>
    <w:rsid w:val="00015891"/>
    <w:rsid w:val="000159CA"/>
    <w:rsid w:val="00015B78"/>
    <w:rsid w:val="00015FDB"/>
    <w:rsid w:val="0001605A"/>
    <w:rsid w:val="0001658E"/>
    <w:rsid w:val="000168C9"/>
    <w:rsid w:val="00016AA8"/>
    <w:rsid w:val="00016C20"/>
    <w:rsid w:val="00016D4A"/>
    <w:rsid w:val="00016DBB"/>
    <w:rsid w:val="00017144"/>
    <w:rsid w:val="0001763A"/>
    <w:rsid w:val="000179FC"/>
    <w:rsid w:val="00020012"/>
    <w:rsid w:val="0002022B"/>
    <w:rsid w:val="000218D5"/>
    <w:rsid w:val="000218EE"/>
    <w:rsid w:val="00022240"/>
    <w:rsid w:val="00022A53"/>
    <w:rsid w:val="00022AD0"/>
    <w:rsid w:val="00023662"/>
    <w:rsid w:val="000237C5"/>
    <w:rsid w:val="000237CC"/>
    <w:rsid w:val="00023807"/>
    <w:rsid w:val="00023AF8"/>
    <w:rsid w:val="000241EC"/>
    <w:rsid w:val="00024319"/>
    <w:rsid w:val="0002455F"/>
    <w:rsid w:val="000247C6"/>
    <w:rsid w:val="00024A61"/>
    <w:rsid w:val="00024F7F"/>
    <w:rsid w:val="000250AF"/>
    <w:rsid w:val="000251F0"/>
    <w:rsid w:val="00025490"/>
    <w:rsid w:val="0002561E"/>
    <w:rsid w:val="000256ED"/>
    <w:rsid w:val="00025738"/>
    <w:rsid w:val="0002599C"/>
    <w:rsid w:val="00025E8D"/>
    <w:rsid w:val="00026207"/>
    <w:rsid w:val="00026435"/>
    <w:rsid w:val="000267ED"/>
    <w:rsid w:val="000268E1"/>
    <w:rsid w:val="00026957"/>
    <w:rsid w:val="00027673"/>
    <w:rsid w:val="000276BF"/>
    <w:rsid w:val="00027A56"/>
    <w:rsid w:val="00027E32"/>
    <w:rsid w:val="0003027C"/>
    <w:rsid w:val="0003032C"/>
    <w:rsid w:val="00030A17"/>
    <w:rsid w:val="00030BF9"/>
    <w:rsid w:val="00030D08"/>
    <w:rsid w:val="00030FA0"/>
    <w:rsid w:val="000315B7"/>
    <w:rsid w:val="00031689"/>
    <w:rsid w:val="0003175C"/>
    <w:rsid w:val="00031DEA"/>
    <w:rsid w:val="000324F3"/>
    <w:rsid w:val="00032D78"/>
    <w:rsid w:val="00033095"/>
    <w:rsid w:val="0003366A"/>
    <w:rsid w:val="00033C56"/>
    <w:rsid w:val="0003418B"/>
    <w:rsid w:val="0003467A"/>
    <w:rsid w:val="00035272"/>
    <w:rsid w:val="0003575A"/>
    <w:rsid w:val="0003586C"/>
    <w:rsid w:val="0003599D"/>
    <w:rsid w:val="00035A61"/>
    <w:rsid w:val="00035DA0"/>
    <w:rsid w:val="00035DD6"/>
    <w:rsid w:val="000360EB"/>
    <w:rsid w:val="00036340"/>
    <w:rsid w:val="00036485"/>
    <w:rsid w:val="000366A5"/>
    <w:rsid w:val="00036F34"/>
    <w:rsid w:val="000375AA"/>
    <w:rsid w:val="000375DE"/>
    <w:rsid w:val="00037A5F"/>
    <w:rsid w:val="00037AAC"/>
    <w:rsid w:val="00037B16"/>
    <w:rsid w:val="00037C60"/>
    <w:rsid w:val="00037D87"/>
    <w:rsid w:val="00040709"/>
    <w:rsid w:val="000411AD"/>
    <w:rsid w:val="00041488"/>
    <w:rsid w:val="000418A9"/>
    <w:rsid w:val="00041B18"/>
    <w:rsid w:val="00041B9F"/>
    <w:rsid w:val="00042CD6"/>
    <w:rsid w:val="00042D42"/>
    <w:rsid w:val="00042EF3"/>
    <w:rsid w:val="000433AD"/>
    <w:rsid w:val="000435EF"/>
    <w:rsid w:val="00043729"/>
    <w:rsid w:val="00043D2C"/>
    <w:rsid w:val="00043FAA"/>
    <w:rsid w:val="000449DB"/>
    <w:rsid w:val="00045AC1"/>
    <w:rsid w:val="00045B32"/>
    <w:rsid w:val="000460F4"/>
    <w:rsid w:val="00046812"/>
    <w:rsid w:val="00046DEC"/>
    <w:rsid w:val="00047381"/>
    <w:rsid w:val="00047CF2"/>
    <w:rsid w:val="00047EE8"/>
    <w:rsid w:val="00047F64"/>
    <w:rsid w:val="00050597"/>
    <w:rsid w:val="000506BF"/>
    <w:rsid w:val="00050740"/>
    <w:rsid w:val="000508D2"/>
    <w:rsid w:val="00050981"/>
    <w:rsid w:val="00050BD9"/>
    <w:rsid w:val="00050D18"/>
    <w:rsid w:val="0005132B"/>
    <w:rsid w:val="00051524"/>
    <w:rsid w:val="00051969"/>
    <w:rsid w:val="00051A66"/>
    <w:rsid w:val="00052996"/>
    <w:rsid w:val="00052E25"/>
    <w:rsid w:val="0005311A"/>
    <w:rsid w:val="0005320C"/>
    <w:rsid w:val="000533A4"/>
    <w:rsid w:val="000537D9"/>
    <w:rsid w:val="0005390E"/>
    <w:rsid w:val="00053A08"/>
    <w:rsid w:val="00053AE1"/>
    <w:rsid w:val="00054788"/>
    <w:rsid w:val="00054E3E"/>
    <w:rsid w:val="00055076"/>
    <w:rsid w:val="00055196"/>
    <w:rsid w:val="00055838"/>
    <w:rsid w:val="00055ACD"/>
    <w:rsid w:val="000565D1"/>
    <w:rsid w:val="000567CD"/>
    <w:rsid w:val="0005697F"/>
    <w:rsid w:val="00056B96"/>
    <w:rsid w:val="00056F27"/>
    <w:rsid w:val="000573AF"/>
    <w:rsid w:val="00057C4F"/>
    <w:rsid w:val="0006013E"/>
    <w:rsid w:val="000608FD"/>
    <w:rsid w:val="00061162"/>
    <w:rsid w:val="0006169E"/>
    <w:rsid w:val="00061B01"/>
    <w:rsid w:val="00061B6A"/>
    <w:rsid w:val="00061C29"/>
    <w:rsid w:val="000626FD"/>
    <w:rsid w:val="000633CE"/>
    <w:rsid w:val="0006432B"/>
    <w:rsid w:val="00064653"/>
    <w:rsid w:val="00064D3C"/>
    <w:rsid w:val="000653D4"/>
    <w:rsid w:val="00065699"/>
    <w:rsid w:val="00065943"/>
    <w:rsid w:val="00065AE3"/>
    <w:rsid w:val="0006609F"/>
    <w:rsid w:val="00066255"/>
    <w:rsid w:val="00066C45"/>
    <w:rsid w:val="00067734"/>
    <w:rsid w:val="0006793A"/>
    <w:rsid w:val="00067D25"/>
    <w:rsid w:val="00067EE4"/>
    <w:rsid w:val="0007032B"/>
    <w:rsid w:val="000704B0"/>
    <w:rsid w:val="00070A56"/>
    <w:rsid w:val="00070F99"/>
    <w:rsid w:val="00071A29"/>
    <w:rsid w:val="00071AD6"/>
    <w:rsid w:val="00071C35"/>
    <w:rsid w:val="00072045"/>
    <w:rsid w:val="0007223C"/>
    <w:rsid w:val="00072735"/>
    <w:rsid w:val="000727DD"/>
    <w:rsid w:val="00072F6A"/>
    <w:rsid w:val="00073AB3"/>
    <w:rsid w:val="00073B13"/>
    <w:rsid w:val="00073DC8"/>
    <w:rsid w:val="00073EFC"/>
    <w:rsid w:val="00074249"/>
    <w:rsid w:val="00074329"/>
    <w:rsid w:val="00074719"/>
    <w:rsid w:val="000749A9"/>
    <w:rsid w:val="00074EF4"/>
    <w:rsid w:val="000751AC"/>
    <w:rsid w:val="00075360"/>
    <w:rsid w:val="000755FD"/>
    <w:rsid w:val="00075D60"/>
    <w:rsid w:val="00075F50"/>
    <w:rsid w:val="000767A0"/>
    <w:rsid w:val="00076BC3"/>
    <w:rsid w:val="00076C8A"/>
    <w:rsid w:val="00076FAD"/>
    <w:rsid w:val="0007738B"/>
    <w:rsid w:val="0007796A"/>
    <w:rsid w:val="00077BC7"/>
    <w:rsid w:val="00077E83"/>
    <w:rsid w:val="00080D77"/>
    <w:rsid w:val="0008149C"/>
    <w:rsid w:val="0008187D"/>
    <w:rsid w:val="00081A5D"/>
    <w:rsid w:val="00081ABD"/>
    <w:rsid w:val="00082124"/>
    <w:rsid w:val="00082B93"/>
    <w:rsid w:val="00083A1D"/>
    <w:rsid w:val="00083AE2"/>
    <w:rsid w:val="00083FB5"/>
    <w:rsid w:val="0008401A"/>
    <w:rsid w:val="000841B0"/>
    <w:rsid w:val="00084205"/>
    <w:rsid w:val="0008435D"/>
    <w:rsid w:val="0008479F"/>
    <w:rsid w:val="0008484E"/>
    <w:rsid w:val="00084A54"/>
    <w:rsid w:val="00084A88"/>
    <w:rsid w:val="000852EA"/>
    <w:rsid w:val="00085322"/>
    <w:rsid w:val="00085350"/>
    <w:rsid w:val="00085540"/>
    <w:rsid w:val="0008558C"/>
    <w:rsid w:val="00085BDC"/>
    <w:rsid w:val="00085F13"/>
    <w:rsid w:val="00086141"/>
    <w:rsid w:val="00086B47"/>
    <w:rsid w:val="00086DAE"/>
    <w:rsid w:val="00086E81"/>
    <w:rsid w:val="0008793A"/>
    <w:rsid w:val="00087E23"/>
    <w:rsid w:val="0009248E"/>
    <w:rsid w:val="000928C4"/>
    <w:rsid w:val="00092AAC"/>
    <w:rsid w:val="00092E35"/>
    <w:rsid w:val="0009457F"/>
    <w:rsid w:val="000945AC"/>
    <w:rsid w:val="00094F82"/>
    <w:rsid w:val="000958EA"/>
    <w:rsid w:val="00095AAA"/>
    <w:rsid w:val="00095ACC"/>
    <w:rsid w:val="00096A29"/>
    <w:rsid w:val="00096CBB"/>
    <w:rsid w:val="00097235"/>
    <w:rsid w:val="00097643"/>
    <w:rsid w:val="000A0CD1"/>
    <w:rsid w:val="000A0F84"/>
    <w:rsid w:val="000A1261"/>
    <w:rsid w:val="000A130E"/>
    <w:rsid w:val="000A26E0"/>
    <w:rsid w:val="000A28D4"/>
    <w:rsid w:val="000A2A22"/>
    <w:rsid w:val="000A2E45"/>
    <w:rsid w:val="000A2EB4"/>
    <w:rsid w:val="000A2EF6"/>
    <w:rsid w:val="000A352B"/>
    <w:rsid w:val="000A3740"/>
    <w:rsid w:val="000A3B24"/>
    <w:rsid w:val="000A3DA3"/>
    <w:rsid w:val="000A3E07"/>
    <w:rsid w:val="000A446C"/>
    <w:rsid w:val="000A44FE"/>
    <w:rsid w:val="000A45E9"/>
    <w:rsid w:val="000A49AC"/>
    <w:rsid w:val="000A4B38"/>
    <w:rsid w:val="000A4C20"/>
    <w:rsid w:val="000A4C25"/>
    <w:rsid w:val="000A4C7B"/>
    <w:rsid w:val="000A4CA8"/>
    <w:rsid w:val="000A4CB7"/>
    <w:rsid w:val="000A4F3C"/>
    <w:rsid w:val="000A52EC"/>
    <w:rsid w:val="000A5472"/>
    <w:rsid w:val="000A5C7D"/>
    <w:rsid w:val="000A6283"/>
    <w:rsid w:val="000A63C6"/>
    <w:rsid w:val="000A6A39"/>
    <w:rsid w:val="000A6A42"/>
    <w:rsid w:val="000A6BBB"/>
    <w:rsid w:val="000A6C2A"/>
    <w:rsid w:val="000A6DAA"/>
    <w:rsid w:val="000A71AA"/>
    <w:rsid w:val="000A71BF"/>
    <w:rsid w:val="000A7BF7"/>
    <w:rsid w:val="000B06CF"/>
    <w:rsid w:val="000B0B36"/>
    <w:rsid w:val="000B1131"/>
    <w:rsid w:val="000B1354"/>
    <w:rsid w:val="000B14CD"/>
    <w:rsid w:val="000B157A"/>
    <w:rsid w:val="000B17E3"/>
    <w:rsid w:val="000B1B00"/>
    <w:rsid w:val="000B1B25"/>
    <w:rsid w:val="000B222F"/>
    <w:rsid w:val="000B279D"/>
    <w:rsid w:val="000B2910"/>
    <w:rsid w:val="000B2F91"/>
    <w:rsid w:val="000B3503"/>
    <w:rsid w:val="000B3536"/>
    <w:rsid w:val="000B375B"/>
    <w:rsid w:val="000B38FB"/>
    <w:rsid w:val="000B3B19"/>
    <w:rsid w:val="000B3B3A"/>
    <w:rsid w:val="000B3F83"/>
    <w:rsid w:val="000B4041"/>
    <w:rsid w:val="000B4144"/>
    <w:rsid w:val="000B4630"/>
    <w:rsid w:val="000B46BB"/>
    <w:rsid w:val="000B478E"/>
    <w:rsid w:val="000B497F"/>
    <w:rsid w:val="000B5778"/>
    <w:rsid w:val="000B58E5"/>
    <w:rsid w:val="000B64D2"/>
    <w:rsid w:val="000B692F"/>
    <w:rsid w:val="000B6AD8"/>
    <w:rsid w:val="000B6FE6"/>
    <w:rsid w:val="000B702D"/>
    <w:rsid w:val="000B710D"/>
    <w:rsid w:val="000B7195"/>
    <w:rsid w:val="000B7558"/>
    <w:rsid w:val="000B780F"/>
    <w:rsid w:val="000B7CB3"/>
    <w:rsid w:val="000C04DC"/>
    <w:rsid w:val="000C063B"/>
    <w:rsid w:val="000C0702"/>
    <w:rsid w:val="000C0D98"/>
    <w:rsid w:val="000C0E7F"/>
    <w:rsid w:val="000C1F29"/>
    <w:rsid w:val="000C2117"/>
    <w:rsid w:val="000C2174"/>
    <w:rsid w:val="000C2487"/>
    <w:rsid w:val="000C2547"/>
    <w:rsid w:val="000C2EC1"/>
    <w:rsid w:val="000C30C5"/>
    <w:rsid w:val="000C347F"/>
    <w:rsid w:val="000C3B34"/>
    <w:rsid w:val="000C3DF0"/>
    <w:rsid w:val="000C4B91"/>
    <w:rsid w:val="000C4DCB"/>
    <w:rsid w:val="000C552D"/>
    <w:rsid w:val="000C5ADB"/>
    <w:rsid w:val="000C5E1F"/>
    <w:rsid w:val="000C5FC9"/>
    <w:rsid w:val="000C6472"/>
    <w:rsid w:val="000C64AE"/>
    <w:rsid w:val="000C65D2"/>
    <w:rsid w:val="000C7692"/>
    <w:rsid w:val="000C76B0"/>
    <w:rsid w:val="000C7B81"/>
    <w:rsid w:val="000C7BDA"/>
    <w:rsid w:val="000C7DB4"/>
    <w:rsid w:val="000D0154"/>
    <w:rsid w:val="000D0344"/>
    <w:rsid w:val="000D036E"/>
    <w:rsid w:val="000D0395"/>
    <w:rsid w:val="000D058C"/>
    <w:rsid w:val="000D0767"/>
    <w:rsid w:val="000D12FB"/>
    <w:rsid w:val="000D1514"/>
    <w:rsid w:val="000D18CF"/>
    <w:rsid w:val="000D25E6"/>
    <w:rsid w:val="000D3102"/>
    <w:rsid w:val="000D3442"/>
    <w:rsid w:val="000D4761"/>
    <w:rsid w:val="000D47D7"/>
    <w:rsid w:val="000D53C8"/>
    <w:rsid w:val="000D556B"/>
    <w:rsid w:val="000D55A8"/>
    <w:rsid w:val="000D5BAA"/>
    <w:rsid w:val="000D7053"/>
    <w:rsid w:val="000D71B7"/>
    <w:rsid w:val="000D79D0"/>
    <w:rsid w:val="000D7CED"/>
    <w:rsid w:val="000D7EA2"/>
    <w:rsid w:val="000D7F12"/>
    <w:rsid w:val="000E00A2"/>
    <w:rsid w:val="000E0268"/>
    <w:rsid w:val="000E0318"/>
    <w:rsid w:val="000E0FD7"/>
    <w:rsid w:val="000E1149"/>
    <w:rsid w:val="000E1923"/>
    <w:rsid w:val="000E1FC2"/>
    <w:rsid w:val="000E21DB"/>
    <w:rsid w:val="000E2B24"/>
    <w:rsid w:val="000E2CD0"/>
    <w:rsid w:val="000E2D05"/>
    <w:rsid w:val="000E31F2"/>
    <w:rsid w:val="000E3327"/>
    <w:rsid w:val="000E397B"/>
    <w:rsid w:val="000E3D5C"/>
    <w:rsid w:val="000E421B"/>
    <w:rsid w:val="000E4429"/>
    <w:rsid w:val="000E49A6"/>
    <w:rsid w:val="000E4A82"/>
    <w:rsid w:val="000E4C93"/>
    <w:rsid w:val="000E50A7"/>
    <w:rsid w:val="000E50D2"/>
    <w:rsid w:val="000E54D4"/>
    <w:rsid w:val="000E55CC"/>
    <w:rsid w:val="000E65F7"/>
    <w:rsid w:val="000E673A"/>
    <w:rsid w:val="000E692B"/>
    <w:rsid w:val="000E6BB3"/>
    <w:rsid w:val="000E6F1E"/>
    <w:rsid w:val="000E7E85"/>
    <w:rsid w:val="000E7F8E"/>
    <w:rsid w:val="000F0E36"/>
    <w:rsid w:val="000F1090"/>
    <w:rsid w:val="000F1345"/>
    <w:rsid w:val="000F16DC"/>
    <w:rsid w:val="000F183C"/>
    <w:rsid w:val="000F1A92"/>
    <w:rsid w:val="000F1DB9"/>
    <w:rsid w:val="000F2509"/>
    <w:rsid w:val="000F26E2"/>
    <w:rsid w:val="000F2A74"/>
    <w:rsid w:val="000F2BD6"/>
    <w:rsid w:val="000F326A"/>
    <w:rsid w:val="000F369B"/>
    <w:rsid w:val="000F36B3"/>
    <w:rsid w:val="000F3A67"/>
    <w:rsid w:val="000F3BB3"/>
    <w:rsid w:val="000F3E10"/>
    <w:rsid w:val="000F3F3F"/>
    <w:rsid w:val="000F423C"/>
    <w:rsid w:val="000F4A2F"/>
    <w:rsid w:val="000F4E12"/>
    <w:rsid w:val="000F4EBB"/>
    <w:rsid w:val="000F5376"/>
    <w:rsid w:val="000F5505"/>
    <w:rsid w:val="000F5918"/>
    <w:rsid w:val="000F602D"/>
    <w:rsid w:val="000F6384"/>
    <w:rsid w:val="000F67D8"/>
    <w:rsid w:val="000F6893"/>
    <w:rsid w:val="000F6C89"/>
    <w:rsid w:val="000F74BF"/>
    <w:rsid w:val="000F77F9"/>
    <w:rsid w:val="001001B9"/>
    <w:rsid w:val="00101DBE"/>
    <w:rsid w:val="00102254"/>
    <w:rsid w:val="001029F6"/>
    <w:rsid w:val="00103A7C"/>
    <w:rsid w:val="00103B6A"/>
    <w:rsid w:val="00104756"/>
    <w:rsid w:val="00104C12"/>
    <w:rsid w:val="00104CBD"/>
    <w:rsid w:val="001051D8"/>
    <w:rsid w:val="001052BD"/>
    <w:rsid w:val="0010536A"/>
    <w:rsid w:val="001065FA"/>
    <w:rsid w:val="00106BB6"/>
    <w:rsid w:val="00106E48"/>
    <w:rsid w:val="0010702C"/>
    <w:rsid w:val="001072E8"/>
    <w:rsid w:val="001074DF"/>
    <w:rsid w:val="001076BD"/>
    <w:rsid w:val="00107A0B"/>
    <w:rsid w:val="00107A91"/>
    <w:rsid w:val="00110541"/>
    <w:rsid w:val="0011080A"/>
    <w:rsid w:val="00110970"/>
    <w:rsid w:val="00110EBA"/>
    <w:rsid w:val="00110F31"/>
    <w:rsid w:val="001111C3"/>
    <w:rsid w:val="001113C7"/>
    <w:rsid w:val="00111527"/>
    <w:rsid w:val="00111538"/>
    <w:rsid w:val="00111568"/>
    <w:rsid w:val="001115DD"/>
    <w:rsid w:val="00111A0F"/>
    <w:rsid w:val="00111B43"/>
    <w:rsid w:val="001120C0"/>
    <w:rsid w:val="00112F80"/>
    <w:rsid w:val="00113A29"/>
    <w:rsid w:val="00113C94"/>
    <w:rsid w:val="001143DF"/>
    <w:rsid w:val="001145C0"/>
    <w:rsid w:val="00114A2A"/>
    <w:rsid w:val="00114D18"/>
    <w:rsid w:val="001150BF"/>
    <w:rsid w:val="00115216"/>
    <w:rsid w:val="001157FD"/>
    <w:rsid w:val="00115D63"/>
    <w:rsid w:val="00115EB0"/>
    <w:rsid w:val="0011608C"/>
    <w:rsid w:val="001161FF"/>
    <w:rsid w:val="001168F2"/>
    <w:rsid w:val="00116B1E"/>
    <w:rsid w:val="00116D02"/>
    <w:rsid w:val="00116E34"/>
    <w:rsid w:val="0011736C"/>
    <w:rsid w:val="00117556"/>
    <w:rsid w:val="00117BCD"/>
    <w:rsid w:val="00120207"/>
    <w:rsid w:val="00120940"/>
    <w:rsid w:val="00120B4B"/>
    <w:rsid w:val="001211DE"/>
    <w:rsid w:val="001217CA"/>
    <w:rsid w:val="00121F13"/>
    <w:rsid w:val="001221B1"/>
    <w:rsid w:val="0012246F"/>
    <w:rsid w:val="0012286B"/>
    <w:rsid w:val="001228F2"/>
    <w:rsid w:val="00122A25"/>
    <w:rsid w:val="00122A32"/>
    <w:rsid w:val="00122FA0"/>
    <w:rsid w:val="001231D3"/>
    <w:rsid w:val="001238B2"/>
    <w:rsid w:val="001239C5"/>
    <w:rsid w:val="00123C1B"/>
    <w:rsid w:val="001240B8"/>
    <w:rsid w:val="001243CA"/>
    <w:rsid w:val="00124659"/>
    <w:rsid w:val="00124952"/>
    <w:rsid w:val="00124C9E"/>
    <w:rsid w:val="00125BD6"/>
    <w:rsid w:val="00125E3C"/>
    <w:rsid w:val="00125EC2"/>
    <w:rsid w:val="00125FC6"/>
    <w:rsid w:val="0012621F"/>
    <w:rsid w:val="001262B7"/>
    <w:rsid w:val="001262F0"/>
    <w:rsid w:val="00126425"/>
    <w:rsid w:val="00126C6C"/>
    <w:rsid w:val="00127107"/>
    <w:rsid w:val="00127375"/>
    <w:rsid w:val="00127D80"/>
    <w:rsid w:val="00130139"/>
    <w:rsid w:val="00130A26"/>
    <w:rsid w:val="00130A76"/>
    <w:rsid w:val="00130C74"/>
    <w:rsid w:val="00130FAD"/>
    <w:rsid w:val="00131ED8"/>
    <w:rsid w:val="001323ED"/>
    <w:rsid w:val="0013245A"/>
    <w:rsid w:val="00132C45"/>
    <w:rsid w:val="00132E26"/>
    <w:rsid w:val="00133A04"/>
    <w:rsid w:val="00133AAC"/>
    <w:rsid w:val="00133C09"/>
    <w:rsid w:val="00133E7E"/>
    <w:rsid w:val="00134063"/>
    <w:rsid w:val="0013456F"/>
    <w:rsid w:val="00134B1A"/>
    <w:rsid w:val="0013566E"/>
    <w:rsid w:val="00135E92"/>
    <w:rsid w:val="0013617C"/>
    <w:rsid w:val="00136357"/>
    <w:rsid w:val="00136427"/>
    <w:rsid w:val="00136E10"/>
    <w:rsid w:val="00137385"/>
    <w:rsid w:val="001376E3"/>
    <w:rsid w:val="00137E47"/>
    <w:rsid w:val="00140696"/>
    <w:rsid w:val="0014092B"/>
    <w:rsid w:val="00140AEB"/>
    <w:rsid w:val="00140F69"/>
    <w:rsid w:val="0014133B"/>
    <w:rsid w:val="001413EB"/>
    <w:rsid w:val="00142072"/>
    <w:rsid w:val="0014261B"/>
    <w:rsid w:val="001426D8"/>
    <w:rsid w:val="001429C6"/>
    <w:rsid w:val="00142BD2"/>
    <w:rsid w:val="00142C2A"/>
    <w:rsid w:val="00142F07"/>
    <w:rsid w:val="00142F3F"/>
    <w:rsid w:val="00143FCB"/>
    <w:rsid w:val="0014400F"/>
    <w:rsid w:val="0014429B"/>
    <w:rsid w:val="00144E3D"/>
    <w:rsid w:val="00144ED1"/>
    <w:rsid w:val="00144FEF"/>
    <w:rsid w:val="0014505F"/>
    <w:rsid w:val="001450F3"/>
    <w:rsid w:val="00145126"/>
    <w:rsid w:val="00145627"/>
    <w:rsid w:val="001457C1"/>
    <w:rsid w:val="0014626F"/>
    <w:rsid w:val="0014636E"/>
    <w:rsid w:val="00146A41"/>
    <w:rsid w:val="00146C23"/>
    <w:rsid w:val="00146CC2"/>
    <w:rsid w:val="00146F2E"/>
    <w:rsid w:val="0014799E"/>
    <w:rsid w:val="001479EC"/>
    <w:rsid w:val="00147A47"/>
    <w:rsid w:val="0015031C"/>
    <w:rsid w:val="00150F3D"/>
    <w:rsid w:val="00151071"/>
    <w:rsid w:val="00151679"/>
    <w:rsid w:val="00151849"/>
    <w:rsid w:val="001518AF"/>
    <w:rsid w:val="00151DC8"/>
    <w:rsid w:val="00151F37"/>
    <w:rsid w:val="001521A1"/>
    <w:rsid w:val="0015318E"/>
    <w:rsid w:val="00154896"/>
    <w:rsid w:val="0015496B"/>
    <w:rsid w:val="00154C38"/>
    <w:rsid w:val="001550B4"/>
    <w:rsid w:val="001552B3"/>
    <w:rsid w:val="00155411"/>
    <w:rsid w:val="001555C9"/>
    <w:rsid w:val="00155828"/>
    <w:rsid w:val="00155AFF"/>
    <w:rsid w:val="00155F1B"/>
    <w:rsid w:val="00155FB3"/>
    <w:rsid w:val="00157620"/>
    <w:rsid w:val="0015795A"/>
    <w:rsid w:val="00157CBD"/>
    <w:rsid w:val="00157DBC"/>
    <w:rsid w:val="00160426"/>
    <w:rsid w:val="001605AC"/>
    <w:rsid w:val="00160830"/>
    <w:rsid w:val="00160B35"/>
    <w:rsid w:val="00161636"/>
    <w:rsid w:val="00161822"/>
    <w:rsid w:val="00161C4F"/>
    <w:rsid w:val="00161F93"/>
    <w:rsid w:val="001625DB"/>
    <w:rsid w:val="00163044"/>
    <w:rsid w:val="0016339A"/>
    <w:rsid w:val="00163444"/>
    <w:rsid w:val="001637CC"/>
    <w:rsid w:val="00163D92"/>
    <w:rsid w:val="00163FD5"/>
    <w:rsid w:val="00164144"/>
    <w:rsid w:val="0016428D"/>
    <w:rsid w:val="00164691"/>
    <w:rsid w:val="00164745"/>
    <w:rsid w:val="001651CE"/>
    <w:rsid w:val="00165A10"/>
    <w:rsid w:val="00165EBA"/>
    <w:rsid w:val="001661F4"/>
    <w:rsid w:val="00166C8D"/>
    <w:rsid w:val="00167298"/>
    <w:rsid w:val="00167436"/>
    <w:rsid w:val="00167C64"/>
    <w:rsid w:val="001708DE"/>
    <w:rsid w:val="001716C5"/>
    <w:rsid w:val="001716D7"/>
    <w:rsid w:val="00171C67"/>
    <w:rsid w:val="00171F5A"/>
    <w:rsid w:val="0017242F"/>
    <w:rsid w:val="001726B3"/>
    <w:rsid w:val="0017291A"/>
    <w:rsid w:val="00172ADE"/>
    <w:rsid w:val="00172DD5"/>
    <w:rsid w:val="00173387"/>
    <w:rsid w:val="001735CF"/>
    <w:rsid w:val="0017401A"/>
    <w:rsid w:val="0017427F"/>
    <w:rsid w:val="0017468D"/>
    <w:rsid w:val="00174A2C"/>
    <w:rsid w:val="00174A35"/>
    <w:rsid w:val="00174E56"/>
    <w:rsid w:val="00175038"/>
    <w:rsid w:val="001752DD"/>
    <w:rsid w:val="0017537D"/>
    <w:rsid w:val="00175703"/>
    <w:rsid w:val="001758DE"/>
    <w:rsid w:val="00175E07"/>
    <w:rsid w:val="0017605C"/>
    <w:rsid w:val="001760A2"/>
    <w:rsid w:val="001760C0"/>
    <w:rsid w:val="001762EE"/>
    <w:rsid w:val="00176315"/>
    <w:rsid w:val="00176B9C"/>
    <w:rsid w:val="00176D1F"/>
    <w:rsid w:val="00176D25"/>
    <w:rsid w:val="001772A0"/>
    <w:rsid w:val="00177A89"/>
    <w:rsid w:val="00177AA8"/>
    <w:rsid w:val="001801D4"/>
    <w:rsid w:val="00180E45"/>
    <w:rsid w:val="00180F23"/>
    <w:rsid w:val="0018146D"/>
    <w:rsid w:val="0018162B"/>
    <w:rsid w:val="0018193A"/>
    <w:rsid w:val="00181AC0"/>
    <w:rsid w:val="00181EAF"/>
    <w:rsid w:val="0018218F"/>
    <w:rsid w:val="001823BE"/>
    <w:rsid w:val="0018342E"/>
    <w:rsid w:val="001839AE"/>
    <w:rsid w:val="00183F67"/>
    <w:rsid w:val="00184023"/>
    <w:rsid w:val="001840C2"/>
    <w:rsid w:val="00184A76"/>
    <w:rsid w:val="00184B46"/>
    <w:rsid w:val="00184ECB"/>
    <w:rsid w:val="001854CD"/>
    <w:rsid w:val="00185676"/>
    <w:rsid w:val="00185939"/>
    <w:rsid w:val="0018663A"/>
    <w:rsid w:val="001868FA"/>
    <w:rsid w:val="00186924"/>
    <w:rsid w:val="001876F6"/>
    <w:rsid w:val="0018784C"/>
    <w:rsid w:val="00187946"/>
    <w:rsid w:val="00190170"/>
    <w:rsid w:val="001905D8"/>
    <w:rsid w:val="001906F9"/>
    <w:rsid w:val="001908B8"/>
    <w:rsid w:val="00190BCB"/>
    <w:rsid w:val="00190F49"/>
    <w:rsid w:val="001911AF"/>
    <w:rsid w:val="00191200"/>
    <w:rsid w:val="00191677"/>
    <w:rsid w:val="00191810"/>
    <w:rsid w:val="00191C0A"/>
    <w:rsid w:val="00191D57"/>
    <w:rsid w:val="00191E23"/>
    <w:rsid w:val="00191EC9"/>
    <w:rsid w:val="00192244"/>
    <w:rsid w:val="001922C5"/>
    <w:rsid w:val="001924CF"/>
    <w:rsid w:val="001929E2"/>
    <w:rsid w:val="00192C9F"/>
    <w:rsid w:val="00192D24"/>
    <w:rsid w:val="00193189"/>
    <w:rsid w:val="00193799"/>
    <w:rsid w:val="0019392F"/>
    <w:rsid w:val="001939C6"/>
    <w:rsid w:val="00193A10"/>
    <w:rsid w:val="00193BD4"/>
    <w:rsid w:val="00194547"/>
    <w:rsid w:val="001945FC"/>
    <w:rsid w:val="00194CD8"/>
    <w:rsid w:val="00194E3A"/>
    <w:rsid w:val="00195008"/>
    <w:rsid w:val="001953B1"/>
    <w:rsid w:val="001954F1"/>
    <w:rsid w:val="00195A35"/>
    <w:rsid w:val="00195F55"/>
    <w:rsid w:val="00195F60"/>
    <w:rsid w:val="00196055"/>
    <w:rsid w:val="0019611C"/>
    <w:rsid w:val="001963C0"/>
    <w:rsid w:val="00196449"/>
    <w:rsid w:val="001967F4"/>
    <w:rsid w:val="00196B2E"/>
    <w:rsid w:val="001970C9"/>
    <w:rsid w:val="00197445"/>
    <w:rsid w:val="00197850"/>
    <w:rsid w:val="00197956"/>
    <w:rsid w:val="001979AE"/>
    <w:rsid w:val="00197FB5"/>
    <w:rsid w:val="001A099D"/>
    <w:rsid w:val="001A0DF8"/>
    <w:rsid w:val="001A0FB9"/>
    <w:rsid w:val="001A121E"/>
    <w:rsid w:val="001A1D99"/>
    <w:rsid w:val="001A1DCD"/>
    <w:rsid w:val="001A1E16"/>
    <w:rsid w:val="001A21E2"/>
    <w:rsid w:val="001A2F4C"/>
    <w:rsid w:val="001A3206"/>
    <w:rsid w:val="001A35AC"/>
    <w:rsid w:val="001A3A24"/>
    <w:rsid w:val="001A3B75"/>
    <w:rsid w:val="001A3C19"/>
    <w:rsid w:val="001A409D"/>
    <w:rsid w:val="001A42CE"/>
    <w:rsid w:val="001A442B"/>
    <w:rsid w:val="001A446E"/>
    <w:rsid w:val="001A4E36"/>
    <w:rsid w:val="001A4F89"/>
    <w:rsid w:val="001A5788"/>
    <w:rsid w:val="001A5A83"/>
    <w:rsid w:val="001A6D61"/>
    <w:rsid w:val="001A6E6E"/>
    <w:rsid w:val="001A7CD6"/>
    <w:rsid w:val="001A7CED"/>
    <w:rsid w:val="001B012C"/>
    <w:rsid w:val="001B05DB"/>
    <w:rsid w:val="001B0B12"/>
    <w:rsid w:val="001B1236"/>
    <w:rsid w:val="001B1676"/>
    <w:rsid w:val="001B167B"/>
    <w:rsid w:val="001B17A8"/>
    <w:rsid w:val="001B21B7"/>
    <w:rsid w:val="001B241B"/>
    <w:rsid w:val="001B2A15"/>
    <w:rsid w:val="001B2B97"/>
    <w:rsid w:val="001B35A8"/>
    <w:rsid w:val="001B44AB"/>
    <w:rsid w:val="001B55C8"/>
    <w:rsid w:val="001B56CA"/>
    <w:rsid w:val="001B577A"/>
    <w:rsid w:val="001B5798"/>
    <w:rsid w:val="001B6162"/>
    <w:rsid w:val="001B6178"/>
    <w:rsid w:val="001B62AA"/>
    <w:rsid w:val="001B6315"/>
    <w:rsid w:val="001B63C6"/>
    <w:rsid w:val="001B7EFE"/>
    <w:rsid w:val="001C002C"/>
    <w:rsid w:val="001C0BE0"/>
    <w:rsid w:val="001C0CFA"/>
    <w:rsid w:val="001C0E4F"/>
    <w:rsid w:val="001C1B81"/>
    <w:rsid w:val="001C2976"/>
    <w:rsid w:val="001C2B5B"/>
    <w:rsid w:val="001C3A27"/>
    <w:rsid w:val="001C3FE3"/>
    <w:rsid w:val="001C4296"/>
    <w:rsid w:val="001C43CB"/>
    <w:rsid w:val="001C48D4"/>
    <w:rsid w:val="001C5F0A"/>
    <w:rsid w:val="001C5FA1"/>
    <w:rsid w:val="001C62FB"/>
    <w:rsid w:val="001C6606"/>
    <w:rsid w:val="001C6B2B"/>
    <w:rsid w:val="001C6B3D"/>
    <w:rsid w:val="001C6BA6"/>
    <w:rsid w:val="001C6D09"/>
    <w:rsid w:val="001C70AA"/>
    <w:rsid w:val="001C7728"/>
    <w:rsid w:val="001C775A"/>
    <w:rsid w:val="001C7850"/>
    <w:rsid w:val="001C7BDC"/>
    <w:rsid w:val="001C7C93"/>
    <w:rsid w:val="001D004B"/>
    <w:rsid w:val="001D1199"/>
    <w:rsid w:val="001D2641"/>
    <w:rsid w:val="001D296E"/>
    <w:rsid w:val="001D2D97"/>
    <w:rsid w:val="001D3285"/>
    <w:rsid w:val="001D3510"/>
    <w:rsid w:val="001D36CD"/>
    <w:rsid w:val="001D38D6"/>
    <w:rsid w:val="001D3B54"/>
    <w:rsid w:val="001D3BDE"/>
    <w:rsid w:val="001D3C81"/>
    <w:rsid w:val="001D3CD5"/>
    <w:rsid w:val="001D3D7C"/>
    <w:rsid w:val="001D3DE6"/>
    <w:rsid w:val="001D3F16"/>
    <w:rsid w:val="001D4105"/>
    <w:rsid w:val="001D4134"/>
    <w:rsid w:val="001D47D3"/>
    <w:rsid w:val="001D4F49"/>
    <w:rsid w:val="001D51BD"/>
    <w:rsid w:val="001D5585"/>
    <w:rsid w:val="001D55E6"/>
    <w:rsid w:val="001D56B1"/>
    <w:rsid w:val="001D5986"/>
    <w:rsid w:val="001D5B86"/>
    <w:rsid w:val="001D6184"/>
    <w:rsid w:val="001D6C84"/>
    <w:rsid w:val="001D6F11"/>
    <w:rsid w:val="001D70EC"/>
    <w:rsid w:val="001D711B"/>
    <w:rsid w:val="001D7982"/>
    <w:rsid w:val="001D7C4B"/>
    <w:rsid w:val="001E05B4"/>
    <w:rsid w:val="001E0C79"/>
    <w:rsid w:val="001E1A85"/>
    <w:rsid w:val="001E1C76"/>
    <w:rsid w:val="001E1D3D"/>
    <w:rsid w:val="001E2356"/>
    <w:rsid w:val="001E2BEC"/>
    <w:rsid w:val="001E2E3B"/>
    <w:rsid w:val="001E3116"/>
    <w:rsid w:val="001E3475"/>
    <w:rsid w:val="001E364B"/>
    <w:rsid w:val="001E3B34"/>
    <w:rsid w:val="001E47D1"/>
    <w:rsid w:val="001E48C1"/>
    <w:rsid w:val="001E4B18"/>
    <w:rsid w:val="001E4D87"/>
    <w:rsid w:val="001E4FD1"/>
    <w:rsid w:val="001E5339"/>
    <w:rsid w:val="001E5631"/>
    <w:rsid w:val="001E5D4C"/>
    <w:rsid w:val="001E6707"/>
    <w:rsid w:val="001E67B2"/>
    <w:rsid w:val="001E6A64"/>
    <w:rsid w:val="001E6D8D"/>
    <w:rsid w:val="001E6DCD"/>
    <w:rsid w:val="001E6E6C"/>
    <w:rsid w:val="001E6F8D"/>
    <w:rsid w:val="001E6FB4"/>
    <w:rsid w:val="001E7299"/>
    <w:rsid w:val="001E72F1"/>
    <w:rsid w:val="001E741C"/>
    <w:rsid w:val="001E75C5"/>
    <w:rsid w:val="001E799E"/>
    <w:rsid w:val="001E7B15"/>
    <w:rsid w:val="001E7DB5"/>
    <w:rsid w:val="001F07EF"/>
    <w:rsid w:val="001F0E7D"/>
    <w:rsid w:val="001F1864"/>
    <w:rsid w:val="001F1B5F"/>
    <w:rsid w:val="001F343E"/>
    <w:rsid w:val="001F3C9B"/>
    <w:rsid w:val="001F3E6D"/>
    <w:rsid w:val="001F3F2A"/>
    <w:rsid w:val="001F4535"/>
    <w:rsid w:val="001F46AF"/>
    <w:rsid w:val="001F488F"/>
    <w:rsid w:val="001F4EAD"/>
    <w:rsid w:val="001F5057"/>
    <w:rsid w:val="001F5337"/>
    <w:rsid w:val="001F5BE9"/>
    <w:rsid w:val="001F5C39"/>
    <w:rsid w:val="001F60E7"/>
    <w:rsid w:val="001F60FD"/>
    <w:rsid w:val="001F61EB"/>
    <w:rsid w:val="001F66F9"/>
    <w:rsid w:val="001F69C2"/>
    <w:rsid w:val="001F6CFC"/>
    <w:rsid w:val="001F7A50"/>
    <w:rsid w:val="001F7C16"/>
    <w:rsid w:val="001F7E22"/>
    <w:rsid w:val="00200183"/>
    <w:rsid w:val="002003CC"/>
    <w:rsid w:val="0020046C"/>
    <w:rsid w:val="00200901"/>
    <w:rsid w:val="0020091A"/>
    <w:rsid w:val="00200D9A"/>
    <w:rsid w:val="002010FC"/>
    <w:rsid w:val="00201C1B"/>
    <w:rsid w:val="00201C56"/>
    <w:rsid w:val="00201DE7"/>
    <w:rsid w:val="00202064"/>
    <w:rsid w:val="0020220B"/>
    <w:rsid w:val="002022FD"/>
    <w:rsid w:val="00202AAC"/>
    <w:rsid w:val="00202AF2"/>
    <w:rsid w:val="00203314"/>
    <w:rsid w:val="0020342C"/>
    <w:rsid w:val="00204043"/>
    <w:rsid w:val="002048D1"/>
    <w:rsid w:val="00204C08"/>
    <w:rsid w:val="00205066"/>
    <w:rsid w:val="00205746"/>
    <w:rsid w:val="00205AEB"/>
    <w:rsid w:val="002068E4"/>
    <w:rsid w:val="00206B32"/>
    <w:rsid w:val="002074E3"/>
    <w:rsid w:val="0020770D"/>
    <w:rsid w:val="0020772A"/>
    <w:rsid w:val="002079CB"/>
    <w:rsid w:val="00207B0E"/>
    <w:rsid w:val="00207B10"/>
    <w:rsid w:val="00207C8D"/>
    <w:rsid w:val="00207CB0"/>
    <w:rsid w:val="00207FA5"/>
    <w:rsid w:val="0021022D"/>
    <w:rsid w:val="002103C2"/>
    <w:rsid w:val="00210609"/>
    <w:rsid w:val="0021096E"/>
    <w:rsid w:val="00210DE8"/>
    <w:rsid w:val="0021128A"/>
    <w:rsid w:val="002119CB"/>
    <w:rsid w:val="00211D73"/>
    <w:rsid w:val="00212A19"/>
    <w:rsid w:val="00212A3E"/>
    <w:rsid w:val="00212E50"/>
    <w:rsid w:val="00212FCA"/>
    <w:rsid w:val="002132E4"/>
    <w:rsid w:val="002133C7"/>
    <w:rsid w:val="0021384B"/>
    <w:rsid w:val="00213D1F"/>
    <w:rsid w:val="00213D40"/>
    <w:rsid w:val="00213F69"/>
    <w:rsid w:val="00214098"/>
    <w:rsid w:val="002143DA"/>
    <w:rsid w:val="00214402"/>
    <w:rsid w:val="00214BE5"/>
    <w:rsid w:val="00214BF2"/>
    <w:rsid w:val="00215860"/>
    <w:rsid w:val="0021596B"/>
    <w:rsid w:val="00215A7F"/>
    <w:rsid w:val="00215CBE"/>
    <w:rsid w:val="00215D8B"/>
    <w:rsid w:val="00215DB7"/>
    <w:rsid w:val="00216226"/>
    <w:rsid w:val="00216299"/>
    <w:rsid w:val="00216321"/>
    <w:rsid w:val="002163EA"/>
    <w:rsid w:val="00216522"/>
    <w:rsid w:val="00216730"/>
    <w:rsid w:val="0021699C"/>
    <w:rsid w:val="00217806"/>
    <w:rsid w:val="002179FF"/>
    <w:rsid w:val="00217B06"/>
    <w:rsid w:val="00217CE9"/>
    <w:rsid w:val="00220D47"/>
    <w:rsid w:val="00221379"/>
    <w:rsid w:val="0022142A"/>
    <w:rsid w:val="00221950"/>
    <w:rsid w:val="00221D19"/>
    <w:rsid w:val="0022211C"/>
    <w:rsid w:val="0022254A"/>
    <w:rsid w:val="00222AB5"/>
    <w:rsid w:val="00222FF4"/>
    <w:rsid w:val="00223735"/>
    <w:rsid w:val="00223B0C"/>
    <w:rsid w:val="00223B51"/>
    <w:rsid w:val="00224A56"/>
    <w:rsid w:val="00224C7B"/>
    <w:rsid w:val="002256B6"/>
    <w:rsid w:val="00225857"/>
    <w:rsid w:val="00225CBD"/>
    <w:rsid w:val="00226617"/>
    <w:rsid w:val="0022666B"/>
    <w:rsid w:val="00226DBE"/>
    <w:rsid w:val="002272C5"/>
    <w:rsid w:val="0022734D"/>
    <w:rsid w:val="002275BF"/>
    <w:rsid w:val="00227746"/>
    <w:rsid w:val="00227CC8"/>
    <w:rsid w:val="0023038A"/>
    <w:rsid w:val="00230490"/>
    <w:rsid w:val="00230686"/>
    <w:rsid w:val="00230718"/>
    <w:rsid w:val="002308F6"/>
    <w:rsid w:val="00230A12"/>
    <w:rsid w:val="00231AC0"/>
    <w:rsid w:val="00232E5B"/>
    <w:rsid w:val="00233442"/>
    <w:rsid w:val="00233A1F"/>
    <w:rsid w:val="00233D14"/>
    <w:rsid w:val="0023447F"/>
    <w:rsid w:val="00234EED"/>
    <w:rsid w:val="002350B3"/>
    <w:rsid w:val="00235F1B"/>
    <w:rsid w:val="00236C53"/>
    <w:rsid w:val="00237123"/>
    <w:rsid w:val="0023798E"/>
    <w:rsid w:val="002379E0"/>
    <w:rsid w:val="00237D19"/>
    <w:rsid w:val="0024029E"/>
    <w:rsid w:val="00240CF9"/>
    <w:rsid w:val="00240ECC"/>
    <w:rsid w:val="00240FD8"/>
    <w:rsid w:val="0024113F"/>
    <w:rsid w:val="00241A21"/>
    <w:rsid w:val="00241E35"/>
    <w:rsid w:val="00241EC3"/>
    <w:rsid w:val="00241FA1"/>
    <w:rsid w:val="0024200C"/>
    <w:rsid w:val="00242CEE"/>
    <w:rsid w:val="00242EE4"/>
    <w:rsid w:val="002430C5"/>
    <w:rsid w:val="002432E1"/>
    <w:rsid w:val="0024343F"/>
    <w:rsid w:val="0024367F"/>
    <w:rsid w:val="002437E3"/>
    <w:rsid w:val="002438FC"/>
    <w:rsid w:val="0024399B"/>
    <w:rsid w:val="00243ACC"/>
    <w:rsid w:val="00243AFF"/>
    <w:rsid w:val="00243B44"/>
    <w:rsid w:val="00243D34"/>
    <w:rsid w:val="0024426E"/>
    <w:rsid w:val="0024462E"/>
    <w:rsid w:val="0024490E"/>
    <w:rsid w:val="002454EB"/>
    <w:rsid w:val="00245BE8"/>
    <w:rsid w:val="00245D3E"/>
    <w:rsid w:val="00246EB0"/>
    <w:rsid w:val="00246F48"/>
    <w:rsid w:val="002474FA"/>
    <w:rsid w:val="0024767D"/>
    <w:rsid w:val="00247786"/>
    <w:rsid w:val="00247BF3"/>
    <w:rsid w:val="00247C54"/>
    <w:rsid w:val="002500DD"/>
    <w:rsid w:val="002507CD"/>
    <w:rsid w:val="00250929"/>
    <w:rsid w:val="00250CF7"/>
    <w:rsid w:val="00250F84"/>
    <w:rsid w:val="00251123"/>
    <w:rsid w:val="0025166D"/>
    <w:rsid w:val="0025167C"/>
    <w:rsid w:val="002516DE"/>
    <w:rsid w:val="00251B7A"/>
    <w:rsid w:val="002525AA"/>
    <w:rsid w:val="00252713"/>
    <w:rsid w:val="00252726"/>
    <w:rsid w:val="00252C53"/>
    <w:rsid w:val="0025342F"/>
    <w:rsid w:val="00253493"/>
    <w:rsid w:val="002534E5"/>
    <w:rsid w:val="00253506"/>
    <w:rsid w:val="00253714"/>
    <w:rsid w:val="00253DAA"/>
    <w:rsid w:val="00253DE9"/>
    <w:rsid w:val="00253EA5"/>
    <w:rsid w:val="00254178"/>
    <w:rsid w:val="002543B2"/>
    <w:rsid w:val="00254616"/>
    <w:rsid w:val="002552AF"/>
    <w:rsid w:val="00255534"/>
    <w:rsid w:val="002555BD"/>
    <w:rsid w:val="00256672"/>
    <w:rsid w:val="002567EE"/>
    <w:rsid w:val="002569FF"/>
    <w:rsid w:val="00256A3D"/>
    <w:rsid w:val="00256A85"/>
    <w:rsid w:val="00256C95"/>
    <w:rsid w:val="00256DE4"/>
    <w:rsid w:val="0025748E"/>
    <w:rsid w:val="00257AFB"/>
    <w:rsid w:val="00257CF6"/>
    <w:rsid w:val="002600C4"/>
    <w:rsid w:val="00260605"/>
    <w:rsid w:val="00260A8D"/>
    <w:rsid w:val="00260BC1"/>
    <w:rsid w:val="00261191"/>
    <w:rsid w:val="002614DE"/>
    <w:rsid w:val="002614FA"/>
    <w:rsid w:val="00261677"/>
    <w:rsid w:val="00261DBA"/>
    <w:rsid w:val="00261E81"/>
    <w:rsid w:val="00261EB9"/>
    <w:rsid w:val="0026223E"/>
    <w:rsid w:val="0026293D"/>
    <w:rsid w:val="00263912"/>
    <w:rsid w:val="00263A1D"/>
    <w:rsid w:val="00263E70"/>
    <w:rsid w:val="00264896"/>
    <w:rsid w:val="00264D80"/>
    <w:rsid w:val="00265982"/>
    <w:rsid w:val="00266031"/>
    <w:rsid w:val="0026611A"/>
    <w:rsid w:val="00266A7D"/>
    <w:rsid w:val="00266C9F"/>
    <w:rsid w:val="0026714F"/>
    <w:rsid w:val="002677D0"/>
    <w:rsid w:val="00267A1B"/>
    <w:rsid w:val="00267F3C"/>
    <w:rsid w:val="00270054"/>
    <w:rsid w:val="00270154"/>
    <w:rsid w:val="0027099F"/>
    <w:rsid w:val="0027136D"/>
    <w:rsid w:val="002719CA"/>
    <w:rsid w:val="00271A97"/>
    <w:rsid w:val="00271B82"/>
    <w:rsid w:val="00271EA2"/>
    <w:rsid w:val="00271F70"/>
    <w:rsid w:val="00272765"/>
    <w:rsid w:val="0027357F"/>
    <w:rsid w:val="00273801"/>
    <w:rsid w:val="0027408B"/>
    <w:rsid w:val="002742BC"/>
    <w:rsid w:val="0027442F"/>
    <w:rsid w:val="002744F8"/>
    <w:rsid w:val="0027472F"/>
    <w:rsid w:val="00274735"/>
    <w:rsid w:val="00274FC2"/>
    <w:rsid w:val="0027575A"/>
    <w:rsid w:val="0027581E"/>
    <w:rsid w:val="002758FE"/>
    <w:rsid w:val="00275AC3"/>
    <w:rsid w:val="00275BB2"/>
    <w:rsid w:val="00275BB7"/>
    <w:rsid w:val="00276033"/>
    <w:rsid w:val="0027605E"/>
    <w:rsid w:val="00276098"/>
    <w:rsid w:val="00276215"/>
    <w:rsid w:val="002767EA"/>
    <w:rsid w:val="002768EA"/>
    <w:rsid w:val="0027698E"/>
    <w:rsid w:val="00276B56"/>
    <w:rsid w:val="00276F9D"/>
    <w:rsid w:val="00277184"/>
    <w:rsid w:val="00277621"/>
    <w:rsid w:val="0028091B"/>
    <w:rsid w:val="00280BA0"/>
    <w:rsid w:val="00280C3F"/>
    <w:rsid w:val="00280EC0"/>
    <w:rsid w:val="00280F46"/>
    <w:rsid w:val="002811ED"/>
    <w:rsid w:val="002818C5"/>
    <w:rsid w:val="002819FD"/>
    <w:rsid w:val="00282B8A"/>
    <w:rsid w:val="00282B8D"/>
    <w:rsid w:val="00283731"/>
    <w:rsid w:val="00283A12"/>
    <w:rsid w:val="00283EAB"/>
    <w:rsid w:val="002847A7"/>
    <w:rsid w:val="00284972"/>
    <w:rsid w:val="00284F31"/>
    <w:rsid w:val="0028583A"/>
    <w:rsid w:val="00285BB4"/>
    <w:rsid w:val="00285EC4"/>
    <w:rsid w:val="00285FDD"/>
    <w:rsid w:val="002864CA"/>
    <w:rsid w:val="002867D9"/>
    <w:rsid w:val="00287368"/>
    <w:rsid w:val="00287660"/>
    <w:rsid w:val="002877EC"/>
    <w:rsid w:val="00287873"/>
    <w:rsid w:val="002879E1"/>
    <w:rsid w:val="00287AFC"/>
    <w:rsid w:val="00290568"/>
    <w:rsid w:val="002910DC"/>
    <w:rsid w:val="0029119F"/>
    <w:rsid w:val="002916CC"/>
    <w:rsid w:val="002926C3"/>
    <w:rsid w:val="0029278C"/>
    <w:rsid w:val="0029294D"/>
    <w:rsid w:val="00292C8E"/>
    <w:rsid w:val="00292E65"/>
    <w:rsid w:val="00292EC7"/>
    <w:rsid w:val="00292ED5"/>
    <w:rsid w:val="00292FB9"/>
    <w:rsid w:val="0029312E"/>
    <w:rsid w:val="0029375C"/>
    <w:rsid w:val="00293B16"/>
    <w:rsid w:val="002942DF"/>
    <w:rsid w:val="0029442E"/>
    <w:rsid w:val="00294498"/>
    <w:rsid w:val="00294572"/>
    <w:rsid w:val="00294B2C"/>
    <w:rsid w:val="0029578D"/>
    <w:rsid w:val="00295881"/>
    <w:rsid w:val="00295C39"/>
    <w:rsid w:val="00295E58"/>
    <w:rsid w:val="002966A9"/>
    <w:rsid w:val="0029697C"/>
    <w:rsid w:val="00296B6B"/>
    <w:rsid w:val="00296FD2"/>
    <w:rsid w:val="00297502"/>
    <w:rsid w:val="00297751"/>
    <w:rsid w:val="002978C2"/>
    <w:rsid w:val="002979D2"/>
    <w:rsid w:val="002979F1"/>
    <w:rsid w:val="00297A68"/>
    <w:rsid w:val="00297BF9"/>
    <w:rsid w:val="002A0030"/>
    <w:rsid w:val="002A02A3"/>
    <w:rsid w:val="002A0DB6"/>
    <w:rsid w:val="002A11C7"/>
    <w:rsid w:val="002A13E1"/>
    <w:rsid w:val="002A203B"/>
    <w:rsid w:val="002A2E88"/>
    <w:rsid w:val="002A3248"/>
    <w:rsid w:val="002A3285"/>
    <w:rsid w:val="002A39CF"/>
    <w:rsid w:val="002A3E4F"/>
    <w:rsid w:val="002A3E66"/>
    <w:rsid w:val="002A4F56"/>
    <w:rsid w:val="002A5032"/>
    <w:rsid w:val="002A5D41"/>
    <w:rsid w:val="002A5DB3"/>
    <w:rsid w:val="002A6120"/>
    <w:rsid w:val="002A65C2"/>
    <w:rsid w:val="002A669A"/>
    <w:rsid w:val="002A6E44"/>
    <w:rsid w:val="002A6E7D"/>
    <w:rsid w:val="002A7DFD"/>
    <w:rsid w:val="002A7EFC"/>
    <w:rsid w:val="002B0846"/>
    <w:rsid w:val="002B0DD1"/>
    <w:rsid w:val="002B12D6"/>
    <w:rsid w:val="002B1304"/>
    <w:rsid w:val="002B1359"/>
    <w:rsid w:val="002B13A0"/>
    <w:rsid w:val="002B15D4"/>
    <w:rsid w:val="002B280D"/>
    <w:rsid w:val="002B2831"/>
    <w:rsid w:val="002B2A6C"/>
    <w:rsid w:val="002B2B72"/>
    <w:rsid w:val="002B2D32"/>
    <w:rsid w:val="002B3192"/>
    <w:rsid w:val="002B34CB"/>
    <w:rsid w:val="002B3D93"/>
    <w:rsid w:val="002B3FDD"/>
    <w:rsid w:val="002B4621"/>
    <w:rsid w:val="002B49F5"/>
    <w:rsid w:val="002B4C24"/>
    <w:rsid w:val="002B5A1C"/>
    <w:rsid w:val="002B6198"/>
    <w:rsid w:val="002B6232"/>
    <w:rsid w:val="002B62E4"/>
    <w:rsid w:val="002B6446"/>
    <w:rsid w:val="002B65B9"/>
    <w:rsid w:val="002B6AE6"/>
    <w:rsid w:val="002B6F3B"/>
    <w:rsid w:val="002B7DE9"/>
    <w:rsid w:val="002C03B5"/>
    <w:rsid w:val="002C1EDE"/>
    <w:rsid w:val="002C22CC"/>
    <w:rsid w:val="002C23A2"/>
    <w:rsid w:val="002C26BE"/>
    <w:rsid w:val="002C2CC9"/>
    <w:rsid w:val="002C3041"/>
    <w:rsid w:val="002C34E5"/>
    <w:rsid w:val="002C3600"/>
    <w:rsid w:val="002C370B"/>
    <w:rsid w:val="002C3942"/>
    <w:rsid w:val="002C3CD5"/>
    <w:rsid w:val="002C3DDF"/>
    <w:rsid w:val="002C4350"/>
    <w:rsid w:val="002C4510"/>
    <w:rsid w:val="002C4AB6"/>
    <w:rsid w:val="002C5009"/>
    <w:rsid w:val="002C5097"/>
    <w:rsid w:val="002C5981"/>
    <w:rsid w:val="002C621A"/>
    <w:rsid w:val="002C6558"/>
    <w:rsid w:val="002C6D23"/>
    <w:rsid w:val="002C6D73"/>
    <w:rsid w:val="002C6ECD"/>
    <w:rsid w:val="002C709F"/>
    <w:rsid w:val="002C72FF"/>
    <w:rsid w:val="002C7307"/>
    <w:rsid w:val="002D0174"/>
    <w:rsid w:val="002D03A7"/>
    <w:rsid w:val="002D0410"/>
    <w:rsid w:val="002D0413"/>
    <w:rsid w:val="002D0899"/>
    <w:rsid w:val="002D148C"/>
    <w:rsid w:val="002D1707"/>
    <w:rsid w:val="002D17E2"/>
    <w:rsid w:val="002D1A1C"/>
    <w:rsid w:val="002D1A21"/>
    <w:rsid w:val="002D1DE2"/>
    <w:rsid w:val="002D2B23"/>
    <w:rsid w:val="002D3228"/>
    <w:rsid w:val="002D3481"/>
    <w:rsid w:val="002D36BC"/>
    <w:rsid w:val="002D3AF1"/>
    <w:rsid w:val="002D3B17"/>
    <w:rsid w:val="002D3F5B"/>
    <w:rsid w:val="002D4339"/>
    <w:rsid w:val="002D45B7"/>
    <w:rsid w:val="002D45BF"/>
    <w:rsid w:val="002D530C"/>
    <w:rsid w:val="002D5CA7"/>
    <w:rsid w:val="002D5F68"/>
    <w:rsid w:val="002D642F"/>
    <w:rsid w:val="002D65A4"/>
    <w:rsid w:val="002D6606"/>
    <w:rsid w:val="002D6817"/>
    <w:rsid w:val="002D6C07"/>
    <w:rsid w:val="002D7107"/>
    <w:rsid w:val="002D72A3"/>
    <w:rsid w:val="002D7427"/>
    <w:rsid w:val="002D7F33"/>
    <w:rsid w:val="002D7FC0"/>
    <w:rsid w:val="002E0330"/>
    <w:rsid w:val="002E0675"/>
    <w:rsid w:val="002E0DA9"/>
    <w:rsid w:val="002E0EC8"/>
    <w:rsid w:val="002E16BF"/>
    <w:rsid w:val="002E19A2"/>
    <w:rsid w:val="002E1BC6"/>
    <w:rsid w:val="002E1D30"/>
    <w:rsid w:val="002E22DD"/>
    <w:rsid w:val="002E278F"/>
    <w:rsid w:val="002E3B4D"/>
    <w:rsid w:val="002E3DB0"/>
    <w:rsid w:val="002E3E05"/>
    <w:rsid w:val="002E439E"/>
    <w:rsid w:val="002E45CB"/>
    <w:rsid w:val="002E48BC"/>
    <w:rsid w:val="002E49E5"/>
    <w:rsid w:val="002E4CC3"/>
    <w:rsid w:val="002E4EE3"/>
    <w:rsid w:val="002E51F0"/>
    <w:rsid w:val="002E5386"/>
    <w:rsid w:val="002E591E"/>
    <w:rsid w:val="002E6045"/>
    <w:rsid w:val="002E60CD"/>
    <w:rsid w:val="002E624D"/>
    <w:rsid w:val="002E6588"/>
    <w:rsid w:val="002E66C5"/>
    <w:rsid w:val="002E6752"/>
    <w:rsid w:val="002E6C91"/>
    <w:rsid w:val="002E6EF8"/>
    <w:rsid w:val="002E741F"/>
    <w:rsid w:val="002E7555"/>
    <w:rsid w:val="002E7B5A"/>
    <w:rsid w:val="002E7C76"/>
    <w:rsid w:val="002E7FF8"/>
    <w:rsid w:val="002F0522"/>
    <w:rsid w:val="002F0655"/>
    <w:rsid w:val="002F0734"/>
    <w:rsid w:val="002F0743"/>
    <w:rsid w:val="002F1819"/>
    <w:rsid w:val="002F1837"/>
    <w:rsid w:val="002F19B2"/>
    <w:rsid w:val="002F1EFE"/>
    <w:rsid w:val="002F223A"/>
    <w:rsid w:val="002F33FD"/>
    <w:rsid w:val="002F3692"/>
    <w:rsid w:val="002F4B17"/>
    <w:rsid w:val="002F4B2E"/>
    <w:rsid w:val="002F4BB0"/>
    <w:rsid w:val="002F5033"/>
    <w:rsid w:val="002F54B7"/>
    <w:rsid w:val="002F55D3"/>
    <w:rsid w:val="002F5D22"/>
    <w:rsid w:val="002F66CA"/>
    <w:rsid w:val="002F6845"/>
    <w:rsid w:val="002F694A"/>
    <w:rsid w:val="002F697A"/>
    <w:rsid w:val="002F699A"/>
    <w:rsid w:val="002F71D7"/>
    <w:rsid w:val="002F7E78"/>
    <w:rsid w:val="0030004F"/>
    <w:rsid w:val="00300053"/>
    <w:rsid w:val="0030026A"/>
    <w:rsid w:val="00300AE4"/>
    <w:rsid w:val="0030122F"/>
    <w:rsid w:val="00301370"/>
    <w:rsid w:val="003016A1"/>
    <w:rsid w:val="00301726"/>
    <w:rsid w:val="0030183F"/>
    <w:rsid w:val="00301975"/>
    <w:rsid w:val="00301B52"/>
    <w:rsid w:val="00301B60"/>
    <w:rsid w:val="0030242D"/>
    <w:rsid w:val="00302669"/>
    <w:rsid w:val="00303510"/>
    <w:rsid w:val="003038A6"/>
    <w:rsid w:val="003038A7"/>
    <w:rsid w:val="003039CB"/>
    <w:rsid w:val="003044B2"/>
    <w:rsid w:val="0030474F"/>
    <w:rsid w:val="00304A99"/>
    <w:rsid w:val="00304B45"/>
    <w:rsid w:val="0030542C"/>
    <w:rsid w:val="00305E51"/>
    <w:rsid w:val="00306266"/>
    <w:rsid w:val="003062DC"/>
    <w:rsid w:val="003064C7"/>
    <w:rsid w:val="0030708B"/>
    <w:rsid w:val="0030751D"/>
    <w:rsid w:val="00307820"/>
    <w:rsid w:val="00310418"/>
    <w:rsid w:val="00310C8F"/>
    <w:rsid w:val="00310E72"/>
    <w:rsid w:val="00311606"/>
    <w:rsid w:val="00311689"/>
    <w:rsid w:val="00312FFC"/>
    <w:rsid w:val="00313121"/>
    <w:rsid w:val="003139D1"/>
    <w:rsid w:val="00313D78"/>
    <w:rsid w:val="003145A0"/>
    <w:rsid w:val="00314A5E"/>
    <w:rsid w:val="00314FA2"/>
    <w:rsid w:val="003150BF"/>
    <w:rsid w:val="003150CE"/>
    <w:rsid w:val="00315E92"/>
    <w:rsid w:val="003169E0"/>
    <w:rsid w:val="00316CEA"/>
    <w:rsid w:val="0031754A"/>
    <w:rsid w:val="00317CDD"/>
    <w:rsid w:val="00320DCC"/>
    <w:rsid w:val="003211E6"/>
    <w:rsid w:val="0032237F"/>
    <w:rsid w:val="00322ECF"/>
    <w:rsid w:val="003233A2"/>
    <w:rsid w:val="003235D6"/>
    <w:rsid w:val="00323663"/>
    <w:rsid w:val="00323B9E"/>
    <w:rsid w:val="0032415D"/>
    <w:rsid w:val="00324952"/>
    <w:rsid w:val="00324A86"/>
    <w:rsid w:val="00324F05"/>
    <w:rsid w:val="0032501A"/>
    <w:rsid w:val="00325808"/>
    <w:rsid w:val="00325860"/>
    <w:rsid w:val="003263F9"/>
    <w:rsid w:val="00326A67"/>
    <w:rsid w:val="0032751C"/>
    <w:rsid w:val="00327973"/>
    <w:rsid w:val="00327F94"/>
    <w:rsid w:val="00327FC9"/>
    <w:rsid w:val="00330733"/>
    <w:rsid w:val="00330804"/>
    <w:rsid w:val="003309B5"/>
    <w:rsid w:val="00330D42"/>
    <w:rsid w:val="00331D87"/>
    <w:rsid w:val="00332407"/>
    <w:rsid w:val="00332F15"/>
    <w:rsid w:val="00333460"/>
    <w:rsid w:val="00333528"/>
    <w:rsid w:val="00334A6B"/>
    <w:rsid w:val="00334FA8"/>
    <w:rsid w:val="0033539A"/>
    <w:rsid w:val="00335A0B"/>
    <w:rsid w:val="00336073"/>
    <w:rsid w:val="003361DC"/>
    <w:rsid w:val="003366B2"/>
    <w:rsid w:val="00336BF5"/>
    <w:rsid w:val="00336C86"/>
    <w:rsid w:val="003373A7"/>
    <w:rsid w:val="00337925"/>
    <w:rsid w:val="00337948"/>
    <w:rsid w:val="00337B0C"/>
    <w:rsid w:val="00337DCE"/>
    <w:rsid w:val="00337FAB"/>
    <w:rsid w:val="00340066"/>
    <w:rsid w:val="00340B28"/>
    <w:rsid w:val="0034122D"/>
    <w:rsid w:val="0034185C"/>
    <w:rsid w:val="003420CD"/>
    <w:rsid w:val="0034281C"/>
    <w:rsid w:val="0034288B"/>
    <w:rsid w:val="003428A9"/>
    <w:rsid w:val="00342E86"/>
    <w:rsid w:val="00342EBC"/>
    <w:rsid w:val="003430A6"/>
    <w:rsid w:val="0034332B"/>
    <w:rsid w:val="003436AB"/>
    <w:rsid w:val="003436D3"/>
    <w:rsid w:val="00343BC7"/>
    <w:rsid w:val="00344F17"/>
    <w:rsid w:val="00344F6C"/>
    <w:rsid w:val="00345FAD"/>
    <w:rsid w:val="0034681C"/>
    <w:rsid w:val="00346AE5"/>
    <w:rsid w:val="00346BF1"/>
    <w:rsid w:val="00346EAA"/>
    <w:rsid w:val="003470FE"/>
    <w:rsid w:val="003475D0"/>
    <w:rsid w:val="00347692"/>
    <w:rsid w:val="00347809"/>
    <w:rsid w:val="00350377"/>
    <w:rsid w:val="00350906"/>
    <w:rsid w:val="00350B28"/>
    <w:rsid w:val="00351083"/>
    <w:rsid w:val="00351A34"/>
    <w:rsid w:val="003526CF"/>
    <w:rsid w:val="00352748"/>
    <w:rsid w:val="00353142"/>
    <w:rsid w:val="0035394A"/>
    <w:rsid w:val="0035398D"/>
    <w:rsid w:val="00353DEA"/>
    <w:rsid w:val="00354D7C"/>
    <w:rsid w:val="00355568"/>
    <w:rsid w:val="003558D6"/>
    <w:rsid w:val="00355A53"/>
    <w:rsid w:val="00355E5B"/>
    <w:rsid w:val="00355EA9"/>
    <w:rsid w:val="00356543"/>
    <w:rsid w:val="00356561"/>
    <w:rsid w:val="00356A20"/>
    <w:rsid w:val="00356D4F"/>
    <w:rsid w:val="003574F0"/>
    <w:rsid w:val="0035769B"/>
    <w:rsid w:val="00357C18"/>
    <w:rsid w:val="003600A8"/>
    <w:rsid w:val="003603CB"/>
    <w:rsid w:val="0036090F"/>
    <w:rsid w:val="00360AD3"/>
    <w:rsid w:val="00360B4A"/>
    <w:rsid w:val="00360E57"/>
    <w:rsid w:val="003614A3"/>
    <w:rsid w:val="00361689"/>
    <w:rsid w:val="003616C2"/>
    <w:rsid w:val="00361D13"/>
    <w:rsid w:val="00361E42"/>
    <w:rsid w:val="00361E86"/>
    <w:rsid w:val="00362026"/>
    <w:rsid w:val="003622CF"/>
    <w:rsid w:val="0036284D"/>
    <w:rsid w:val="00362981"/>
    <w:rsid w:val="00363702"/>
    <w:rsid w:val="003639C9"/>
    <w:rsid w:val="00363EE4"/>
    <w:rsid w:val="00364BD4"/>
    <w:rsid w:val="00364E3D"/>
    <w:rsid w:val="003650F7"/>
    <w:rsid w:val="003653A4"/>
    <w:rsid w:val="00366486"/>
    <w:rsid w:val="00366524"/>
    <w:rsid w:val="00367EED"/>
    <w:rsid w:val="0037058D"/>
    <w:rsid w:val="00370771"/>
    <w:rsid w:val="003707CD"/>
    <w:rsid w:val="00370C49"/>
    <w:rsid w:val="00370FFB"/>
    <w:rsid w:val="0037121E"/>
    <w:rsid w:val="003712E1"/>
    <w:rsid w:val="00371676"/>
    <w:rsid w:val="0037191F"/>
    <w:rsid w:val="00371B86"/>
    <w:rsid w:val="00372A8B"/>
    <w:rsid w:val="00373195"/>
    <w:rsid w:val="003736B1"/>
    <w:rsid w:val="0037380B"/>
    <w:rsid w:val="00373E58"/>
    <w:rsid w:val="003740BD"/>
    <w:rsid w:val="003744D8"/>
    <w:rsid w:val="003749F1"/>
    <w:rsid w:val="00374F71"/>
    <w:rsid w:val="00374FDB"/>
    <w:rsid w:val="00375145"/>
    <w:rsid w:val="003757A0"/>
    <w:rsid w:val="00376073"/>
    <w:rsid w:val="00376423"/>
    <w:rsid w:val="003769C5"/>
    <w:rsid w:val="00376A7C"/>
    <w:rsid w:val="00377452"/>
    <w:rsid w:val="00377979"/>
    <w:rsid w:val="00377F5E"/>
    <w:rsid w:val="003801C8"/>
    <w:rsid w:val="003809FD"/>
    <w:rsid w:val="00380E1D"/>
    <w:rsid w:val="00381223"/>
    <w:rsid w:val="00381405"/>
    <w:rsid w:val="0038142E"/>
    <w:rsid w:val="003816D2"/>
    <w:rsid w:val="00381849"/>
    <w:rsid w:val="00381C3A"/>
    <w:rsid w:val="003823A0"/>
    <w:rsid w:val="003827CE"/>
    <w:rsid w:val="00382DB1"/>
    <w:rsid w:val="00383042"/>
    <w:rsid w:val="003831D2"/>
    <w:rsid w:val="003834F9"/>
    <w:rsid w:val="00383571"/>
    <w:rsid w:val="00383906"/>
    <w:rsid w:val="00383BE7"/>
    <w:rsid w:val="00383C3E"/>
    <w:rsid w:val="00383D01"/>
    <w:rsid w:val="0038459E"/>
    <w:rsid w:val="00384C3F"/>
    <w:rsid w:val="00384D96"/>
    <w:rsid w:val="00384F36"/>
    <w:rsid w:val="00385271"/>
    <w:rsid w:val="00385472"/>
    <w:rsid w:val="00385A15"/>
    <w:rsid w:val="00385A8B"/>
    <w:rsid w:val="00385E50"/>
    <w:rsid w:val="00385FAD"/>
    <w:rsid w:val="00386145"/>
    <w:rsid w:val="00386546"/>
    <w:rsid w:val="00387482"/>
    <w:rsid w:val="0039079C"/>
    <w:rsid w:val="0039090D"/>
    <w:rsid w:val="00390CD5"/>
    <w:rsid w:val="00391385"/>
    <w:rsid w:val="00391C1D"/>
    <w:rsid w:val="0039226E"/>
    <w:rsid w:val="003922B8"/>
    <w:rsid w:val="0039287C"/>
    <w:rsid w:val="00392C5B"/>
    <w:rsid w:val="00392CC8"/>
    <w:rsid w:val="00392DBB"/>
    <w:rsid w:val="0039378D"/>
    <w:rsid w:val="00393D5A"/>
    <w:rsid w:val="00393F4B"/>
    <w:rsid w:val="0039469D"/>
    <w:rsid w:val="00394801"/>
    <w:rsid w:val="0039495F"/>
    <w:rsid w:val="003949C9"/>
    <w:rsid w:val="00394E61"/>
    <w:rsid w:val="00395138"/>
    <w:rsid w:val="003952C0"/>
    <w:rsid w:val="0039549F"/>
    <w:rsid w:val="0039587B"/>
    <w:rsid w:val="00395F84"/>
    <w:rsid w:val="00396248"/>
    <w:rsid w:val="00397708"/>
    <w:rsid w:val="003977BC"/>
    <w:rsid w:val="00397F12"/>
    <w:rsid w:val="003A01A2"/>
    <w:rsid w:val="003A0997"/>
    <w:rsid w:val="003A1BDB"/>
    <w:rsid w:val="003A1E42"/>
    <w:rsid w:val="003A2017"/>
    <w:rsid w:val="003A219E"/>
    <w:rsid w:val="003A2EBE"/>
    <w:rsid w:val="003A3062"/>
    <w:rsid w:val="003A30C0"/>
    <w:rsid w:val="003A36BA"/>
    <w:rsid w:val="003A36DC"/>
    <w:rsid w:val="003A37C8"/>
    <w:rsid w:val="003A3837"/>
    <w:rsid w:val="003A3BBA"/>
    <w:rsid w:val="003A4308"/>
    <w:rsid w:val="003A48CC"/>
    <w:rsid w:val="003A4E04"/>
    <w:rsid w:val="003A4E6B"/>
    <w:rsid w:val="003A517F"/>
    <w:rsid w:val="003A5B5E"/>
    <w:rsid w:val="003A6871"/>
    <w:rsid w:val="003A69FE"/>
    <w:rsid w:val="003A7014"/>
    <w:rsid w:val="003A7106"/>
    <w:rsid w:val="003A72EF"/>
    <w:rsid w:val="003A7360"/>
    <w:rsid w:val="003A7724"/>
    <w:rsid w:val="003A7BBC"/>
    <w:rsid w:val="003A7C6D"/>
    <w:rsid w:val="003A7CA3"/>
    <w:rsid w:val="003A7E21"/>
    <w:rsid w:val="003A7F79"/>
    <w:rsid w:val="003B003D"/>
    <w:rsid w:val="003B0F9C"/>
    <w:rsid w:val="003B1066"/>
    <w:rsid w:val="003B12AD"/>
    <w:rsid w:val="003B1C75"/>
    <w:rsid w:val="003B2838"/>
    <w:rsid w:val="003B3000"/>
    <w:rsid w:val="003B363F"/>
    <w:rsid w:val="003B37F4"/>
    <w:rsid w:val="003B389E"/>
    <w:rsid w:val="003B3C33"/>
    <w:rsid w:val="003B3EC4"/>
    <w:rsid w:val="003B3FE5"/>
    <w:rsid w:val="003B401D"/>
    <w:rsid w:val="003B456E"/>
    <w:rsid w:val="003B4697"/>
    <w:rsid w:val="003B4921"/>
    <w:rsid w:val="003B4997"/>
    <w:rsid w:val="003B4EED"/>
    <w:rsid w:val="003B5289"/>
    <w:rsid w:val="003B5CF8"/>
    <w:rsid w:val="003B5E70"/>
    <w:rsid w:val="003B5EC1"/>
    <w:rsid w:val="003B6431"/>
    <w:rsid w:val="003B6B2C"/>
    <w:rsid w:val="003B7435"/>
    <w:rsid w:val="003B7715"/>
    <w:rsid w:val="003B7960"/>
    <w:rsid w:val="003C07F7"/>
    <w:rsid w:val="003C0808"/>
    <w:rsid w:val="003C0873"/>
    <w:rsid w:val="003C0E8A"/>
    <w:rsid w:val="003C1546"/>
    <w:rsid w:val="003C164B"/>
    <w:rsid w:val="003C1E15"/>
    <w:rsid w:val="003C2534"/>
    <w:rsid w:val="003C2612"/>
    <w:rsid w:val="003C266A"/>
    <w:rsid w:val="003C29B4"/>
    <w:rsid w:val="003C29E3"/>
    <w:rsid w:val="003C3410"/>
    <w:rsid w:val="003C3F28"/>
    <w:rsid w:val="003C4B88"/>
    <w:rsid w:val="003C4E7D"/>
    <w:rsid w:val="003C577B"/>
    <w:rsid w:val="003C5BF8"/>
    <w:rsid w:val="003C5C62"/>
    <w:rsid w:val="003C602A"/>
    <w:rsid w:val="003C646E"/>
    <w:rsid w:val="003C657B"/>
    <w:rsid w:val="003C6928"/>
    <w:rsid w:val="003C6936"/>
    <w:rsid w:val="003C6DD2"/>
    <w:rsid w:val="003C74A2"/>
    <w:rsid w:val="003C79E9"/>
    <w:rsid w:val="003C7DB9"/>
    <w:rsid w:val="003C7FFB"/>
    <w:rsid w:val="003D008F"/>
    <w:rsid w:val="003D044A"/>
    <w:rsid w:val="003D048B"/>
    <w:rsid w:val="003D083C"/>
    <w:rsid w:val="003D0B15"/>
    <w:rsid w:val="003D0D4E"/>
    <w:rsid w:val="003D0E42"/>
    <w:rsid w:val="003D0EAE"/>
    <w:rsid w:val="003D11C4"/>
    <w:rsid w:val="003D1518"/>
    <w:rsid w:val="003D1607"/>
    <w:rsid w:val="003D16C4"/>
    <w:rsid w:val="003D1759"/>
    <w:rsid w:val="003D1896"/>
    <w:rsid w:val="003D192D"/>
    <w:rsid w:val="003D1B2F"/>
    <w:rsid w:val="003D1E64"/>
    <w:rsid w:val="003D288D"/>
    <w:rsid w:val="003D2DDF"/>
    <w:rsid w:val="003D2F6A"/>
    <w:rsid w:val="003D347F"/>
    <w:rsid w:val="003D350F"/>
    <w:rsid w:val="003D3B14"/>
    <w:rsid w:val="003D3D7B"/>
    <w:rsid w:val="003D41CE"/>
    <w:rsid w:val="003D46C1"/>
    <w:rsid w:val="003D472B"/>
    <w:rsid w:val="003D4A26"/>
    <w:rsid w:val="003D4AF3"/>
    <w:rsid w:val="003D4D42"/>
    <w:rsid w:val="003D50BB"/>
    <w:rsid w:val="003D54AD"/>
    <w:rsid w:val="003D598F"/>
    <w:rsid w:val="003D602E"/>
    <w:rsid w:val="003D62F7"/>
    <w:rsid w:val="003D6C58"/>
    <w:rsid w:val="003D6FF2"/>
    <w:rsid w:val="003D7B16"/>
    <w:rsid w:val="003E02E8"/>
    <w:rsid w:val="003E03A3"/>
    <w:rsid w:val="003E068A"/>
    <w:rsid w:val="003E09C8"/>
    <w:rsid w:val="003E1035"/>
    <w:rsid w:val="003E1081"/>
    <w:rsid w:val="003E121B"/>
    <w:rsid w:val="003E17F2"/>
    <w:rsid w:val="003E19F7"/>
    <w:rsid w:val="003E1EB2"/>
    <w:rsid w:val="003E3725"/>
    <w:rsid w:val="003E37F5"/>
    <w:rsid w:val="003E3E31"/>
    <w:rsid w:val="003E3E39"/>
    <w:rsid w:val="003E464F"/>
    <w:rsid w:val="003E47BD"/>
    <w:rsid w:val="003E492C"/>
    <w:rsid w:val="003E5C67"/>
    <w:rsid w:val="003E5E09"/>
    <w:rsid w:val="003E6002"/>
    <w:rsid w:val="003E6441"/>
    <w:rsid w:val="003E67FF"/>
    <w:rsid w:val="003E6D9F"/>
    <w:rsid w:val="003E710D"/>
    <w:rsid w:val="003E7128"/>
    <w:rsid w:val="003E78E0"/>
    <w:rsid w:val="003E7A9C"/>
    <w:rsid w:val="003E7E4C"/>
    <w:rsid w:val="003F063E"/>
    <w:rsid w:val="003F0930"/>
    <w:rsid w:val="003F0BE8"/>
    <w:rsid w:val="003F0F4F"/>
    <w:rsid w:val="003F1283"/>
    <w:rsid w:val="003F1374"/>
    <w:rsid w:val="003F1470"/>
    <w:rsid w:val="003F14C2"/>
    <w:rsid w:val="003F2461"/>
    <w:rsid w:val="003F2F75"/>
    <w:rsid w:val="003F31CA"/>
    <w:rsid w:val="003F328F"/>
    <w:rsid w:val="003F343D"/>
    <w:rsid w:val="003F348C"/>
    <w:rsid w:val="003F36ED"/>
    <w:rsid w:val="003F38C2"/>
    <w:rsid w:val="003F45A4"/>
    <w:rsid w:val="003F489B"/>
    <w:rsid w:val="003F49F3"/>
    <w:rsid w:val="003F531A"/>
    <w:rsid w:val="003F541D"/>
    <w:rsid w:val="003F555D"/>
    <w:rsid w:val="003F574B"/>
    <w:rsid w:val="003F57C9"/>
    <w:rsid w:val="003F5E00"/>
    <w:rsid w:val="003F63AF"/>
    <w:rsid w:val="003F73EB"/>
    <w:rsid w:val="003F7791"/>
    <w:rsid w:val="003F7A0E"/>
    <w:rsid w:val="003F7C9E"/>
    <w:rsid w:val="004000F5"/>
    <w:rsid w:val="004002A4"/>
    <w:rsid w:val="004007D2"/>
    <w:rsid w:val="00400C57"/>
    <w:rsid w:val="0040132B"/>
    <w:rsid w:val="004018A0"/>
    <w:rsid w:val="00401D43"/>
    <w:rsid w:val="004025E8"/>
    <w:rsid w:val="00402739"/>
    <w:rsid w:val="00402768"/>
    <w:rsid w:val="00402AC1"/>
    <w:rsid w:val="00402CB7"/>
    <w:rsid w:val="00403128"/>
    <w:rsid w:val="004039B4"/>
    <w:rsid w:val="00403A35"/>
    <w:rsid w:val="00403B40"/>
    <w:rsid w:val="00403F72"/>
    <w:rsid w:val="004042AB"/>
    <w:rsid w:val="00404C36"/>
    <w:rsid w:val="00404E55"/>
    <w:rsid w:val="004056CB"/>
    <w:rsid w:val="00405749"/>
    <w:rsid w:val="0040646B"/>
    <w:rsid w:val="00406609"/>
    <w:rsid w:val="00406F38"/>
    <w:rsid w:val="004070F8"/>
    <w:rsid w:val="0041002B"/>
    <w:rsid w:val="00410069"/>
    <w:rsid w:val="0041009C"/>
    <w:rsid w:val="004107CA"/>
    <w:rsid w:val="00410E5A"/>
    <w:rsid w:val="004111BC"/>
    <w:rsid w:val="004111E7"/>
    <w:rsid w:val="004114CB"/>
    <w:rsid w:val="00411E06"/>
    <w:rsid w:val="00411E14"/>
    <w:rsid w:val="0041229E"/>
    <w:rsid w:val="0041231D"/>
    <w:rsid w:val="0041253B"/>
    <w:rsid w:val="004125F4"/>
    <w:rsid w:val="004126D4"/>
    <w:rsid w:val="00412962"/>
    <w:rsid w:val="00412D64"/>
    <w:rsid w:val="004133C9"/>
    <w:rsid w:val="00413B96"/>
    <w:rsid w:val="00413CD1"/>
    <w:rsid w:val="004140F4"/>
    <w:rsid w:val="0041441C"/>
    <w:rsid w:val="00414442"/>
    <w:rsid w:val="00414584"/>
    <w:rsid w:val="0041461F"/>
    <w:rsid w:val="00414703"/>
    <w:rsid w:val="00414CE3"/>
    <w:rsid w:val="004151CD"/>
    <w:rsid w:val="00415B5A"/>
    <w:rsid w:val="00415BF6"/>
    <w:rsid w:val="00415D2B"/>
    <w:rsid w:val="00416293"/>
    <w:rsid w:val="00416C0A"/>
    <w:rsid w:val="00417725"/>
    <w:rsid w:val="00417E90"/>
    <w:rsid w:val="00420BE2"/>
    <w:rsid w:val="00420EA6"/>
    <w:rsid w:val="00420FF4"/>
    <w:rsid w:val="0042107E"/>
    <w:rsid w:val="004211FA"/>
    <w:rsid w:val="004214F3"/>
    <w:rsid w:val="00421941"/>
    <w:rsid w:val="00421CE7"/>
    <w:rsid w:val="00422412"/>
    <w:rsid w:val="004228A7"/>
    <w:rsid w:val="00422E46"/>
    <w:rsid w:val="00422F8C"/>
    <w:rsid w:val="004230F8"/>
    <w:rsid w:val="00423518"/>
    <w:rsid w:val="00423B39"/>
    <w:rsid w:val="00423B9C"/>
    <w:rsid w:val="0042436F"/>
    <w:rsid w:val="004247F1"/>
    <w:rsid w:val="00424DE2"/>
    <w:rsid w:val="00425360"/>
    <w:rsid w:val="004257AC"/>
    <w:rsid w:val="00425CF4"/>
    <w:rsid w:val="00425D90"/>
    <w:rsid w:val="00426934"/>
    <w:rsid w:val="00426C06"/>
    <w:rsid w:val="00426E5B"/>
    <w:rsid w:val="00427AD2"/>
    <w:rsid w:val="0043012A"/>
    <w:rsid w:val="004304DB"/>
    <w:rsid w:val="004304F4"/>
    <w:rsid w:val="0043078F"/>
    <w:rsid w:val="004309D6"/>
    <w:rsid w:val="00430C9D"/>
    <w:rsid w:val="00432057"/>
    <w:rsid w:val="00432528"/>
    <w:rsid w:val="00432836"/>
    <w:rsid w:val="004328FD"/>
    <w:rsid w:val="00433219"/>
    <w:rsid w:val="00433E88"/>
    <w:rsid w:val="00434290"/>
    <w:rsid w:val="00434890"/>
    <w:rsid w:val="00434E84"/>
    <w:rsid w:val="0043505F"/>
    <w:rsid w:val="0043551C"/>
    <w:rsid w:val="00435693"/>
    <w:rsid w:val="0043595D"/>
    <w:rsid w:val="00435DBB"/>
    <w:rsid w:val="00437131"/>
    <w:rsid w:val="004373D1"/>
    <w:rsid w:val="004375D9"/>
    <w:rsid w:val="0043767E"/>
    <w:rsid w:val="0043778D"/>
    <w:rsid w:val="00437948"/>
    <w:rsid w:val="00437A92"/>
    <w:rsid w:val="00437FD7"/>
    <w:rsid w:val="004404D2"/>
    <w:rsid w:val="0044053A"/>
    <w:rsid w:val="00440737"/>
    <w:rsid w:val="00440F03"/>
    <w:rsid w:val="00441482"/>
    <w:rsid w:val="0044148C"/>
    <w:rsid w:val="00441D12"/>
    <w:rsid w:val="00442217"/>
    <w:rsid w:val="00442BD0"/>
    <w:rsid w:val="00443E27"/>
    <w:rsid w:val="004441B4"/>
    <w:rsid w:val="004444C6"/>
    <w:rsid w:val="00444F16"/>
    <w:rsid w:val="00444F90"/>
    <w:rsid w:val="00445170"/>
    <w:rsid w:val="004454BB"/>
    <w:rsid w:val="004454C2"/>
    <w:rsid w:val="00445B64"/>
    <w:rsid w:val="004465C4"/>
    <w:rsid w:val="00446AF0"/>
    <w:rsid w:val="0044705E"/>
    <w:rsid w:val="004470A6"/>
    <w:rsid w:val="00447347"/>
    <w:rsid w:val="00447387"/>
    <w:rsid w:val="0044739A"/>
    <w:rsid w:val="00447E0A"/>
    <w:rsid w:val="00447F33"/>
    <w:rsid w:val="00450035"/>
    <w:rsid w:val="0045019F"/>
    <w:rsid w:val="004504DD"/>
    <w:rsid w:val="00450735"/>
    <w:rsid w:val="00450A27"/>
    <w:rsid w:val="00450A8E"/>
    <w:rsid w:val="0045143C"/>
    <w:rsid w:val="004516AF"/>
    <w:rsid w:val="00451A6A"/>
    <w:rsid w:val="00451EC2"/>
    <w:rsid w:val="0045202C"/>
    <w:rsid w:val="00452158"/>
    <w:rsid w:val="004524F2"/>
    <w:rsid w:val="00452E09"/>
    <w:rsid w:val="004530C4"/>
    <w:rsid w:val="00453602"/>
    <w:rsid w:val="00453C16"/>
    <w:rsid w:val="00453C24"/>
    <w:rsid w:val="00453F7C"/>
    <w:rsid w:val="004549F3"/>
    <w:rsid w:val="00454B4D"/>
    <w:rsid w:val="00454C54"/>
    <w:rsid w:val="00454CE0"/>
    <w:rsid w:val="00454F88"/>
    <w:rsid w:val="004552BD"/>
    <w:rsid w:val="00455376"/>
    <w:rsid w:val="004567C9"/>
    <w:rsid w:val="00456BB8"/>
    <w:rsid w:val="00456D66"/>
    <w:rsid w:val="00456E48"/>
    <w:rsid w:val="00457010"/>
    <w:rsid w:val="004573BB"/>
    <w:rsid w:val="0045753D"/>
    <w:rsid w:val="00457752"/>
    <w:rsid w:val="00460F31"/>
    <w:rsid w:val="0046105B"/>
    <w:rsid w:val="004614EB"/>
    <w:rsid w:val="00461702"/>
    <w:rsid w:val="004617FD"/>
    <w:rsid w:val="00461C50"/>
    <w:rsid w:val="00461CC9"/>
    <w:rsid w:val="00462308"/>
    <w:rsid w:val="00462552"/>
    <w:rsid w:val="004628C6"/>
    <w:rsid w:val="0046320C"/>
    <w:rsid w:val="00463357"/>
    <w:rsid w:val="00463A04"/>
    <w:rsid w:val="004641E5"/>
    <w:rsid w:val="00464D5A"/>
    <w:rsid w:val="00465255"/>
    <w:rsid w:val="0046540F"/>
    <w:rsid w:val="00465563"/>
    <w:rsid w:val="00465571"/>
    <w:rsid w:val="0046578F"/>
    <w:rsid w:val="00465E29"/>
    <w:rsid w:val="00465F42"/>
    <w:rsid w:val="0046619A"/>
    <w:rsid w:val="004675D2"/>
    <w:rsid w:val="004679EE"/>
    <w:rsid w:val="00470268"/>
    <w:rsid w:val="00470D69"/>
    <w:rsid w:val="004710DA"/>
    <w:rsid w:val="00471293"/>
    <w:rsid w:val="0047180D"/>
    <w:rsid w:val="00471AF6"/>
    <w:rsid w:val="00471E40"/>
    <w:rsid w:val="0047206B"/>
    <w:rsid w:val="0047237E"/>
    <w:rsid w:val="004723A1"/>
    <w:rsid w:val="00472415"/>
    <w:rsid w:val="00472C05"/>
    <w:rsid w:val="00472C08"/>
    <w:rsid w:val="0047354E"/>
    <w:rsid w:val="0047360C"/>
    <w:rsid w:val="00473718"/>
    <w:rsid w:val="00473869"/>
    <w:rsid w:val="00473FDD"/>
    <w:rsid w:val="0047410E"/>
    <w:rsid w:val="004746E0"/>
    <w:rsid w:val="004747B7"/>
    <w:rsid w:val="00474D29"/>
    <w:rsid w:val="004750F9"/>
    <w:rsid w:val="00475387"/>
    <w:rsid w:val="004762B3"/>
    <w:rsid w:val="00476B60"/>
    <w:rsid w:val="0047729D"/>
    <w:rsid w:val="0047733A"/>
    <w:rsid w:val="00477732"/>
    <w:rsid w:val="00477A11"/>
    <w:rsid w:val="00477BDE"/>
    <w:rsid w:val="00477E2F"/>
    <w:rsid w:val="004803E1"/>
    <w:rsid w:val="0048054A"/>
    <w:rsid w:val="00480B88"/>
    <w:rsid w:val="00481170"/>
    <w:rsid w:val="00481217"/>
    <w:rsid w:val="0048142E"/>
    <w:rsid w:val="004817FD"/>
    <w:rsid w:val="004818E8"/>
    <w:rsid w:val="0048193F"/>
    <w:rsid w:val="00481E25"/>
    <w:rsid w:val="00481F50"/>
    <w:rsid w:val="00482F67"/>
    <w:rsid w:val="00483006"/>
    <w:rsid w:val="00483188"/>
    <w:rsid w:val="0048340D"/>
    <w:rsid w:val="004834C0"/>
    <w:rsid w:val="004839DD"/>
    <w:rsid w:val="00483A2C"/>
    <w:rsid w:val="00483B24"/>
    <w:rsid w:val="00483FEE"/>
    <w:rsid w:val="00484887"/>
    <w:rsid w:val="00484915"/>
    <w:rsid w:val="00484B28"/>
    <w:rsid w:val="00484E82"/>
    <w:rsid w:val="00485122"/>
    <w:rsid w:val="00485334"/>
    <w:rsid w:val="00485408"/>
    <w:rsid w:val="004856B2"/>
    <w:rsid w:val="00485961"/>
    <w:rsid w:val="00485CF5"/>
    <w:rsid w:val="00485F80"/>
    <w:rsid w:val="00485FDC"/>
    <w:rsid w:val="004862D1"/>
    <w:rsid w:val="004866F4"/>
    <w:rsid w:val="004868A3"/>
    <w:rsid w:val="00486BBA"/>
    <w:rsid w:val="004872D9"/>
    <w:rsid w:val="00487387"/>
    <w:rsid w:val="004877F8"/>
    <w:rsid w:val="00487863"/>
    <w:rsid w:val="00487894"/>
    <w:rsid w:val="00487BC3"/>
    <w:rsid w:val="00487BFA"/>
    <w:rsid w:val="004901B1"/>
    <w:rsid w:val="004902AD"/>
    <w:rsid w:val="004903DB"/>
    <w:rsid w:val="00490E50"/>
    <w:rsid w:val="00491034"/>
    <w:rsid w:val="004912B5"/>
    <w:rsid w:val="004919FD"/>
    <w:rsid w:val="00491B01"/>
    <w:rsid w:val="004922FF"/>
    <w:rsid w:val="0049254B"/>
    <w:rsid w:val="00492AF8"/>
    <w:rsid w:val="00492B7D"/>
    <w:rsid w:val="00492E21"/>
    <w:rsid w:val="004934FC"/>
    <w:rsid w:val="00493AAC"/>
    <w:rsid w:val="00493C14"/>
    <w:rsid w:val="00494329"/>
    <w:rsid w:val="00494930"/>
    <w:rsid w:val="00494A85"/>
    <w:rsid w:val="00494E86"/>
    <w:rsid w:val="00494F0A"/>
    <w:rsid w:val="0049502A"/>
    <w:rsid w:val="004952A4"/>
    <w:rsid w:val="00495448"/>
    <w:rsid w:val="004958DF"/>
    <w:rsid w:val="00495A06"/>
    <w:rsid w:val="00495A94"/>
    <w:rsid w:val="00495C91"/>
    <w:rsid w:val="00496015"/>
    <w:rsid w:val="0049626C"/>
    <w:rsid w:val="00496B82"/>
    <w:rsid w:val="00496E8B"/>
    <w:rsid w:val="004972AD"/>
    <w:rsid w:val="00497E52"/>
    <w:rsid w:val="004A013C"/>
    <w:rsid w:val="004A03B7"/>
    <w:rsid w:val="004A06FC"/>
    <w:rsid w:val="004A0DA3"/>
    <w:rsid w:val="004A132C"/>
    <w:rsid w:val="004A2D3E"/>
    <w:rsid w:val="004A3364"/>
    <w:rsid w:val="004A37C7"/>
    <w:rsid w:val="004A3839"/>
    <w:rsid w:val="004A3EF4"/>
    <w:rsid w:val="004A40ED"/>
    <w:rsid w:val="004A4F16"/>
    <w:rsid w:val="004A5505"/>
    <w:rsid w:val="004A57BA"/>
    <w:rsid w:val="004A5BE1"/>
    <w:rsid w:val="004A5FBF"/>
    <w:rsid w:val="004A6789"/>
    <w:rsid w:val="004A6E55"/>
    <w:rsid w:val="004A6F88"/>
    <w:rsid w:val="004A7847"/>
    <w:rsid w:val="004A784B"/>
    <w:rsid w:val="004B008F"/>
    <w:rsid w:val="004B012D"/>
    <w:rsid w:val="004B033F"/>
    <w:rsid w:val="004B15D7"/>
    <w:rsid w:val="004B17C3"/>
    <w:rsid w:val="004B1A9D"/>
    <w:rsid w:val="004B240E"/>
    <w:rsid w:val="004B26D9"/>
    <w:rsid w:val="004B282B"/>
    <w:rsid w:val="004B2C05"/>
    <w:rsid w:val="004B2C5E"/>
    <w:rsid w:val="004B2C7C"/>
    <w:rsid w:val="004B339F"/>
    <w:rsid w:val="004B3AE7"/>
    <w:rsid w:val="004B3DD7"/>
    <w:rsid w:val="004B4F8B"/>
    <w:rsid w:val="004B512C"/>
    <w:rsid w:val="004B5206"/>
    <w:rsid w:val="004B5460"/>
    <w:rsid w:val="004B5D2E"/>
    <w:rsid w:val="004B5D34"/>
    <w:rsid w:val="004B5FD3"/>
    <w:rsid w:val="004B678F"/>
    <w:rsid w:val="004B6E22"/>
    <w:rsid w:val="004B6F08"/>
    <w:rsid w:val="004B76E7"/>
    <w:rsid w:val="004B774B"/>
    <w:rsid w:val="004B7ECA"/>
    <w:rsid w:val="004B7FC5"/>
    <w:rsid w:val="004C032A"/>
    <w:rsid w:val="004C0400"/>
    <w:rsid w:val="004C05C8"/>
    <w:rsid w:val="004C0C7C"/>
    <w:rsid w:val="004C11A6"/>
    <w:rsid w:val="004C174C"/>
    <w:rsid w:val="004C17E9"/>
    <w:rsid w:val="004C1D24"/>
    <w:rsid w:val="004C22E0"/>
    <w:rsid w:val="004C2496"/>
    <w:rsid w:val="004C2DD5"/>
    <w:rsid w:val="004C340B"/>
    <w:rsid w:val="004C356D"/>
    <w:rsid w:val="004C3A84"/>
    <w:rsid w:val="004C3DC3"/>
    <w:rsid w:val="004C411C"/>
    <w:rsid w:val="004C4629"/>
    <w:rsid w:val="004C4B71"/>
    <w:rsid w:val="004C4D0B"/>
    <w:rsid w:val="004C5A9D"/>
    <w:rsid w:val="004C6DDC"/>
    <w:rsid w:val="004C73D9"/>
    <w:rsid w:val="004C7407"/>
    <w:rsid w:val="004C773B"/>
    <w:rsid w:val="004C77AC"/>
    <w:rsid w:val="004C7B70"/>
    <w:rsid w:val="004C7B74"/>
    <w:rsid w:val="004C7C58"/>
    <w:rsid w:val="004D0122"/>
    <w:rsid w:val="004D04AC"/>
    <w:rsid w:val="004D04CF"/>
    <w:rsid w:val="004D0701"/>
    <w:rsid w:val="004D087E"/>
    <w:rsid w:val="004D0BBA"/>
    <w:rsid w:val="004D19DB"/>
    <w:rsid w:val="004D1AAC"/>
    <w:rsid w:val="004D1E88"/>
    <w:rsid w:val="004D226F"/>
    <w:rsid w:val="004D2520"/>
    <w:rsid w:val="004D2583"/>
    <w:rsid w:val="004D2E41"/>
    <w:rsid w:val="004D3676"/>
    <w:rsid w:val="004D37A1"/>
    <w:rsid w:val="004D38A3"/>
    <w:rsid w:val="004D3CD7"/>
    <w:rsid w:val="004D40D1"/>
    <w:rsid w:val="004D42A9"/>
    <w:rsid w:val="004D4471"/>
    <w:rsid w:val="004D4BBA"/>
    <w:rsid w:val="004D4C24"/>
    <w:rsid w:val="004D4C57"/>
    <w:rsid w:val="004D4C72"/>
    <w:rsid w:val="004D4D94"/>
    <w:rsid w:val="004D553B"/>
    <w:rsid w:val="004D55DA"/>
    <w:rsid w:val="004D576A"/>
    <w:rsid w:val="004D58DE"/>
    <w:rsid w:val="004D5B32"/>
    <w:rsid w:val="004D618D"/>
    <w:rsid w:val="004D62C0"/>
    <w:rsid w:val="004D63E2"/>
    <w:rsid w:val="004D6507"/>
    <w:rsid w:val="004D6802"/>
    <w:rsid w:val="004D7425"/>
    <w:rsid w:val="004D7F0A"/>
    <w:rsid w:val="004E02E9"/>
    <w:rsid w:val="004E0A3A"/>
    <w:rsid w:val="004E0E24"/>
    <w:rsid w:val="004E0EAA"/>
    <w:rsid w:val="004E122F"/>
    <w:rsid w:val="004E1A1C"/>
    <w:rsid w:val="004E1BD5"/>
    <w:rsid w:val="004E338A"/>
    <w:rsid w:val="004E3E60"/>
    <w:rsid w:val="004E3F30"/>
    <w:rsid w:val="004E43E1"/>
    <w:rsid w:val="004E46F8"/>
    <w:rsid w:val="004E4A07"/>
    <w:rsid w:val="004E50C8"/>
    <w:rsid w:val="004E532A"/>
    <w:rsid w:val="004E54C7"/>
    <w:rsid w:val="004E57BA"/>
    <w:rsid w:val="004E5A71"/>
    <w:rsid w:val="004E5AAF"/>
    <w:rsid w:val="004E5DA2"/>
    <w:rsid w:val="004E5FD3"/>
    <w:rsid w:val="004E653E"/>
    <w:rsid w:val="004E65F5"/>
    <w:rsid w:val="004E6663"/>
    <w:rsid w:val="004E6B38"/>
    <w:rsid w:val="004E6E34"/>
    <w:rsid w:val="004E723F"/>
    <w:rsid w:val="004E75E7"/>
    <w:rsid w:val="004E7B95"/>
    <w:rsid w:val="004E7B9C"/>
    <w:rsid w:val="004F02BF"/>
    <w:rsid w:val="004F05EB"/>
    <w:rsid w:val="004F06C4"/>
    <w:rsid w:val="004F071C"/>
    <w:rsid w:val="004F0DBC"/>
    <w:rsid w:val="004F1175"/>
    <w:rsid w:val="004F12EE"/>
    <w:rsid w:val="004F1A1A"/>
    <w:rsid w:val="004F1ED6"/>
    <w:rsid w:val="004F2174"/>
    <w:rsid w:val="004F2980"/>
    <w:rsid w:val="004F2C0B"/>
    <w:rsid w:val="004F2CF6"/>
    <w:rsid w:val="004F2D77"/>
    <w:rsid w:val="004F312F"/>
    <w:rsid w:val="004F3439"/>
    <w:rsid w:val="004F36CA"/>
    <w:rsid w:val="004F38D1"/>
    <w:rsid w:val="004F3C00"/>
    <w:rsid w:val="004F3DBC"/>
    <w:rsid w:val="004F3E28"/>
    <w:rsid w:val="004F437D"/>
    <w:rsid w:val="004F43C0"/>
    <w:rsid w:val="004F4699"/>
    <w:rsid w:val="004F4C51"/>
    <w:rsid w:val="004F4CA1"/>
    <w:rsid w:val="004F5B3F"/>
    <w:rsid w:val="004F5C93"/>
    <w:rsid w:val="004F6140"/>
    <w:rsid w:val="004F621F"/>
    <w:rsid w:val="004F69A3"/>
    <w:rsid w:val="004F6D0E"/>
    <w:rsid w:val="004F6D17"/>
    <w:rsid w:val="00500B1F"/>
    <w:rsid w:val="00500B35"/>
    <w:rsid w:val="005012AB"/>
    <w:rsid w:val="005012D2"/>
    <w:rsid w:val="005014A7"/>
    <w:rsid w:val="00501510"/>
    <w:rsid w:val="0050175B"/>
    <w:rsid w:val="00502EAE"/>
    <w:rsid w:val="005030B9"/>
    <w:rsid w:val="00503A1B"/>
    <w:rsid w:val="00503B71"/>
    <w:rsid w:val="00504207"/>
    <w:rsid w:val="00504E93"/>
    <w:rsid w:val="0050500F"/>
    <w:rsid w:val="005050A1"/>
    <w:rsid w:val="00505279"/>
    <w:rsid w:val="005052E9"/>
    <w:rsid w:val="00505B3C"/>
    <w:rsid w:val="00505B57"/>
    <w:rsid w:val="0050633D"/>
    <w:rsid w:val="005063E1"/>
    <w:rsid w:val="005068B5"/>
    <w:rsid w:val="005075D8"/>
    <w:rsid w:val="00507694"/>
    <w:rsid w:val="00507A5C"/>
    <w:rsid w:val="00507CC5"/>
    <w:rsid w:val="00507CF6"/>
    <w:rsid w:val="00507F64"/>
    <w:rsid w:val="00510024"/>
    <w:rsid w:val="00510B5D"/>
    <w:rsid w:val="00510C86"/>
    <w:rsid w:val="00510FBC"/>
    <w:rsid w:val="00511313"/>
    <w:rsid w:val="005117AF"/>
    <w:rsid w:val="00511F50"/>
    <w:rsid w:val="0051239B"/>
    <w:rsid w:val="005124DE"/>
    <w:rsid w:val="00512569"/>
    <w:rsid w:val="005125C0"/>
    <w:rsid w:val="005129FA"/>
    <w:rsid w:val="00513096"/>
    <w:rsid w:val="00514A28"/>
    <w:rsid w:val="00514AC3"/>
    <w:rsid w:val="00515259"/>
    <w:rsid w:val="00515528"/>
    <w:rsid w:val="005159C6"/>
    <w:rsid w:val="00515B10"/>
    <w:rsid w:val="00515E36"/>
    <w:rsid w:val="00516371"/>
    <w:rsid w:val="00516BBB"/>
    <w:rsid w:val="00517557"/>
    <w:rsid w:val="00520201"/>
    <w:rsid w:val="0052054D"/>
    <w:rsid w:val="005209AC"/>
    <w:rsid w:val="00520A75"/>
    <w:rsid w:val="005210AB"/>
    <w:rsid w:val="00521138"/>
    <w:rsid w:val="00521621"/>
    <w:rsid w:val="005216D0"/>
    <w:rsid w:val="005220D0"/>
    <w:rsid w:val="005229D2"/>
    <w:rsid w:val="00522AE2"/>
    <w:rsid w:val="00522ECE"/>
    <w:rsid w:val="00523596"/>
    <w:rsid w:val="005236D0"/>
    <w:rsid w:val="00523BF7"/>
    <w:rsid w:val="00523DAD"/>
    <w:rsid w:val="00523E83"/>
    <w:rsid w:val="00523F52"/>
    <w:rsid w:val="005245B8"/>
    <w:rsid w:val="005248BB"/>
    <w:rsid w:val="00524955"/>
    <w:rsid w:val="00524E32"/>
    <w:rsid w:val="00524F54"/>
    <w:rsid w:val="00524FD5"/>
    <w:rsid w:val="0052519C"/>
    <w:rsid w:val="005252E1"/>
    <w:rsid w:val="005256E1"/>
    <w:rsid w:val="0052583A"/>
    <w:rsid w:val="00525BD2"/>
    <w:rsid w:val="00525FBB"/>
    <w:rsid w:val="00526014"/>
    <w:rsid w:val="00526479"/>
    <w:rsid w:val="005267F9"/>
    <w:rsid w:val="0052733C"/>
    <w:rsid w:val="00527497"/>
    <w:rsid w:val="00527B74"/>
    <w:rsid w:val="00527DF3"/>
    <w:rsid w:val="005304A1"/>
    <w:rsid w:val="0053061E"/>
    <w:rsid w:val="005306AD"/>
    <w:rsid w:val="00530878"/>
    <w:rsid w:val="005308A5"/>
    <w:rsid w:val="00530C62"/>
    <w:rsid w:val="005314E9"/>
    <w:rsid w:val="00531611"/>
    <w:rsid w:val="00531723"/>
    <w:rsid w:val="0053222C"/>
    <w:rsid w:val="0053275E"/>
    <w:rsid w:val="0053299E"/>
    <w:rsid w:val="00532C88"/>
    <w:rsid w:val="0053324F"/>
    <w:rsid w:val="005332B4"/>
    <w:rsid w:val="0053332E"/>
    <w:rsid w:val="005334AE"/>
    <w:rsid w:val="0053350D"/>
    <w:rsid w:val="005335A6"/>
    <w:rsid w:val="00533822"/>
    <w:rsid w:val="00533EC6"/>
    <w:rsid w:val="005340A6"/>
    <w:rsid w:val="0053422F"/>
    <w:rsid w:val="00534466"/>
    <w:rsid w:val="005348BF"/>
    <w:rsid w:val="005352EF"/>
    <w:rsid w:val="00535435"/>
    <w:rsid w:val="005358BC"/>
    <w:rsid w:val="005365CE"/>
    <w:rsid w:val="00536A2C"/>
    <w:rsid w:val="00536C45"/>
    <w:rsid w:val="0053750D"/>
    <w:rsid w:val="005376A4"/>
    <w:rsid w:val="005400C8"/>
    <w:rsid w:val="005401CA"/>
    <w:rsid w:val="005405E8"/>
    <w:rsid w:val="005407B8"/>
    <w:rsid w:val="00540D4D"/>
    <w:rsid w:val="00541759"/>
    <w:rsid w:val="005418A7"/>
    <w:rsid w:val="00541E10"/>
    <w:rsid w:val="00541EF9"/>
    <w:rsid w:val="0054234D"/>
    <w:rsid w:val="00542417"/>
    <w:rsid w:val="00542806"/>
    <w:rsid w:val="00542EFE"/>
    <w:rsid w:val="00542F38"/>
    <w:rsid w:val="005431CF"/>
    <w:rsid w:val="005433D8"/>
    <w:rsid w:val="00543D0A"/>
    <w:rsid w:val="00544103"/>
    <w:rsid w:val="0054423C"/>
    <w:rsid w:val="00544EFB"/>
    <w:rsid w:val="005454F3"/>
    <w:rsid w:val="005455E5"/>
    <w:rsid w:val="0054561B"/>
    <w:rsid w:val="00545E2E"/>
    <w:rsid w:val="00545ED1"/>
    <w:rsid w:val="00545FE7"/>
    <w:rsid w:val="00546334"/>
    <w:rsid w:val="0054657E"/>
    <w:rsid w:val="0054681B"/>
    <w:rsid w:val="0054734A"/>
    <w:rsid w:val="005476FC"/>
    <w:rsid w:val="0054779A"/>
    <w:rsid w:val="00547A66"/>
    <w:rsid w:val="00547BA1"/>
    <w:rsid w:val="00547CB0"/>
    <w:rsid w:val="00547D66"/>
    <w:rsid w:val="005504E8"/>
    <w:rsid w:val="0055070C"/>
    <w:rsid w:val="00550A60"/>
    <w:rsid w:val="00550B48"/>
    <w:rsid w:val="005516AF"/>
    <w:rsid w:val="005518F2"/>
    <w:rsid w:val="00551A69"/>
    <w:rsid w:val="00551E3A"/>
    <w:rsid w:val="005520F3"/>
    <w:rsid w:val="0055287C"/>
    <w:rsid w:val="00552E70"/>
    <w:rsid w:val="00552ECE"/>
    <w:rsid w:val="0055490A"/>
    <w:rsid w:val="00555061"/>
    <w:rsid w:val="005551D0"/>
    <w:rsid w:val="00555B0D"/>
    <w:rsid w:val="00555BB1"/>
    <w:rsid w:val="00555EA1"/>
    <w:rsid w:val="00556101"/>
    <w:rsid w:val="005565F5"/>
    <w:rsid w:val="0055676C"/>
    <w:rsid w:val="005567FE"/>
    <w:rsid w:val="005569ED"/>
    <w:rsid w:val="00556CA6"/>
    <w:rsid w:val="00557096"/>
    <w:rsid w:val="00557435"/>
    <w:rsid w:val="005578DE"/>
    <w:rsid w:val="00557CB1"/>
    <w:rsid w:val="0056072C"/>
    <w:rsid w:val="005607BC"/>
    <w:rsid w:val="0056091E"/>
    <w:rsid w:val="00560CDD"/>
    <w:rsid w:val="00560F84"/>
    <w:rsid w:val="00561371"/>
    <w:rsid w:val="00561414"/>
    <w:rsid w:val="0056172D"/>
    <w:rsid w:val="00562178"/>
    <w:rsid w:val="005625FE"/>
    <w:rsid w:val="005626F9"/>
    <w:rsid w:val="00562A76"/>
    <w:rsid w:val="00562C93"/>
    <w:rsid w:val="00563475"/>
    <w:rsid w:val="005635F3"/>
    <w:rsid w:val="0056411C"/>
    <w:rsid w:val="0056487C"/>
    <w:rsid w:val="00564D2F"/>
    <w:rsid w:val="00565B4C"/>
    <w:rsid w:val="00565D97"/>
    <w:rsid w:val="00565FA7"/>
    <w:rsid w:val="0056607D"/>
    <w:rsid w:val="0056635C"/>
    <w:rsid w:val="005663FF"/>
    <w:rsid w:val="00566BF9"/>
    <w:rsid w:val="005670E9"/>
    <w:rsid w:val="005673A9"/>
    <w:rsid w:val="00567511"/>
    <w:rsid w:val="0056764A"/>
    <w:rsid w:val="005677E5"/>
    <w:rsid w:val="00567979"/>
    <w:rsid w:val="00567B72"/>
    <w:rsid w:val="00570851"/>
    <w:rsid w:val="005709D3"/>
    <w:rsid w:val="00570CF6"/>
    <w:rsid w:val="00570D24"/>
    <w:rsid w:val="00570DD8"/>
    <w:rsid w:val="005715AC"/>
    <w:rsid w:val="0057177D"/>
    <w:rsid w:val="00571890"/>
    <w:rsid w:val="00572038"/>
    <w:rsid w:val="0057243B"/>
    <w:rsid w:val="00572E89"/>
    <w:rsid w:val="00572F2F"/>
    <w:rsid w:val="00573642"/>
    <w:rsid w:val="005737AE"/>
    <w:rsid w:val="00573C2D"/>
    <w:rsid w:val="00573FC9"/>
    <w:rsid w:val="00574577"/>
    <w:rsid w:val="005748B0"/>
    <w:rsid w:val="005748BA"/>
    <w:rsid w:val="00574C1A"/>
    <w:rsid w:val="00574FD5"/>
    <w:rsid w:val="0057560E"/>
    <w:rsid w:val="00575C4A"/>
    <w:rsid w:val="00575CC1"/>
    <w:rsid w:val="00576A53"/>
    <w:rsid w:val="0057707C"/>
    <w:rsid w:val="00577188"/>
    <w:rsid w:val="00577313"/>
    <w:rsid w:val="0057753A"/>
    <w:rsid w:val="00577848"/>
    <w:rsid w:val="00577B54"/>
    <w:rsid w:val="00577E4E"/>
    <w:rsid w:val="00580301"/>
    <w:rsid w:val="00580ADD"/>
    <w:rsid w:val="00580EEB"/>
    <w:rsid w:val="00580FCF"/>
    <w:rsid w:val="00581E70"/>
    <w:rsid w:val="00581F47"/>
    <w:rsid w:val="0058312B"/>
    <w:rsid w:val="00583673"/>
    <w:rsid w:val="0058373A"/>
    <w:rsid w:val="00583A90"/>
    <w:rsid w:val="00583D08"/>
    <w:rsid w:val="00583DE1"/>
    <w:rsid w:val="005846F6"/>
    <w:rsid w:val="0058488D"/>
    <w:rsid w:val="00584D67"/>
    <w:rsid w:val="00585CD9"/>
    <w:rsid w:val="00585EA7"/>
    <w:rsid w:val="00586A19"/>
    <w:rsid w:val="00586BE3"/>
    <w:rsid w:val="00587164"/>
    <w:rsid w:val="00587989"/>
    <w:rsid w:val="00587AF9"/>
    <w:rsid w:val="00587BAE"/>
    <w:rsid w:val="00587BE7"/>
    <w:rsid w:val="00587CBC"/>
    <w:rsid w:val="00587F6D"/>
    <w:rsid w:val="005905AE"/>
    <w:rsid w:val="0059067C"/>
    <w:rsid w:val="00590A11"/>
    <w:rsid w:val="00590EC0"/>
    <w:rsid w:val="00591001"/>
    <w:rsid w:val="0059119C"/>
    <w:rsid w:val="00591CC5"/>
    <w:rsid w:val="00592367"/>
    <w:rsid w:val="00592AD9"/>
    <w:rsid w:val="00592EC7"/>
    <w:rsid w:val="00593584"/>
    <w:rsid w:val="0059362B"/>
    <w:rsid w:val="005936AA"/>
    <w:rsid w:val="0059375F"/>
    <w:rsid w:val="00593F55"/>
    <w:rsid w:val="005957F4"/>
    <w:rsid w:val="00595D7F"/>
    <w:rsid w:val="00595DE3"/>
    <w:rsid w:val="00595DF1"/>
    <w:rsid w:val="00595FDC"/>
    <w:rsid w:val="005963F8"/>
    <w:rsid w:val="00596524"/>
    <w:rsid w:val="00596F59"/>
    <w:rsid w:val="00597586"/>
    <w:rsid w:val="00597C3C"/>
    <w:rsid w:val="00597D35"/>
    <w:rsid w:val="00597D50"/>
    <w:rsid w:val="005A0C56"/>
    <w:rsid w:val="005A1B57"/>
    <w:rsid w:val="005A2C68"/>
    <w:rsid w:val="005A3143"/>
    <w:rsid w:val="005A34F5"/>
    <w:rsid w:val="005A3935"/>
    <w:rsid w:val="005A3C63"/>
    <w:rsid w:val="005A4216"/>
    <w:rsid w:val="005A4250"/>
    <w:rsid w:val="005A47BA"/>
    <w:rsid w:val="005A4812"/>
    <w:rsid w:val="005A4A02"/>
    <w:rsid w:val="005A4A36"/>
    <w:rsid w:val="005A5021"/>
    <w:rsid w:val="005A5447"/>
    <w:rsid w:val="005A5B6A"/>
    <w:rsid w:val="005A5F67"/>
    <w:rsid w:val="005A60F6"/>
    <w:rsid w:val="005A61A8"/>
    <w:rsid w:val="005A63AC"/>
    <w:rsid w:val="005A6B1F"/>
    <w:rsid w:val="005A6D6D"/>
    <w:rsid w:val="005A7264"/>
    <w:rsid w:val="005A7550"/>
    <w:rsid w:val="005A7D91"/>
    <w:rsid w:val="005A7DC1"/>
    <w:rsid w:val="005B0897"/>
    <w:rsid w:val="005B0919"/>
    <w:rsid w:val="005B091D"/>
    <w:rsid w:val="005B1176"/>
    <w:rsid w:val="005B138B"/>
    <w:rsid w:val="005B1601"/>
    <w:rsid w:val="005B18E9"/>
    <w:rsid w:val="005B1C22"/>
    <w:rsid w:val="005B2746"/>
    <w:rsid w:val="005B2914"/>
    <w:rsid w:val="005B2A5D"/>
    <w:rsid w:val="005B322C"/>
    <w:rsid w:val="005B3329"/>
    <w:rsid w:val="005B3B6C"/>
    <w:rsid w:val="005B483D"/>
    <w:rsid w:val="005B4CCF"/>
    <w:rsid w:val="005B4CFC"/>
    <w:rsid w:val="005B5201"/>
    <w:rsid w:val="005B58B0"/>
    <w:rsid w:val="005B5B0E"/>
    <w:rsid w:val="005B5FD5"/>
    <w:rsid w:val="005B6061"/>
    <w:rsid w:val="005B6506"/>
    <w:rsid w:val="005B6B06"/>
    <w:rsid w:val="005B6C0D"/>
    <w:rsid w:val="005B6E0D"/>
    <w:rsid w:val="005B72DD"/>
    <w:rsid w:val="005B7B69"/>
    <w:rsid w:val="005B7E0A"/>
    <w:rsid w:val="005C0298"/>
    <w:rsid w:val="005C03F0"/>
    <w:rsid w:val="005C0688"/>
    <w:rsid w:val="005C0769"/>
    <w:rsid w:val="005C0CB0"/>
    <w:rsid w:val="005C1390"/>
    <w:rsid w:val="005C1770"/>
    <w:rsid w:val="005C1957"/>
    <w:rsid w:val="005C1D33"/>
    <w:rsid w:val="005C1E8F"/>
    <w:rsid w:val="005C1ECA"/>
    <w:rsid w:val="005C21F3"/>
    <w:rsid w:val="005C328F"/>
    <w:rsid w:val="005C360A"/>
    <w:rsid w:val="005C36D1"/>
    <w:rsid w:val="005C386B"/>
    <w:rsid w:val="005C3CB2"/>
    <w:rsid w:val="005C4190"/>
    <w:rsid w:val="005C433D"/>
    <w:rsid w:val="005C4AA7"/>
    <w:rsid w:val="005C4EAE"/>
    <w:rsid w:val="005C50FD"/>
    <w:rsid w:val="005C53C8"/>
    <w:rsid w:val="005C62B1"/>
    <w:rsid w:val="005C65CC"/>
    <w:rsid w:val="005C6CE2"/>
    <w:rsid w:val="005C73BD"/>
    <w:rsid w:val="005C7A1B"/>
    <w:rsid w:val="005C7CA2"/>
    <w:rsid w:val="005C7EE9"/>
    <w:rsid w:val="005D00AA"/>
    <w:rsid w:val="005D0EDC"/>
    <w:rsid w:val="005D0F22"/>
    <w:rsid w:val="005D1A2B"/>
    <w:rsid w:val="005D1CC5"/>
    <w:rsid w:val="005D1DCD"/>
    <w:rsid w:val="005D221C"/>
    <w:rsid w:val="005D2A43"/>
    <w:rsid w:val="005D2B9F"/>
    <w:rsid w:val="005D2DC9"/>
    <w:rsid w:val="005D2F1D"/>
    <w:rsid w:val="005D35D6"/>
    <w:rsid w:val="005D3A47"/>
    <w:rsid w:val="005D3C98"/>
    <w:rsid w:val="005D3D89"/>
    <w:rsid w:val="005D4075"/>
    <w:rsid w:val="005D4207"/>
    <w:rsid w:val="005D455B"/>
    <w:rsid w:val="005D5059"/>
    <w:rsid w:val="005D520A"/>
    <w:rsid w:val="005D5800"/>
    <w:rsid w:val="005D5D8E"/>
    <w:rsid w:val="005D5DBD"/>
    <w:rsid w:val="005D5FF0"/>
    <w:rsid w:val="005D6313"/>
    <w:rsid w:val="005D6565"/>
    <w:rsid w:val="005D6621"/>
    <w:rsid w:val="005D6C6D"/>
    <w:rsid w:val="005D6D8B"/>
    <w:rsid w:val="005D6EA0"/>
    <w:rsid w:val="005E04DF"/>
    <w:rsid w:val="005E09A3"/>
    <w:rsid w:val="005E0A32"/>
    <w:rsid w:val="005E130F"/>
    <w:rsid w:val="005E1A93"/>
    <w:rsid w:val="005E1B7A"/>
    <w:rsid w:val="005E1DE5"/>
    <w:rsid w:val="005E2845"/>
    <w:rsid w:val="005E295A"/>
    <w:rsid w:val="005E29B5"/>
    <w:rsid w:val="005E2DC6"/>
    <w:rsid w:val="005E3055"/>
    <w:rsid w:val="005E3188"/>
    <w:rsid w:val="005E3468"/>
    <w:rsid w:val="005E3722"/>
    <w:rsid w:val="005E3DF9"/>
    <w:rsid w:val="005E4652"/>
    <w:rsid w:val="005E49AC"/>
    <w:rsid w:val="005E4ACD"/>
    <w:rsid w:val="005E4E06"/>
    <w:rsid w:val="005E52B0"/>
    <w:rsid w:val="005E7129"/>
    <w:rsid w:val="005E76E2"/>
    <w:rsid w:val="005E79C3"/>
    <w:rsid w:val="005E7B36"/>
    <w:rsid w:val="005F0230"/>
    <w:rsid w:val="005F02E6"/>
    <w:rsid w:val="005F03CC"/>
    <w:rsid w:val="005F064C"/>
    <w:rsid w:val="005F0E06"/>
    <w:rsid w:val="005F10F1"/>
    <w:rsid w:val="005F1121"/>
    <w:rsid w:val="005F167D"/>
    <w:rsid w:val="005F17A3"/>
    <w:rsid w:val="005F1911"/>
    <w:rsid w:val="005F2CBA"/>
    <w:rsid w:val="005F2D35"/>
    <w:rsid w:val="005F2DB1"/>
    <w:rsid w:val="005F2FD4"/>
    <w:rsid w:val="005F3216"/>
    <w:rsid w:val="005F322A"/>
    <w:rsid w:val="005F3998"/>
    <w:rsid w:val="005F3EBC"/>
    <w:rsid w:val="005F3F44"/>
    <w:rsid w:val="005F44BA"/>
    <w:rsid w:val="005F47B5"/>
    <w:rsid w:val="005F4DFE"/>
    <w:rsid w:val="005F4EF9"/>
    <w:rsid w:val="005F4F67"/>
    <w:rsid w:val="005F50B9"/>
    <w:rsid w:val="005F518F"/>
    <w:rsid w:val="005F5A1B"/>
    <w:rsid w:val="005F6298"/>
    <w:rsid w:val="005F6974"/>
    <w:rsid w:val="005F6981"/>
    <w:rsid w:val="005F7205"/>
    <w:rsid w:val="005F730B"/>
    <w:rsid w:val="005F76B9"/>
    <w:rsid w:val="005F7BDF"/>
    <w:rsid w:val="0060033A"/>
    <w:rsid w:val="0060085F"/>
    <w:rsid w:val="0060086B"/>
    <w:rsid w:val="006015AE"/>
    <w:rsid w:val="006017B1"/>
    <w:rsid w:val="0060185C"/>
    <w:rsid w:val="00601F71"/>
    <w:rsid w:val="006025C9"/>
    <w:rsid w:val="006028EF"/>
    <w:rsid w:val="00602E8D"/>
    <w:rsid w:val="00603417"/>
    <w:rsid w:val="00604032"/>
    <w:rsid w:val="00604060"/>
    <w:rsid w:val="006040CF"/>
    <w:rsid w:val="006050F6"/>
    <w:rsid w:val="006052EB"/>
    <w:rsid w:val="0060555B"/>
    <w:rsid w:val="006057CC"/>
    <w:rsid w:val="00605BD4"/>
    <w:rsid w:val="00605C28"/>
    <w:rsid w:val="006060E2"/>
    <w:rsid w:val="00606637"/>
    <w:rsid w:val="0060685F"/>
    <w:rsid w:val="00606FEF"/>
    <w:rsid w:val="00607066"/>
    <w:rsid w:val="00607109"/>
    <w:rsid w:val="00607197"/>
    <w:rsid w:val="006074CC"/>
    <w:rsid w:val="006074D7"/>
    <w:rsid w:val="006078A9"/>
    <w:rsid w:val="00607A16"/>
    <w:rsid w:val="00607B99"/>
    <w:rsid w:val="00607E88"/>
    <w:rsid w:val="006103C0"/>
    <w:rsid w:val="006109F8"/>
    <w:rsid w:val="00610D24"/>
    <w:rsid w:val="00610D8B"/>
    <w:rsid w:val="006111DB"/>
    <w:rsid w:val="00611523"/>
    <w:rsid w:val="00611F2E"/>
    <w:rsid w:val="00612736"/>
    <w:rsid w:val="00613365"/>
    <w:rsid w:val="006133B2"/>
    <w:rsid w:val="00613617"/>
    <w:rsid w:val="00613875"/>
    <w:rsid w:val="00613989"/>
    <w:rsid w:val="00614112"/>
    <w:rsid w:val="00614311"/>
    <w:rsid w:val="0061453C"/>
    <w:rsid w:val="006147EA"/>
    <w:rsid w:val="00614818"/>
    <w:rsid w:val="00614B7F"/>
    <w:rsid w:val="00614F84"/>
    <w:rsid w:val="0061503A"/>
    <w:rsid w:val="00615305"/>
    <w:rsid w:val="00615345"/>
    <w:rsid w:val="0061666A"/>
    <w:rsid w:val="006169EA"/>
    <w:rsid w:val="00616FFD"/>
    <w:rsid w:val="006171FB"/>
    <w:rsid w:val="0061731F"/>
    <w:rsid w:val="00617368"/>
    <w:rsid w:val="0061749D"/>
    <w:rsid w:val="00617738"/>
    <w:rsid w:val="006178AA"/>
    <w:rsid w:val="00617CDD"/>
    <w:rsid w:val="00617D6D"/>
    <w:rsid w:val="006209F7"/>
    <w:rsid w:val="00620B60"/>
    <w:rsid w:val="00620E69"/>
    <w:rsid w:val="00621128"/>
    <w:rsid w:val="006214B4"/>
    <w:rsid w:val="006216EF"/>
    <w:rsid w:val="00621AAB"/>
    <w:rsid w:val="00621BE1"/>
    <w:rsid w:val="00621E2C"/>
    <w:rsid w:val="00621EA4"/>
    <w:rsid w:val="00622553"/>
    <w:rsid w:val="00623075"/>
    <w:rsid w:val="0062331C"/>
    <w:rsid w:val="006233A7"/>
    <w:rsid w:val="00623695"/>
    <w:rsid w:val="00623910"/>
    <w:rsid w:val="0062394E"/>
    <w:rsid w:val="0062403A"/>
    <w:rsid w:val="0062455E"/>
    <w:rsid w:val="006246A3"/>
    <w:rsid w:val="0062477D"/>
    <w:rsid w:val="00624A27"/>
    <w:rsid w:val="00624D74"/>
    <w:rsid w:val="00625067"/>
    <w:rsid w:val="00625689"/>
    <w:rsid w:val="00625C5B"/>
    <w:rsid w:val="00626919"/>
    <w:rsid w:val="00626CD6"/>
    <w:rsid w:val="0062716D"/>
    <w:rsid w:val="00627314"/>
    <w:rsid w:val="00627AF2"/>
    <w:rsid w:val="00630023"/>
    <w:rsid w:val="006301CC"/>
    <w:rsid w:val="006302F3"/>
    <w:rsid w:val="00630312"/>
    <w:rsid w:val="006308D9"/>
    <w:rsid w:val="00630B56"/>
    <w:rsid w:val="0063131F"/>
    <w:rsid w:val="006317BD"/>
    <w:rsid w:val="00631F36"/>
    <w:rsid w:val="00632AFD"/>
    <w:rsid w:val="00632F94"/>
    <w:rsid w:val="00633017"/>
    <w:rsid w:val="00633187"/>
    <w:rsid w:val="00633250"/>
    <w:rsid w:val="00633AEF"/>
    <w:rsid w:val="00633E23"/>
    <w:rsid w:val="006346C7"/>
    <w:rsid w:val="00634CAC"/>
    <w:rsid w:val="006354F0"/>
    <w:rsid w:val="00635626"/>
    <w:rsid w:val="006358D6"/>
    <w:rsid w:val="00635C11"/>
    <w:rsid w:val="006360EF"/>
    <w:rsid w:val="0063632F"/>
    <w:rsid w:val="00636461"/>
    <w:rsid w:val="006368D1"/>
    <w:rsid w:val="00636FA6"/>
    <w:rsid w:val="0063768E"/>
    <w:rsid w:val="00637988"/>
    <w:rsid w:val="00640311"/>
    <w:rsid w:val="0064040F"/>
    <w:rsid w:val="00640E38"/>
    <w:rsid w:val="00640FFF"/>
    <w:rsid w:val="00641082"/>
    <w:rsid w:val="00641180"/>
    <w:rsid w:val="0064119C"/>
    <w:rsid w:val="0064123B"/>
    <w:rsid w:val="006414E0"/>
    <w:rsid w:val="006421F3"/>
    <w:rsid w:val="00642A7D"/>
    <w:rsid w:val="00642DCC"/>
    <w:rsid w:val="006430D2"/>
    <w:rsid w:val="00643110"/>
    <w:rsid w:val="00643B12"/>
    <w:rsid w:val="00643B49"/>
    <w:rsid w:val="00644088"/>
    <w:rsid w:val="00644293"/>
    <w:rsid w:val="006448DE"/>
    <w:rsid w:val="00644987"/>
    <w:rsid w:val="00644F6E"/>
    <w:rsid w:val="00645E66"/>
    <w:rsid w:val="00646083"/>
    <w:rsid w:val="006460F8"/>
    <w:rsid w:val="00646113"/>
    <w:rsid w:val="00646132"/>
    <w:rsid w:val="0064651F"/>
    <w:rsid w:val="0064665E"/>
    <w:rsid w:val="00646A42"/>
    <w:rsid w:val="00646F35"/>
    <w:rsid w:val="00647F84"/>
    <w:rsid w:val="0065009A"/>
    <w:rsid w:val="006502D0"/>
    <w:rsid w:val="00650486"/>
    <w:rsid w:val="00650C56"/>
    <w:rsid w:val="00650E2D"/>
    <w:rsid w:val="00651B0E"/>
    <w:rsid w:val="00652614"/>
    <w:rsid w:val="00652858"/>
    <w:rsid w:val="006536D8"/>
    <w:rsid w:val="0065468C"/>
    <w:rsid w:val="00654F27"/>
    <w:rsid w:val="00655726"/>
    <w:rsid w:val="006558DC"/>
    <w:rsid w:val="00655AEE"/>
    <w:rsid w:val="006562EA"/>
    <w:rsid w:val="00656617"/>
    <w:rsid w:val="0065695F"/>
    <w:rsid w:val="00656B27"/>
    <w:rsid w:val="00656DBB"/>
    <w:rsid w:val="00656E21"/>
    <w:rsid w:val="00656EC0"/>
    <w:rsid w:val="00657F8B"/>
    <w:rsid w:val="00660401"/>
    <w:rsid w:val="00660428"/>
    <w:rsid w:val="006605B5"/>
    <w:rsid w:val="0066084F"/>
    <w:rsid w:val="006612D0"/>
    <w:rsid w:val="006614B1"/>
    <w:rsid w:val="00661646"/>
    <w:rsid w:val="006618FC"/>
    <w:rsid w:val="00661D31"/>
    <w:rsid w:val="006620E7"/>
    <w:rsid w:val="006628C8"/>
    <w:rsid w:val="006629FB"/>
    <w:rsid w:val="00662F2E"/>
    <w:rsid w:val="006635B2"/>
    <w:rsid w:val="00663744"/>
    <w:rsid w:val="00663943"/>
    <w:rsid w:val="00663D00"/>
    <w:rsid w:val="00663E86"/>
    <w:rsid w:val="00664014"/>
    <w:rsid w:val="00664379"/>
    <w:rsid w:val="006643E5"/>
    <w:rsid w:val="0066476B"/>
    <w:rsid w:val="00664BFF"/>
    <w:rsid w:val="0066530A"/>
    <w:rsid w:val="0066577D"/>
    <w:rsid w:val="006657A7"/>
    <w:rsid w:val="00665DE0"/>
    <w:rsid w:val="006666D2"/>
    <w:rsid w:val="00666790"/>
    <w:rsid w:val="00667010"/>
    <w:rsid w:val="006673E9"/>
    <w:rsid w:val="0066762D"/>
    <w:rsid w:val="00667C46"/>
    <w:rsid w:val="0067017C"/>
    <w:rsid w:val="006709F4"/>
    <w:rsid w:val="00670DE6"/>
    <w:rsid w:val="00671B7E"/>
    <w:rsid w:val="00672406"/>
    <w:rsid w:val="0067259D"/>
    <w:rsid w:val="006727C2"/>
    <w:rsid w:val="0067281A"/>
    <w:rsid w:val="00672EA8"/>
    <w:rsid w:val="00672F3A"/>
    <w:rsid w:val="006732E5"/>
    <w:rsid w:val="00673364"/>
    <w:rsid w:val="00673BAC"/>
    <w:rsid w:val="0067527D"/>
    <w:rsid w:val="0067553A"/>
    <w:rsid w:val="006767BC"/>
    <w:rsid w:val="006775E6"/>
    <w:rsid w:val="00677AD3"/>
    <w:rsid w:val="00677C9C"/>
    <w:rsid w:val="00680505"/>
    <w:rsid w:val="0068097B"/>
    <w:rsid w:val="00680DE8"/>
    <w:rsid w:val="0068100D"/>
    <w:rsid w:val="00681011"/>
    <w:rsid w:val="00681276"/>
    <w:rsid w:val="0068149D"/>
    <w:rsid w:val="006815E4"/>
    <w:rsid w:val="006815F6"/>
    <w:rsid w:val="00681723"/>
    <w:rsid w:val="00681B6B"/>
    <w:rsid w:val="00681D75"/>
    <w:rsid w:val="0068222E"/>
    <w:rsid w:val="0068242E"/>
    <w:rsid w:val="0068260C"/>
    <w:rsid w:val="006826DB"/>
    <w:rsid w:val="006828F3"/>
    <w:rsid w:val="0068299E"/>
    <w:rsid w:val="00682BA8"/>
    <w:rsid w:val="00682C83"/>
    <w:rsid w:val="00682C88"/>
    <w:rsid w:val="00682D59"/>
    <w:rsid w:val="006834FA"/>
    <w:rsid w:val="00683658"/>
    <w:rsid w:val="006837C6"/>
    <w:rsid w:val="006840FD"/>
    <w:rsid w:val="006841BF"/>
    <w:rsid w:val="006845B0"/>
    <w:rsid w:val="006845E8"/>
    <w:rsid w:val="006849D2"/>
    <w:rsid w:val="00684A0B"/>
    <w:rsid w:val="00684BAF"/>
    <w:rsid w:val="00684FD3"/>
    <w:rsid w:val="00685657"/>
    <w:rsid w:val="0068569D"/>
    <w:rsid w:val="0068576A"/>
    <w:rsid w:val="00686856"/>
    <w:rsid w:val="0068771D"/>
    <w:rsid w:val="00687C6E"/>
    <w:rsid w:val="006908C5"/>
    <w:rsid w:val="00690F11"/>
    <w:rsid w:val="00691D24"/>
    <w:rsid w:val="006921A5"/>
    <w:rsid w:val="0069288C"/>
    <w:rsid w:val="00692A18"/>
    <w:rsid w:val="00692FF5"/>
    <w:rsid w:val="00693AD8"/>
    <w:rsid w:val="00693DD9"/>
    <w:rsid w:val="00693E1F"/>
    <w:rsid w:val="00694077"/>
    <w:rsid w:val="006940F5"/>
    <w:rsid w:val="00694200"/>
    <w:rsid w:val="006943D6"/>
    <w:rsid w:val="00694C4E"/>
    <w:rsid w:val="00695149"/>
    <w:rsid w:val="00695593"/>
    <w:rsid w:val="0069609F"/>
    <w:rsid w:val="0069692F"/>
    <w:rsid w:val="00696AE0"/>
    <w:rsid w:val="00696E37"/>
    <w:rsid w:val="00696EBB"/>
    <w:rsid w:val="00696EC5"/>
    <w:rsid w:val="00697059"/>
    <w:rsid w:val="0069721A"/>
    <w:rsid w:val="006972F4"/>
    <w:rsid w:val="006974A3"/>
    <w:rsid w:val="00697510"/>
    <w:rsid w:val="00697A91"/>
    <w:rsid w:val="00697D3E"/>
    <w:rsid w:val="00697F09"/>
    <w:rsid w:val="006A012F"/>
    <w:rsid w:val="006A01A4"/>
    <w:rsid w:val="006A039C"/>
    <w:rsid w:val="006A0A9C"/>
    <w:rsid w:val="006A118F"/>
    <w:rsid w:val="006A1222"/>
    <w:rsid w:val="006A14F0"/>
    <w:rsid w:val="006A153B"/>
    <w:rsid w:val="006A192A"/>
    <w:rsid w:val="006A1F10"/>
    <w:rsid w:val="006A201E"/>
    <w:rsid w:val="006A369D"/>
    <w:rsid w:val="006A3ABD"/>
    <w:rsid w:val="006A3CC7"/>
    <w:rsid w:val="006A3FFD"/>
    <w:rsid w:val="006A4D4E"/>
    <w:rsid w:val="006A4EEE"/>
    <w:rsid w:val="006A4F7F"/>
    <w:rsid w:val="006A5398"/>
    <w:rsid w:val="006A5B51"/>
    <w:rsid w:val="006A5CD9"/>
    <w:rsid w:val="006A5E6C"/>
    <w:rsid w:val="006A5F94"/>
    <w:rsid w:val="006A60BE"/>
    <w:rsid w:val="006A6564"/>
    <w:rsid w:val="006A67E5"/>
    <w:rsid w:val="006A6944"/>
    <w:rsid w:val="006A6B6C"/>
    <w:rsid w:val="006A70F3"/>
    <w:rsid w:val="006A7D80"/>
    <w:rsid w:val="006B01BB"/>
    <w:rsid w:val="006B12C1"/>
    <w:rsid w:val="006B17D7"/>
    <w:rsid w:val="006B1C74"/>
    <w:rsid w:val="006B1E3D"/>
    <w:rsid w:val="006B208C"/>
    <w:rsid w:val="006B20D0"/>
    <w:rsid w:val="006B25E2"/>
    <w:rsid w:val="006B2949"/>
    <w:rsid w:val="006B2A90"/>
    <w:rsid w:val="006B2C8C"/>
    <w:rsid w:val="006B2FAF"/>
    <w:rsid w:val="006B3758"/>
    <w:rsid w:val="006B3DEA"/>
    <w:rsid w:val="006B45CE"/>
    <w:rsid w:val="006B4782"/>
    <w:rsid w:val="006B4E13"/>
    <w:rsid w:val="006B4FB7"/>
    <w:rsid w:val="006B59E6"/>
    <w:rsid w:val="006B5DC3"/>
    <w:rsid w:val="006B5FFF"/>
    <w:rsid w:val="006B620B"/>
    <w:rsid w:val="006B630A"/>
    <w:rsid w:val="006B64F5"/>
    <w:rsid w:val="006B6ABD"/>
    <w:rsid w:val="006B6E27"/>
    <w:rsid w:val="006B6E39"/>
    <w:rsid w:val="006B75B8"/>
    <w:rsid w:val="006B7660"/>
    <w:rsid w:val="006B7867"/>
    <w:rsid w:val="006B7C24"/>
    <w:rsid w:val="006B7F27"/>
    <w:rsid w:val="006C025E"/>
    <w:rsid w:val="006C0AD1"/>
    <w:rsid w:val="006C10D0"/>
    <w:rsid w:val="006C12F5"/>
    <w:rsid w:val="006C1577"/>
    <w:rsid w:val="006C1A37"/>
    <w:rsid w:val="006C21D4"/>
    <w:rsid w:val="006C2554"/>
    <w:rsid w:val="006C29F3"/>
    <w:rsid w:val="006C2AAB"/>
    <w:rsid w:val="006C3076"/>
    <w:rsid w:val="006C3253"/>
    <w:rsid w:val="006C3768"/>
    <w:rsid w:val="006C37DD"/>
    <w:rsid w:val="006C4410"/>
    <w:rsid w:val="006C4972"/>
    <w:rsid w:val="006C4D52"/>
    <w:rsid w:val="006C4E2F"/>
    <w:rsid w:val="006C5240"/>
    <w:rsid w:val="006C58FC"/>
    <w:rsid w:val="006C5ACD"/>
    <w:rsid w:val="006C6300"/>
    <w:rsid w:val="006C695C"/>
    <w:rsid w:val="006C6D73"/>
    <w:rsid w:val="006C729E"/>
    <w:rsid w:val="006C77AA"/>
    <w:rsid w:val="006C7C52"/>
    <w:rsid w:val="006C7CD9"/>
    <w:rsid w:val="006C7EFE"/>
    <w:rsid w:val="006C7F3C"/>
    <w:rsid w:val="006C7FE3"/>
    <w:rsid w:val="006D07CC"/>
    <w:rsid w:val="006D08E7"/>
    <w:rsid w:val="006D0DC3"/>
    <w:rsid w:val="006D1544"/>
    <w:rsid w:val="006D1F4C"/>
    <w:rsid w:val="006D2048"/>
    <w:rsid w:val="006D23DA"/>
    <w:rsid w:val="006D26A7"/>
    <w:rsid w:val="006D2FE2"/>
    <w:rsid w:val="006D3159"/>
    <w:rsid w:val="006D36B7"/>
    <w:rsid w:val="006D3716"/>
    <w:rsid w:val="006D3A49"/>
    <w:rsid w:val="006D3E39"/>
    <w:rsid w:val="006D413A"/>
    <w:rsid w:val="006D591E"/>
    <w:rsid w:val="006D6140"/>
    <w:rsid w:val="006D6273"/>
    <w:rsid w:val="006D640F"/>
    <w:rsid w:val="006D65D0"/>
    <w:rsid w:val="006D686D"/>
    <w:rsid w:val="006D68AB"/>
    <w:rsid w:val="006D75C5"/>
    <w:rsid w:val="006D77EE"/>
    <w:rsid w:val="006D7AA4"/>
    <w:rsid w:val="006E046E"/>
    <w:rsid w:val="006E08B7"/>
    <w:rsid w:val="006E08BB"/>
    <w:rsid w:val="006E0901"/>
    <w:rsid w:val="006E162A"/>
    <w:rsid w:val="006E16F1"/>
    <w:rsid w:val="006E17DF"/>
    <w:rsid w:val="006E1889"/>
    <w:rsid w:val="006E2E1B"/>
    <w:rsid w:val="006E307D"/>
    <w:rsid w:val="006E315B"/>
    <w:rsid w:val="006E31D2"/>
    <w:rsid w:val="006E359B"/>
    <w:rsid w:val="006E3625"/>
    <w:rsid w:val="006E3DBE"/>
    <w:rsid w:val="006E3FF2"/>
    <w:rsid w:val="006E41A3"/>
    <w:rsid w:val="006E4269"/>
    <w:rsid w:val="006E434C"/>
    <w:rsid w:val="006E4475"/>
    <w:rsid w:val="006E4717"/>
    <w:rsid w:val="006E47DE"/>
    <w:rsid w:val="006E4B99"/>
    <w:rsid w:val="006E4F92"/>
    <w:rsid w:val="006E5269"/>
    <w:rsid w:val="006E5272"/>
    <w:rsid w:val="006E556E"/>
    <w:rsid w:val="006E5E0C"/>
    <w:rsid w:val="006E615E"/>
    <w:rsid w:val="006E62D4"/>
    <w:rsid w:val="006E6864"/>
    <w:rsid w:val="006E6FCE"/>
    <w:rsid w:val="006E75BF"/>
    <w:rsid w:val="006E75D4"/>
    <w:rsid w:val="006E7B2C"/>
    <w:rsid w:val="006E7E49"/>
    <w:rsid w:val="006E7F52"/>
    <w:rsid w:val="006F09B5"/>
    <w:rsid w:val="006F1126"/>
    <w:rsid w:val="006F1349"/>
    <w:rsid w:val="006F13CF"/>
    <w:rsid w:val="006F1D0E"/>
    <w:rsid w:val="006F201F"/>
    <w:rsid w:val="006F2191"/>
    <w:rsid w:val="006F23B7"/>
    <w:rsid w:val="006F24DB"/>
    <w:rsid w:val="006F2845"/>
    <w:rsid w:val="006F28DD"/>
    <w:rsid w:val="006F2C03"/>
    <w:rsid w:val="006F3013"/>
    <w:rsid w:val="006F30AD"/>
    <w:rsid w:val="006F31FD"/>
    <w:rsid w:val="006F32D2"/>
    <w:rsid w:val="006F365C"/>
    <w:rsid w:val="006F3C2D"/>
    <w:rsid w:val="006F480F"/>
    <w:rsid w:val="006F48B3"/>
    <w:rsid w:val="006F48B8"/>
    <w:rsid w:val="006F4A90"/>
    <w:rsid w:val="006F4ACE"/>
    <w:rsid w:val="006F54E9"/>
    <w:rsid w:val="006F5520"/>
    <w:rsid w:val="006F553C"/>
    <w:rsid w:val="006F55A5"/>
    <w:rsid w:val="006F5924"/>
    <w:rsid w:val="006F6258"/>
    <w:rsid w:val="006F65E1"/>
    <w:rsid w:val="006F67A7"/>
    <w:rsid w:val="006F6D4B"/>
    <w:rsid w:val="006F713A"/>
    <w:rsid w:val="006F776F"/>
    <w:rsid w:val="006F7F8E"/>
    <w:rsid w:val="00700649"/>
    <w:rsid w:val="0070071E"/>
    <w:rsid w:val="00700F53"/>
    <w:rsid w:val="00701552"/>
    <w:rsid w:val="00701D70"/>
    <w:rsid w:val="00701F66"/>
    <w:rsid w:val="007027FD"/>
    <w:rsid w:val="00703428"/>
    <w:rsid w:val="00703952"/>
    <w:rsid w:val="007042D8"/>
    <w:rsid w:val="00704FDE"/>
    <w:rsid w:val="0070517C"/>
    <w:rsid w:val="007053EF"/>
    <w:rsid w:val="00705448"/>
    <w:rsid w:val="00705468"/>
    <w:rsid w:val="00705FFE"/>
    <w:rsid w:val="00706106"/>
    <w:rsid w:val="00706956"/>
    <w:rsid w:val="00706ACA"/>
    <w:rsid w:val="00706E61"/>
    <w:rsid w:val="00707E4C"/>
    <w:rsid w:val="0071037E"/>
    <w:rsid w:val="007105A1"/>
    <w:rsid w:val="00710CAB"/>
    <w:rsid w:val="00710FD4"/>
    <w:rsid w:val="00711578"/>
    <w:rsid w:val="007122EC"/>
    <w:rsid w:val="007126E1"/>
    <w:rsid w:val="0071283F"/>
    <w:rsid w:val="0071296E"/>
    <w:rsid w:val="00712DCF"/>
    <w:rsid w:val="00713974"/>
    <w:rsid w:val="007139FB"/>
    <w:rsid w:val="00713AFC"/>
    <w:rsid w:val="00714504"/>
    <w:rsid w:val="00714E89"/>
    <w:rsid w:val="0071574B"/>
    <w:rsid w:val="00715959"/>
    <w:rsid w:val="00715C53"/>
    <w:rsid w:val="00715E1E"/>
    <w:rsid w:val="007170BE"/>
    <w:rsid w:val="0071742A"/>
    <w:rsid w:val="00717B3B"/>
    <w:rsid w:val="00717E81"/>
    <w:rsid w:val="00720143"/>
    <w:rsid w:val="007209F2"/>
    <w:rsid w:val="00720B79"/>
    <w:rsid w:val="0072169B"/>
    <w:rsid w:val="00721AC7"/>
    <w:rsid w:val="00721BFE"/>
    <w:rsid w:val="00721CAF"/>
    <w:rsid w:val="00721DA6"/>
    <w:rsid w:val="007221EA"/>
    <w:rsid w:val="00722684"/>
    <w:rsid w:val="00722A5F"/>
    <w:rsid w:val="00722AEF"/>
    <w:rsid w:val="00722B6B"/>
    <w:rsid w:val="00722C47"/>
    <w:rsid w:val="0072301B"/>
    <w:rsid w:val="007232CB"/>
    <w:rsid w:val="0072337B"/>
    <w:rsid w:val="007235C2"/>
    <w:rsid w:val="0072400F"/>
    <w:rsid w:val="007242B9"/>
    <w:rsid w:val="0072431A"/>
    <w:rsid w:val="007249DF"/>
    <w:rsid w:val="00725A07"/>
    <w:rsid w:val="00725CD4"/>
    <w:rsid w:val="00725D64"/>
    <w:rsid w:val="007262EE"/>
    <w:rsid w:val="007269AA"/>
    <w:rsid w:val="0072741F"/>
    <w:rsid w:val="00727944"/>
    <w:rsid w:val="00727C37"/>
    <w:rsid w:val="00730799"/>
    <w:rsid w:val="00730875"/>
    <w:rsid w:val="00730B88"/>
    <w:rsid w:val="00730E8F"/>
    <w:rsid w:val="00731320"/>
    <w:rsid w:val="0073176E"/>
    <w:rsid w:val="00731D48"/>
    <w:rsid w:val="0073242A"/>
    <w:rsid w:val="00732491"/>
    <w:rsid w:val="00732C66"/>
    <w:rsid w:val="00733286"/>
    <w:rsid w:val="007337BA"/>
    <w:rsid w:val="00733D9F"/>
    <w:rsid w:val="00733EA4"/>
    <w:rsid w:val="007341F1"/>
    <w:rsid w:val="00734484"/>
    <w:rsid w:val="00734FEC"/>
    <w:rsid w:val="0073550D"/>
    <w:rsid w:val="00735C8D"/>
    <w:rsid w:val="00735C93"/>
    <w:rsid w:val="00735EA7"/>
    <w:rsid w:val="007362BA"/>
    <w:rsid w:val="00736387"/>
    <w:rsid w:val="00736931"/>
    <w:rsid w:val="00737019"/>
    <w:rsid w:val="00737393"/>
    <w:rsid w:val="00737688"/>
    <w:rsid w:val="007377F9"/>
    <w:rsid w:val="00737DBB"/>
    <w:rsid w:val="00737EF7"/>
    <w:rsid w:val="0074030A"/>
    <w:rsid w:val="00740874"/>
    <w:rsid w:val="0074095A"/>
    <w:rsid w:val="00740A0F"/>
    <w:rsid w:val="007412B4"/>
    <w:rsid w:val="00742076"/>
    <w:rsid w:val="00742269"/>
    <w:rsid w:val="00742360"/>
    <w:rsid w:val="007426BB"/>
    <w:rsid w:val="00742A16"/>
    <w:rsid w:val="00742A33"/>
    <w:rsid w:val="00742D00"/>
    <w:rsid w:val="00742D75"/>
    <w:rsid w:val="00742E91"/>
    <w:rsid w:val="00743394"/>
    <w:rsid w:val="00743443"/>
    <w:rsid w:val="007436C6"/>
    <w:rsid w:val="0074370F"/>
    <w:rsid w:val="00743C8F"/>
    <w:rsid w:val="00743D10"/>
    <w:rsid w:val="007443F7"/>
    <w:rsid w:val="00744712"/>
    <w:rsid w:val="00745056"/>
    <w:rsid w:val="0074505E"/>
    <w:rsid w:val="00745136"/>
    <w:rsid w:val="007455D5"/>
    <w:rsid w:val="0074573A"/>
    <w:rsid w:val="00745A15"/>
    <w:rsid w:val="00745A54"/>
    <w:rsid w:val="00745D0A"/>
    <w:rsid w:val="00745DAB"/>
    <w:rsid w:val="00745DD2"/>
    <w:rsid w:val="00745E3A"/>
    <w:rsid w:val="00745EF0"/>
    <w:rsid w:val="00745F1A"/>
    <w:rsid w:val="007461AC"/>
    <w:rsid w:val="00747315"/>
    <w:rsid w:val="00747395"/>
    <w:rsid w:val="007478CF"/>
    <w:rsid w:val="00747AA6"/>
    <w:rsid w:val="007502D0"/>
    <w:rsid w:val="007507D6"/>
    <w:rsid w:val="0075092E"/>
    <w:rsid w:val="0075122E"/>
    <w:rsid w:val="00751354"/>
    <w:rsid w:val="00751398"/>
    <w:rsid w:val="0075200D"/>
    <w:rsid w:val="007520C9"/>
    <w:rsid w:val="007521C2"/>
    <w:rsid w:val="007522F1"/>
    <w:rsid w:val="007528B5"/>
    <w:rsid w:val="00752A49"/>
    <w:rsid w:val="007530A4"/>
    <w:rsid w:val="00753258"/>
    <w:rsid w:val="00753504"/>
    <w:rsid w:val="00753799"/>
    <w:rsid w:val="00753C9E"/>
    <w:rsid w:val="00754186"/>
    <w:rsid w:val="007543F7"/>
    <w:rsid w:val="00754548"/>
    <w:rsid w:val="007549E6"/>
    <w:rsid w:val="00755435"/>
    <w:rsid w:val="007556D4"/>
    <w:rsid w:val="00755F15"/>
    <w:rsid w:val="007562C5"/>
    <w:rsid w:val="007566D0"/>
    <w:rsid w:val="007568F2"/>
    <w:rsid w:val="00756909"/>
    <w:rsid w:val="007569F8"/>
    <w:rsid w:val="00756AB9"/>
    <w:rsid w:val="00756FAB"/>
    <w:rsid w:val="00757780"/>
    <w:rsid w:val="00757CCC"/>
    <w:rsid w:val="00757EF0"/>
    <w:rsid w:val="0076029E"/>
    <w:rsid w:val="007604B5"/>
    <w:rsid w:val="0076059F"/>
    <w:rsid w:val="00760A27"/>
    <w:rsid w:val="00760CFC"/>
    <w:rsid w:val="00760D10"/>
    <w:rsid w:val="0076119D"/>
    <w:rsid w:val="007617DE"/>
    <w:rsid w:val="00762108"/>
    <w:rsid w:val="007623AA"/>
    <w:rsid w:val="00762690"/>
    <w:rsid w:val="00763057"/>
    <w:rsid w:val="0076480D"/>
    <w:rsid w:val="00764964"/>
    <w:rsid w:val="00764C14"/>
    <w:rsid w:val="00764F7E"/>
    <w:rsid w:val="00765E42"/>
    <w:rsid w:val="00765E80"/>
    <w:rsid w:val="00765F8C"/>
    <w:rsid w:val="00766C18"/>
    <w:rsid w:val="00766D1D"/>
    <w:rsid w:val="00766DEE"/>
    <w:rsid w:val="0076719E"/>
    <w:rsid w:val="00767826"/>
    <w:rsid w:val="00770110"/>
    <w:rsid w:val="00770284"/>
    <w:rsid w:val="00770E38"/>
    <w:rsid w:val="00770FFE"/>
    <w:rsid w:val="007713EF"/>
    <w:rsid w:val="0077178B"/>
    <w:rsid w:val="007717DA"/>
    <w:rsid w:val="007719B0"/>
    <w:rsid w:val="00771A44"/>
    <w:rsid w:val="00771BA8"/>
    <w:rsid w:val="0077203A"/>
    <w:rsid w:val="007723BF"/>
    <w:rsid w:val="007731E8"/>
    <w:rsid w:val="00773649"/>
    <w:rsid w:val="00774D35"/>
    <w:rsid w:val="007751DE"/>
    <w:rsid w:val="00775773"/>
    <w:rsid w:val="00775791"/>
    <w:rsid w:val="00775E69"/>
    <w:rsid w:val="00776024"/>
    <w:rsid w:val="00776AF1"/>
    <w:rsid w:val="00776D05"/>
    <w:rsid w:val="007771F8"/>
    <w:rsid w:val="00777911"/>
    <w:rsid w:val="00777C22"/>
    <w:rsid w:val="00777F30"/>
    <w:rsid w:val="00777F51"/>
    <w:rsid w:val="00780128"/>
    <w:rsid w:val="0078040A"/>
    <w:rsid w:val="0078043F"/>
    <w:rsid w:val="00780440"/>
    <w:rsid w:val="00780727"/>
    <w:rsid w:val="007808D6"/>
    <w:rsid w:val="00780AE0"/>
    <w:rsid w:val="007812A6"/>
    <w:rsid w:val="0078133D"/>
    <w:rsid w:val="007816B3"/>
    <w:rsid w:val="00781D31"/>
    <w:rsid w:val="00781E34"/>
    <w:rsid w:val="007823C0"/>
    <w:rsid w:val="007825EE"/>
    <w:rsid w:val="00782B74"/>
    <w:rsid w:val="00783951"/>
    <w:rsid w:val="0078449F"/>
    <w:rsid w:val="0078478F"/>
    <w:rsid w:val="007847DE"/>
    <w:rsid w:val="007849FD"/>
    <w:rsid w:val="00784BEC"/>
    <w:rsid w:val="00784E44"/>
    <w:rsid w:val="00784EE1"/>
    <w:rsid w:val="00785785"/>
    <w:rsid w:val="0078668F"/>
    <w:rsid w:val="00786792"/>
    <w:rsid w:val="00786C22"/>
    <w:rsid w:val="00786D95"/>
    <w:rsid w:val="007872D6"/>
    <w:rsid w:val="007872F9"/>
    <w:rsid w:val="00787D76"/>
    <w:rsid w:val="00787F65"/>
    <w:rsid w:val="0079028A"/>
    <w:rsid w:val="00790B21"/>
    <w:rsid w:val="00790FF1"/>
    <w:rsid w:val="0079144E"/>
    <w:rsid w:val="00791DED"/>
    <w:rsid w:val="0079257E"/>
    <w:rsid w:val="00792AA8"/>
    <w:rsid w:val="00792E2D"/>
    <w:rsid w:val="007933B2"/>
    <w:rsid w:val="00793AAE"/>
    <w:rsid w:val="0079424E"/>
    <w:rsid w:val="00794256"/>
    <w:rsid w:val="0079479A"/>
    <w:rsid w:val="00794821"/>
    <w:rsid w:val="00794891"/>
    <w:rsid w:val="00794972"/>
    <w:rsid w:val="00794AA2"/>
    <w:rsid w:val="00794F53"/>
    <w:rsid w:val="00795B11"/>
    <w:rsid w:val="00795C4E"/>
    <w:rsid w:val="00795FBE"/>
    <w:rsid w:val="0079607B"/>
    <w:rsid w:val="00796316"/>
    <w:rsid w:val="00796627"/>
    <w:rsid w:val="00796925"/>
    <w:rsid w:val="00796B46"/>
    <w:rsid w:val="00796CD2"/>
    <w:rsid w:val="00796EE7"/>
    <w:rsid w:val="00797022"/>
    <w:rsid w:val="00797059"/>
    <w:rsid w:val="007970DC"/>
    <w:rsid w:val="007972A6"/>
    <w:rsid w:val="00797941"/>
    <w:rsid w:val="00797EFA"/>
    <w:rsid w:val="007A0813"/>
    <w:rsid w:val="007A0C93"/>
    <w:rsid w:val="007A159F"/>
    <w:rsid w:val="007A181A"/>
    <w:rsid w:val="007A25F4"/>
    <w:rsid w:val="007A2637"/>
    <w:rsid w:val="007A2A64"/>
    <w:rsid w:val="007A31C4"/>
    <w:rsid w:val="007A3581"/>
    <w:rsid w:val="007A3595"/>
    <w:rsid w:val="007A3887"/>
    <w:rsid w:val="007A3ABE"/>
    <w:rsid w:val="007A3AE3"/>
    <w:rsid w:val="007A3BFA"/>
    <w:rsid w:val="007A3D19"/>
    <w:rsid w:val="007A4CB0"/>
    <w:rsid w:val="007A4E46"/>
    <w:rsid w:val="007A557E"/>
    <w:rsid w:val="007A5A4D"/>
    <w:rsid w:val="007A5B1F"/>
    <w:rsid w:val="007A5B52"/>
    <w:rsid w:val="007A60F8"/>
    <w:rsid w:val="007A6222"/>
    <w:rsid w:val="007A62C3"/>
    <w:rsid w:val="007A6A21"/>
    <w:rsid w:val="007A6A68"/>
    <w:rsid w:val="007A6C74"/>
    <w:rsid w:val="007A73CF"/>
    <w:rsid w:val="007A7B80"/>
    <w:rsid w:val="007A7D07"/>
    <w:rsid w:val="007A7FB4"/>
    <w:rsid w:val="007B01A1"/>
    <w:rsid w:val="007B0810"/>
    <w:rsid w:val="007B08CC"/>
    <w:rsid w:val="007B0BB9"/>
    <w:rsid w:val="007B1434"/>
    <w:rsid w:val="007B1A88"/>
    <w:rsid w:val="007B1B5A"/>
    <w:rsid w:val="007B2648"/>
    <w:rsid w:val="007B287C"/>
    <w:rsid w:val="007B2FC0"/>
    <w:rsid w:val="007B3373"/>
    <w:rsid w:val="007B341B"/>
    <w:rsid w:val="007B4102"/>
    <w:rsid w:val="007B4174"/>
    <w:rsid w:val="007B455C"/>
    <w:rsid w:val="007B4576"/>
    <w:rsid w:val="007B52D6"/>
    <w:rsid w:val="007B5C5D"/>
    <w:rsid w:val="007B625F"/>
    <w:rsid w:val="007B649E"/>
    <w:rsid w:val="007B651A"/>
    <w:rsid w:val="007B6648"/>
    <w:rsid w:val="007B6669"/>
    <w:rsid w:val="007B6B39"/>
    <w:rsid w:val="007B6E69"/>
    <w:rsid w:val="007B725D"/>
    <w:rsid w:val="007B7DD5"/>
    <w:rsid w:val="007C011E"/>
    <w:rsid w:val="007C01B2"/>
    <w:rsid w:val="007C01CA"/>
    <w:rsid w:val="007C04CF"/>
    <w:rsid w:val="007C0511"/>
    <w:rsid w:val="007C08B8"/>
    <w:rsid w:val="007C0D45"/>
    <w:rsid w:val="007C13DB"/>
    <w:rsid w:val="007C149E"/>
    <w:rsid w:val="007C1A63"/>
    <w:rsid w:val="007C1CE6"/>
    <w:rsid w:val="007C2A98"/>
    <w:rsid w:val="007C30F0"/>
    <w:rsid w:val="007C311B"/>
    <w:rsid w:val="007C3173"/>
    <w:rsid w:val="007C32F2"/>
    <w:rsid w:val="007C3378"/>
    <w:rsid w:val="007C38EB"/>
    <w:rsid w:val="007C3B3E"/>
    <w:rsid w:val="007C3C42"/>
    <w:rsid w:val="007C3DEB"/>
    <w:rsid w:val="007C40F5"/>
    <w:rsid w:val="007C4118"/>
    <w:rsid w:val="007C462E"/>
    <w:rsid w:val="007C47F3"/>
    <w:rsid w:val="007C506B"/>
    <w:rsid w:val="007C5113"/>
    <w:rsid w:val="007C51C5"/>
    <w:rsid w:val="007C5A5A"/>
    <w:rsid w:val="007C5B8E"/>
    <w:rsid w:val="007C5ED4"/>
    <w:rsid w:val="007C60C1"/>
    <w:rsid w:val="007C6194"/>
    <w:rsid w:val="007C6238"/>
    <w:rsid w:val="007C6284"/>
    <w:rsid w:val="007C66FE"/>
    <w:rsid w:val="007C6D9C"/>
    <w:rsid w:val="007C70B8"/>
    <w:rsid w:val="007C75BB"/>
    <w:rsid w:val="007C7FFB"/>
    <w:rsid w:val="007D0725"/>
    <w:rsid w:val="007D0986"/>
    <w:rsid w:val="007D0CE0"/>
    <w:rsid w:val="007D0DEA"/>
    <w:rsid w:val="007D0DEB"/>
    <w:rsid w:val="007D133B"/>
    <w:rsid w:val="007D1BEF"/>
    <w:rsid w:val="007D2139"/>
    <w:rsid w:val="007D24B7"/>
    <w:rsid w:val="007D2A1B"/>
    <w:rsid w:val="007D3D1D"/>
    <w:rsid w:val="007D4029"/>
    <w:rsid w:val="007D44AF"/>
    <w:rsid w:val="007D50FF"/>
    <w:rsid w:val="007D5322"/>
    <w:rsid w:val="007D5717"/>
    <w:rsid w:val="007D5833"/>
    <w:rsid w:val="007D58A1"/>
    <w:rsid w:val="007D5973"/>
    <w:rsid w:val="007D59A7"/>
    <w:rsid w:val="007D5B74"/>
    <w:rsid w:val="007D5DD2"/>
    <w:rsid w:val="007D63D6"/>
    <w:rsid w:val="007D652C"/>
    <w:rsid w:val="007D698B"/>
    <w:rsid w:val="007D6EEE"/>
    <w:rsid w:val="007D7112"/>
    <w:rsid w:val="007D7167"/>
    <w:rsid w:val="007D73E0"/>
    <w:rsid w:val="007D75D2"/>
    <w:rsid w:val="007D7BB6"/>
    <w:rsid w:val="007D7C21"/>
    <w:rsid w:val="007E046F"/>
    <w:rsid w:val="007E1036"/>
    <w:rsid w:val="007E15BD"/>
    <w:rsid w:val="007E16B4"/>
    <w:rsid w:val="007E252B"/>
    <w:rsid w:val="007E293D"/>
    <w:rsid w:val="007E2C6A"/>
    <w:rsid w:val="007E2C76"/>
    <w:rsid w:val="007E30B2"/>
    <w:rsid w:val="007E31A8"/>
    <w:rsid w:val="007E3A4E"/>
    <w:rsid w:val="007E3BDA"/>
    <w:rsid w:val="007E4677"/>
    <w:rsid w:val="007E4809"/>
    <w:rsid w:val="007E48CC"/>
    <w:rsid w:val="007E4A97"/>
    <w:rsid w:val="007E4C96"/>
    <w:rsid w:val="007E525F"/>
    <w:rsid w:val="007E565A"/>
    <w:rsid w:val="007E568C"/>
    <w:rsid w:val="007E59D8"/>
    <w:rsid w:val="007E5C01"/>
    <w:rsid w:val="007E5D27"/>
    <w:rsid w:val="007E5D35"/>
    <w:rsid w:val="007E6572"/>
    <w:rsid w:val="007E685A"/>
    <w:rsid w:val="007E68F7"/>
    <w:rsid w:val="007E69DD"/>
    <w:rsid w:val="007E7019"/>
    <w:rsid w:val="007E702D"/>
    <w:rsid w:val="007E70DB"/>
    <w:rsid w:val="007E7314"/>
    <w:rsid w:val="007E7610"/>
    <w:rsid w:val="007E76E2"/>
    <w:rsid w:val="007E7D0A"/>
    <w:rsid w:val="007E7E9D"/>
    <w:rsid w:val="007F000F"/>
    <w:rsid w:val="007F022F"/>
    <w:rsid w:val="007F0293"/>
    <w:rsid w:val="007F0644"/>
    <w:rsid w:val="007F0835"/>
    <w:rsid w:val="007F0E9C"/>
    <w:rsid w:val="007F16A1"/>
    <w:rsid w:val="007F1EF7"/>
    <w:rsid w:val="007F2329"/>
    <w:rsid w:val="007F2797"/>
    <w:rsid w:val="007F2CEF"/>
    <w:rsid w:val="007F30D6"/>
    <w:rsid w:val="007F3377"/>
    <w:rsid w:val="007F4005"/>
    <w:rsid w:val="007F4635"/>
    <w:rsid w:val="007F4C34"/>
    <w:rsid w:val="007F4CD0"/>
    <w:rsid w:val="007F4F6A"/>
    <w:rsid w:val="007F508E"/>
    <w:rsid w:val="007F51D0"/>
    <w:rsid w:val="007F52A6"/>
    <w:rsid w:val="007F5789"/>
    <w:rsid w:val="007F592E"/>
    <w:rsid w:val="007F68DA"/>
    <w:rsid w:val="007F6969"/>
    <w:rsid w:val="007F70A6"/>
    <w:rsid w:val="007F7490"/>
    <w:rsid w:val="007F753B"/>
    <w:rsid w:val="007F767A"/>
    <w:rsid w:val="007F7AC5"/>
    <w:rsid w:val="007F7D7F"/>
    <w:rsid w:val="007F7EC9"/>
    <w:rsid w:val="00800059"/>
    <w:rsid w:val="008001FB"/>
    <w:rsid w:val="00800415"/>
    <w:rsid w:val="008004E7"/>
    <w:rsid w:val="008007EE"/>
    <w:rsid w:val="00800AB7"/>
    <w:rsid w:val="00800D04"/>
    <w:rsid w:val="008015FF"/>
    <w:rsid w:val="008018AC"/>
    <w:rsid w:val="00801A3D"/>
    <w:rsid w:val="00801AA1"/>
    <w:rsid w:val="0080210E"/>
    <w:rsid w:val="0080276C"/>
    <w:rsid w:val="00802D30"/>
    <w:rsid w:val="00802FDA"/>
    <w:rsid w:val="008031ED"/>
    <w:rsid w:val="0080328E"/>
    <w:rsid w:val="00803EEC"/>
    <w:rsid w:val="00804AE6"/>
    <w:rsid w:val="00804FE0"/>
    <w:rsid w:val="008056E8"/>
    <w:rsid w:val="00805D2C"/>
    <w:rsid w:val="0080608C"/>
    <w:rsid w:val="008060C8"/>
    <w:rsid w:val="008064F6"/>
    <w:rsid w:val="00806CAD"/>
    <w:rsid w:val="00810957"/>
    <w:rsid w:val="00810978"/>
    <w:rsid w:val="00810D03"/>
    <w:rsid w:val="00810E06"/>
    <w:rsid w:val="00810EBF"/>
    <w:rsid w:val="00810F5C"/>
    <w:rsid w:val="008114B7"/>
    <w:rsid w:val="008116EB"/>
    <w:rsid w:val="00811D73"/>
    <w:rsid w:val="00812039"/>
    <w:rsid w:val="0081246A"/>
    <w:rsid w:val="00812723"/>
    <w:rsid w:val="008127C7"/>
    <w:rsid w:val="00812C27"/>
    <w:rsid w:val="008136C3"/>
    <w:rsid w:val="00813814"/>
    <w:rsid w:val="00813C4B"/>
    <w:rsid w:val="00813E37"/>
    <w:rsid w:val="008146EA"/>
    <w:rsid w:val="00814898"/>
    <w:rsid w:val="00814A6A"/>
    <w:rsid w:val="00814ED4"/>
    <w:rsid w:val="0081501B"/>
    <w:rsid w:val="00815220"/>
    <w:rsid w:val="008152E3"/>
    <w:rsid w:val="0081534A"/>
    <w:rsid w:val="0081557C"/>
    <w:rsid w:val="00815998"/>
    <w:rsid w:val="008159B1"/>
    <w:rsid w:val="00815F07"/>
    <w:rsid w:val="00815F5B"/>
    <w:rsid w:val="0081644C"/>
    <w:rsid w:val="00816473"/>
    <w:rsid w:val="00816815"/>
    <w:rsid w:val="00816867"/>
    <w:rsid w:val="00816F7E"/>
    <w:rsid w:val="00817012"/>
    <w:rsid w:val="00817C1E"/>
    <w:rsid w:val="00817DF2"/>
    <w:rsid w:val="00820282"/>
    <w:rsid w:val="00820651"/>
    <w:rsid w:val="00821141"/>
    <w:rsid w:val="0082117F"/>
    <w:rsid w:val="00821465"/>
    <w:rsid w:val="0082180E"/>
    <w:rsid w:val="00821867"/>
    <w:rsid w:val="00821A5C"/>
    <w:rsid w:val="00821DE2"/>
    <w:rsid w:val="008226A4"/>
    <w:rsid w:val="00822892"/>
    <w:rsid w:val="00822F30"/>
    <w:rsid w:val="008231C1"/>
    <w:rsid w:val="008232FC"/>
    <w:rsid w:val="00823706"/>
    <w:rsid w:val="00823BA7"/>
    <w:rsid w:val="00823CC3"/>
    <w:rsid w:val="0082401C"/>
    <w:rsid w:val="00824BE8"/>
    <w:rsid w:val="00824CD7"/>
    <w:rsid w:val="00824FCE"/>
    <w:rsid w:val="008252CB"/>
    <w:rsid w:val="008257D0"/>
    <w:rsid w:val="0082619C"/>
    <w:rsid w:val="00830080"/>
    <w:rsid w:val="00830731"/>
    <w:rsid w:val="0083091A"/>
    <w:rsid w:val="00830C20"/>
    <w:rsid w:val="00830C97"/>
    <w:rsid w:val="00831A0D"/>
    <w:rsid w:val="00831A46"/>
    <w:rsid w:val="00831A4E"/>
    <w:rsid w:val="00831A87"/>
    <w:rsid w:val="0083205F"/>
    <w:rsid w:val="00832C31"/>
    <w:rsid w:val="00832ED3"/>
    <w:rsid w:val="008330E0"/>
    <w:rsid w:val="00833EB6"/>
    <w:rsid w:val="0083425C"/>
    <w:rsid w:val="008347C8"/>
    <w:rsid w:val="00834ED3"/>
    <w:rsid w:val="00835464"/>
    <w:rsid w:val="00835837"/>
    <w:rsid w:val="008367BD"/>
    <w:rsid w:val="00836AD2"/>
    <w:rsid w:val="00836D96"/>
    <w:rsid w:val="008373D9"/>
    <w:rsid w:val="008374E1"/>
    <w:rsid w:val="008375CC"/>
    <w:rsid w:val="00837708"/>
    <w:rsid w:val="008407C1"/>
    <w:rsid w:val="00840C96"/>
    <w:rsid w:val="00841199"/>
    <w:rsid w:val="008413F2"/>
    <w:rsid w:val="008415A8"/>
    <w:rsid w:val="008415CC"/>
    <w:rsid w:val="00841B0A"/>
    <w:rsid w:val="008424FD"/>
    <w:rsid w:val="00842673"/>
    <w:rsid w:val="00842862"/>
    <w:rsid w:val="00842967"/>
    <w:rsid w:val="00843200"/>
    <w:rsid w:val="00843BFD"/>
    <w:rsid w:val="00843E78"/>
    <w:rsid w:val="00844A64"/>
    <w:rsid w:val="00844C7B"/>
    <w:rsid w:val="0084506B"/>
    <w:rsid w:val="00845199"/>
    <w:rsid w:val="008453C9"/>
    <w:rsid w:val="0084567F"/>
    <w:rsid w:val="00845716"/>
    <w:rsid w:val="0084583C"/>
    <w:rsid w:val="00845C62"/>
    <w:rsid w:val="008460DF"/>
    <w:rsid w:val="00846B19"/>
    <w:rsid w:val="00846F53"/>
    <w:rsid w:val="00847238"/>
    <w:rsid w:val="008474B6"/>
    <w:rsid w:val="00847500"/>
    <w:rsid w:val="0084788B"/>
    <w:rsid w:val="00847894"/>
    <w:rsid w:val="008479FA"/>
    <w:rsid w:val="00847DFE"/>
    <w:rsid w:val="0085005E"/>
    <w:rsid w:val="008501C1"/>
    <w:rsid w:val="00850525"/>
    <w:rsid w:val="0085083A"/>
    <w:rsid w:val="00850996"/>
    <w:rsid w:val="00851111"/>
    <w:rsid w:val="00851149"/>
    <w:rsid w:val="00851337"/>
    <w:rsid w:val="00851354"/>
    <w:rsid w:val="00851CDF"/>
    <w:rsid w:val="00851EEF"/>
    <w:rsid w:val="00851FDD"/>
    <w:rsid w:val="008525CF"/>
    <w:rsid w:val="008525FF"/>
    <w:rsid w:val="00852684"/>
    <w:rsid w:val="00852BCB"/>
    <w:rsid w:val="00852C32"/>
    <w:rsid w:val="00852E0F"/>
    <w:rsid w:val="008535A5"/>
    <w:rsid w:val="00853799"/>
    <w:rsid w:val="008539E2"/>
    <w:rsid w:val="00853D12"/>
    <w:rsid w:val="00854090"/>
    <w:rsid w:val="008542CC"/>
    <w:rsid w:val="00854315"/>
    <w:rsid w:val="00854F73"/>
    <w:rsid w:val="00856128"/>
    <w:rsid w:val="008565A1"/>
    <w:rsid w:val="008569AC"/>
    <w:rsid w:val="00856D49"/>
    <w:rsid w:val="00857213"/>
    <w:rsid w:val="008577FF"/>
    <w:rsid w:val="00857D04"/>
    <w:rsid w:val="00857FE4"/>
    <w:rsid w:val="00860184"/>
    <w:rsid w:val="008607BE"/>
    <w:rsid w:val="008608EC"/>
    <w:rsid w:val="00860973"/>
    <w:rsid w:val="00860B77"/>
    <w:rsid w:val="00860C76"/>
    <w:rsid w:val="00860D30"/>
    <w:rsid w:val="00861028"/>
    <w:rsid w:val="0086183E"/>
    <w:rsid w:val="00861ED3"/>
    <w:rsid w:val="0086205F"/>
    <w:rsid w:val="008620A7"/>
    <w:rsid w:val="008620DB"/>
    <w:rsid w:val="008629A6"/>
    <w:rsid w:val="00862B33"/>
    <w:rsid w:val="00862B7D"/>
    <w:rsid w:val="00863A81"/>
    <w:rsid w:val="00863C86"/>
    <w:rsid w:val="00863DA6"/>
    <w:rsid w:val="008644A5"/>
    <w:rsid w:val="008648B5"/>
    <w:rsid w:val="00864B9B"/>
    <w:rsid w:val="00864F24"/>
    <w:rsid w:val="008657E7"/>
    <w:rsid w:val="00865A78"/>
    <w:rsid w:val="00866193"/>
    <w:rsid w:val="0086619F"/>
    <w:rsid w:val="0086641A"/>
    <w:rsid w:val="00866855"/>
    <w:rsid w:val="00867272"/>
    <w:rsid w:val="008675BB"/>
    <w:rsid w:val="00867C62"/>
    <w:rsid w:val="00867F68"/>
    <w:rsid w:val="0087014F"/>
    <w:rsid w:val="00872191"/>
    <w:rsid w:val="00872671"/>
    <w:rsid w:val="00872E27"/>
    <w:rsid w:val="008735F3"/>
    <w:rsid w:val="008737D3"/>
    <w:rsid w:val="00873B5C"/>
    <w:rsid w:val="00873E0E"/>
    <w:rsid w:val="00874D54"/>
    <w:rsid w:val="00874DCE"/>
    <w:rsid w:val="00874FBD"/>
    <w:rsid w:val="00877202"/>
    <w:rsid w:val="00877333"/>
    <w:rsid w:val="00877681"/>
    <w:rsid w:val="008776A6"/>
    <w:rsid w:val="00877AD9"/>
    <w:rsid w:val="00877CBF"/>
    <w:rsid w:val="00877FFE"/>
    <w:rsid w:val="008802AC"/>
    <w:rsid w:val="008806F4"/>
    <w:rsid w:val="00880745"/>
    <w:rsid w:val="0088077B"/>
    <w:rsid w:val="00880E36"/>
    <w:rsid w:val="00881095"/>
    <w:rsid w:val="00881704"/>
    <w:rsid w:val="00881730"/>
    <w:rsid w:val="00881755"/>
    <w:rsid w:val="00881AD1"/>
    <w:rsid w:val="0088238B"/>
    <w:rsid w:val="00882628"/>
    <w:rsid w:val="00882D53"/>
    <w:rsid w:val="00883437"/>
    <w:rsid w:val="008834C5"/>
    <w:rsid w:val="0088386E"/>
    <w:rsid w:val="008839BE"/>
    <w:rsid w:val="00883C24"/>
    <w:rsid w:val="008841AD"/>
    <w:rsid w:val="00884279"/>
    <w:rsid w:val="00884633"/>
    <w:rsid w:val="00884B2D"/>
    <w:rsid w:val="00884E70"/>
    <w:rsid w:val="008853F8"/>
    <w:rsid w:val="008863A3"/>
    <w:rsid w:val="00886720"/>
    <w:rsid w:val="0088688D"/>
    <w:rsid w:val="00886925"/>
    <w:rsid w:val="008873CC"/>
    <w:rsid w:val="00890C8B"/>
    <w:rsid w:val="00890EAA"/>
    <w:rsid w:val="00890F61"/>
    <w:rsid w:val="00890F72"/>
    <w:rsid w:val="0089169D"/>
    <w:rsid w:val="00891840"/>
    <w:rsid w:val="00891DD8"/>
    <w:rsid w:val="00891E7B"/>
    <w:rsid w:val="0089216A"/>
    <w:rsid w:val="008925EA"/>
    <w:rsid w:val="0089290D"/>
    <w:rsid w:val="008930EA"/>
    <w:rsid w:val="008935B8"/>
    <w:rsid w:val="008935E7"/>
    <w:rsid w:val="008938CA"/>
    <w:rsid w:val="00893A3D"/>
    <w:rsid w:val="00893AA4"/>
    <w:rsid w:val="00894445"/>
    <w:rsid w:val="00894763"/>
    <w:rsid w:val="008949A7"/>
    <w:rsid w:val="008953BD"/>
    <w:rsid w:val="008954BC"/>
    <w:rsid w:val="00895F89"/>
    <w:rsid w:val="0089622B"/>
    <w:rsid w:val="008967E7"/>
    <w:rsid w:val="0089687A"/>
    <w:rsid w:val="00896F49"/>
    <w:rsid w:val="008970C9"/>
    <w:rsid w:val="008973A5"/>
    <w:rsid w:val="00897E7E"/>
    <w:rsid w:val="008A00D3"/>
    <w:rsid w:val="008A07FE"/>
    <w:rsid w:val="008A0869"/>
    <w:rsid w:val="008A0A8D"/>
    <w:rsid w:val="008A14D3"/>
    <w:rsid w:val="008A26F9"/>
    <w:rsid w:val="008A3FBD"/>
    <w:rsid w:val="008A4153"/>
    <w:rsid w:val="008A4628"/>
    <w:rsid w:val="008A4667"/>
    <w:rsid w:val="008A47B1"/>
    <w:rsid w:val="008A50CB"/>
    <w:rsid w:val="008A564C"/>
    <w:rsid w:val="008A60BB"/>
    <w:rsid w:val="008A7FF6"/>
    <w:rsid w:val="008B0381"/>
    <w:rsid w:val="008B0BC3"/>
    <w:rsid w:val="008B0E9A"/>
    <w:rsid w:val="008B0FE2"/>
    <w:rsid w:val="008B15A6"/>
    <w:rsid w:val="008B1B27"/>
    <w:rsid w:val="008B24CF"/>
    <w:rsid w:val="008B25B8"/>
    <w:rsid w:val="008B25C2"/>
    <w:rsid w:val="008B26F5"/>
    <w:rsid w:val="008B274D"/>
    <w:rsid w:val="008B2AD4"/>
    <w:rsid w:val="008B2B08"/>
    <w:rsid w:val="008B2EC6"/>
    <w:rsid w:val="008B2FC3"/>
    <w:rsid w:val="008B301C"/>
    <w:rsid w:val="008B373D"/>
    <w:rsid w:val="008B3BE4"/>
    <w:rsid w:val="008B4730"/>
    <w:rsid w:val="008B47CB"/>
    <w:rsid w:val="008B5A23"/>
    <w:rsid w:val="008B6187"/>
    <w:rsid w:val="008B6256"/>
    <w:rsid w:val="008B635D"/>
    <w:rsid w:val="008B6372"/>
    <w:rsid w:val="008B6831"/>
    <w:rsid w:val="008B6A6C"/>
    <w:rsid w:val="008B6BA6"/>
    <w:rsid w:val="008B78D2"/>
    <w:rsid w:val="008B7D6D"/>
    <w:rsid w:val="008B7FF7"/>
    <w:rsid w:val="008C0393"/>
    <w:rsid w:val="008C04AF"/>
    <w:rsid w:val="008C0561"/>
    <w:rsid w:val="008C0692"/>
    <w:rsid w:val="008C0DF1"/>
    <w:rsid w:val="008C15BB"/>
    <w:rsid w:val="008C1648"/>
    <w:rsid w:val="008C173F"/>
    <w:rsid w:val="008C1B6E"/>
    <w:rsid w:val="008C28E5"/>
    <w:rsid w:val="008C2906"/>
    <w:rsid w:val="008C2A25"/>
    <w:rsid w:val="008C2A8E"/>
    <w:rsid w:val="008C2C46"/>
    <w:rsid w:val="008C300E"/>
    <w:rsid w:val="008C3226"/>
    <w:rsid w:val="008C33F3"/>
    <w:rsid w:val="008C3C8D"/>
    <w:rsid w:val="008C4319"/>
    <w:rsid w:val="008C44D2"/>
    <w:rsid w:val="008C48B7"/>
    <w:rsid w:val="008C4D82"/>
    <w:rsid w:val="008C4E5F"/>
    <w:rsid w:val="008C524B"/>
    <w:rsid w:val="008C56D4"/>
    <w:rsid w:val="008C5745"/>
    <w:rsid w:val="008C6089"/>
    <w:rsid w:val="008C6228"/>
    <w:rsid w:val="008C62C3"/>
    <w:rsid w:val="008C6886"/>
    <w:rsid w:val="008C6A11"/>
    <w:rsid w:val="008C6C68"/>
    <w:rsid w:val="008C6C82"/>
    <w:rsid w:val="008C72A2"/>
    <w:rsid w:val="008C7FB7"/>
    <w:rsid w:val="008D02DE"/>
    <w:rsid w:val="008D148C"/>
    <w:rsid w:val="008D151B"/>
    <w:rsid w:val="008D15F7"/>
    <w:rsid w:val="008D1955"/>
    <w:rsid w:val="008D199D"/>
    <w:rsid w:val="008D19ED"/>
    <w:rsid w:val="008D1C70"/>
    <w:rsid w:val="008D1F1A"/>
    <w:rsid w:val="008D1FDE"/>
    <w:rsid w:val="008D23D8"/>
    <w:rsid w:val="008D251B"/>
    <w:rsid w:val="008D27FF"/>
    <w:rsid w:val="008D2D3C"/>
    <w:rsid w:val="008D351D"/>
    <w:rsid w:val="008D36A1"/>
    <w:rsid w:val="008D37E2"/>
    <w:rsid w:val="008D3D42"/>
    <w:rsid w:val="008D4012"/>
    <w:rsid w:val="008D4332"/>
    <w:rsid w:val="008D44A5"/>
    <w:rsid w:val="008D4578"/>
    <w:rsid w:val="008D4A46"/>
    <w:rsid w:val="008D4A94"/>
    <w:rsid w:val="008D51A1"/>
    <w:rsid w:val="008D52E8"/>
    <w:rsid w:val="008D58D9"/>
    <w:rsid w:val="008D607A"/>
    <w:rsid w:val="008D7126"/>
    <w:rsid w:val="008D7672"/>
    <w:rsid w:val="008E0563"/>
    <w:rsid w:val="008E0A51"/>
    <w:rsid w:val="008E0AE7"/>
    <w:rsid w:val="008E1895"/>
    <w:rsid w:val="008E1B4F"/>
    <w:rsid w:val="008E1C45"/>
    <w:rsid w:val="008E1F18"/>
    <w:rsid w:val="008E1F4E"/>
    <w:rsid w:val="008E242E"/>
    <w:rsid w:val="008E24BB"/>
    <w:rsid w:val="008E285A"/>
    <w:rsid w:val="008E2B94"/>
    <w:rsid w:val="008E2B9A"/>
    <w:rsid w:val="008E30DE"/>
    <w:rsid w:val="008E36EE"/>
    <w:rsid w:val="008E3AC0"/>
    <w:rsid w:val="008E403A"/>
    <w:rsid w:val="008E41E6"/>
    <w:rsid w:val="008E44BD"/>
    <w:rsid w:val="008E4504"/>
    <w:rsid w:val="008E4B1F"/>
    <w:rsid w:val="008E4BCC"/>
    <w:rsid w:val="008E52A2"/>
    <w:rsid w:val="008E5313"/>
    <w:rsid w:val="008E5346"/>
    <w:rsid w:val="008E57F9"/>
    <w:rsid w:val="008E590C"/>
    <w:rsid w:val="008E5E45"/>
    <w:rsid w:val="008E6074"/>
    <w:rsid w:val="008E6183"/>
    <w:rsid w:val="008E647B"/>
    <w:rsid w:val="008E6930"/>
    <w:rsid w:val="008E6DAC"/>
    <w:rsid w:val="008E743A"/>
    <w:rsid w:val="008E7B61"/>
    <w:rsid w:val="008E7DA6"/>
    <w:rsid w:val="008E7DB8"/>
    <w:rsid w:val="008F00EB"/>
    <w:rsid w:val="008F036B"/>
    <w:rsid w:val="008F03C9"/>
    <w:rsid w:val="008F05ED"/>
    <w:rsid w:val="008F1254"/>
    <w:rsid w:val="008F1D6B"/>
    <w:rsid w:val="008F1DCC"/>
    <w:rsid w:val="008F1F81"/>
    <w:rsid w:val="008F21F5"/>
    <w:rsid w:val="008F275B"/>
    <w:rsid w:val="008F2FF0"/>
    <w:rsid w:val="008F3413"/>
    <w:rsid w:val="008F3903"/>
    <w:rsid w:val="008F3AE2"/>
    <w:rsid w:val="008F3B26"/>
    <w:rsid w:val="008F3D15"/>
    <w:rsid w:val="008F3D6D"/>
    <w:rsid w:val="008F401F"/>
    <w:rsid w:val="008F4212"/>
    <w:rsid w:val="008F4936"/>
    <w:rsid w:val="008F5287"/>
    <w:rsid w:val="008F5AC9"/>
    <w:rsid w:val="008F5E4E"/>
    <w:rsid w:val="008F6221"/>
    <w:rsid w:val="008F6500"/>
    <w:rsid w:val="008F6F5D"/>
    <w:rsid w:val="008F722B"/>
    <w:rsid w:val="008F777B"/>
    <w:rsid w:val="008F7CCE"/>
    <w:rsid w:val="008F7D5F"/>
    <w:rsid w:val="008F7E31"/>
    <w:rsid w:val="009000B8"/>
    <w:rsid w:val="009002C6"/>
    <w:rsid w:val="00900797"/>
    <w:rsid w:val="00900905"/>
    <w:rsid w:val="00901121"/>
    <w:rsid w:val="009012C1"/>
    <w:rsid w:val="00901949"/>
    <w:rsid w:val="00901C09"/>
    <w:rsid w:val="00901DCF"/>
    <w:rsid w:val="00901E27"/>
    <w:rsid w:val="00902086"/>
    <w:rsid w:val="00902616"/>
    <w:rsid w:val="00902781"/>
    <w:rsid w:val="00902B1D"/>
    <w:rsid w:val="00902D1D"/>
    <w:rsid w:val="00903022"/>
    <w:rsid w:val="009034AC"/>
    <w:rsid w:val="00904087"/>
    <w:rsid w:val="0090431B"/>
    <w:rsid w:val="0090453D"/>
    <w:rsid w:val="00904F08"/>
    <w:rsid w:val="00905C9F"/>
    <w:rsid w:val="00905D80"/>
    <w:rsid w:val="00906045"/>
    <w:rsid w:val="009064E2"/>
    <w:rsid w:val="00906813"/>
    <w:rsid w:val="00906C7A"/>
    <w:rsid w:val="009077C7"/>
    <w:rsid w:val="00910023"/>
    <w:rsid w:val="00910382"/>
    <w:rsid w:val="0091130A"/>
    <w:rsid w:val="0091172C"/>
    <w:rsid w:val="0091181C"/>
    <w:rsid w:val="00911827"/>
    <w:rsid w:val="009118F1"/>
    <w:rsid w:val="00911947"/>
    <w:rsid w:val="0091198C"/>
    <w:rsid w:val="00911CE1"/>
    <w:rsid w:val="0091220E"/>
    <w:rsid w:val="009124D1"/>
    <w:rsid w:val="00912ED1"/>
    <w:rsid w:val="00912F0B"/>
    <w:rsid w:val="0091301B"/>
    <w:rsid w:val="00913A7A"/>
    <w:rsid w:val="00913FAF"/>
    <w:rsid w:val="0091465A"/>
    <w:rsid w:val="00914956"/>
    <w:rsid w:val="00914B89"/>
    <w:rsid w:val="00915115"/>
    <w:rsid w:val="00915436"/>
    <w:rsid w:val="00915874"/>
    <w:rsid w:val="0091592C"/>
    <w:rsid w:val="00915FA5"/>
    <w:rsid w:val="009160AB"/>
    <w:rsid w:val="0091628A"/>
    <w:rsid w:val="0091651B"/>
    <w:rsid w:val="00916544"/>
    <w:rsid w:val="00917288"/>
    <w:rsid w:val="0091729A"/>
    <w:rsid w:val="00917499"/>
    <w:rsid w:val="00917518"/>
    <w:rsid w:val="00920216"/>
    <w:rsid w:val="00920463"/>
    <w:rsid w:val="00920AD8"/>
    <w:rsid w:val="00920B8C"/>
    <w:rsid w:val="00920BB4"/>
    <w:rsid w:val="00921B45"/>
    <w:rsid w:val="00921EA1"/>
    <w:rsid w:val="009225F7"/>
    <w:rsid w:val="00922FF4"/>
    <w:rsid w:val="009231E5"/>
    <w:rsid w:val="009238C7"/>
    <w:rsid w:val="00923974"/>
    <w:rsid w:val="00923D68"/>
    <w:rsid w:val="00923EEE"/>
    <w:rsid w:val="00924032"/>
    <w:rsid w:val="009245CA"/>
    <w:rsid w:val="0092473A"/>
    <w:rsid w:val="00925360"/>
    <w:rsid w:val="0092584C"/>
    <w:rsid w:val="0092635F"/>
    <w:rsid w:val="00926A6F"/>
    <w:rsid w:val="00926C90"/>
    <w:rsid w:val="00926D87"/>
    <w:rsid w:val="00926E4D"/>
    <w:rsid w:val="00926E53"/>
    <w:rsid w:val="00926FD2"/>
    <w:rsid w:val="009271E7"/>
    <w:rsid w:val="009273D0"/>
    <w:rsid w:val="009273E3"/>
    <w:rsid w:val="009274F3"/>
    <w:rsid w:val="009278DF"/>
    <w:rsid w:val="009307A2"/>
    <w:rsid w:val="00930AA8"/>
    <w:rsid w:val="00931465"/>
    <w:rsid w:val="0093180C"/>
    <w:rsid w:val="00931888"/>
    <w:rsid w:val="009320CC"/>
    <w:rsid w:val="0093256D"/>
    <w:rsid w:val="00932587"/>
    <w:rsid w:val="009328F3"/>
    <w:rsid w:val="00932C3E"/>
    <w:rsid w:val="0093352D"/>
    <w:rsid w:val="00933E03"/>
    <w:rsid w:val="00934130"/>
    <w:rsid w:val="00934DEB"/>
    <w:rsid w:val="00934E72"/>
    <w:rsid w:val="00934E8A"/>
    <w:rsid w:val="009351B0"/>
    <w:rsid w:val="00935817"/>
    <w:rsid w:val="009366F0"/>
    <w:rsid w:val="00936B7C"/>
    <w:rsid w:val="00936CEC"/>
    <w:rsid w:val="00936EE6"/>
    <w:rsid w:val="009376FF"/>
    <w:rsid w:val="0093793B"/>
    <w:rsid w:val="00937BC1"/>
    <w:rsid w:val="00937ED1"/>
    <w:rsid w:val="00940185"/>
    <w:rsid w:val="00940353"/>
    <w:rsid w:val="00940BCD"/>
    <w:rsid w:val="009410A3"/>
    <w:rsid w:val="00941279"/>
    <w:rsid w:val="00941C1A"/>
    <w:rsid w:val="0094228F"/>
    <w:rsid w:val="00942471"/>
    <w:rsid w:val="009427D3"/>
    <w:rsid w:val="00942B5B"/>
    <w:rsid w:val="00942D09"/>
    <w:rsid w:val="00942E6F"/>
    <w:rsid w:val="00942F25"/>
    <w:rsid w:val="00943F4A"/>
    <w:rsid w:val="00943FAE"/>
    <w:rsid w:val="0094540F"/>
    <w:rsid w:val="00945A4F"/>
    <w:rsid w:val="00945B7B"/>
    <w:rsid w:val="009462D5"/>
    <w:rsid w:val="0094702B"/>
    <w:rsid w:val="00947613"/>
    <w:rsid w:val="009476D5"/>
    <w:rsid w:val="0094777D"/>
    <w:rsid w:val="009477A2"/>
    <w:rsid w:val="00947B86"/>
    <w:rsid w:val="00947CA3"/>
    <w:rsid w:val="00947D66"/>
    <w:rsid w:val="00950456"/>
    <w:rsid w:val="00950D1B"/>
    <w:rsid w:val="00951241"/>
    <w:rsid w:val="00951D73"/>
    <w:rsid w:val="00951F2B"/>
    <w:rsid w:val="009520D4"/>
    <w:rsid w:val="00952579"/>
    <w:rsid w:val="009526BF"/>
    <w:rsid w:val="00952A1F"/>
    <w:rsid w:val="00952E9F"/>
    <w:rsid w:val="00953D64"/>
    <w:rsid w:val="00953EB6"/>
    <w:rsid w:val="00954289"/>
    <w:rsid w:val="0095456C"/>
    <w:rsid w:val="009547B3"/>
    <w:rsid w:val="00954849"/>
    <w:rsid w:val="00954983"/>
    <w:rsid w:val="00954D3D"/>
    <w:rsid w:val="0095602D"/>
    <w:rsid w:val="00956433"/>
    <w:rsid w:val="00956905"/>
    <w:rsid w:val="00957356"/>
    <w:rsid w:val="009574AB"/>
    <w:rsid w:val="00960724"/>
    <w:rsid w:val="00960B13"/>
    <w:rsid w:val="00960B92"/>
    <w:rsid w:val="00960EDF"/>
    <w:rsid w:val="00961189"/>
    <w:rsid w:val="009613E5"/>
    <w:rsid w:val="009614C6"/>
    <w:rsid w:val="0096186A"/>
    <w:rsid w:val="00961C57"/>
    <w:rsid w:val="00961D2A"/>
    <w:rsid w:val="00962193"/>
    <w:rsid w:val="00962A53"/>
    <w:rsid w:val="00962BFB"/>
    <w:rsid w:val="00962E1C"/>
    <w:rsid w:val="00962FBA"/>
    <w:rsid w:val="009632DD"/>
    <w:rsid w:val="00963364"/>
    <w:rsid w:val="009633FE"/>
    <w:rsid w:val="0096349D"/>
    <w:rsid w:val="009637E2"/>
    <w:rsid w:val="00963BAB"/>
    <w:rsid w:val="00963FBA"/>
    <w:rsid w:val="0096422F"/>
    <w:rsid w:val="009644A6"/>
    <w:rsid w:val="009645DF"/>
    <w:rsid w:val="00964954"/>
    <w:rsid w:val="00964A7A"/>
    <w:rsid w:val="00964E17"/>
    <w:rsid w:val="0096523F"/>
    <w:rsid w:val="00965C5B"/>
    <w:rsid w:val="00965FE8"/>
    <w:rsid w:val="00966932"/>
    <w:rsid w:val="009669EA"/>
    <w:rsid w:val="00966DEC"/>
    <w:rsid w:val="00966E22"/>
    <w:rsid w:val="00966ED3"/>
    <w:rsid w:val="009674EC"/>
    <w:rsid w:val="00967535"/>
    <w:rsid w:val="0097029C"/>
    <w:rsid w:val="009704F6"/>
    <w:rsid w:val="00970CED"/>
    <w:rsid w:val="009711B0"/>
    <w:rsid w:val="00971278"/>
    <w:rsid w:val="00972BE7"/>
    <w:rsid w:val="00972E2B"/>
    <w:rsid w:val="009732F9"/>
    <w:rsid w:val="0097357F"/>
    <w:rsid w:val="00973F03"/>
    <w:rsid w:val="009743AE"/>
    <w:rsid w:val="00974520"/>
    <w:rsid w:val="00974EC7"/>
    <w:rsid w:val="00975D09"/>
    <w:rsid w:val="009765D3"/>
    <w:rsid w:val="0097673B"/>
    <w:rsid w:val="00976B93"/>
    <w:rsid w:val="0097760A"/>
    <w:rsid w:val="00977C80"/>
    <w:rsid w:val="009800F9"/>
    <w:rsid w:val="009801FD"/>
    <w:rsid w:val="009803AF"/>
    <w:rsid w:val="00980D53"/>
    <w:rsid w:val="00980E95"/>
    <w:rsid w:val="00980F26"/>
    <w:rsid w:val="00980FE0"/>
    <w:rsid w:val="009810D9"/>
    <w:rsid w:val="00981EAE"/>
    <w:rsid w:val="009820DB"/>
    <w:rsid w:val="00982314"/>
    <w:rsid w:val="0098262E"/>
    <w:rsid w:val="00982BA3"/>
    <w:rsid w:val="0098346A"/>
    <w:rsid w:val="00983592"/>
    <w:rsid w:val="009835FC"/>
    <w:rsid w:val="00983735"/>
    <w:rsid w:val="00983B2B"/>
    <w:rsid w:val="00983CE5"/>
    <w:rsid w:val="00983EB9"/>
    <w:rsid w:val="00985197"/>
    <w:rsid w:val="009853B1"/>
    <w:rsid w:val="009854D8"/>
    <w:rsid w:val="00985A0E"/>
    <w:rsid w:val="00985DD9"/>
    <w:rsid w:val="0098631C"/>
    <w:rsid w:val="0098647D"/>
    <w:rsid w:val="0098669A"/>
    <w:rsid w:val="00986A48"/>
    <w:rsid w:val="00986F7B"/>
    <w:rsid w:val="00987C7D"/>
    <w:rsid w:val="00990380"/>
    <w:rsid w:val="009906DF"/>
    <w:rsid w:val="0099102F"/>
    <w:rsid w:val="00991714"/>
    <w:rsid w:val="0099213C"/>
    <w:rsid w:val="009921DB"/>
    <w:rsid w:val="009926BC"/>
    <w:rsid w:val="00992B03"/>
    <w:rsid w:val="00992C5C"/>
    <w:rsid w:val="0099317E"/>
    <w:rsid w:val="00993626"/>
    <w:rsid w:val="00993A2A"/>
    <w:rsid w:val="00993C99"/>
    <w:rsid w:val="00994065"/>
    <w:rsid w:val="009940EF"/>
    <w:rsid w:val="009945EF"/>
    <w:rsid w:val="00994A8D"/>
    <w:rsid w:val="00994D06"/>
    <w:rsid w:val="009957F8"/>
    <w:rsid w:val="00996595"/>
    <w:rsid w:val="009977DC"/>
    <w:rsid w:val="009978AA"/>
    <w:rsid w:val="00997CF0"/>
    <w:rsid w:val="00997E0E"/>
    <w:rsid w:val="00997FC9"/>
    <w:rsid w:val="009A0471"/>
    <w:rsid w:val="009A0BB1"/>
    <w:rsid w:val="009A0BBC"/>
    <w:rsid w:val="009A10FC"/>
    <w:rsid w:val="009A1454"/>
    <w:rsid w:val="009A2783"/>
    <w:rsid w:val="009A2E49"/>
    <w:rsid w:val="009A3281"/>
    <w:rsid w:val="009A35FC"/>
    <w:rsid w:val="009A3A98"/>
    <w:rsid w:val="009A3D25"/>
    <w:rsid w:val="009A3FC8"/>
    <w:rsid w:val="009A4AE9"/>
    <w:rsid w:val="009A4F93"/>
    <w:rsid w:val="009A51E2"/>
    <w:rsid w:val="009A549B"/>
    <w:rsid w:val="009A55AB"/>
    <w:rsid w:val="009A5AFD"/>
    <w:rsid w:val="009A6BD8"/>
    <w:rsid w:val="009A6C26"/>
    <w:rsid w:val="009A6EFD"/>
    <w:rsid w:val="009A75DD"/>
    <w:rsid w:val="009B03C5"/>
    <w:rsid w:val="009B053B"/>
    <w:rsid w:val="009B0B25"/>
    <w:rsid w:val="009B0CB6"/>
    <w:rsid w:val="009B0E03"/>
    <w:rsid w:val="009B0F5A"/>
    <w:rsid w:val="009B29E3"/>
    <w:rsid w:val="009B2ACD"/>
    <w:rsid w:val="009B2C15"/>
    <w:rsid w:val="009B3373"/>
    <w:rsid w:val="009B3727"/>
    <w:rsid w:val="009B39DC"/>
    <w:rsid w:val="009B3D3D"/>
    <w:rsid w:val="009B40B2"/>
    <w:rsid w:val="009B47F3"/>
    <w:rsid w:val="009B4830"/>
    <w:rsid w:val="009B489F"/>
    <w:rsid w:val="009B4AB0"/>
    <w:rsid w:val="009B4F5A"/>
    <w:rsid w:val="009B4F8E"/>
    <w:rsid w:val="009B5237"/>
    <w:rsid w:val="009B52FE"/>
    <w:rsid w:val="009B61E7"/>
    <w:rsid w:val="009B6258"/>
    <w:rsid w:val="009B66DD"/>
    <w:rsid w:val="009B711D"/>
    <w:rsid w:val="009B7258"/>
    <w:rsid w:val="009B7B66"/>
    <w:rsid w:val="009B7E02"/>
    <w:rsid w:val="009C0087"/>
    <w:rsid w:val="009C0108"/>
    <w:rsid w:val="009C042F"/>
    <w:rsid w:val="009C0A40"/>
    <w:rsid w:val="009C108A"/>
    <w:rsid w:val="009C1104"/>
    <w:rsid w:val="009C1582"/>
    <w:rsid w:val="009C1E63"/>
    <w:rsid w:val="009C1F4D"/>
    <w:rsid w:val="009C2796"/>
    <w:rsid w:val="009C2853"/>
    <w:rsid w:val="009C2DB2"/>
    <w:rsid w:val="009C3307"/>
    <w:rsid w:val="009C36D9"/>
    <w:rsid w:val="009C3B19"/>
    <w:rsid w:val="009C3E1E"/>
    <w:rsid w:val="009C44BF"/>
    <w:rsid w:val="009C456D"/>
    <w:rsid w:val="009C4695"/>
    <w:rsid w:val="009C4912"/>
    <w:rsid w:val="009C51F3"/>
    <w:rsid w:val="009C51FA"/>
    <w:rsid w:val="009C53A9"/>
    <w:rsid w:val="009C5766"/>
    <w:rsid w:val="009C65F9"/>
    <w:rsid w:val="009C6B40"/>
    <w:rsid w:val="009C6BF9"/>
    <w:rsid w:val="009C6E72"/>
    <w:rsid w:val="009C6F9A"/>
    <w:rsid w:val="009C73AA"/>
    <w:rsid w:val="009C7417"/>
    <w:rsid w:val="009C760D"/>
    <w:rsid w:val="009C7ECF"/>
    <w:rsid w:val="009C7FCE"/>
    <w:rsid w:val="009D0019"/>
    <w:rsid w:val="009D0203"/>
    <w:rsid w:val="009D06F1"/>
    <w:rsid w:val="009D194A"/>
    <w:rsid w:val="009D25B7"/>
    <w:rsid w:val="009D2A2A"/>
    <w:rsid w:val="009D2B2D"/>
    <w:rsid w:val="009D2DCF"/>
    <w:rsid w:val="009D3454"/>
    <w:rsid w:val="009D37E6"/>
    <w:rsid w:val="009D3C3F"/>
    <w:rsid w:val="009D3EAC"/>
    <w:rsid w:val="009D411B"/>
    <w:rsid w:val="009D4226"/>
    <w:rsid w:val="009D450D"/>
    <w:rsid w:val="009D4D67"/>
    <w:rsid w:val="009D5816"/>
    <w:rsid w:val="009D5857"/>
    <w:rsid w:val="009D59F1"/>
    <w:rsid w:val="009D5DD0"/>
    <w:rsid w:val="009D6016"/>
    <w:rsid w:val="009D635B"/>
    <w:rsid w:val="009D66DC"/>
    <w:rsid w:val="009D6D0F"/>
    <w:rsid w:val="009D726C"/>
    <w:rsid w:val="009D73E0"/>
    <w:rsid w:val="009D7513"/>
    <w:rsid w:val="009D7E1E"/>
    <w:rsid w:val="009D7F6F"/>
    <w:rsid w:val="009E0393"/>
    <w:rsid w:val="009E0526"/>
    <w:rsid w:val="009E07D3"/>
    <w:rsid w:val="009E0FC6"/>
    <w:rsid w:val="009E2049"/>
    <w:rsid w:val="009E214A"/>
    <w:rsid w:val="009E2E78"/>
    <w:rsid w:val="009E3095"/>
    <w:rsid w:val="009E36F3"/>
    <w:rsid w:val="009E3701"/>
    <w:rsid w:val="009E397E"/>
    <w:rsid w:val="009E4039"/>
    <w:rsid w:val="009E442B"/>
    <w:rsid w:val="009E45F1"/>
    <w:rsid w:val="009E4966"/>
    <w:rsid w:val="009E4C2C"/>
    <w:rsid w:val="009E52F4"/>
    <w:rsid w:val="009E5CAB"/>
    <w:rsid w:val="009E5DA6"/>
    <w:rsid w:val="009E606F"/>
    <w:rsid w:val="009E6794"/>
    <w:rsid w:val="009E6ADF"/>
    <w:rsid w:val="009E7011"/>
    <w:rsid w:val="009E7C38"/>
    <w:rsid w:val="009E7E1A"/>
    <w:rsid w:val="009E7FF4"/>
    <w:rsid w:val="009F0030"/>
    <w:rsid w:val="009F06F2"/>
    <w:rsid w:val="009F12FE"/>
    <w:rsid w:val="009F1410"/>
    <w:rsid w:val="009F16E8"/>
    <w:rsid w:val="009F1819"/>
    <w:rsid w:val="009F1A4E"/>
    <w:rsid w:val="009F1E3C"/>
    <w:rsid w:val="009F2669"/>
    <w:rsid w:val="009F272A"/>
    <w:rsid w:val="009F279C"/>
    <w:rsid w:val="009F292D"/>
    <w:rsid w:val="009F3655"/>
    <w:rsid w:val="009F372C"/>
    <w:rsid w:val="009F4D54"/>
    <w:rsid w:val="009F4E6A"/>
    <w:rsid w:val="009F5284"/>
    <w:rsid w:val="009F56AD"/>
    <w:rsid w:val="009F595F"/>
    <w:rsid w:val="009F5F18"/>
    <w:rsid w:val="009F61CC"/>
    <w:rsid w:val="009F635E"/>
    <w:rsid w:val="009F698C"/>
    <w:rsid w:val="009F6A7C"/>
    <w:rsid w:val="009F7565"/>
    <w:rsid w:val="009F7A7E"/>
    <w:rsid w:val="009F7DE0"/>
    <w:rsid w:val="009F7EAF"/>
    <w:rsid w:val="00A000A5"/>
    <w:rsid w:val="00A000D1"/>
    <w:rsid w:val="00A0077F"/>
    <w:rsid w:val="00A00D2B"/>
    <w:rsid w:val="00A00DE1"/>
    <w:rsid w:val="00A00DEB"/>
    <w:rsid w:val="00A015B1"/>
    <w:rsid w:val="00A0219D"/>
    <w:rsid w:val="00A021F4"/>
    <w:rsid w:val="00A0247C"/>
    <w:rsid w:val="00A027BF"/>
    <w:rsid w:val="00A02C5D"/>
    <w:rsid w:val="00A02D8C"/>
    <w:rsid w:val="00A035ED"/>
    <w:rsid w:val="00A0365F"/>
    <w:rsid w:val="00A03BC3"/>
    <w:rsid w:val="00A04A23"/>
    <w:rsid w:val="00A04F5C"/>
    <w:rsid w:val="00A04F75"/>
    <w:rsid w:val="00A066FF"/>
    <w:rsid w:val="00A06BBB"/>
    <w:rsid w:val="00A07040"/>
    <w:rsid w:val="00A072F5"/>
    <w:rsid w:val="00A07537"/>
    <w:rsid w:val="00A077ED"/>
    <w:rsid w:val="00A07803"/>
    <w:rsid w:val="00A0786D"/>
    <w:rsid w:val="00A07C99"/>
    <w:rsid w:val="00A07F1C"/>
    <w:rsid w:val="00A101BC"/>
    <w:rsid w:val="00A10E30"/>
    <w:rsid w:val="00A1118A"/>
    <w:rsid w:val="00A112F4"/>
    <w:rsid w:val="00A113A4"/>
    <w:rsid w:val="00A11CB6"/>
    <w:rsid w:val="00A11F34"/>
    <w:rsid w:val="00A126EC"/>
    <w:rsid w:val="00A127D4"/>
    <w:rsid w:val="00A13008"/>
    <w:rsid w:val="00A130CD"/>
    <w:rsid w:val="00A13250"/>
    <w:rsid w:val="00A132B3"/>
    <w:rsid w:val="00A13A48"/>
    <w:rsid w:val="00A13C20"/>
    <w:rsid w:val="00A140D3"/>
    <w:rsid w:val="00A1446B"/>
    <w:rsid w:val="00A145A1"/>
    <w:rsid w:val="00A14905"/>
    <w:rsid w:val="00A14B00"/>
    <w:rsid w:val="00A14E9E"/>
    <w:rsid w:val="00A14F21"/>
    <w:rsid w:val="00A15315"/>
    <w:rsid w:val="00A1566B"/>
    <w:rsid w:val="00A16037"/>
    <w:rsid w:val="00A160A7"/>
    <w:rsid w:val="00A16332"/>
    <w:rsid w:val="00A167A1"/>
    <w:rsid w:val="00A167F2"/>
    <w:rsid w:val="00A1699A"/>
    <w:rsid w:val="00A17183"/>
    <w:rsid w:val="00A175CD"/>
    <w:rsid w:val="00A17EAB"/>
    <w:rsid w:val="00A17EFE"/>
    <w:rsid w:val="00A2065E"/>
    <w:rsid w:val="00A20BEB"/>
    <w:rsid w:val="00A20C78"/>
    <w:rsid w:val="00A217C4"/>
    <w:rsid w:val="00A21A6B"/>
    <w:rsid w:val="00A22632"/>
    <w:rsid w:val="00A22D9B"/>
    <w:rsid w:val="00A22EE7"/>
    <w:rsid w:val="00A22F51"/>
    <w:rsid w:val="00A2312E"/>
    <w:rsid w:val="00A2332C"/>
    <w:rsid w:val="00A23396"/>
    <w:rsid w:val="00A23440"/>
    <w:rsid w:val="00A2351C"/>
    <w:rsid w:val="00A2391D"/>
    <w:rsid w:val="00A23B21"/>
    <w:rsid w:val="00A24323"/>
    <w:rsid w:val="00A245E7"/>
    <w:rsid w:val="00A24A9F"/>
    <w:rsid w:val="00A24B50"/>
    <w:rsid w:val="00A2511B"/>
    <w:rsid w:val="00A2512C"/>
    <w:rsid w:val="00A2515B"/>
    <w:rsid w:val="00A253BD"/>
    <w:rsid w:val="00A254A4"/>
    <w:rsid w:val="00A2588E"/>
    <w:rsid w:val="00A26227"/>
    <w:rsid w:val="00A262ED"/>
    <w:rsid w:val="00A26C10"/>
    <w:rsid w:val="00A26EDF"/>
    <w:rsid w:val="00A27332"/>
    <w:rsid w:val="00A27496"/>
    <w:rsid w:val="00A27683"/>
    <w:rsid w:val="00A276A2"/>
    <w:rsid w:val="00A2774C"/>
    <w:rsid w:val="00A3065F"/>
    <w:rsid w:val="00A309A7"/>
    <w:rsid w:val="00A30BAC"/>
    <w:rsid w:val="00A31A7F"/>
    <w:rsid w:val="00A31D5D"/>
    <w:rsid w:val="00A32666"/>
    <w:rsid w:val="00A32989"/>
    <w:rsid w:val="00A32CB3"/>
    <w:rsid w:val="00A330A8"/>
    <w:rsid w:val="00A33427"/>
    <w:rsid w:val="00A337CD"/>
    <w:rsid w:val="00A33F37"/>
    <w:rsid w:val="00A33FB8"/>
    <w:rsid w:val="00A34789"/>
    <w:rsid w:val="00A347AE"/>
    <w:rsid w:val="00A3481A"/>
    <w:rsid w:val="00A34869"/>
    <w:rsid w:val="00A3528D"/>
    <w:rsid w:val="00A352C0"/>
    <w:rsid w:val="00A35326"/>
    <w:rsid w:val="00A358DA"/>
    <w:rsid w:val="00A359E3"/>
    <w:rsid w:val="00A3630E"/>
    <w:rsid w:val="00A36F9F"/>
    <w:rsid w:val="00A3719B"/>
    <w:rsid w:val="00A37BB8"/>
    <w:rsid w:val="00A37D74"/>
    <w:rsid w:val="00A37F94"/>
    <w:rsid w:val="00A40031"/>
    <w:rsid w:val="00A40829"/>
    <w:rsid w:val="00A4099D"/>
    <w:rsid w:val="00A40F5F"/>
    <w:rsid w:val="00A41704"/>
    <w:rsid w:val="00A41FF8"/>
    <w:rsid w:val="00A428FE"/>
    <w:rsid w:val="00A42C4C"/>
    <w:rsid w:val="00A42D87"/>
    <w:rsid w:val="00A43776"/>
    <w:rsid w:val="00A438F3"/>
    <w:rsid w:val="00A4464F"/>
    <w:rsid w:val="00A44996"/>
    <w:rsid w:val="00A44BD3"/>
    <w:rsid w:val="00A44D70"/>
    <w:rsid w:val="00A44F2E"/>
    <w:rsid w:val="00A4521D"/>
    <w:rsid w:val="00A45512"/>
    <w:rsid w:val="00A45B60"/>
    <w:rsid w:val="00A45C66"/>
    <w:rsid w:val="00A46152"/>
    <w:rsid w:val="00A461BB"/>
    <w:rsid w:val="00A46ABB"/>
    <w:rsid w:val="00A46D6F"/>
    <w:rsid w:val="00A470D8"/>
    <w:rsid w:val="00A4738C"/>
    <w:rsid w:val="00A476C4"/>
    <w:rsid w:val="00A479FE"/>
    <w:rsid w:val="00A47A9C"/>
    <w:rsid w:val="00A47BE1"/>
    <w:rsid w:val="00A5029B"/>
    <w:rsid w:val="00A506B2"/>
    <w:rsid w:val="00A50C00"/>
    <w:rsid w:val="00A5155D"/>
    <w:rsid w:val="00A5162E"/>
    <w:rsid w:val="00A51B40"/>
    <w:rsid w:val="00A51E5B"/>
    <w:rsid w:val="00A51F0A"/>
    <w:rsid w:val="00A521C7"/>
    <w:rsid w:val="00A522D0"/>
    <w:rsid w:val="00A5298F"/>
    <w:rsid w:val="00A52A52"/>
    <w:rsid w:val="00A52B10"/>
    <w:rsid w:val="00A52B6F"/>
    <w:rsid w:val="00A52E50"/>
    <w:rsid w:val="00A5309A"/>
    <w:rsid w:val="00A5360B"/>
    <w:rsid w:val="00A5385E"/>
    <w:rsid w:val="00A53ADF"/>
    <w:rsid w:val="00A53BCE"/>
    <w:rsid w:val="00A53C10"/>
    <w:rsid w:val="00A53F07"/>
    <w:rsid w:val="00A54061"/>
    <w:rsid w:val="00A5437D"/>
    <w:rsid w:val="00A5476F"/>
    <w:rsid w:val="00A5491F"/>
    <w:rsid w:val="00A54B1B"/>
    <w:rsid w:val="00A54EF2"/>
    <w:rsid w:val="00A55532"/>
    <w:rsid w:val="00A55D48"/>
    <w:rsid w:val="00A56211"/>
    <w:rsid w:val="00A5627A"/>
    <w:rsid w:val="00A5681C"/>
    <w:rsid w:val="00A569A9"/>
    <w:rsid w:val="00A570F5"/>
    <w:rsid w:val="00A574F4"/>
    <w:rsid w:val="00A57529"/>
    <w:rsid w:val="00A57A40"/>
    <w:rsid w:val="00A57AF2"/>
    <w:rsid w:val="00A57BEB"/>
    <w:rsid w:val="00A57DE9"/>
    <w:rsid w:val="00A6037B"/>
    <w:rsid w:val="00A604AE"/>
    <w:rsid w:val="00A60B26"/>
    <w:rsid w:val="00A60EC2"/>
    <w:rsid w:val="00A615AB"/>
    <w:rsid w:val="00A61673"/>
    <w:rsid w:val="00A61BF7"/>
    <w:rsid w:val="00A6240F"/>
    <w:rsid w:val="00A62980"/>
    <w:rsid w:val="00A62D81"/>
    <w:rsid w:val="00A62F8E"/>
    <w:rsid w:val="00A631EC"/>
    <w:rsid w:val="00A6333E"/>
    <w:rsid w:val="00A63609"/>
    <w:rsid w:val="00A64926"/>
    <w:rsid w:val="00A64E7D"/>
    <w:rsid w:val="00A64F83"/>
    <w:rsid w:val="00A6536D"/>
    <w:rsid w:val="00A658BD"/>
    <w:rsid w:val="00A6639E"/>
    <w:rsid w:val="00A665CF"/>
    <w:rsid w:val="00A6688B"/>
    <w:rsid w:val="00A6737F"/>
    <w:rsid w:val="00A67CA7"/>
    <w:rsid w:val="00A67E10"/>
    <w:rsid w:val="00A706C6"/>
    <w:rsid w:val="00A709CA"/>
    <w:rsid w:val="00A70E3D"/>
    <w:rsid w:val="00A7116D"/>
    <w:rsid w:val="00A714B1"/>
    <w:rsid w:val="00A715EE"/>
    <w:rsid w:val="00A71916"/>
    <w:rsid w:val="00A72084"/>
    <w:rsid w:val="00A72C98"/>
    <w:rsid w:val="00A72D01"/>
    <w:rsid w:val="00A72D9F"/>
    <w:rsid w:val="00A7318E"/>
    <w:rsid w:val="00A7342F"/>
    <w:rsid w:val="00A7383D"/>
    <w:rsid w:val="00A73989"/>
    <w:rsid w:val="00A739AD"/>
    <w:rsid w:val="00A739C2"/>
    <w:rsid w:val="00A74646"/>
    <w:rsid w:val="00A74ADB"/>
    <w:rsid w:val="00A74EF5"/>
    <w:rsid w:val="00A763C0"/>
    <w:rsid w:val="00A76B8E"/>
    <w:rsid w:val="00A7702C"/>
    <w:rsid w:val="00A7752F"/>
    <w:rsid w:val="00A7765F"/>
    <w:rsid w:val="00A77A3C"/>
    <w:rsid w:val="00A77ECF"/>
    <w:rsid w:val="00A8034E"/>
    <w:rsid w:val="00A80608"/>
    <w:rsid w:val="00A80783"/>
    <w:rsid w:val="00A80850"/>
    <w:rsid w:val="00A809FB"/>
    <w:rsid w:val="00A80A0E"/>
    <w:rsid w:val="00A81D21"/>
    <w:rsid w:val="00A81E6F"/>
    <w:rsid w:val="00A828AE"/>
    <w:rsid w:val="00A83089"/>
    <w:rsid w:val="00A83DAE"/>
    <w:rsid w:val="00A84579"/>
    <w:rsid w:val="00A84635"/>
    <w:rsid w:val="00A85C35"/>
    <w:rsid w:val="00A85C68"/>
    <w:rsid w:val="00A8679E"/>
    <w:rsid w:val="00A86D2C"/>
    <w:rsid w:val="00A8737D"/>
    <w:rsid w:val="00A8757B"/>
    <w:rsid w:val="00A878D9"/>
    <w:rsid w:val="00A87BEF"/>
    <w:rsid w:val="00A87DCF"/>
    <w:rsid w:val="00A9012C"/>
    <w:rsid w:val="00A91810"/>
    <w:rsid w:val="00A91B7A"/>
    <w:rsid w:val="00A91D0A"/>
    <w:rsid w:val="00A91EA1"/>
    <w:rsid w:val="00A92061"/>
    <w:rsid w:val="00A92086"/>
    <w:rsid w:val="00A92242"/>
    <w:rsid w:val="00A925B4"/>
    <w:rsid w:val="00A92715"/>
    <w:rsid w:val="00A92954"/>
    <w:rsid w:val="00A92D62"/>
    <w:rsid w:val="00A9378A"/>
    <w:rsid w:val="00A94249"/>
    <w:rsid w:val="00A94BC9"/>
    <w:rsid w:val="00A94FAD"/>
    <w:rsid w:val="00A958C0"/>
    <w:rsid w:val="00A959A8"/>
    <w:rsid w:val="00A959BC"/>
    <w:rsid w:val="00A962B3"/>
    <w:rsid w:val="00A963FA"/>
    <w:rsid w:val="00A96C12"/>
    <w:rsid w:val="00A96DD1"/>
    <w:rsid w:val="00A97567"/>
    <w:rsid w:val="00A975A1"/>
    <w:rsid w:val="00A97E0C"/>
    <w:rsid w:val="00AA03A0"/>
    <w:rsid w:val="00AA0BEE"/>
    <w:rsid w:val="00AA0FE2"/>
    <w:rsid w:val="00AA1035"/>
    <w:rsid w:val="00AA112D"/>
    <w:rsid w:val="00AA12AB"/>
    <w:rsid w:val="00AA1392"/>
    <w:rsid w:val="00AA15A5"/>
    <w:rsid w:val="00AA1B6A"/>
    <w:rsid w:val="00AA1E21"/>
    <w:rsid w:val="00AA2562"/>
    <w:rsid w:val="00AA2607"/>
    <w:rsid w:val="00AA349A"/>
    <w:rsid w:val="00AA39BF"/>
    <w:rsid w:val="00AA39D5"/>
    <w:rsid w:val="00AA3BBB"/>
    <w:rsid w:val="00AA3C15"/>
    <w:rsid w:val="00AA3C60"/>
    <w:rsid w:val="00AA4942"/>
    <w:rsid w:val="00AA4A23"/>
    <w:rsid w:val="00AA5E45"/>
    <w:rsid w:val="00AA66CD"/>
    <w:rsid w:val="00AA692F"/>
    <w:rsid w:val="00AA7B13"/>
    <w:rsid w:val="00AA7D56"/>
    <w:rsid w:val="00AB1559"/>
    <w:rsid w:val="00AB1811"/>
    <w:rsid w:val="00AB1AEB"/>
    <w:rsid w:val="00AB1CA4"/>
    <w:rsid w:val="00AB1DA1"/>
    <w:rsid w:val="00AB1DCB"/>
    <w:rsid w:val="00AB20A6"/>
    <w:rsid w:val="00AB26CB"/>
    <w:rsid w:val="00AB29D7"/>
    <w:rsid w:val="00AB2E77"/>
    <w:rsid w:val="00AB2FF4"/>
    <w:rsid w:val="00AB316F"/>
    <w:rsid w:val="00AB31A6"/>
    <w:rsid w:val="00AB3317"/>
    <w:rsid w:val="00AB3B85"/>
    <w:rsid w:val="00AB3C49"/>
    <w:rsid w:val="00AB3CBC"/>
    <w:rsid w:val="00AB462E"/>
    <w:rsid w:val="00AB4AD4"/>
    <w:rsid w:val="00AB4F39"/>
    <w:rsid w:val="00AB5179"/>
    <w:rsid w:val="00AB5835"/>
    <w:rsid w:val="00AB5867"/>
    <w:rsid w:val="00AB5C65"/>
    <w:rsid w:val="00AB5F9C"/>
    <w:rsid w:val="00AB6924"/>
    <w:rsid w:val="00AB6943"/>
    <w:rsid w:val="00AB69DB"/>
    <w:rsid w:val="00AB6D49"/>
    <w:rsid w:val="00AB7162"/>
    <w:rsid w:val="00AB78F8"/>
    <w:rsid w:val="00AB7AF6"/>
    <w:rsid w:val="00AB7FE2"/>
    <w:rsid w:val="00AC031B"/>
    <w:rsid w:val="00AC0826"/>
    <w:rsid w:val="00AC099A"/>
    <w:rsid w:val="00AC1242"/>
    <w:rsid w:val="00AC1891"/>
    <w:rsid w:val="00AC1AD6"/>
    <w:rsid w:val="00AC2323"/>
    <w:rsid w:val="00AC2446"/>
    <w:rsid w:val="00AC2C67"/>
    <w:rsid w:val="00AC2E89"/>
    <w:rsid w:val="00AC3E3D"/>
    <w:rsid w:val="00AC4256"/>
    <w:rsid w:val="00AC4550"/>
    <w:rsid w:val="00AC46A7"/>
    <w:rsid w:val="00AC46ED"/>
    <w:rsid w:val="00AC5094"/>
    <w:rsid w:val="00AC5307"/>
    <w:rsid w:val="00AC63F6"/>
    <w:rsid w:val="00AC6493"/>
    <w:rsid w:val="00AC664B"/>
    <w:rsid w:val="00AC6999"/>
    <w:rsid w:val="00AC6A5B"/>
    <w:rsid w:val="00AC6A9E"/>
    <w:rsid w:val="00AC6E36"/>
    <w:rsid w:val="00AC6E41"/>
    <w:rsid w:val="00AC70C7"/>
    <w:rsid w:val="00AC71D3"/>
    <w:rsid w:val="00AC7D85"/>
    <w:rsid w:val="00AC7DEB"/>
    <w:rsid w:val="00AD0761"/>
    <w:rsid w:val="00AD08FE"/>
    <w:rsid w:val="00AD0B74"/>
    <w:rsid w:val="00AD0B8C"/>
    <w:rsid w:val="00AD117B"/>
    <w:rsid w:val="00AD1316"/>
    <w:rsid w:val="00AD1573"/>
    <w:rsid w:val="00AD1680"/>
    <w:rsid w:val="00AD1C3E"/>
    <w:rsid w:val="00AD21A8"/>
    <w:rsid w:val="00AD22BF"/>
    <w:rsid w:val="00AD27DC"/>
    <w:rsid w:val="00AD2B4D"/>
    <w:rsid w:val="00AD2BA5"/>
    <w:rsid w:val="00AD341F"/>
    <w:rsid w:val="00AD3A57"/>
    <w:rsid w:val="00AD40DB"/>
    <w:rsid w:val="00AD4507"/>
    <w:rsid w:val="00AD4554"/>
    <w:rsid w:val="00AD4C81"/>
    <w:rsid w:val="00AD55F7"/>
    <w:rsid w:val="00AD58E1"/>
    <w:rsid w:val="00AD5992"/>
    <w:rsid w:val="00AD5EEF"/>
    <w:rsid w:val="00AD6407"/>
    <w:rsid w:val="00AD64DF"/>
    <w:rsid w:val="00AD65DB"/>
    <w:rsid w:val="00AD679D"/>
    <w:rsid w:val="00AD6AFC"/>
    <w:rsid w:val="00AD6E5E"/>
    <w:rsid w:val="00AD6FDD"/>
    <w:rsid w:val="00AD7406"/>
    <w:rsid w:val="00AD7788"/>
    <w:rsid w:val="00AD7901"/>
    <w:rsid w:val="00AD7F45"/>
    <w:rsid w:val="00AD7F58"/>
    <w:rsid w:val="00AE0617"/>
    <w:rsid w:val="00AE08AB"/>
    <w:rsid w:val="00AE0902"/>
    <w:rsid w:val="00AE0A2C"/>
    <w:rsid w:val="00AE0B2B"/>
    <w:rsid w:val="00AE0DFF"/>
    <w:rsid w:val="00AE1025"/>
    <w:rsid w:val="00AE12E5"/>
    <w:rsid w:val="00AE14AF"/>
    <w:rsid w:val="00AE154D"/>
    <w:rsid w:val="00AE1E45"/>
    <w:rsid w:val="00AE224B"/>
    <w:rsid w:val="00AE22CC"/>
    <w:rsid w:val="00AE28F8"/>
    <w:rsid w:val="00AE2B80"/>
    <w:rsid w:val="00AE2D15"/>
    <w:rsid w:val="00AE3738"/>
    <w:rsid w:val="00AE37F3"/>
    <w:rsid w:val="00AE3C8C"/>
    <w:rsid w:val="00AE3EC8"/>
    <w:rsid w:val="00AE3F03"/>
    <w:rsid w:val="00AE4175"/>
    <w:rsid w:val="00AE4263"/>
    <w:rsid w:val="00AE435B"/>
    <w:rsid w:val="00AE590C"/>
    <w:rsid w:val="00AE63A4"/>
    <w:rsid w:val="00AE63CE"/>
    <w:rsid w:val="00AE64F0"/>
    <w:rsid w:val="00AE6630"/>
    <w:rsid w:val="00AE66A9"/>
    <w:rsid w:val="00AE6959"/>
    <w:rsid w:val="00AE6CEB"/>
    <w:rsid w:val="00AE7714"/>
    <w:rsid w:val="00AE7D36"/>
    <w:rsid w:val="00AE7F1D"/>
    <w:rsid w:val="00AF03EA"/>
    <w:rsid w:val="00AF0848"/>
    <w:rsid w:val="00AF0A2F"/>
    <w:rsid w:val="00AF0D9C"/>
    <w:rsid w:val="00AF1000"/>
    <w:rsid w:val="00AF133B"/>
    <w:rsid w:val="00AF1D54"/>
    <w:rsid w:val="00AF2001"/>
    <w:rsid w:val="00AF216F"/>
    <w:rsid w:val="00AF23C8"/>
    <w:rsid w:val="00AF289A"/>
    <w:rsid w:val="00AF297A"/>
    <w:rsid w:val="00AF2AE2"/>
    <w:rsid w:val="00AF2DF8"/>
    <w:rsid w:val="00AF3491"/>
    <w:rsid w:val="00AF3523"/>
    <w:rsid w:val="00AF375B"/>
    <w:rsid w:val="00AF386C"/>
    <w:rsid w:val="00AF3B26"/>
    <w:rsid w:val="00AF3FAF"/>
    <w:rsid w:val="00AF478B"/>
    <w:rsid w:val="00AF4933"/>
    <w:rsid w:val="00AF4BB8"/>
    <w:rsid w:val="00AF4D89"/>
    <w:rsid w:val="00AF50BC"/>
    <w:rsid w:val="00AF5306"/>
    <w:rsid w:val="00AF55B5"/>
    <w:rsid w:val="00AF5D12"/>
    <w:rsid w:val="00AF6269"/>
    <w:rsid w:val="00AF6375"/>
    <w:rsid w:val="00AF685D"/>
    <w:rsid w:val="00AF7353"/>
    <w:rsid w:val="00AF78FA"/>
    <w:rsid w:val="00AF7A84"/>
    <w:rsid w:val="00B0016A"/>
    <w:rsid w:val="00B00311"/>
    <w:rsid w:val="00B0049C"/>
    <w:rsid w:val="00B005A0"/>
    <w:rsid w:val="00B00B6D"/>
    <w:rsid w:val="00B01647"/>
    <w:rsid w:val="00B0227A"/>
    <w:rsid w:val="00B022AE"/>
    <w:rsid w:val="00B027D1"/>
    <w:rsid w:val="00B02F29"/>
    <w:rsid w:val="00B030A0"/>
    <w:rsid w:val="00B0377E"/>
    <w:rsid w:val="00B03B87"/>
    <w:rsid w:val="00B03FC6"/>
    <w:rsid w:val="00B0409B"/>
    <w:rsid w:val="00B041EF"/>
    <w:rsid w:val="00B0440D"/>
    <w:rsid w:val="00B051AD"/>
    <w:rsid w:val="00B05B5A"/>
    <w:rsid w:val="00B060ED"/>
    <w:rsid w:val="00B06858"/>
    <w:rsid w:val="00B069D6"/>
    <w:rsid w:val="00B069FF"/>
    <w:rsid w:val="00B07635"/>
    <w:rsid w:val="00B07A9D"/>
    <w:rsid w:val="00B07BA9"/>
    <w:rsid w:val="00B07ECA"/>
    <w:rsid w:val="00B07FFC"/>
    <w:rsid w:val="00B10055"/>
    <w:rsid w:val="00B10A85"/>
    <w:rsid w:val="00B10BE4"/>
    <w:rsid w:val="00B1141E"/>
    <w:rsid w:val="00B1179F"/>
    <w:rsid w:val="00B11D1B"/>
    <w:rsid w:val="00B11F13"/>
    <w:rsid w:val="00B124A5"/>
    <w:rsid w:val="00B1251F"/>
    <w:rsid w:val="00B12771"/>
    <w:rsid w:val="00B1278B"/>
    <w:rsid w:val="00B12A79"/>
    <w:rsid w:val="00B13D45"/>
    <w:rsid w:val="00B13DCA"/>
    <w:rsid w:val="00B14296"/>
    <w:rsid w:val="00B14BC1"/>
    <w:rsid w:val="00B14CB7"/>
    <w:rsid w:val="00B14E83"/>
    <w:rsid w:val="00B14EDF"/>
    <w:rsid w:val="00B153E4"/>
    <w:rsid w:val="00B1575B"/>
    <w:rsid w:val="00B157D2"/>
    <w:rsid w:val="00B165EB"/>
    <w:rsid w:val="00B169B3"/>
    <w:rsid w:val="00B16DA6"/>
    <w:rsid w:val="00B16E9F"/>
    <w:rsid w:val="00B17295"/>
    <w:rsid w:val="00B176D6"/>
    <w:rsid w:val="00B2021B"/>
    <w:rsid w:val="00B202D8"/>
    <w:rsid w:val="00B206B3"/>
    <w:rsid w:val="00B20BEA"/>
    <w:rsid w:val="00B21384"/>
    <w:rsid w:val="00B215F5"/>
    <w:rsid w:val="00B21C02"/>
    <w:rsid w:val="00B21C1F"/>
    <w:rsid w:val="00B225C7"/>
    <w:rsid w:val="00B2302A"/>
    <w:rsid w:val="00B2348B"/>
    <w:rsid w:val="00B23673"/>
    <w:rsid w:val="00B237B1"/>
    <w:rsid w:val="00B23E62"/>
    <w:rsid w:val="00B24305"/>
    <w:rsid w:val="00B24774"/>
    <w:rsid w:val="00B247BF"/>
    <w:rsid w:val="00B248F8"/>
    <w:rsid w:val="00B24AA3"/>
    <w:rsid w:val="00B24EEA"/>
    <w:rsid w:val="00B24FF0"/>
    <w:rsid w:val="00B25569"/>
    <w:rsid w:val="00B25855"/>
    <w:rsid w:val="00B26B62"/>
    <w:rsid w:val="00B26D75"/>
    <w:rsid w:val="00B2765B"/>
    <w:rsid w:val="00B27A3D"/>
    <w:rsid w:val="00B27A54"/>
    <w:rsid w:val="00B3061C"/>
    <w:rsid w:val="00B30783"/>
    <w:rsid w:val="00B30B67"/>
    <w:rsid w:val="00B30D38"/>
    <w:rsid w:val="00B3111E"/>
    <w:rsid w:val="00B31847"/>
    <w:rsid w:val="00B31A6A"/>
    <w:rsid w:val="00B31CC8"/>
    <w:rsid w:val="00B31CE9"/>
    <w:rsid w:val="00B31DA2"/>
    <w:rsid w:val="00B321C1"/>
    <w:rsid w:val="00B32A2B"/>
    <w:rsid w:val="00B32AA7"/>
    <w:rsid w:val="00B32AC4"/>
    <w:rsid w:val="00B33F14"/>
    <w:rsid w:val="00B3418C"/>
    <w:rsid w:val="00B34CBD"/>
    <w:rsid w:val="00B34D02"/>
    <w:rsid w:val="00B350EF"/>
    <w:rsid w:val="00B35976"/>
    <w:rsid w:val="00B35A01"/>
    <w:rsid w:val="00B35AD3"/>
    <w:rsid w:val="00B35BE7"/>
    <w:rsid w:val="00B360CA"/>
    <w:rsid w:val="00B363BE"/>
    <w:rsid w:val="00B364EE"/>
    <w:rsid w:val="00B36B4B"/>
    <w:rsid w:val="00B36BB4"/>
    <w:rsid w:val="00B36F9B"/>
    <w:rsid w:val="00B3700C"/>
    <w:rsid w:val="00B372D9"/>
    <w:rsid w:val="00B37773"/>
    <w:rsid w:val="00B37ACD"/>
    <w:rsid w:val="00B40B07"/>
    <w:rsid w:val="00B40B8C"/>
    <w:rsid w:val="00B4102C"/>
    <w:rsid w:val="00B415DE"/>
    <w:rsid w:val="00B41F0F"/>
    <w:rsid w:val="00B41F19"/>
    <w:rsid w:val="00B42537"/>
    <w:rsid w:val="00B42560"/>
    <w:rsid w:val="00B42D26"/>
    <w:rsid w:val="00B42DC5"/>
    <w:rsid w:val="00B4328B"/>
    <w:rsid w:val="00B44224"/>
    <w:rsid w:val="00B455AA"/>
    <w:rsid w:val="00B456AC"/>
    <w:rsid w:val="00B456B2"/>
    <w:rsid w:val="00B45778"/>
    <w:rsid w:val="00B457A1"/>
    <w:rsid w:val="00B45999"/>
    <w:rsid w:val="00B45CA4"/>
    <w:rsid w:val="00B4630F"/>
    <w:rsid w:val="00B464B1"/>
    <w:rsid w:val="00B4703F"/>
    <w:rsid w:val="00B47226"/>
    <w:rsid w:val="00B4745C"/>
    <w:rsid w:val="00B47A4A"/>
    <w:rsid w:val="00B47B99"/>
    <w:rsid w:val="00B47E6B"/>
    <w:rsid w:val="00B50612"/>
    <w:rsid w:val="00B506F2"/>
    <w:rsid w:val="00B5075C"/>
    <w:rsid w:val="00B50828"/>
    <w:rsid w:val="00B50C72"/>
    <w:rsid w:val="00B510E3"/>
    <w:rsid w:val="00B5137A"/>
    <w:rsid w:val="00B515CE"/>
    <w:rsid w:val="00B52049"/>
    <w:rsid w:val="00B52165"/>
    <w:rsid w:val="00B521AC"/>
    <w:rsid w:val="00B5248D"/>
    <w:rsid w:val="00B52702"/>
    <w:rsid w:val="00B53545"/>
    <w:rsid w:val="00B53C36"/>
    <w:rsid w:val="00B53CFC"/>
    <w:rsid w:val="00B5401A"/>
    <w:rsid w:val="00B54487"/>
    <w:rsid w:val="00B5463D"/>
    <w:rsid w:val="00B5498D"/>
    <w:rsid w:val="00B54D59"/>
    <w:rsid w:val="00B5501D"/>
    <w:rsid w:val="00B560B1"/>
    <w:rsid w:val="00B56141"/>
    <w:rsid w:val="00B56173"/>
    <w:rsid w:val="00B56261"/>
    <w:rsid w:val="00B56336"/>
    <w:rsid w:val="00B56A26"/>
    <w:rsid w:val="00B56B11"/>
    <w:rsid w:val="00B5739F"/>
    <w:rsid w:val="00B57457"/>
    <w:rsid w:val="00B57A96"/>
    <w:rsid w:val="00B60121"/>
    <w:rsid w:val="00B60152"/>
    <w:rsid w:val="00B602D3"/>
    <w:rsid w:val="00B609CD"/>
    <w:rsid w:val="00B6151E"/>
    <w:rsid w:val="00B61AA3"/>
    <w:rsid w:val="00B61DC1"/>
    <w:rsid w:val="00B621A2"/>
    <w:rsid w:val="00B63979"/>
    <w:rsid w:val="00B642D9"/>
    <w:rsid w:val="00B642E4"/>
    <w:rsid w:val="00B647D3"/>
    <w:rsid w:val="00B64962"/>
    <w:rsid w:val="00B649C4"/>
    <w:rsid w:val="00B64D7C"/>
    <w:rsid w:val="00B64EF2"/>
    <w:rsid w:val="00B65475"/>
    <w:rsid w:val="00B65653"/>
    <w:rsid w:val="00B65666"/>
    <w:rsid w:val="00B65B24"/>
    <w:rsid w:val="00B65BF0"/>
    <w:rsid w:val="00B66F3E"/>
    <w:rsid w:val="00B67146"/>
    <w:rsid w:val="00B676EC"/>
    <w:rsid w:val="00B67C02"/>
    <w:rsid w:val="00B67EB8"/>
    <w:rsid w:val="00B7016C"/>
    <w:rsid w:val="00B7039B"/>
    <w:rsid w:val="00B70478"/>
    <w:rsid w:val="00B70C95"/>
    <w:rsid w:val="00B71858"/>
    <w:rsid w:val="00B719C0"/>
    <w:rsid w:val="00B71A3E"/>
    <w:rsid w:val="00B71D5B"/>
    <w:rsid w:val="00B72670"/>
    <w:rsid w:val="00B72D6E"/>
    <w:rsid w:val="00B72FCC"/>
    <w:rsid w:val="00B737F4"/>
    <w:rsid w:val="00B74154"/>
    <w:rsid w:val="00B741B0"/>
    <w:rsid w:val="00B7436D"/>
    <w:rsid w:val="00B745E4"/>
    <w:rsid w:val="00B74D1E"/>
    <w:rsid w:val="00B7587F"/>
    <w:rsid w:val="00B76013"/>
    <w:rsid w:val="00B76224"/>
    <w:rsid w:val="00B7657C"/>
    <w:rsid w:val="00B765CF"/>
    <w:rsid w:val="00B76A18"/>
    <w:rsid w:val="00B76D92"/>
    <w:rsid w:val="00B7737E"/>
    <w:rsid w:val="00B77668"/>
    <w:rsid w:val="00B77EB7"/>
    <w:rsid w:val="00B80072"/>
    <w:rsid w:val="00B80813"/>
    <w:rsid w:val="00B8088C"/>
    <w:rsid w:val="00B80B2E"/>
    <w:rsid w:val="00B80CDD"/>
    <w:rsid w:val="00B8171C"/>
    <w:rsid w:val="00B81872"/>
    <w:rsid w:val="00B818DC"/>
    <w:rsid w:val="00B81B75"/>
    <w:rsid w:val="00B822E7"/>
    <w:rsid w:val="00B82948"/>
    <w:rsid w:val="00B82AE5"/>
    <w:rsid w:val="00B836FF"/>
    <w:rsid w:val="00B83788"/>
    <w:rsid w:val="00B837B0"/>
    <w:rsid w:val="00B837E7"/>
    <w:rsid w:val="00B83C35"/>
    <w:rsid w:val="00B84247"/>
    <w:rsid w:val="00B84511"/>
    <w:rsid w:val="00B847CC"/>
    <w:rsid w:val="00B84C6C"/>
    <w:rsid w:val="00B84FBF"/>
    <w:rsid w:val="00B85031"/>
    <w:rsid w:val="00B85067"/>
    <w:rsid w:val="00B85701"/>
    <w:rsid w:val="00B8581D"/>
    <w:rsid w:val="00B86B85"/>
    <w:rsid w:val="00B87378"/>
    <w:rsid w:val="00B87C19"/>
    <w:rsid w:val="00B87D63"/>
    <w:rsid w:val="00B87E10"/>
    <w:rsid w:val="00B900DE"/>
    <w:rsid w:val="00B9199B"/>
    <w:rsid w:val="00B92687"/>
    <w:rsid w:val="00B928E1"/>
    <w:rsid w:val="00B92BD7"/>
    <w:rsid w:val="00B92BE1"/>
    <w:rsid w:val="00B933D8"/>
    <w:rsid w:val="00B93A0B"/>
    <w:rsid w:val="00B93C08"/>
    <w:rsid w:val="00B93D5F"/>
    <w:rsid w:val="00B94248"/>
    <w:rsid w:val="00B942A1"/>
    <w:rsid w:val="00B94B4F"/>
    <w:rsid w:val="00B94BF4"/>
    <w:rsid w:val="00B96D89"/>
    <w:rsid w:val="00B96E63"/>
    <w:rsid w:val="00B976F6"/>
    <w:rsid w:val="00B979B6"/>
    <w:rsid w:val="00B97D10"/>
    <w:rsid w:val="00BA00E9"/>
    <w:rsid w:val="00BA00EC"/>
    <w:rsid w:val="00BA0B2F"/>
    <w:rsid w:val="00BA0BB0"/>
    <w:rsid w:val="00BA0F37"/>
    <w:rsid w:val="00BA1CE0"/>
    <w:rsid w:val="00BA2936"/>
    <w:rsid w:val="00BA2B2C"/>
    <w:rsid w:val="00BA2EAE"/>
    <w:rsid w:val="00BA354B"/>
    <w:rsid w:val="00BA3D8E"/>
    <w:rsid w:val="00BA49BF"/>
    <w:rsid w:val="00BA4A8C"/>
    <w:rsid w:val="00BA4B96"/>
    <w:rsid w:val="00BA5A62"/>
    <w:rsid w:val="00BA5B61"/>
    <w:rsid w:val="00BA5D13"/>
    <w:rsid w:val="00BA5F41"/>
    <w:rsid w:val="00BA5F46"/>
    <w:rsid w:val="00BA60FE"/>
    <w:rsid w:val="00BA64D4"/>
    <w:rsid w:val="00BA6584"/>
    <w:rsid w:val="00BA65B3"/>
    <w:rsid w:val="00BA67B4"/>
    <w:rsid w:val="00BA6B37"/>
    <w:rsid w:val="00BA6BEC"/>
    <w:rsid w:val="00BA6CB9"/>
    <w:rsid w:val="00BA7056"/>
    <w:rsid w:val="00BA7385"/>
    <w:rsid w:val="00BA785A"/>
    <w:rsid w:val="00BA7910"/>
    <w:rsid w:val="00BA7A5F"/>
    <w:rsid w:val="00BA7D26"/>
    <w:rsid w:val="00BA7D7E"/>
    <w:rsid w:val="00BB05D3"/>
    <w:rsid w:val="00BB0B1B"/>
    <w:rsid w:val="00BB0B52"/>
    <w:rsid w:val="00BB0E9A"/>
    <w:rsid w:val="00BB0F90"/>
    <w:rsid w:val="00BB0FB1"/>
    <w:rsid w:val="00BB11BE"/>
    <w:rsid w:val="00BB12D9"/>
    <w:rsid w:val="00BB1357"/>
    <w:rsid w:val="00BB17DA"/>
    <w:rsid w:val="00BB187C"/>
    <w:rsid w:val="00BB23A1"/>
    <w:rsid w:val="00BB2454"/>
    <w:rsid w:val="00BB296B"/>
    <w:rsid w:val="00BB2A9C"/>
    <w:rsid w:val="00BB2AB3"/>
    <w:rsid w:val="00BB2E31"/>
    <w:rsid w:val="00BB2EBF"/>
    <w:rsid w:val="00BB33F3"/>
    <w:rsid w:val="00BB3622"/>
    <w:rsid w:val="00BB39D6"/>
    <w:rsid w:val="00BB3A76"/>
    <w:rsid w:val="00BB3F96"/>
    <w:rsid w:val="00BB4459"/>
    <w:rsid w:val="00BB4B5B"/>
    <w:rsid w:val="00BB4E3E"/>
    <w:rsid w:val="00BB519A"/>
    <w:rsid w:val="00BB5D6A"/>
    <w:rsid w:val="00BB6245"/>
    <w:rsid w:val="00BB6504"/>
    <w:rsid w:val="00BB682C"/>
    <w:rsid w:val="00BB6E5C"/>
    <w:rsid w:val="00BB6F13"/>
    <w:rsid w:val="00BB6F21"/>
    <w:rsid w:val="00BB6FA6"/>
    <w:rsid w:val="00BB73DA"/>
    <w:rsid w:val="00BB7CA9"/>
    <w:rsid w:val="00BB7D38"/>
    <w:rsid w:val="00BB7F76"/>
    <w:rsid w:val="00BC003E"/>
    <w:rsid w:val="00BC052E"/>
    <w:rsid w:val="00BC0896"/>
    <w:rsid w:val="00BC0A22"/>
    <w:rsid w:val="00BC0E1D"/>
    <w:rsid w:val="00BC0E43"/>
    <w:rsid w:val="00BC0FE5"/>
    <w:rsid w:val="00BC1676"/>
    <w:rsid w:val="00BC19B3"/>
    <w:rsid w:val="00BC1C00"/>
    <w:rsid w:val="00BC1D2A"/>
    <w:rsid w:val="00BC1E9C"/>
    <w:rsid w:val="00BC205B"/>
    <w:rsid w:val="00BC20A5"/>
    <w:rsid w:val="00BC2317"/>
    <w:rsid w:val="00BC236B"/>
    <w:rsid w:val="00BC264E"/>
    <w:rsid w:val="00BC2743"/>
    <w:rsid w:val="00BC274A"/>
    <w:rsid w:val="00BC2854"/>
    <w:rsid w:val="00BC2BB4"/>
    <w:rsid w:val="00BC2D69"/>
    <w:rsid w:val="00BC2D6A"/>
    <w:rsid w:val="00BC2E8D"/>
    <w:rsid w:val="00BC33AE"/>
    <w:rsid w:val="00BC3CBB"/>
    <w:rsid w:val="00BC40C9"/>
    <w:rsid w:val="00BC4625"/>
    <w:rsid w:val="00BC5595"/>
    <w:rsid w:val="00BC5720"/>
    <w:rsid w:val="00BC5DE8"/>
    <w:rsid w:val="00BC5EA5"/>
    <w:rsid w:val="00BC6178"/>
    <w:rsid w:val="00BC623A"/>
    <w:rsid w:val="00BC6379"/>
    <w:rsid w:val="00BC65D9"/>
    <w:rsid w:val="00BC68AD"/>
    <w:rsid w:val="00BC6AAB"/>
    <w:rsid w:val="00BC7248"/>
    <w:rsid w:val="00BC74BD"/>
    <w:rsid w:val="00BC77F6"/>
    <w:rsid w:val="00BC793F"/>
    <w:rsid w:val="00BC7C52"/>
    <w:rsid w:val="00BD02F6"/>
    <w:rsid w:val="00BD030E"/>
    <w:rsid w:val="00BD0344"/>
    <w:rsid w:val="00BD06BE"/>
    <w:rsid w:val="00BD087E"/>
    <w:rsid w:val="00BD0CF6"/>
    <w:rsid w:val="00BD0F46"/>
    <w:rsid w:val="00BD0FF0"/>
    <w:rsid w:val="00BD1098"/>
    <w:rsid w:val="00BD1471"/>
    <w:rsid w:val="00BD14C5"/>
    <w:rsid w:val="00BD196A"/>
    <w:rsid w:val="00BD1B7C"/>
    <w:rsid w:val="00BD1BCA"/>
    <w:rsid w:val="00BD1C76"/>
    <w:rsid w:val="00BD1FE1"/>
    <w:rsid w:val="00BD2081"/>
    <w:rsid w:val="00BD2311"/>
    <w:rsid w:val="00BD236E"/>
    <w:rsid w:val="00BD2954"/>
    <w:rsid w:val="00BD29B0"/>
    <w:rsid w:val="00BD2DA9"/>
    <w:rsid w:val="00BD3349"/>
    <w:rsid w:val="00BD347B"/>
    <w:rsid w:val="00BD3684"/>
    <w:rsid w:val="00BD406E"/>
    <w:rsid w:val="00BD41A5"/>
    <w:rsid w:val="00BD4215"/>
    <w:rsid w:val="00BD4E2E"/>
    <w:rsid w:val="00BD4E3E"/>
    <w:rsid w:val="00BD509D"/>
    <w:rsid w:val="00BD5D7B"/>
    <w:rsid w:val="00BD6262"/>
    <w:rsid w:val="00BD63F4"/>
    <w:rsid w:val="00BD6A18"/>
    <w:rsid w:val="00BD6B90"/>
    <w:rsid w:val="00BD6E18"/>
    <w:rsid w:val="00BD7008"/>
    <w:rsid w:val="00BD7186"/>
    <w:rsid w:val="00BD7440"/>
    <w:rsid w:val="00BD7D14"/>
    <w:rsid w:val="00BD7EED"/>
    <w:rsid w:val="00BD7F78"/>
    <w:rsid w:val="00BD7FFD"/>
    <w:rsid w:val="00BE00AA"/>
    <w:rsid w:val="00BE03C1"/>
    <w:rsid w:val="00BE0617"/>
    <w:rsid w:val="00BE0F71"/>
    <w:rsid w:val="00BE11C5"/>
    <w:rsid w:val="00BE11D2"/>
    <w:rsid w:val="00BE15D6"/>
    <w:rsid w:val="00BE188E"/>
    <w:rsid w:val="00BE1C9F"/>
    <w:rsid w:val="00BE21DA"/>
    <w:rsid w:val="00BE2400"/>
    <w:rsid w:val="00BE29B5"/>
    <w:rsid w:val="00BE36E1"/>
    <w:rsid w:val="00BE372F"/>
    <w:rsid w:val="00BE3A5C"/>
    <w:rsid w:val="00BE40AA"/>
    <w:rsid w:val="00BE4A0D"/>
    <w:rsid w:val="00BE4B2C"/>
    <w:rsid w:val="00BE4C48"/>
    <w:rsid w:val="00BE4ED8"/>
    <w:rsid w:val="00BE53A0"/>
    <w:rsid w:val="00BE59BE"/>
    <w:rsid w:val="00BE5D87"/>
    <w:rsid w:val="00BE5E9B"/>
    <w:rsid w:val="00BE61C1"/>
    <w:rsid w:val="00BE62FE"/>
    <w:rsid w:val="00BE64AF"/>
    <w:rsid w:val="00BE661B"/>
    <w:rsid w:val="00BE6717"/>
    <w:rsid w:val="00BE6DA0"/>
    <w:rsid w:val="00BE77D3"/>
    <w:rsid w:val="00BF02F0"/>
    <w:rsid w:val="00BF0381"/>
    <w:rsid w:val="00BF0728"/>
    <w:rsid w:val="00BF095C"/>
    <w:rsid w:val="00BF0F3F"/>
    <w:rsid w:val="00BF1A42"/>
    <w:rsid w:val="00BF1A4D"/>
    <w:rsid w:val="00BF2180"/>
    <w:rsid w:val="00BF233B"/>
    <w:rsid w:val="00BF2446"/>
    <w:rsid w:val="00BF32E7"/>
    <w:rsid w:val="00BF3749"/>
    <w:rsid w:val="00BF3E5A"/>
    <w:rsid w:val="00BF4250"/>
    <w:rsid w:val="00BF436E"/>
    <w:rsid w:val="00BF446E"/>
    <w:rsid w:val="00BF4BA1"/>
    <w:rsid w:val="00BF5732"/>
    <w:rsid w:val="00BF576C"/>
    <w:rsid w:val="00BF5780"/>
    <w:rsid w:val="00BF5A82"/>
    <w:rsid w:val="00BF5AAF"/>
    <w:rsid w:val="00BF5C86"/>
    <w:rsid w:val="00BF5EB7"/>
    <w:rsid w:val="00BF6902"/>
    <w:rsid w:val="00BF6986"/>
    <w:rsid w:val="00BF6E7B"/>
    <w:rsid w:val="00BF7263"/>
    <w:rsid w:val="00BF7328"/>
    <w:rsid w:val="00BF763E"/>
    <w:rsid w:val="00BF7945"/>
    <w:rsid w:val="00C00276"/>
    <w:rsid w:val="00C01021"/>
    <w:rsid w:val="00C01139"/>
    <w:rsid w:val="00C0141F"/>
    <w:rsid w:val="00C018A4"/>
    <w:rsid w:val="00C019D1"/>
    <w:rsid w:val="00C027BA"/>
    <w:rsid w:val="00C0366D"/>
    <w:rsid w:val="00C03922"/>
    <w:rsid w:val="00C04818"/>
    <w:rsid w:val="00C048AF"/>
    <w:rsid w:val="00C04A6E"/>
    <w:rsid w:val="00C04B0E"/>
    <w:rsid w:val="00C054CC"/>
    <w:rsid w:val="00C054ED"/>
    <w:rsid w:val="00C058DC"/>
    <w:rsid w:val="00C05DBB"/>
    <w:rsid w:val="00C05E66"/>
    <w:rsid w:val="00C0643E"/>
    <w:rsid w:val="00C06456"/>
    <w:rsid w:val="00C0651C"/>
    <w:rsid w:val="00C0680F"/>
    <w:rsid w:val="00C06BD9"/>
    <w:rsid w:val="00C06E9A"/>
    <w:rsid w:val="00C06EFF"/>
    <w:rsid w:val="00C0748E"/>
    <w:rsid w:val="00C077E0"/>
    <w:rsid w:val="00C07DE6"/>
    <w:rsid w:val="00C100A9"/>
    <w:rsid w:val="00C1014F"/>
    <w:rsid w:val="00C10A15"/>
    <w:rsid w:val="00C122B9"/>
    <w:rsid w:val="00C127C7"/>
    <w:rsid w:val="00C129D1"/>
    <w:rsid w:val="00C12A6F"/>
    <w:rsid w:val="00C12B5D"/>
    <w:rsid w:val="00C12DEA"/>
    <w:rsid w:val="00C13A47"/>
    <w:rsid w:val="00C13FCB"/>
    <w:rsid w:val="00C144FB"/>
    <w:rsid w:val="00C154B5"/>
    <w:rsid w:val="00C1558A"/>
    <w:rsid w:val="00C15A55"/>
    <w:rsid w:val="00C15CB3"/>
    <w:rsid w:val="00C16260"/>
    <w:rsid w:val="00C16651"/>
    <w:rsid w:val="00C1714D"/>
    <w:rsid w:val="00C17333"/>
    <w:rsid w:val="00C17872"/>
    <w:rsid w:val="00C178CA"/>
    <w:rsid w:val="00C20375"/>
    <w:rsid w:val="00C204C4"/>
    <w:rsid w:val="00C205E9"/>
    <w:rsid w:val="00C205F2"/>
    <w:rsid w:val="00C20940"/>
    <w:rsid w:val="00C212FC"/>
    <w:rsid w:val="00C2173F"/>
    <w:rsid w:val="00C21D26"/>
    <w:rsid w:val="00C22377"/>
    <w:rsid w:val="00C2290C"/>
    <w:rsid w:val="00C2296D"/>
    <w:rsid w:val="00C23064"/>
    <w:rsid w:val="00C2365E"/>
    <w:rsid w:val="00C23800"/>
    <w:rsid w:val="00C23B8F"/>
    <w:rsid w:val="00C23C9C"/>
    <w:rsid w:val="00C23CA1"/>
    <w:rsid w:val="00C23F48"/>
    <w:rsid w:val="00C244CE"/>
    <w:rsid w:val="00C24508"/>
    <w:rsid w:val="00C2455B"/>
    <w:rsid w:val="00C246FF"/>
    <w:rsid w:val="00C24ADC"/>
    <w:rsid w:val="00C24C45"/>
    <w:rsid w:val="00C25151"/>
    <w:rsid w:val="00C25DD0"/>
    <w:rsid w:val="00C260E4"/>
    <w:rsid w:val="00C262BD"/>
    <w:rsid w:val="00C2631A"/>
    <w:rsid w:val="00C26378"/>
    <w:rsid w:val="00C27129"/>
    <w:rsid w:val="00C27178"/>
    <w:rsid w:val="00C27365"/>
    <w:rsid w:val="00C27A46"/>
    <w:rsid w:val="00C30397"/>
    <w:rsid w:val="00C30745"/>
    <w:rsid w:val="00C30E04"/>
    <w:rsid w:val="00C310C2"/>
    <w:rsid w:val="00C31A27"/>
    <w:rsid w:val="00C31F24"/>
    <w:rsid w:val="00C32B86"/>
    <w:rsid w:val="00C331A6"/>
    <w:rsid w:val="00C33482"/>
    <w:rsid w:val="00C341CA"/>
    <w:rsid w:val="00C34384"/>
    <w:rsid w:val="00C348B7"/>
    <w:rsid w:val="00C348CD"/>
    <w:rsid w:val="00C34EB1"/>
    <w:rsid w:val="00C3546C"/>
    <w:rsid w:val="00C35BBF"/>
    <w:rsid w:val="00C35DDC"/>
    <w:rsid w:val="00C36410"/>
    <w:rsid w:val="00C36525"/>
    <w:rsid w:val="00C3652B"/>
    <w:rsid w:val="00C369C8"/>
    <w:rsid w:val="00C36F48"/>
    <w:rsid w:val="00C37010"/>
    <w:rsid w:val="00C3731C"/>
    <w:rsid w:val="00C375B7"/>
    <w:rsid w:val="00C378D4"/>
    <w:rsid w:val="00C37A03"/>
    <w:rsid w:val="00C40EB3"/>
    <w:rsid w:val="00C41861"/>
    <w:rsid w:val="00C41965"/>
    <w:rsid w:val="00C41A26"/>
    <w:rsid w:val="00C41B39"/>
    <w:rsid w:val="00C41B7E"/>
    <w:rsid w:val="00C41BD9"/>
    <w:rsid w:val="00C42648"/>
    <w:rsid w:val="00C42B8B"/>
    <w:rsid w:val="00C42C18"/>
    <w:rsid w:val="00C434DE"/>
    <w:rsid w:val="00C434FD"/>
    <w:rsid w:val="00C4350E"/>
    <w:rsid w:val="00C4357B"/>
    <w:rsid w:val="00C4431B"/>
    <w:rsid w:val="00C44A4E"/>
    <w:rsid w:val="00C453D3"/>
    <w:rsid w:val="00C4569A"/>
    <w:rsid w:val="00C4583D"/>
    <w:rsid w:val="00C458ED"/>
    <w:rsid w:val="00C45A7F"/>
    <w:rsid w:val="00C45E45"/>
    <w:rsid w:val="00C45EAB"/>
    <w:rsid w:val="00C461CC"/>
    <w:rsid w:val="00C46866"/>
    <w:rsid w:val="00C46A23"/>
    <w:rsid w:val="00C4723C"/>
    <w:rsid w:val="00C47A29"/>
    <w:rsid w:val="00C47AC7"/>
    <w:rsid w:val="00C47B1B"/>
    <w:rsid w:val="00C47F1D"/>
    <w:rsid w:val="00C507AA"/>
    <w:rsid w:val="00C507E4"/>
    <w:rsid w:val="00C50DF3"/>
    <w:rsid w:val="00C5192E"/>
    <w:rsid w:val="00C51B6C"/>
    <w:rsid w:val="00C51D65"/>
    <w:rsid w:val="00C51F0F"/>
    <w:rsid w:val="00C52367"/>
    <w:rsid w:val="00C523A7"/>
    <w:rsid w:val="00C526CD"/>
    <w:rsid w:val="00C527DF"/>
    <w:rsid w:val="00C52B95"/>
    <w:rsid w:val="00C52DE6"/>
    <w:rsid w:val="00C52F21"/>
    <w:rsid w:val="00C53805"/>
    <w:rsid w:val="00C53ED6"/>
    <w:rsid w:val="00C5425B"/>
    <w:rsid w:val="00C54E28"/>
    <w:rsid w:val="00C54EED"/>
    <w:rsid w:val="00C55EB9"/>
    <w:rsid w:val="00C567B2"/>
    <w:rsid w:val="00C57416"/>
    <w:rsid w:val="00C5762D"/>
    <w:rsid w:val="00C6016B"/>
    <w:rsid w:val="00C6088D"/>
    <w:rsid w:val="00C60A02"/>
    <w:rsid w:val="00C60B2C"/>
    <w:rsid w:val="00C60C99"/>
    <w:rsid w:val="00C60DFD"/>
    <w:rsid w:val="00C60EBB"/>
    <w:rsid w:val="00C615C8"/>
    <w:rsid w:val="00C616FF"/>
    <w:rsid w:val="00C61842"/>
    <w:rsid w:val="00C621DB"/>
    <w:rsid w:val="00C62775"/>
    <w:rsid w:val="00C62790"/>
    <w:rsid w:val="00C6289E"/>
    <w:rsid w:val="00C628B2"/>
    <w:rsid w:val="00C62F48"/>
    <w:rsid w:val="00C634A7"/>
    <w:rsid w:val="00C635E4"/>
    <w:rsid w:val="00C638D7"/>
    <w:rsid w:val="00C638DF"/>
    <w:rsid w:val="00C645D3"/>
    <w:rsid w:val="00C64720"/>
    <w:rsid w:val="00C64F95"/>
    <w:rsid w:val="00C6517F"/>
    <w:rsid w:val="00C655D9"/>
    <w:rsid w:val="00C65CFD"/>
    <w:rsid w:val="00C65E96"/>
    <w:rsid w:val="00C6648E"/>
    <w:rsid w:val="00C668EF"/>
    <w:rsid w:val="00C66AC6"/>
    <w:rsid w:val="00C66BFF"/>
    <w:rsid w:val="00C66FE6"/>
    <w:rsid w:val="00C679F1"/>
    <w:rsid w:val="00C67BA6"/>
    <w:rsid w:val="00C67C35"/>
    <w:rsid w:val="00C67D06"/>
    <w:rsid w:val="00C67FC7"/>
    <w:rsid w:val="00C70D9A"/>
    <w:rsid w:val="00C70DA3"/>
    <w:rsid w:val="00C711E0"/>
    <w:rsid w:val="00C715ED"/>
    <w:rsid w:val="00C71920"/>
    <w:rsid w:val="00C71AB4"/>
    <w:rsid w:val="00C71BEA"/>
    <w:rsid w:val="00C71D69"/>
    <w:rsid w:val="00C72453"/>
    <w:rsid w:val="00C72A0C"/>
    <w:rsid w:val="00C72A63"/>
    <w:rsid w:val="00C72AA8"/>
    <w:rsid w:val="00C72F64"/>
    <w:rsid w:val="00C72FB2"/>
    <w:rsid w:val="00C7338E"/>
    <w:rsid w:val="00C73D50"/>
    <w:rsid w:val="00C73EA7"/>
    <w:rsid w:val="00C73ECB"/>
    <w:rsid w:val="00C73FE5"/>
    <w:rsid w:val="00C7441B"/>
    <w:rsid w:val="00C746AF"/>
    <w:rsid w:val="00C750F9"/>
    <w:rsid w:val="00C753FB"/>
    <w:rsid w:val="00C75A4E"/>
    <w:rsid w:val="00C75A86"/>
    <w:rsid w:val="00C75F2B"/>
    <w:rsid w:val="00C7668E"/>
    <w:rsid w:val="00C7677A"/>
    <w:rsid w:val="00C76A08"/>
    <w:rsid w:val="00C779E4"/>
    <w:rsid w:val="00C77A70"/>
    <w:rsid w:val="00C77BC0"/>
    <w:rsid w:val="00C77CF7"/>
    <w:rsid w:val="00C77FCA"/>
    <w:rsid w:val="00C801BC"/>
    <w:rsid w:val="00C80451"/>
    <w:rsid w:val="00C80AE4"/>
    <w:rsid w:val="00C80D65"/>
    <w:rsid w:val="00C81E6E"/>
    <w:rsid w:val="00C81ED6"/>
    <w:rsid w:val="00C82074"/>
    <w:rsid w:val="00C820D4"/>
    <w:rsid w:val="00C820ED"/>
    <w:rsid w:val="00C828A4"/>
    <w:rsid w:val="00C82AA6"/>
    <w:rsid w:val="00C82D13"/>
    <w:rsid w:val="00C82D26"/>
    <w:rsid w:val="00C830DE"/>
    <w:rsid w:val="00C8353B"/>
    <w:rsid w:val="00C83C30"/>
    <w:rsid w:val="00C83F9A"/>
    <w:rsid w:val="00C84138"/>
    <w:rsid w:val="00C84613"/>
    <w:rsid w:val="00C856EC"/>
    <w:rsid w:val="00C857AE"/>
    <w:rsid w:val="00C857F1"/>
    <w:rsid w:val="00C85A0A"/>
    <w:rsid w:val="00C865F5"/>
    <w:rsid w:val="00C867B4"/>
    <w:rsid w:val="00C871C4"/>
    <w:rsid w:val="00C8789D"/>
    <w:rsid w:val="00C8795F"/>
    <w:rsid w:val="00C902C9"/>
    <w:rsid w:val="00C915F3"/>
    <w:rsid w:val="00C9166D"/>
    <w:rsid w:val="00C91D75"/>
    <w:rsid w:val="00C9236D"/>
    <w:rsid w:val="00C923F1"/>
    <w:rsid w:val="00C92447"/>
    <w:rsid w:val="00C92B9C"/>
    <w:rsid w:val="00C92BD7"/>
    <w:rsid w:val="00C93312"/>
    <w:rsid w:val="00C93A83"/>
    <w:rsid w:val="00C94A56"/>
    <w:rsid w:val="00C94FEE"/>
    <w:rsid w:val="00C9535D"/>
    <w:rsid w:val="00C95FA3"/>
    <w:rsid w:val="00C97301"/>
    <w:rsid w:val="00C973D0"/>
    <w:rsid w:val="00C9786C"/>
    <w:rsid w:val="00C97E02"/>
    <w:rsid w:val="00CA04C3"/>
    <w:rsid w:val="00CA0A15"/>
    <w:rsid w:val="00CA0AA4"/>
    <w:rsid w:val="00CA0C77"/>
    <w:rsid w:val="00CA10A1"/>
    <w:rsid w:val="00CA1130"/>
    <w:rsid w:val="00CA167A"/>
    <w:rsid w:val="00CA16CB"/>
    <w:rsid w:val="00CA1829"/>
    <w:rsid w:val="00CA1FFB"/>
    <w:rsid w:val="00CA2148"/>
    <w:rsid w:val="00CA224A"/>
    <w:rsid w:val="00CA323F"/>
    <w:rsid w:val="00CA3AAD"/>
    <w:rsid w:val="00CA415F"/>
    <w:rsid w:val="00CA47B1"/>
    <w:rsid w:val="00CA4A7C"/>
    <w:rsid w:val="00CA4AF6"/>
    <w:rsid w:val="00CA5068"/>
    <w:rsid w:val="00CA5138"/>
    <w:rsid w:val="00CA529D"/>
    <w:rsid w:val="00CA5999"/>
    <w:rsid w:val="00CA5C30"/>
    <w:rsid w:val="00CA5EA7"/>
    <w:rsid w:val="00CA5FFC"/>
    <w:rsid w:val="00CA694A"/>
    <w:rsid w:val="00CA69C2"/>
    <w:rsid w:val="00CA6D9C"/>
    <w:rsid w:val="00CA7477"/>
    <w:rsid w:val="00CA7CE1"/>
    <w:rsid w:val="00CA7ED4"/>
    <w:rsid w:val="00CB026C"/>
    <w:rsid w:val="00CB02BF"/>
    <w:rsid w:val="00CB0830"/>
    <w:rsid w:val="00CB09D8"/>
    <w:rsid w:val="00CB15D8"/>
    <w:rsid w:val="00CB24AA"/>
    <w:rsid w:val="00CB2C14"/>
    <w:rsid w:val="00CB2D40"/>
    <w:rsid w:val="00CB300C"/>
    <w:rsid w:val="00CB32CC"/>
    <w:rsid w:val="00CB3364"/>
    <w:rsid w:val="00CB34A8"/>
    <w:rsid w:val="00CB3722"/>
    <w:rsid w:val="00CB4743"/>
    <w:rsid w:val="00CB48B3"/>
    <w:rsid w:val="00CB4FF1"/>
    <w:rsid w:val="00CB54B9"/>
    <w:rsid w:val="00CB5A49"/>
    <w:rsid w:val="00CB5C15"/>
    <w:rsid w:val="00CB5F20"/>
    <w:rsid w:val="00CB63E5"/>
    <w:rsid w:val="00CB676A"/>
    <w:rsid w:val="00CB678B"/>
    <w:rsid w:val="00CB6BE2"/>
    <w:rsid w:val="00CB6E37"/>
    <w:rsid w:val="00CB6E60"/>
    <w:rsid w:val="00CB6F4D"/>
    <w:rsid w:val="00CC0267"/>
    <w:rsid w:val="00CC06B5"/>
    <w:rsid w:val="00CC0B29"/>
    <w:rsid w:val="00CC0C9F"/>
    <w:rsid w:val="00CC1228"/>
    <w:rsid w:val="00CC1A21"/>
    <w:rsid w:val="00CC26CA"/>
    <w:rsid w:val="00CC28D6"/>
    <w:rsid w:val="00CC2A63"/>
    <w:rsid w:val="00CC2ED0"/>
    <w:rsid w:val="00CC2F52"/>
    <w:rsid w:val="00CC31BF"/>
    <w:rsid w:val="00CC32DB"/>
    <w:rsid w:val="00CC33DB"/>
    <w:rsid w:val="00CC3697"/>
    <w:rsid w:val="00CC371B"/>
    <w:rsid w:val="00CC39B0"/>
    <w:rsid w:val="00CC3F41"/>
    <w:rsid w:val="00CC4308"/>
    <w:rsid w:val="00CC4DCF"/>
    <w:rsid w:val="00CC4E25"/>
    <w:rsid w:val="00CC4EC6"/>
    <w:rsid w:val="00CC4EFA"/>
    <w:rsid w:val="00CC4F33"/>
    <w:rsid w:val="00CC5571"/>
    <w:rsid w:val="00CC6592"/>
    <w:rsid w:val="00CC66DE"/>
    <w:rsid w:val="00CC671C"/>
    <w:rsid w:val="00CC6925"/>
    <w:rsid w:val="00CC6AD0"/>
    <w:rsid w:val="00CC74EB"/>
    <w:rsid w:val="00CC7C0C"/>
    <w:rsid w:val="00CC7C86"/>
    <w:rsid w:val="00CC7CF1"/>
    <w:rsid w:val="00CC7D1B"/>
    <w:rsid w:val="00CC7DE1"/>
    <w:rsid w:val="00CD004E"/>
    <w:rsid w:val="00CD069C"/>
    <w:rsid w:val="00CD0A64"/>
    <w:rsid w:val="00CD0A83"/>
    <w:rsid w:val="00CD0E55"/>
    <w:rsid w:val="00CD0F30"/>
    <w:rsid w:val="00CD1218"/>
    <w:rsid w:val="00CD12E0"/>
    <w:rsid w:val="00CD13C8"/>
    <w:rsid w:val="00CD1E3C"/>
    <w:rsid w:val="00CD2344"/>
    <w:rsid w:val="00CD24A5"/>
    <w:rsid w:val="00CD25C0"/>
    <w:rsid w:val="00CD2797"/>
    <w:rsid w:val="00CD2AB7"/>
    <w:rsid w:val="00CD2EF2"/>
    <w:rsid w:val="00CD3696"/>
    <w:rsid w:val="00CD416A"/>
    <w:rsid w:val="00CD4526"/>
    <w:rsid w:val="00CD54CF"/>
    <w:rsid w:val="00CD55F8"/>
    <w:rsid w:val="00CD561D"/>
    <w:rsid w:val="00CD5694"/>
    <w:rsid w:val="00CD59D2"/>
    <w:rsid w:val="00CD5BE8"/>
    <w:rsid w:val="00CD5FF7"/>
    <w:rsid w:val="00CD64CB"/>
    <w:rsid w:val="00CD6559"/>
    <w:rsid w:val="00CD7051"/>
    <w:rsid w:val="00CD75E3"/>
    <w:rsid w:val="00CE033E"/>
    <w:rsid w:val="00CE0589"/>
    <w:rsid w:val="00CE065C"/>
    <w:rsid w:val="00CE0B58"/>
    <w:rsid w:val="00CE0D3C"/>
    <w:rsid w:val="00CE15CB"/>
    <w:rsid w:val="00CE1BCD"/>
    <w:rsid w:val="00CE1C1A"/>
    <w:rsid w:val="00CE21B6"/>
    <w:rsid w:val="00CE242C"/>
    <w:rsid w:val="00CE2627"/>
    <w:rsid w:val="00CE284C"/>
    <w:rsid w:val="00CE2AAE"/>
    <w:rsid w:val="00CE2EB2"/>
    <w:rsid w:val="00CE2ECD"/>
    <w:rsid w:val="00CE2FA7"/>
    <w:rsid w:val="00CE348F"/>
    <w:rsid w:val="00CE37E7"/>
    <w:rsid w:val="00CE385A"/>
    <w:rsid w:val="00CE4043"/>
    <w:rsid w:val="00CE4059"/>
    <w:rsid w:val="00CE453D"/>
    <w:rsid w:val="00CE4A09"/>
    <w:rsid w:val="00CE4FEA"/>
    <w:rsid w:val="00CE511F"/>
    <w:rsid w:val="00CE5225"/>
    <w:rsid w:val="00CE525D"/>
    <w:rsid w:val="00CE531B"/>
    <w:rsid w:val="00CE5459"/>
    <w:rsid w:val="00CE550A"/>
    <w:rsid w:val="00CE5551"/>
    <w:rsid w:val="00CE581A"/>
    <w:rsid w:val="00CE5879"/>
    <w:rsid w:val="00CE5C99"/>
    <w:rsid w:val="00CE67C5"/>
    <w:rsid w:val="00CE6B8B"/>
    <w:rsid w:val="00CE71FF"/>
    <w:rsid w:val="00CE74C2"/>
    <w:rsid w:val="00CE7590"/>
    <w:rsid w:val="00CF061B"/>
    <w:rsid w:val="00CF0B20"/>
    <w:rsid w:val="00CF0B92"/>
    <w:rsid w:val="00CF11A7"/>
    <w:rsid w:val="00CF128E"/>
    <w:rsid w:val="00CF155B"/>
    <w:rsid w:val="00CF1584"/>
    <w:rsid w:val="00CF1918"/>
    <w:rsid w:val="00CF1C5E"/>
    <w:rsid w:val="00CF23EE"/>
    <w:rsid w:val="00CF2E3F"/>
    <w:rsid w:val="00CF333E"/>
    <w:rsid w:val="00CF3595"/>
    <w:rsid w:val="00CF376E"/>
    <w:rsid w:val="00CF383D"/>
    <w:rsid w:val="00CF3918"/>
    <w:rsid w:val="00CF41D3"/>
    <w:rsid w:val="00CF506F"/>
    <w:rsid w:val="00CF5324"/>
    <w:rsid w:val="00CF5736"/>
    <w:rsid w:val="00CF5B0B"/>
    <w:rsid w:val="00CF5B24"/>
    <w:rsid w:val="00CF6642"/>
    <w:rsid w:val="00CF6E89"/>
    <w:rsid w:val="00CF7049"/>
    <w:rsid w:val="00CF788E"/>
    <w:rsid w:val="00CF7DAE"/>
    <w:rsid w:val="00D00233"/>
    <w:rsid w:val="00D00774"/>
    <w:rsid w:val="00D00CD9"/>
    <w:rsid w:val="00D00DBC"/>
    <w:rsid w:val="00D01772"/>
    <w:rsid w:val="00D01998"/>
    <w:rsid w:val="00D01A96"/>
    <w:rsid w:val="00D01DAC"/>
    <w:rsid w:val="00D02459"/>
    <w:rsid w:val="00D02529"/>
    <w:rsid w:val="00D0281B"/>
    <w:rsid w:val="00D02BFD"/>
    <w:rsid w:val="00D03836"/>
    <w:rsid w:val="00D0400B"/>
    <w:rsid w:val="00D04174"/>
    <w:rsid w:val="00D044D7"/>
    <w:rsid w:val="00D048AF"/>
    <w:rsid w:val="00D050C3"/>
    <w:rsid w:val="00D05BBB"/>
    <w:rsid w:val="00D05C58"/>
    <w:rsid w:val="00D062FC"/>
    <w:rsid w:val="00D06811"/>
    <w:rsid w:val="00D06A5D"/>
    <w:rsid w:val="00D07631"/>
    <w:rsid w:val="00D07B41"/>
    <w:rsid w:val="00D10185"/>
    <w:rsid w:val="00D101AA"/>
    <w:rsid w:val="00D10295"/>
    <w:rsid w:val="00D10C85"/>
    <w:rsid w:val="00D11357"/>
    <w:rsid w:val="00D115A3"/>
    <w:rsid w:val="00D11B6C"/>
    <w:rsid w:val="00D11B95"/>
    <w:rsid w:val="00D1264E"/>
    <w:rsid w:val="00D126F7"/>
    <w:rsid w:val="00D129F5"/>
    <w:rsid w:val="00D12C93"/>
    <w:rsid w:val="00D12ED9"/>
    <w:rsid w:val="00D13B2F"/>
    <w:rsid w:val="00D14158"/>
    <w:rsid w:val="00D141DD"/>
    <w:rsid w:val="00D14502"/>
    <w:rsid w:val="00D145C1"/>
    <w:rsid w:val="00D1494A"/>
    <w:rsid w:val="00D15307"/>
    <w:rsid w:val="00D15AF9"/>
    <w:rsid w:val="00D15B92"/>
    <w:rsid w:val="00D15D18"/>
    <w:rsid w:val="00D16AC9"/>
    <w:rsid w:val="00D16CA8"/>
    <w:rsid w:val="00D16E28"/>
    <w:rsid w:val="00D17231"/>
    <w:rsid w:val="00D1724C"/>
    <w:rsid w:val="00D1745C"/>
    <w:rsid w:val="00D17523"/>
    <w:rsid w:val="00D17711"/>
    <w:rsid w:val="00D17DD2"/>
    <w:rsid w:val="00D20156"/>
    <w:rsid w:val="00D205EA"/>
    <w:rsid w:val="00D20AB3"/>
    <w:rsid w:val="00D215C0"/>
    <w:rsid w:val="00D21622"/>
    <w:rsid w:val="00D21810"/>
    <w:rsid w:val="00D21887"/>
    <w:rsid w:val="00D21CFF"/>
    <w:rsid w:val="00D2246D"/>
    <w:rsid w:val="00D22640"/>
    <w:rsid w:val="00D2303D"/>
    <w:rsid w:val="00D234E6"/>
    <w:rsid w:val="00D24709"/>
    <w:rsid w:val="00D2525B"/>
    <w:rsid w:val="00D25D0A"/>
    <w:rsid w:val="00D25EAD"/>
    <w:rsid w:val="00D266DE"/>
    <w:rsid w:val="00D27232"/>
    <w:rsid w:val="00D2749F"/>
    <w:rsid w:val="00D27632"/>
    <w:rsid w:val="00D27885"/>
    <w:rsid w:val="00D278D4"/>
    <w:rsid w:val="00D27BB1"/>
    <w:rsid w:val="00D27E84"/>
    <w:rsid w:val="00D302FE"/>
    <w:rsid w:val="00D307CF"/>
    <w:rsid w:val="00D3120F"/>
    <w:rsid w:val="00D31515"/>
    <w:rsid w:val="00D31540"/>
    <w:rsid w:val="00D31579"/>
    <w:rsid w:val="00D31689"/>
    <w:rsid w:val="00D3171B"/>
    <w:rsid w:val="00D31E4C"/>
    <w:rsid w:val="00D32050"/>
    <w:rsid w:val="00D325D3"/>
    <w:rsid w:val="00D339DC"/>
    <w:rsid w:val="00D34217"/>
    <w:rsid w:val="00D34432"/>
    <w:rsid w:val="00D344C4"/>
    <w:rsid w:val="00D35339"/>
    <w:rsid w:val="00D355E8"/>
    <w:rsid w:val="00D35633"/>
    <w:rsid w:val="00D3599F"/>
    <w:rsid w:val="00D35C73"/>
    <w:rsid w:val="00D35F06"/>
    <w:rsid w:val="00D361E7"/>
    <w:rsid w:val="00D365BA"/>
    <w:rsid w:val="00D36FC3"/>
    <w:rsid w:val="00D37AC4"/>
    <w:rsid w:val="00D37BA0"/>
    <w:rsid w:val="00D37E9A"/>
    <w:rsid w:val="00D406C6"/>
    <w:rsid w:val="00D406D6"/>
    <w:rsid w:val="00D40FB1"/>
    <w:rsid w:val="00D41004"/>
    <w:rsid w:val="00D42635"/>
    <w:rsid w:val="00D43A81"/>
    <w:rsid w:val="00D43DD6"/>
    <w:rsid w:val="00D43E5A"/>
    <w:rsid w:val="00D44D83"/>
    <w:rsid w:val="00D454EC"/>
    <w:rsid w:val="00D4552E"/>
    <w:rsid w:val="00D45979"/>
    <w:rsid w:val="00D46D08"/>
    <w:rsid w:val="00D474B2"/>
    <w:rsid w:val="00D47696"/>
    <w:rsid w:val="00D50921"/>
    <w:rsid w:val="00D50E37"/>
    <w:rsid w:val="00D50F06"/>
    <w:rsid w:val="00D515C4"/>
    <w:rsid w:val="00D51C2C"/>
    <w:rsid w:val="00D52307"/>
    <w:rsid w:val="00D53686"/>
    <w:rsid w:val="00D53B6B"/>
    <w:rsid w:val="00D53E64"/>
    <w:rsid w:val="00D540AC"/>
    <w:rsid w:val="00D54480"/>
    <w:rsid w:val="00D54645"/>
    <w:rsid w:val="00D54DA8"/>
    <w:rsid w:val="00D559FF"/>
    <w:rsid w:val="00D55A36"/>
    <w:rsid w:val="00D5634A"/>
    <w:rsid w:val="00D5689A"/>
    <w:rsid w:val="00D57072"/>
    <w:rsid w:val="00D57ABD"/>
    <w:rsid w:val="00D57D7F"/>
    <w:rsid w:val="00D6020E"/>
    <w:rsid w:val="00D6035D"/>
    <w:rsid w:val="00D609A4"/>
    <w:rsid w:val="00D609E2"/>
    <w:rsid w:val="00D60C18"/>
    <w:rsid w:val="00D61249"/>
    <w:rsid w:val="00D61AE5"/>
    <w:rsid w:val="00D61C27"/>
    <w:rsid w:val="00D61E7B"/>
    <w:rsid w:val="00D61F1A"/>
    <w:rsid w:val="00D6288D"/>
    <w:rsid w:val="00D630D0"/>
    <w:rsid w:val="00D6343F"/>
    <w:rsid w:val="00D63579"/>
    <w:rsid w:val="00D643BA"/>
    <w:rsid w:val="00D64636"/>
    <w:rsid w:val="00D6466D"/>
    <w:rsid w:val="00D6495A"/>
    <w:rsid w:val="00D65699"/>
    <w:rsid w:val="00D65F2B"/>
    <w:rsid w:val="00D660CD"/>
    <w:rsid w:val="00D666B7"/>
    <w:rsid w:val="00D6689C"/>
    <w:rsid w:val="00D668E4"/>
    <w:rsid w:val="00D670E9"/>
    <w:rsid w:val="00D67466"/>
    <w:rsid w:val="00D67CBC"/>
    <w:rsid w:val="00D67CE9"/>
    <w:rsid w:val="00D7047B"/>
    <w:rsid w:val="00D70613"/>
    <w:rsid w:val="00D70735"/>
    <w:rsid w:val="00D70CB8"/>
    <w:rsid w:val="00D70F14"/>
    <w:rsid w:val="00D71299"/>
    <w:rsid w:val="00D71C4E"/>
    <w:rsid w:val="00D72020"/>
    <w:rsid w:val="00D7299F"/>
    <w:rsid w:val="00D729A9"/>
    <w:rsid w:val="00D72AAC"/>
    <w:rsid w:val="00D73967"/>
    <w:rsid w:val="00D73E75"/>
    <w:rsid w:val="00D73E78"/>
    <w:rsid w:val="00D741F4"/>
    <w:rsid w:val="00D7479E"/>
    <w:rsid w:val="00D7498F"/>
    <w:rsid w:val="00D74E14"/>
    <w:rsid w:val="00D74EA4"/>
    <w:rsid w:val="00D74FEC"/>
    <w:rsid w:val="00D751CB"/>
    <w:rsid w:val="00D75505"/>
    <w:rsid w:val="00D75BA8"/>
    <w:rsid w:val="00D763D3"/>
    <w:rsid w:val="00D76695"/>
    <w:rsid w:val="00D76A00"/>
    <w:rsid w:val="00D76D32"/>
    <w:rsid w:val="00D770D7"/>
    <w:rsid w:val="00D776AB"/>
    <w:rsid w:val="00D77957"/>
    <w:rsid w:val="00D77AC7"/>
    <w:rsid w:val="00D77DAB"/>
    <w:rsid w:val="00D8097A"/>
    <w:rsid w:val="00D80998"/>
    <w:rsid w:val="00D81B5C"/>
    <w:rsid w:val="00D8228F"/>
    <w:rsid w:val="00D83202"/>
    <w:rsid w:val="00D837CA"/>
    <w:rsid w:val="00D83CB1"/>
    <w:rsid w:val="00D843EA"/>
    <w:rsid w:val="00D846EF"/>
    <w:rsid w:val="00D84724"/>
    <w:rsid w:val="00D8474C"/>
    <w:rsid w:val="00D84B02"/>
    <w:rsid w:val="00D84CD3"/>
    <w:rsid w:val="00D85109"/>
    <w:rsid w:val="00D8563D"/>
    <w:rsid w:val="00D85B73"/>
    <w:rsid w:val="00D85B7E"/>
    <w:rsid w:val="00D85CE7"/>
    <w:rsid w:val="00D85DCA"/>
    <w:rsid w:val="00D8615E"/>
    <w:rsid w:val="00D862DA"/>
    <w:rsid w:val="00D8640C"/>
    <w:rsid w:val="00D86456"/>
    <w:rsid w:val="00D870BD"/>
    <w:rsid w:val="00D87875"/>
    <w:rsid w:val="00D901F5"/>
    <w:rsid w:val="00D907A4"/>
    <w:rsid w:val="00D90BD4"/>
    <w:rsid w:val="00D90C1D"/>
    <w:rsid w:val="00D90C3C"/>
    <w:rsid w:val="00D90EB4"/>
    <w:rsid w:val="00D90ED8"/>
    <w:rsid w:val="00D910AD"/>
    <w:rsid w:val="00D910E2"/>
    <w:rsid w:val="00D910FC"/>
    <w:rsid w:val="00D9119F"/>
    <w:rsid w:val="00D916E9"/>
    <w:rsid w:val="00D91C25"/>
    <w:rsid w:val="00D92A6C"/>
    <w:rsid w:val="00D936C9"/>
    <w:rsid w:val="00D94963"/>
    <w:rsid w:val="00D94E8B"/>
    <w:rsid w:val="00D952BD"/>
    <w:rsid w:val="00D95638"/>
    <w:rsid w:val="00D95A7F"/>
    <w:rsid w:val="00D95C24"/>
    <w:rsid w:val="00D96911"/>
    <w:rsid w:val="00D96B20"/>
    <w:rsid w:val="00D9723D"/>
    <w:rsid w:val="00DA0CFB"/>
    <w:rsid w:val="00DA1496"/>
    <w:rsid w:val="00DA14A9"/>
    <w:rsid w:val="00DA1F76"/>
    <w:rsid w:val="00DA215C"/>
    <w:rsid w:val="00DA25BF"/>
    <w:rsid w:val="00DA2F05"/>
    <w:rsid w:val="00DA3D7B"/>
    <w:rsid w:val="00DA3DD5"/>
    <w:rsid w:val="00DA3F0E"/>
    <w:rsid w:val="00DA4B16"/>
    <w:rsid w:val="00DA4D0B"/>
    <w:rsid w:val="00DA50EC"/>
    <w:rsid w:val="00DA5602"/>
    <w:rsid w:val="00DA5A51"/>
    <w:rsid w:val="00DA6721"/>
    <w:rsid w:val="00DA7170"/>
    <w:rsid w:val="00DA7189"/>
    <w:rsid w:val="00DA7370"/>
    <w:rsid w:val="00DA7581"/>
    <w:rsid w:val="00DA7F92"/>
    <w:rsid w:val="00DB06A4"/>
    <w:rsid w:val="00DB06FE"/>
    <w:rsid w:val="00DB0A60"/>
    <w:rsid w:val="00DB0BCC"/>
    <w:rsid w:val="00DB10AD"/>
    <w:rsid w:val="00DB1190"/>
    <w:rsid w:val="00DB11B6"/>
    <w:rsid w:val="00DB1D12"/>
    <w:rsid w:val="00DB2501"/>
    <w:rsid w:val="00DB255F"/>
    <w:rsid w:val="00DB36A1"/>
    <w:rsid w:val="00DB3BDA"/>
    <w:rsid w:val="00DB435C"/>
    <w:rsid w:val="00DB4594"/>
    <w:rsid w:val="00DB486E"/>
    <w:rsid w:val="00DB4AA3"/>
    <w:rsid w:val="00DB4DF3"/>
    <w:rsid w:val="00DB541B"/>
    <w:rsid w:val="00DB54F1"/>
    <w:rsid w:val="00DB5524"/>
    <w:rsid w:val="00DB5AAC"/>
    <w:rsid w:val="00DB6280"/>
    <w:rsid w:val="00DB6312"/>
    <w:rsid w:val="00DB66DC"/>
    <w:rsid w:val="00DB68B3"/>
    <w:rsid w:val="00DB68FF"/>
    <w:rsid w:val="00DB6D7A"/>
    <w:rsid w:val="00DB6D8E"/>
    <w:rsid w:val="00DB7230"/>
    <w:rsid w:val="00DB75BF"/>
    <w:rsid w:val="00DB790D"/>
    <w:rsid w:val="00DB7BC8"/>
    <w:rsid w:val="00DC0337"/>
    <w:rsid w:val="00DC0425"/>
    <w:rsid w:val="00DC0510"/>
    <w:rsid w:val="00DC21B2"/>
    <w:rsid w:val="00DC2713"/>
    <w:rsid w:val="00DC32BA"/>
    <w:rsid w:val="00DC3526"/>
    <w:rsid w:val="00DC3535"/>
    <w:rsid w:val="00DC39D1"/>
    <w:rsid w:val="00DC4096"/>
    <w:rsid w:val="00DC42F3"/>
    <w:rsid w:val="00DC4C61"/>
    <w:rsid w:val="00DC4E73"/>
    <w:rsid w:val="00DC5707"/>
    <w:rsid w:val="00DC5929"/>
    <w:rsid w:val="00DC5FD8"/>
    <w:rsid w:val="00DC6015"/>
    <w:rsid w:val="00DC6860"/>
    <w:rsid w:val="00DC6AC0"/>
    <w:rsid w:val="00DC6D9E"/>
    <w:rsid w:val="00DC7298"/>
    <w:rsid w:val="00DC778C"/>
    <w:rsid w:val="00DD00C6"/>
    <w:rsid w:val="00DD0BC7"/>
    <w:rsid w:val="00DD0BD4"/>
    <w:rsid w:val="00DD1024"/>
    <w:rsid w:val="00DD118D"/>
    <w:rsid w:val="00DD11E4"/>
    <w:rsid w:val="00DD14C5"/>
    <w:rsid w:val="00DD162D"/>
    <w:rsid w:val="00DD165E"/>
    <w:rsid w:val="00DD1A10"/>
    <w:rsid w:val="00DD2099"/>
    <w:rsid w:val="00DD2939"/>
    <w:rsid w:val="00DD36D3"/>
    <w:rsid w:val="00DD3B9D"/>
    <w:rsid w:val="00DD3C9B"/>
    <w:rsid w:val="00DD3F40"/>
    <w:rsid w:val="00DD4570"/>
    <w:rsid w:val="00DD4CB5"/>
    <w:rsid w:val="00DD4D98"/>
    <w:rsid w:val="00DD50AF"/>
    <w:rsid w:val="00DD55E1"/>
    <w:rsid w:val="00DD5614"/>
    <w:rsid w:val="00DD5925"/>
    <w:rsid w:val="00DD5A73"/>
    <w:rsid w:val="00DD5A7E"/>
    <w:rsid w:val="00DD5AB6"/>
    <w:rsid w:val="00DD6518"/>
    <w:rsid w:val="00DD6537"/>
    <w:rsid w:val="00DD6651"/>
    <w:rsid w:val="00DD6667"/>
    <w:rsid w:val="00DD6789"/>
    <w:rsid w:val="00DD6C4C"/>
    <w:rsid w:val="00DD6CF5"/>
    <w:rsid w:val="00DD74A2"/>
    <w:rsid w:val="00DD7CC7"/>
    <w:rsid w:val="00DE0661"/>
    <w:rsid w:val="00DE0B7B"/>
    <w:rsid w:val="00DE122D"/>
    <w:rsid w:val="00DE12D8"/>
    <w:rsid w:val="00DE1414"/>
    <w:rsid w:val="00DE1982"/>
    <w:rsid w:val="00DE1B83"/>
    <w:rsid w:val="00DE242C"/>
    <w:rsid w:val="00DE31C6"/>
    <w:rsid w:val="00DE383B"/>
    <w:rsid w:val="00DE3981"/>
    <w:rsid w:val="00DE3FAA"/>
    <w:rsid w:val="00DE44A1"/>
    <w:rsid w:val="00DE4506"/>
    <w:rsid w:val="00DE4674"/>
    <w:rsid w:val="00DE495C"/>
    <w:rsid w:val="00DE499E"/>
    <w:rsid w:val="00DE49BE"/>
    <w:rsid w:val="00DE4A76"/>
    <w:rsid w:val="00DE4EB5"/>
    <w:rsid w:val="00DE5B22"/>
    <w:rsid w:val="00DE5D04"/>
    <w:rsid w:val="00DE5D70"/>
    <w:rsid w:val="00DE6576"/>
    <w:rsid w:val="00DE67A6"/>
    <w:rsid w:val="00DE6D6F"/>
    <w:rsid w:val="00DE7560"/>
    <w:rsid w:val="00DE7909"/>
    <w:rsid w:val="00DE7E94"/>
    <w:rsid w:val="00DE7FCB"/>
    <w:rsid w:val="00DF0885"/>
    <w:rsid w:val="00DF0F0F"/>
    <w:rsid w:val="00DF124C"/>
    <w:rsid w:val="00DF16F4"/>
    <w:rsid w:val="00DF1A78"/>
    <w:rsid w:val="00DF1AB8"/>
    <w:rsid w:val="00DF2332"/>
    <w:rsid w:val="00DF2953"/>
    <w:rsid w:val="00DF2A8B"/>
    <w:rsid w:val="00DF2D21"/>
    <w:rsid w:val="00DF2FE0"/>
    <w:rsid w:val="00DF33C4"/>
    <w:rsid w:val="00DF3B4C"/>
    <w:rsid w:val="00DF40F5"/>
    <w:rsid w:val="00DF4614"/>
    <w:rsid w:val="00DF4A25"/>
    <w:rsid w:val="00DF5057"/>
    <w:rsid w:val="00DF50A7"/>
    <w:rsid w:val="00DF627D"/>
    <w:rsid w:val="00DF62F8"/>
    <w:rsid w:val="00DF6B19"/>
    <w:rsid w:val="00DF6C00"/>
    <w:rsid w:val="00DF6D10"/>
    <w:rsid w:val="00DF6F25"/>
    <w:rsid w:val="00DF6FB0"/>
    <w:rsid w:val="00DF777F"/>
    <w:rsid w:val="00DF79D7"/>
    <w:rsid w:val="00DF7B25"/>
    <w:rsid w:val="00DF7D88"/>
    <w:rsid w:val="00DF7E13"/>
    <w:rsid w:val="00E00027"/>
    <w:rsid w:val="00E0025C"/>
    <w:rsid w:val="00E00361"/>
    <w:rsid w:val="00E003C9"/>
    <w:rsid w:val="00E004BE"/>
    <w:rsid w:val="00E008ED"/>
    <w:rsid w:val="00E00A2F"/>
    <w:rsid w:val="00E00B67"/>
    <w:rsid w:val="00E01224"/>
    <w:rsid w:val="00E01843"/>
    <w:rsid w:val="00E01B95"/>
    <w:rsid w:val="00E03469"/>
    <w:rsid w:val="00E034E5"/>
    <w:rsid w:val="00E03712"/>
    <w:rsid w:val="00E03F3F"/>
    <w:rsid w:val="00E03FE5"/>
    <w:rsid w:val="00E04573"/>
    <w:rsid w:val="00E0460E"/>
    <w:rsid w:val="00E04840"/>
    <w:rsid w:val="00E04A25"/>
    <w:rsid w:val="00E04C40"/>
    <w:rsid w:val="00E04EF4"/>
    <w:rsid w:val="00E0517B"/>
    <w:rsid w:val="00E0522D"/>
    <w:rsid w:val="00E05422"/>
    <w:rsid w:val="00E0631C"/>
    <w:rsid w:val="00E064E0"/>
    <w:rsid w:val="00E065DC"/>
    <w:rsid w:val="00E0669A"/>
    <w:rsid w:val="00E06BA7"/>
    <w:rsid w:val="00E06E95"/>
    <w:rsid w:val="00E073C4"/>
    <w:rsid w:val="00E073E3"/>
    <w:rsid w:val="00E07953"/>
    <w:rsid w:val="00E07C09"/>
    <w:rsid w:val="00E07CBE"/>
    <w:rsid w:val="00E10E0F"/>
    <w:rsid w:val="00E113BE"/>
    <w:rsid w:val="00E1140B"/>
    <w:rsid w:val="00E120FF"/>
    <w:rsid w:val="00E122E7"/>
    <w:rsid w:val="00E1232F"/>
    <w:rsid w:val="00E12917"/>
    <w:rsid w:val="00E13556"/>
    <w:rsid w:val="00E1359D"/>
    <w:rsid w:val="00E135A1"/>
    <w:rsid w:val="00E13740"/>
    <w:rsid w:val="00E13825"/>
    <w:rsid w:val="00E14220"/>
    <w:rsid w:val="00E14907"/>
    <w:rsid w:val="00E1496E"/>
    <w:rsid w:val="00E1529E"/>
    <w:rsid w:val="00E152B1"/>
    <w:rsid w:val="00E152FD"/>
    <w:rsid w:val="00E15ECE"/>
    <w:rsid w:val="00E161E9"/>
    <w:rsid w:val="00E16D8F"/>
    <w:rsid w:val="00E16EF1"/>
    <w:rsid w:val="00E16F94"/>
    <w:rsid w:val="00E177A0"/>
    <w:rsid w:val="00E17A16"/>
    <w:rsid w:val="00E17F63"/>
    <w:rsid w:val="00E17FF4"/>
    <w:rsid w:val="00E2015D"/>
    <w:rsid w:val="00E20984"/>
    <w:rsid w:val="00E2158E"/>
    <w:rsid w:val="00E22042"/>
    <w:rsid w:val="00E23FF5"/>
    <w:rsid w:val="00E24D18"/>
    <w:rsid w:val="00E24F35"/>
    <w:rsid w:val="00E25400"/>
    <w:rsid w:val="00E26B35"/>
    <w:rsid w:val="00E26ECF"/>
    <w:rsid w:val="00E270BD"/>
    <w:rsid w:val="00E27E96"/>
    <w:rsid w:val="00E3012A"/>
    <w:rsid w:val="00E30236"/>
    <w:rsid w:val="00E306A2"/>
    <w:rsid w:val="00E31553"/>
    <w:rsid w:val="00E320BB"/>
    <w:rsid w:val="00E326EA"/>
    <w:rsid w:val="00E32754"/>
    <w:rsid w:val="00E328ED"/>
    <w:rsid w:val="00E328F8"/>
    <w:rsid w:val="00E33191"/>
    <w:rsid w:val="00E3397F"/>
    <w:rsid w:val="00E33DFD"/>
    <w:rsid w:val="00E34265"/>
    <w:rsid w:val="00E34739"/>
    <w:rsid w:val="00E34E64"/>
    <w:rsid w:val="00E3529C"/>
    <w:rsid w:val="00E35438"/>
    <w:rsid w:val="00E35FF6"/>
    <w:rsid w:val="00E364D4"/>
    <w:rsid w:val="00E368C3"/>
    <w:rsid w:val="00E368D6"/>
    <w:rsid w:val="00E36ED9"/>
    <w:rsid w:val="00E371FC"/>
    <w:rsid w:val="00E3764A"/>
    <w:rsid w:val="00E377B4"/>
    <w:rsid w:val="00E37EF0"/>
    <w:rsid w:val="00E37F19"/>
    <w:rsid w:val="00E40152"/>
    <w:rsid w:val="00E4096C"/>
    <w:rsid w:val="00E40B14"/>
    <w:rsid w:val="00E4137F"/>
    <w:rsid w:val="00E4158F"/>
    <w:rsid w:val="00E415D9"/>
    <w:rsid w:val="00E42D5B"/>
    <w:rsid w:val="00E434A0"/>
    <w:rsid w:val="00E437C5"/>
    <w:rsid w:val="00E43C06"/>
    <w:rsid w:val="00E43D44"/>
    <w:rsid w:val="00E44287"/>
    <w:rsid w:val="00E444D8"/>
    <w:rsid w:val="00E449B1"/>
    <w:rsid w:val="00E452DC"/>
    <w:rsid w:val="00E46C58"/>
    <w:rsid w:val="00E46FA0"/>
    <w:rsid w:val="00E47043"/>
    <w:rsid w:val="00E4732F"/>
    <w:rsid w:val="00E47646"/>
    <w:rsid w:val="00E47B31"/>
    <w:rsid w:val="00E47D8D"/>
    <w:rsid w:val="00E501F7"/>
    <w:rsid w:val="00E50341"/>
    <w:rsid w:val="00E50680"/>
    <w:rsid w:val="00E5082D"/>
    <w:rsid w:val="00E5120F"/>
    <w:rsid w:val="00E5127A"/>
    <w:rsid w:val="00E5187D"/>
    <w:rsid w:val="00E51D3E"/>
    <w:rsid w:val="00E521E8"/>
    <w:rsid w:val="00E5248C"/>
    <w:rsid w:val="00E5292D"/>
    <w:rsid w:val="00E52F6B"/>
    <w:rsid w:val="00E53208"/>
    <w:rsid w:val="00E5328B"/>
    <w:rsid w:val="00E53BB0"/>
    <w:rsid w:val="00E53CF8"/>
    <w:rsid w:val="00E53E66"/>
    <w:rsid w:val="00E53FF7"/>
    <w:rsid w:val="00E54021"/>
    <w:rsid w:val="00E5407C"/>
    <w:rsid w:val="00E542EA"/>
    <w:rsid w:val="00E54B0B"/>
    <w:rsid w:val="00E55456"/>
    <w:rsid w:val="00E55546"/>
    <w:rsid w:val="00E55EB7"/>
    <w:rsid w:val="00E55EED"/>
    <w:rsid w:val="00E55F5D"/>
    <w:rsid w:val="00E56862"/>
    <w:rsid w:val="00E571BF"/>
    <w:rsid w:val="00E574A9"/>
    <w:rsid w:val="00E5775E"/>
    <w:rsid w:val="00E606F4"/>
    <w:rsid w:val="00E6077C"/>
    <w:rsid w:val="00E6081D"/>
    <w:rsid w:val="00E612F2"/>
    <w:rsid w:val="00E61355"/>
    <w:rsid w:val="00E613BC"/>
    <w:rsid w:val="00E61418"/>
    <w:rsid w:val="00E61492"/>
    <w:rsid w:val="00E6149A"/>
    <w:rsid w:val="00E61955"/>
    <w:rsid w:val="00E61F1E"/>
    <w:rsid w:val="00E61F50"/>
    <w:rsid w:val="00E62176"/>
    <w:rsid w:val="00E62222"/>
    <w:rsid w:val="00E62880"/>
    <w:rsid w:val="00E62E3A"/>
    <w:rsid w:val="00E63316"/>
    <w:rsid w:val="00E63468"/>
    <w:rsid w:val="00E63D77"/>
    <w:rsid w:val="00E640AC"/>
    <w:rsid w:val="00E6469F"/>
    <w:rsid w:val="00E64C43"/>
    <w:rsid w:val="00E650DD"/>
    <w:rsid w:val="00E6581A"/>
    <w:rsid w:val="00E661C4"/>
    <w:rsid w:val="00E662FD"/>
    <w:rsid w:val="00E66302"/>
    <w:rsid w:val="00E66565"/>
    <w:rsid w:val="00E66861"/>
    <w:rsid w:val="00E66E21"/>
    <w:rsid w:val="00E67063"/>
    <w:rsid w:val="00E6720F"/>
    <w:rsid w:val="00E67375"/>
    <w:rsid w:val="00E67AC2"/>
    <w:rsid w:val="00E67AF2"/>
    <w:rsid w:val="00E70904"/>
    <w:rsid w:val="00E70ABA"/>
    <w:rsid w:val="00E70B3C"/>
    <w:rsid w:val="00E70BB5"/>
    <w:rsid w:val="00E70BF2"/>
    <w:rsid w:val="00E70DF4"/>
    <w:rsid w:val="00E70F38"/>
    <w:rsid w:val="00E710FC"/>
    <w:rsid w:val="00E71915"/>
    <w:rsid w:val="00E725A4"/>
    <w:rsid w:val="00E728D9"/>
    <w:rsid w:val="00E72B7B"/>
    <w:rsid w:val="00E73037"/>
    <w:rsid w:val="00E73145"/>
    <w:rsid w:val="00E7324A"/>
    <w:rsid w:val="00E7363C"/>
    <w:rsid w:val="00E74A89"/>
    <w:rsid w:val="00E74C70"/>
    <w:rsid w:val="00E75A72"/>
    <w:rsid w:val="00E76217"/>
    <w:rsid w:val="00E76341"/>
    <w:rsid w:val="00E764E9"/>
    <w:rsid w:val="00E765CF"/>
    <w:rsid w:val="00E76635"/>
    <w:rsid w:val="00E7692C"/>
    <w:rsid w:val="00E76AAC"/>
    <w:rsid w:val="00E7791D"/>
    <w:rsid w:val="00E77A2E"/>
    <w:rsid w:val="00E8060B"/>
    <w:rsid w:val="00E80916"/>
    <w:rsid w:val="00E80ED4"/>
    <w:rsid w:val="00E81D08"/>
    <w:rsid w:val="00E820AA"/>
    <w:rsid w:val="00E8363D"/>
    <w:rsid w:val="00E839A3"/>
    <w:rsid w:val="00E83A8E"/>
    <w:rsid w:val="00E83AEA"/>
    <w:rsid w:val="00E83AF5"/>
    <w:rsid w:val="00E840DF"/>
    <w:rsid w:val="00E8419F"/>
    <w:rsid w:val="00E84529"/>
    <w:rsid w:val="00E8452A"/>
    <w:rsid w:val="00E85256"/>
    <w:rsid w:val="00E855A6"/>
    <w:rsid w:val="00E8560F"/>
    <w:rsid w:val="00E85A9F"/>
    <w:rsid w:val="00E85AF4"/>
    <w:rsid w:val="00E862BF"/>
    <w:rsid w:val="00E8636F"/>
    <w:rsid w:val="00E8683A"/>
    <w:rsid w:val="00E876BF"/>
    <w:rsid w:val="00E8780A"/>
    <w:rsid w:val="00E878ED"/>
    <w:rsid w:val="00E87927"/>
    <w:rsid w:val="00E87D3E"/>
    <w:rsid w:val="00E87EF1"/>
    <w:rsid w:val="00E9005D"/>
    <w:rsid w:val="00E91666"/>
    <w:rsid w:val="00E91748"/>
    <w:rsid w:val="00E91806"/>
    <w:rsid w:val="00E91DB6"/>
    <w:rsid w:val="00E922C7"/>
    <w:rsid w:val="00E922E8"/>
    <w:rsid w:val="00E926D8"/>
    <w:rsid w:val="00E92833"/>
    <w:rsid w:val="00E92930"/>
    <w:rsid w:val="00E92B74"/>
    <w:rsid w:val="00E92ED8"/>
    <w:rsid w:val="00E93608"/>
    <w:rsid w:val="00E93C9C"/>
    <w:rsid w:val="00E93EA4"/>
    <w:rsid w:val="00E94AA6"/>
    <w:rsid w:val="00E94F0A"/>
    <w:rsid w:val="00E950BB"/>
    <w:rsid w:val="00E951D1"/>
    <w:rsid w:val="00E9544F"/>
    <w:rsid w:val="00E95490"/>
    <w:rsid w:val="00E9565E"/>
    <w:rsid w:val="00E957FC"/>
    <w:rsid w:val="00E95C2E"/>
    <w:rsid w:val="00E96781"/>
    <w:rsid w:val="00E96A95"/>
    <w:rsid w:val="00E9767D"/>
    <w:rsid w:val="00E97A4A"/>
    <w:rsid w:val="00E97B77"/>
    <w:rsid w:val="00E97C22"/>
    <w:rsid w:val="00EA0289"/>
    <w:rsid w:val="00EA0A66"/>
    <w:rsid w:val="00EA0DFE"/>
    <w:rsid w:val="00EA1B2F"/>
    <w:rsid w:val="00EA1FEC"/>
    <w:rsid w:val="00EA25BB"/>
    <w:rsid w:val="00EA27BA"/>
    <w:rsid w:val="00EA3EB8"/>
    <w:rsid w:val="00EA40BB"/>
    <w:rsid w:val="00EA4D20"/>
    <w:rsid w:val="00EA4D7E"/>
    <w:rsid w:val="00EA54E4"/>
    <w:rsid w:val="00EA55A3"/>
    <w:rsid w:val="00EA567F"/>
    <w:rsid w:val="00EA58CD"/>
    <w:rsid w:val="00EA5B12"/>
    <w:rsid w:val="00EA5E57"/>
    <w:rsid w:val="00EA5E81"/>
    <w:rsid w:val="00EA5EAF"/>
    <w:rsid w:val="00EA68DD"/>
    <w:rsid w:val="00EA6B24"/>
    <w:rsid w:val="00EA6BDC"/>
    <w:rsid w:val="00EA7562"/>
    <w:rsid w:val="00EA78FA"/>
    <w:rsid w:val="00EA7B0F"/>
    <w:rsid w:val="00EA7E52"/>
    <w:rsid w:val="00EA7F86"/>
    <w:rsid w:val="00EB11D1"/>
    <w:rsid w:val="00EB181B"/>
    <w:rsid w:val="00EB1CA4"/>
    <w:rsid w:val="00EB2221"/>
    <w:rsid w:val="00EB25C5"/>
    <w:rsid w:val="00EB28FF"/>
    <w:rsid w:val="00EB2941"/>
    <w:rsid w:val="00EB2DEA"/>
    <w:rsid w:val="00EB3877"/>
    <w:rsid w:val="00EB3E01"/>
    <w:rsid w:val="00EB3EA9"/>
    <w:rsid w:val="00EB3F59"/>
    <w:rsid w:val="00EB4503"/>
    <w:rsid w:val="00EB4508"/>
    <w:rsid w:val="00EB45A1"/>
    <w:rsid w:val="00EB463F"/>
    <w:rsid w:val="00EB48EC"/>
    <w:rsid w:val="00EB4DF1"/>
    <w:rsid w:val="00EB58D8"/>
    <w:rsid w:val="00EB5A2D"/>
    <w:rsid w:val="00EB69D2"/>
    <w:rsid w:val="00EB74E6"/>
    <w:rsid w:val="00EC004A"/>
    <w:rsid w:val="00EC075A"/>
    <w:rsid w:val="00EC097E"/>
    <w:rsid w:val="00EC0AC6"/>
    <w:rsid w:val="00EC0AD2"/>
    <w:rsid w:val="00EC0F60"/>
    <w:rsid w:val="00EC1457"/>
    <w:rsid w:val="00EC17DC"/>
    <w:rsid w:val="00EC1812"/>
    <w:rsid w:val="00EC1F16"/>
    <w:rsid w:val="00EC1F73"/>
    <w:rsid w:val="00EC2D3E"/>
    <w:rsid w:val="00EC2F96"/>
    <w:rsid w:val="00EC300A"/>
    <w:rsid w:val="00EC341C"/>
    <w:rsid w:val="00EC35FC"/>
    <w:rsid w:val="00EC3970"/>
    <w:rsid w:val="00EC3CB9"/>
    <w:rsid w:val="00EC3EF3"/>
    <w:rsid w:val="00EC4C78"/>
    <w:rsid w:val="00EC554E"/>
    <w:rsid w:val="00EC5985"/>
    <w:rsid w:val="00EC5CCF"/>
    <w:rsid w:val="00EC5D97"/>
    <w:rsid w:val="00EC5DAE"/>
    <w:rsid w:val="00EC6438"/>
    <w:rsid w:val="00EC65B1"/>
    <w:rsid w:val="00EC6D88"/>
    <w:rsid w:val="00EC6D8E"/>
    <w:rsid w:val="00EC7DDD"/>
    <w:rsid w:val="00ED00E0"/>
    <w:rsid w:val="00ED0946"/>
    <w:rsid w:val="00ED0F0F"/>
    <w:rsid w:val="00ED10B6"/>
    <w:rsid w:val="00ED11D4"/>
    <w:rsid w:val="00ED1657"/>
    <w:rsid w:val="00ED1765"/>
    <w:rsid w:val="00ED17A1"/>
    <w:rsid w:val="00ED1A0C"/>
    <w:rsid w:val="00ED1CEF"/>
    <w:rsid w:val="00ED1FD8"/>
    <w:rsid w:val="00ED1FED"/>
    <w:rsid w:val="00ED213B"/>
    <w:rsid w:val="00ED21E6"/>
    <w:rsid w:val="00ED26E9"/>
    <w:rsid w:val="00ED2826"/>
    <w:rsid w:val="00ED28F2"/>
    <w:rsid w:val="00ED2FF3"/>
    <w:rsid w:val="00ED3251"/>
    <w:rsid w:val="00ED33D0"/>
    <w:rsid w:val="00ED3870"/>
    <w:rsid w:val="00ED5637"/>
    <w:rsid w:val="00ED5777"/>
    <w:rsid w:val="00ED5B75"/>
    <w:rsid w:val="00ED5E6D"/>
    <w:rsid w:val="00ED61F2"/>
    <w:rsid w:val="00ED61F7"/>
    <w:rsid w:val="00ED63DD"/>
    <w:rsid w:val="00ED6618"/>
    <w:rsid w:val="00ED66DA"/>
    <w:rsid w:val="00ED6B50"/>
    <w:rsid w:val="00ED6C2E"/>
    <w:rsid w:val="00EE0EAE"/>
    <w:rsid w:val="00EE0FCF"/>
    <w:rsid w:val="00EE15F4"/>
    <w:rsid w:val="00EE165D"/>
    <w:rsid w:val="00EE1A7E"/>
    <w:rsid w:val="00EE1B44"/>
    <w:rsid w:val="00EE1EF5"/>
    <w:rsid w:val="00EE2932"/>
    <w:rsid w:val="00EE2BF4"/>
    <w:rsid w:val="00EE3856"/>
    <w:rsid w:val="00EE38B9"/>
    <w:rsid w:val="00EE3B51"/>
    <w:rsid w:val="00EE4181"/>
    <w:rsid w:val="00EE4391"/>
    <w:rsid w:val="00EE4C5D"/>
    <w:rsid w:val="00EE5564"/>
    <w:rsid w:val="00EE57AF"/>
    <w:rsid w:val="00EE5830"/>
    <w:rsid w:val="00EE60A6"/>
    <w:rsid w:val="00EE65C4"/>
    <w:rsid w:val="00EE6A51"/>
    <w:rsid w:val="00EE71C9"/>
    <w:rsid w:val="00EE75D9"/>
    <w:rsid w:val="00EE7CBE"/>
    <w:rsid w:val="00EE7E1F"/>
    <w:rsid w:val="00EF0409"/>
    <w:rsid w:val="00EF0AEC"/>
    <w:rsid w:val="00EF137C"/>
    <w:rsid w:val="00EF1575"/>
    <w:rsid w:val="00EF1D71"/>
    <w:rsid w:val="00EF1E5F"/>
    <w:rsid w:val="00EF2368"/>
    <w:rsid w:val="00EF2534"/>
    <w:rsid w:val="00EF2AB6"/>
    <w:rsid w:val="00EF2F9A"/>
    <w:rsid w:val="00EF2FBC"/>
    <w:rsid w:val="00EF3206"/>
    <w:rsid w:val="00EF332F"/>
    <w:rsid w:val="00EF33B5"/>
    <w:rsid w:val="00EF352D"/>
    <w:rsid w:val="00EF36B7"/>
    <w:rsid w:val="00EF37E8"/>
    <w:rsid w:val="00EF3A5C"/>
    <w:rsid w:val="00EF4AEE"/>
    <w:rsid w:val="00EF5585"/>
    <w:rsid w:val="00EF5588"/>
    <w:rsid w:val="00EF56AD"/>
    <w:rsid w:val="00EF5979"/>
    <w:rsid w:val="00EF5FD5"/>
    <w:rsid w:val="00EF6058"/>
    <w:rsid w:val="00EF61A5"/>
    <w:rsid w:val="00EF6707"/>
    <w:rsid w:val="00EF6877"/>
    <w:rsid w:val="00EF6E41"/>
    <w:rsid w:val="00EF6FD3"/>
    <w:rsid w:val="00EF7300"/>
    <w:rsid w:val="00EF7764"/>
    <w:rsid w:val="00F001B3"/>
    <w:rsid w:val="00F0026F"/>
    <w:rsid w:val="00F0038C"/>
    <w:rsid w:val="00F005B2"/>
    <w:rsid w:val="00F0066D"/>
    <w:rsid w:val="00F007E3"/>
    <w:rsid w:val="00F008F0"/>
    <w:rsid w:val="00F00C7F"/>
    <w:rsid w:val="00F00D94"/>
    <w:rsid w:val="00F00EB1"/>
    <w:rsid w:val="00F00F83"/>
    <w:rsid w:val="00F01907"/>
    <w:rsid w:val="00F01FD2"/>
    <w:rsid w:val="00F0326A"/>
    <w:rsid w:val="00F03BF4"/>
    <w:rsid w:val="00F03F3B"/>
    <w:rsid w:val="00F042B3"/>
    <w:rsid w:val="00F04820"/>
    <w:rsid w:val="00F04A15"/>
    <w:rsid w:val="00F04E5A"/>
    <w:rsid w:val="00F05B57"/>
    <w:rsid w:val="00F05BC8"/>
    <w:rsid w:val="00F05C2E"/>
    <w:rsid w:val="00F069D7"/>
    <w:rsid w:val="00F06D0E"/>
    <w:rsid w:val="00F07468"/>
    <w:rsid w:val="00F07B0C"/>
    <w:rsid w:val="00F07BFA"/>
    <w:rsid w:val="00F07E3C"/>
    <w:rsid w:val="00F07E98"/>
    <w:rsid w:val="00F105D7"/>
    <w:rsid w:val="00F11218"/>
    <w:rsid w:val="00F117EB"/>
    <w:rsid w:val="00F11DDC"/>
    <w:rsid w:val="00F12DF5"/>
    <w:rsid w:val="00F1302B"/>
    <w:rsid w:val="00F139CA"/>
    <w:rsid w:val="00F13B0F"/>
    <w:rsid w:val="00F13F76"/>
    <w:rsid w:val="00F14B3E"/>
    <w:rsid w:val="00F153C1"/>
    <w:rsid w:val="00F15D9C"/>
    <w:rsid w:val="00F1611C"/>
    <w:rsid w:val="00F165BA"/>
    <w:rsid w:val="00F2017F"/>
    <w:rsid w:val="00F20BD6"/>
    <w:rsid w:val="00F20BE7"/>
    <w:rsid w:val="00F20C25"/>
    <w:rsid w:val="00F2121E"/>
    <w:rsid w:val="00F2176B"/>
    <w:rsid w:val="00F21792"/>
    <w:rsid w:val="00F217E8"/>
    <w:rsid w:val="00F21876"/>
    <w:rsid w:val="00F21B12"/>
    <w:rsid w:val="00F22D82"/>
    <w:rsid w:val="00F22F56"/>
    <w:rsid w:val="00F22FE8"/>
    <w:rsid w:val="00F237A9"/>
    <w:rsid w:val="00F23A8E"/>
    <w:rsid w:val="00F23D47"/>
    <w:rsid w:val="00F23DB9"/>
    <w:rsid w:val="00F242B1"/>
    <w:rsid w:val="00F2459F"/>
    <w:rsid w:val="00F2496D"/>
    <w:rsid w:val="00F25991"/>
    <w:rsid w:val="00F25AB1"/>
    <w:rsid w:val="00F25D64"/>
    <w:rsid w:val="00F265B3"/>
    <w:rsid w:val="00F26B86"/>
    <w:rsid w:val="00F26C65"/>
    <w:rsid w:val="00F26D40"/>
    <w:rsid w:val="00F26D9B"/>
    <w:rsid w:val="00F30256"/>
    <w:rsid w:val="00F30396"/>
    <w:rsid w:val="00F30944"/>
    <w:rsid w:val="00F30CD0"/>
    <w:rsid w:val="00F314FC"/>
    <w:rsid w:val="00F33961"/>
    <w:rsid w:val="00F33AAA"/>
    <w:rsid w:val="00F33ADF"/>
    <w:rsid w:val="00F340B6"/>
    <w:rsid w:val="00F34513"/>
    <w:rsid w:val="00F3517A"/>
    <w:rsid w:val="00F354A9"/>
    <w:rsid w:val="00F35C3D"/>
    <w:rsid w:val="00F361B7"/>
    <w:rsid w:val="00F36655"/>
    <w:rsid w:val="00F36B08"/>
    <w:rsid w:val="00F3709D"/>
    <w:rsid w:val="00F377F4"/>
    <w:rsid w:val="00F378AB"/>
    <w:rsid w:val="00F37914"/>
    <w:rsid w:val="00F37B6A"/>
    <w:rsid w:val="00F37BFA"/>
    <w:rsid w:val="00F40669"/>
    <w:rsid w:val="00F407E2"/>
    <w:rsid w:val="00F40BAE"/>
    <w:rsid w:val="00F40CD0"/>
    <w:rsid w:val="00F41294"/>
    <w:rsid w:val="00F41424"/>
    <w:rsid w:val="00F41B4F"/>
    <w:rsid w:val="00F41C72"/>
    <w:rsid w:val="00F42138"/>
    <w:rsid w:val="00F42280"/>
    <w:rsid w:val="00F427B2"/>
    <w:rsid w:val="00F42932"/>
    <w:rsid w:val="00F43450"/>
    <w:rsid w:val="00F43AC8"/>
    <w:rsid w:val="00F440BA"/>
    <w:rsid w:val="00F4420B"/>
    <w:rsid w:val="00F44225"/>
    <w:rsid w:val="00F4484E"/>
    <w:rsid w:val="00F4518F"/>
    <w:rsid w:val="00F4544F"/>
    <w:rsid w:val="00F45475"/>
    <w:rsid w:val="00F4547F"/>
    <w:rsid w:val="00F45633"/>
    <w:rsid w:val="00F457F6"/>
    <w:rsid w:val="00F4655D"/>
    <w:rsid w:val="00F467AA"/>
    <w:rsid w:val="00F4743F"/>
    <w:rsid w:val="00F47B60"/>
    <w:rsid w:val="00F5077B"/>
    <w:rsid w:val="00F50AAB"/>
    <w:rsid w:val="00F50DB7"/>
    <w:rsid w:val="00F51006"/>
    <w:rsid w:val="00F51A2B"/>
    <w:rsid w:val="00F51CAF"/>
    <w:rsid w:val="00F5218E"/>
    <w:rsid w:val="00F52396"/>
    <w:rsid w:val="00F52F93"/>
    <w:rsid w:val="00F531ED"/>
    <w:rsid w:val="00F53D70"/>
    <w:rsid w:val="00F543C8"/>
    <w:rsid w:val="00F54608"/>
    <w:rsid w:val="00F5487C"/>
    <w:rsid w:val="00F548B0"/>
    <w:rsid w:val="00F5516B"/>
    <w:rsid w:val="00F552F2"/>
    <w:rsid w:val="00F55876"/>
    <w:rsid w:val="00F55E52"/>
    <w:rsid w:val="00F5638A"/>
    <w:rsid w:val="00F563DB"/>
    <w:rsid w:val="00F566A0"/>
    <w:rsid w:val="00F56717"/>
    <w:rsid w:val="00F56866"/>
    <w:rsid w:val="00F56DB8"/>
    <w:rsid w:val="00F572AD"/>
    <w:rsid w:val="00F57440"/>
    <w:rsid w:val="00F57713"/>
    <w:rsid w:val="00F5772E"/>
    <w:rsid w:val="00F57957"/>
    <w:rsid w:val="00F57B9E"/>
    <w:rsid w:val="00F57C21"/>
    <w:rsid w:val="00F57EE3"/>
    <w:rsid w:val="00F57EF0"/>
    <w:rsid w:val="00F611A5"/>
    <w:rsid w:val="00F618E4"/>
    <w:rsid w:val="00F619FB"/>
    <w:rsid w:val="00F62592"/>
    <w:rsid w:val="00F627E2"/>
    <w:rsid w:val="00F62985"/>
    <w:rsid w:val="00F62B14"/>
    <w:rsid w:val="00F63271"/>
    <w:rsid w:val="00F63DEF"/>
    <w:rsid w:val="00F64B7A"/>
    <w:rsid w:val="00F64C3F"/>
    <w:rsid w:val="00F64F41"/>
    <w:rsid w:val="00F65045"/>
    <w:rsid w:val="00F65644"/>
    <w:rsid w:val="00F65BB9"/>
    <w:rsid w:val="00F660B4"/>
    <w:rsid w:val="00F6658B"/>
    <w:rsid w:val="00F66887"/>
    <w:rsid w:val="00F66DFC"/>
    <w:rsid w:val="00F66ECC"/>
    <w:rsid w:val="00F66F64"/>
    <w:rsid w:val="00F6772F"/>
    <w:rsid w:val="00F6796D"/>
    <w:rsid w:val="00F70A98"/>
    <w:rsid w:val="00F70C99"/>
    <w:rsid w:val="00F70E40"/>
    <w:rsid w:val="00F71520"/>
    <w:rsid w:val="00F71E86"/>
    <w:rsid w:val="00F71FFB"/>
    <w:rsid w:val="00F7251B"/>
    <w:rsid w:val="00F73029"/>
    <w:rsid w:val="00F73802"/>
    <w:rsid w:val="00F73B1F"/>
    <w:rsid w:val="00F74501"/>
    <w:rsid w:val="00F74535"/>
    <w:rsid w:val="00F74915"/>
    <w:rsid w:val="00F753CA"/>
    <w:rsid w:val="00F7590F"/>
    <w:rsid w:val="00F75C73"/>
    <w:rsid w:val="00F75CF4"/>
    <w:rsid w:val="00F75E18"/>
    <w:rsid w:val="00F75FD9"/>
    <w:rsid w:val="00F75FE2"/>
    <w:rsid w:val="00F763DA"/>
    <w:rsid w:val="00F76ABA"/>
    <w:rsid w:val="00F772CC"/>
    <w:rsid w:val="00F777C9"/>
    <w:rsid w:val="00F779B2"/>
    <w:rsid w:val="00F802BD"/>
    <w:rsid w:val="00F804C6"/>
    <w:rsid w:val="00F80792"/>
    <w:rsid w:val="00F80886"/>
    <w:rsid w:val="00F81050"/>
    <w:rsid w:val="00F81567"/>
    <w:rsid w:val="00F81A71"/>
    <w:rsid w:val="00F81BF0"/>
    <w:rsid w:val="00F8203E"/>
    <w:rsid w:val="00F820FA"/>
    <w:rsid w:val="00F82823"/>
    <w:rsid w:val="00F82C29"/>
    <w:rsid w:val="00F82CC3"/>
    <w:rsid w:val="00F82CD6"/>
    <w:rsid w:val="00F8322A"/>
    <w:rsid w:val="00F83268"/>
    <w:rsid w:val="00F836D5"/>
    <w:rsid w:val="00F837D6"/>
    <w:rsid w:val="00F8395A"/>
    <w:rsid w:val="00F83AD1"/>
    <w:rsid w:val="00F84B5F"/>
    <w:rsid w:val="00F84B74"/>
    <w:rsid w:val="00F84D4B"/>
    <w:rsid w:val="00F84F93"/>
    <w:rsid w:val="00F850FB"/>
    <w:rsid w:val="00F85251"/>
    <w:rsid w:val="00F854DE"/>
    <w:rsid w:val="00F8569E"/>
    <w:rsid w:val="00F85709"/>
    <w:rsid w:val="00F85A14"/>
    <w:rsid w:val="00F866B3"/>
    <w:rsid w:val="00F870F6"/>
    <w:rsid w:val="00F874EA"/>
    <w:rsid w:val="00F90453"/>
    <w:rsid w:val="00F908B5"/>
    <w:rsid w:val="00F90979"/>
    <w:rsid w:val="00F90EB0"/>
    <w:rsid w:val="00F913C6"/>
    <w:rsid w:val="00F91921"/>
    <w:rsid w:val="00F91EEA"/>
    <w:rsid w:val="00F928B4"/>
    <w:rsid w:val="00F92A94"/>
    <w:rsid w:val="00F92F90"/>
    <w:rsid w:val="00F93397"/>
    <w:rsid w:val="00F9372C"/>
    <w:rsid w:val="00F944CE"/>
    <w:rsid w:val="00F94864"/>
    <w:rsid w:val="00F9492A"/>
    <w:rsid w:val="00F94F04"/>
    <w:rsid w:val="00F9534B"/>
    <w:rsid w:val="00F95394"/>
    <w:rsid w:val="00F9541C"/>
    <w:rsid w:val="00F9555C"/>
    <w:rsid w:val="00F956C1"/>
    <w:rsid w:val="00F95BDD"/>
    <w:rsid w:val="00F96845"/>
    <w:rsid w:val="00F96FD3"/>
    <w:rsid w:val="00F97120"/>
    <w:rsid w:val="00F978FA"/>
    <w:rsid w:val="00F97D4E"/>
    <w:rsid w:val="00FA02AD"/>
    <w:rsid w:val="00FA02EE"/>
    <w:rsid w:val="00FA0393"/>
    <w:rsid w:val="00FA06A7"/>
    <w:rsid w:val="00FA0AF6"/>
    <w:rsid w:val="00FA0C72"/>
    <w:rsid w:val="00FA1505"/>
    <w:rsid w:val="00FA19CF"/>
    <w:rsid w:val="00FA1E4F"/>
    <w:rsid w:val="00FA2306"/>
    <w:rsid w:val="00FA2369"/>
    <w:rsid w:val="00FA2E5B"/>
    <w:rsid w:val="00FA2F53"/>
    <w:rsid w:val="00FA33A6"/>
    <w:rsid w:val="00FA3553"/>
    <w:rsid w:val="00FA39F3"/>
    <w:rsid w:val="00FA4198"/>
    <w:rsid w:val="00FA4842"/>
    <w:rsid w:val="00FA499C"/>
    <w:rsid w:val="00FA4C6D"/>
    <w:rsid w:val="00FA560C"/>
    <w:rsid w:val="00FA57BC"/>
    <w:rsid w:val="00FA5940"/>
    <w:rsid w:val="00FA60EF"/>
    <w:rsid w:val="00FA61FA"/>
    <w:rsid w:val="00FA6210"/>
    <w:rsid w:val="00FA6255"/>
    <w:rsid w:val="00FA6493"/>
    <w:rsid w:val="00FA6512"/>
    <w:rsid w:val="00FA6686"/>
    <w:rsid w:val="00FA77E3"/>
    <w:rsid w:val="00FA7B80"/>
    <w:rsid w:val="00FA7CF5"/>
    <w:rsid w:val="00FA7D1A"/>
    <w:rsid w:val="00FB02BD"/>
    <w:rsid w:val="00FB0349"/>
    <w:rsid w:val="00FB0523"/>
    <w:rsid w:val="00FB0B18"/>
    <w:rsid w:val="00FB0EE8"/>
    <w:rsid w:val="00FB12C5"/>
    <w:rsid w:val="00FB1596"/>
    <w:rsid w:val="00FB16FE"/>
    <w:rsid w:val="00FB18EA"/>
    <w:rsid w:val="00FB29DB"/>
    <w:rsid w:val="00FB2ACA"/>
    <w:rsid w:val="00FB3136"/>
    <w:rsid w:val="00FB320F"/>
    <w:rsid w:val="00FB45C2"/>
    <w:rsid w:val="00FB46C7"/>
    <w:rsid w:val="00FB54B9"/>
    <w:rsid w:val="00FB59EE"/>
    <w:rsid w:val="00FB5A9B"/>
    <w:rsid w:val="00FB5EE6"/>
    <w:rsid w:val="00FB601A"/>
    <w:rsid w:val="00FB6044"/>
    <w:rsid w:val="00FB6157"/>
    <w:rsid w:val="00FB65A2"/>
    <w:rsid w:val="00FB6732"/>
    <w:rsid w:val="00FB673E"/>
    <w:rsid w:val="00FB697A"/>
    <w:rsid w:val="00FB6C41"/>
    <w:rsid w:val="00FB7142"/>
    <w:rsid w:val="00FB753B"/>
    <w:rsid w:val="00FB7CB5"/>
    <w:rsid w:val="00FB7D14"/>
    <w:rsid w:val="00FC005A"/>
    <w:rsid w:val="00FC0333"/>
    <w:rsid w:val="00FC03F4"/>
    <w:rsid w:val="00FC06A2"/>
    <w:rsid w:val="00FC0E25"/>
    <w:rsid w:val="00FC10F1"/>
    <w:rsid w:val="00FC11D1"/>
    <w:rsid w:val="00FC1493"/>
    <w:rsid w:val="00FC185A"/>
    <w:rsid w:val="00FC1D1F"/>
    <w:rsid w:val="00FC1D3F"/>
    <w:rsid w:val="00FC2152"/>
    <w:rsid w:val="00FC224F"/>
    <w:rsid w:val="00FC2C6B"/>
    <w:rsid w:val="00FC2C89"/>
    <w:rsid w:val="00FC2E12"/>
    <w:rsid w:val="00FC3109"/>
    <w:rsid w:val="00FC332F"/>
    <w:rsid w:val="00FC33D0"/>
    <w:rsid w:val="00FC3C3D"/>
    <w:rsid w:val="00FC3D57"/>
    <w:rsid w:val="00FC3EB4"/>
    <w:rsid w:val="00FC4417"/>
    <w:rsid w:val="00FC4FA6"/>
    <w:rsid w:val="00FC51B8"/>
    <w:rsid w:val="00FC5642"/>
    <w:rsid w:val="00FC584C"/>
    <w:rsid w:val="00FC596F"/>
    <w:rsid w:val="00FC5BBF"/>
    <w:rsid w:val="00FC5FD1"/>
    <w:rsid w:val="00FC63E3"/>
    <w:rsid w:val="00FC6825"/>
    <w:rsid w:val="00FC6A04"/>
    <w:rsid w:val="00FC6C2D"/>
    <w:rsid w:val="00FC75A9"/>
    <w:rsid w:val="00FC7649"/>
    <w:rsid w:val="00FC76CE"/>
    <w:rsid w:val="00FC7AB6"/>
    <w:rsid w:val="00FC7D55"/>
    <w:rsid w:val="00FD016C"/>
    <w:rsid w:val="00FD049F"/>
    <w:rsid w:val="00FD06A8"/>
    <w:rsid w:val="00FD09AA"/>
    <w:rsid w:val="00FD0A55"/>
    <w:rsid w:val="00FD0ADD"/>
    <w:rsid w:val="00FD1590"/>
    <w:rsid w:val="00FD16AB"/>
    <w:rsid w:val="00FD16C3"/>
    <w:rsid w:val="00FD18A1"/>
    <w:rsid w:val="00FD1AA7"/>
    <w:rsid w:val="00FD1BDC"/>
    <w:rsid w:val="00FD240B"/>
    <w:rsid w:val="00FD2973"/>
    <w:rsid w:val="00FD2E3A"/>
    <w:rsid w:val="00FD2EFE"/>
    <w:rsid w:val="00FD3432"/>
    <w:rsid w:val="00FD387F"/>
    <w:rsid w:val="00FD38DC"/>
    <w:rsid w:val="00FD4146"/>
    <w:rsid w:val="00FD4428"/>
    <w:rsid w:val="00FD47AF"/>
    <w:rsid w:val="00FD4D17"/>
    <w:rsid w:val="00FD54E4"/>
    <w:rsid w:val="00FD5682"/>
    <w:rsid w:val="00FD6317"/>
    <w:rsid w:val="00FD63E7"/>
    <w:rsid w:val="00FD6457"/>
    <w:rsid w:val="00FD6697"/>
    <w:rsid w:val="00FD7400"/>
    <w:rsid w:val="00FD755E"/>
    <w:rsid w:val="00FD7C9C"/>
    <w:rsid w:val="00FD7CD3"/>
    <w:rsid w:val="00FD7E05"/>
    <w:rsid w:val="00FE0082"/>
    <w:rsid w:val="00FE0723"/>
    <w:rsid w:val="00FE0B86"/>
    <w:rsid w:val="00FE133E"/>
    <w:rsid w:val="00FE1913"/>
    <w:rsid w:val="00FE1BB7"/>
    <w:rsid w:val="00FE1E34"/>
    <w:rsid w:val="00FE23B9"/>
    <w:rsid w:val="00FE3075"/>
    <w:rsid w:val="00FE33CD"/>
    <w:rsid w:val="00FE3D1E"/>
    <w:rsid w:val="00FE410C"/>
    <w:rsid w:val="00FE44C5"/>
    <w:rsid w:val="00FE484C"/>
    <w:rsid w:val="00FE5F45"/>
    <w:rsid w:val="00FE68C8"/>
    <w:rsid w:val="00FE70DC"/>
    <w:rsid w:val="00FE7D82"/>
    <w:rsid w:val="00FF001B"/>
    <w:rsid w:val="00FF05BC"/>
    <w:rsid w:val="00FF0CA3"/>
    <w:rsid w:val="00FF0FFF"/>
    <w:rsid w:val="00FF1021"/>
    <w:rsid w:val="00FF120C"/>
    <w:rsid w:val="00FF132D"/>
    <w:rsid w:val="00FF141F"/>
    <w:rsid w:val="00FF1662"/>
    <w:rsid w:val="00FF1BDF"/>
    <w:rsid w:val="00FF1C2B"/>
    <w:rsid w:val="00FF1E25"/>
    <w:rsid w:val="00FF1E53"/>
    <w:rsid w:val="00FF209B"/>
    <w:rsid w:val="00FF2393"/>
    <w:rsid w:val="00FF3212"/>
    <w:rsid w:val="00FF32AB"/>
    <w:rsid w:val="00FF334A"/>
    <w:rsid w:val="00FF3AB7"/>
    <w:rsid w:val="00FF3D05"/>
    <w:rsid w:val="00FF3FA8"/>
    <w:rsid w:val="00FF406D"/>
    <w:rsid w:val="00FF4192"/>
    <w:rsid w:val="00FF4481"/>
    <w:rsid w:val="00FF4AA0"/>
    <w:rsid w:val="00FF5328"/>
    <w:rsid w:val="00FF535D"/>
    <w:rsid w:val="00FF5BCB"/>
    <w:rsid w:val="00FF5CE3"/>
    <w:rsid w:val="00FF5D50"/>
    <w:rsid w:val="00FF6255"/>
    <w:rsid w:val="00FF634D"/>
    <w:rsid w:val="00FF6413"/>
    <w:rsid w:val="00FF67BF"/>
    <w:rsid w:val="00FF6976"/>
    <w:rsid w:val="00FF6EBB"/>
    <w:rsid w:val="00FF705B"/>
    <w:rsid w:val="00FF756D"/>
    <w:rsid w:val="00FF75C2"/>
    <w:rsid w:val="00FF76B3"/>
    <w:rsid w:val="00FF76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82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1E47D1"/>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F75FE2"/>
    <w:pPr>
      <w:keepNext/>
      <w:numPr>
        <w:numId w:val="5"/>
      </w:numPr>
      <w:ind w:right="1296"/>
      <w:outlineLvl w:val="0"/>
    </w:pPr>
    <w:rPr>
      <w:u w:val="single"/>
    </w:rPr>
  </w:style>
  <w:style w:type="paragraph" w:styleId="Heading2">
    <w:name w:val="heading 2"/>
    <w:basedOn w:val="Normal"/>
    <w:next w:val="Normal"/>
    <w:uiPriority w:val="99"/>
    <w:qFormat/>
    <w:locked/>
    <w:rsid w:val="00F75FE2"/>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F75FE2"/>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43"/>
    <w:locked/>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B976F6"/>
    <w:pPr>
      <w:spacing w:before="240" w:line="240" w:lineRule="exact"/>
      <w:ind w:left="720" w:right="794" w:firstLine="0"/>
    </w:pPr>
  </w:style>
  <w:style w:type="paragraph" w:styleId="FootnoteText">
    <w:name w:val="footnote text"/>
    <w:basedOn w:val="Normal"/>
    <w:uiPriority w:val="53"/>
    <w:locked/>
    <w:pPr>
      <w:spacing w:after="240" w:line="240" w:lineRule="exact"/>
      <w:ind w:left="510" w:hanging="510"/>
    </w:pPr>
  </w:style>
  <w:style w:type="character" w:styleId="FootnoteReference">
    <w:name w:val="footnote reference"/>
    <w:uiPriority w:val="51"/>
    <w:locked/>
    <w:rsid w:val="00C40EB3"/>
    <w:rPr>
      <w:b/>
      <w:sz w:val="28"/>
      <w:vertAlign w:val="superscript"/>
    </w:rPr>
  </w:style>
  <w:style w:type="paragraph" w:customStyle="1" w:styleId="FootIndAgain">
    <w:name w:val="FootIndAgain"/>
    <w:basedOn w:val="FootnoteText"/>
    <w:uiPriority w:val="47"/>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570D24"/>
    <w:pPr>
      <w:ind w:firstLine="0"/>
    </w:pPr>
  </w:style>
  <w:style w:type="character" w:customStyle="1" w:styleId="Heading1Char">
    <w:name w:val="Heading 1 Char"/>
    <w:uiPriority w:val="99"/>
    <w:semiHidden/>
    <w:locked/>
    <w:rPr>
      <w:rFonts w:ascii="Univers" w:hAnsi="Univers"/>
      <w:sz w:val="26"/>
      <w:u w:val="single"/>
      <w:lang w:val="en-AU"/>
    </w:rPr>
  </w:style>
  <w:style w:type="character" w:customStyle="1" w:styleId="Heading2Char">
    <w:name w:val="Heading 2 Char"/>
    <w:uiPriority w:val="99"/>
    <w:locked/>
    <w:rPr>
      <w:rFonts w:ascii="Arial" w:hAnsi="Arial"/>
      <w:b/>
      <w:i/>
      <w:sz w:val="24"/>
      <w:lang w:val="en-AU"/>
    </w:rPr>
  </w:style>
  <w:style w:type="character" w:customStyle="1" w:styleId="Heading3Char">
    <w:name w:val="Heading 3 Char"/>
    <w:uiPriority w:val="99"/>
    <w:semiHidden/>
    <w:locked/>
    <w:rPr>
      <w:rFonts w:ascii="Arial" w:hAnsi="Arial"/>
      <w:sz w:val="24"/>
      <w:lang w:val="en-AU"/>
    </w:rPr>
  </w:style>
  <w:style w:type="paragraph" w:customStyle="1" w:styleId="NormalHC">
    <w:name w:val="Normal HC"/>
    <w:basedOn w:val="Normal"/>
    <w:uiPriority w:val="27"/>
    <w:qFormat/>
    <w:locked/>
    <w:rsid w:val="006E359B"/>
    <w:pPr>
      <w:numPr>
        <w:numId w:val="16"/>
      </w:numPr>
      <w:spacing w:after="480"/>
      <w:ind w:left="0" w:hanging="720"/>
    </w:pPr>
  </w:style>
  <w:style w:type="paragraph" w:customStyle="1" w:styleId="HeadingFirst">
    <w:name w:val="Heading First"/>
    <w:basedOn w:val="NormalHC"/>
    <w:next w:val="HeadingV"/>
    <w:uiPriority w:val="15"/>
    <w:qFormat/>
    <w:locked/>
    <w:rsid w:val="005F3216"/>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5F3216"/>
    <w:pPr>
      <w:keepNext/>
      <w:numPr>
        <w:numId w:val="0"/>
      </w:numPr>
      <w:outlineLvl w:val="2"/>
    </w:pPr>
    <w:rPr>
      <w:b/>
      <w:szCs w:val="20"/>
    </w:rPr>
  </w:style>
  <w:style w:type="paragraph" w:customStyle="1" w:styleId="HeadingL2">
    <w:name w:val="Heading L2"/>
    <w:basedOn w:val="HeadingL1"/>
    <w:next w:val="NormalHC"/>
    <w:uiPriority w:val="23"/>
    <w:qFormat/>
    <w:locked/>
    <w:rsid w:val="00745DD2"/>
    <w:pPr>
      <w:outlineLvl w:val="3"/>
    </w:pPr>
    <w:rPr>
      <w:b w:val="0"/>
      <w:i/>
    </w:rPr>
  </w:style>
  <w:style w:type="paragraph" w:customStyle="1" w:styleId="HeadingMatter">
    <w:name w:val="Heading Matter"/>
    <w:basedOn w:val="NormalHC"/>
    <w:next w:val="HeadingFirst"/>
    <w:uiPriority w:val="13"/>
    <w:qFormat/>
    <w:locked/>
    <w:rsid w:val="005F3216"/>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0E65F7"/>
    <w:pPr>
      <w:keepNext w:val="0"/>
    </w:pPr>
  </w:style>
  <w:style w:type="paragraph" w:customStyle="1" w:styleId="HeadingV">
    <w:name w:val="Heading V"/>
    <w:basedOn w:val="HeadingFirst"/>
    <w:next w:val="HeadingSecond"/>
    <w:uiPriority w:val="17"/>
    <w:qFormat/>
    <w:locked/>
    <w:rsid w:val="000E65F7"/>
    <w:rPr>
      <w:caps w:val="0"/>
      <w:u w:val="none"/>
    </w:rPr>
  </w:style>
  <w:style w:type="paragraph" w:customStyle="1" w:styleId="LeftrightafterHC">
    <w:name w:val="Leftright after HC"/>
    <w:basedOn w:val="Normal"/>
    <w:next w:val="leftright"/>
    <w:uiPriority w:val="31"/>
    <w:qFormat/>
    <w:locked/>
    <w:rsid w:val="00B976F6"/>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E66E21"/>
    <w:pPr>
      <w:ind w:firstLine="720"/>
    </w:pPr>
  </w:style>
  <w:style w:type="paragraph" w:customStyle="1" w:styleId="LeftrightHanging">
    <w:name w:val="LeftrightHanging"/>
    <w:basedOn w:val="NormalHC"/>
    <w:uiPriority w:val="35"/>
    <w:qFormat/>
    <w:locked/>
    <w:rsid w:val="00E66E21"/>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E66E21"/>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E66E21"/>
    <w:pPr>
      <w:spacing w:before="200"/>
      <w:ind w:left="2160"/>
    </w:pPr>
  </w:style>
  <w:style w:type="paragraph" w:customStyle="1" w:styleId="NormalafterHd2nd">
    <w:name w:val="Normal after Hd2nd"/>
    <w:basedOn w:val="NormalHC"/>
    <w:next w:val="NormalHC"/>
    <w:uiPriority w:val="29"/>
    <w:locked/>
    <w:rsid w:val="005F3216"/>
    <w:pPr>
      <w:numPr>
        <w:numId w:val="0"/>
      </w:numPr>
      <w:spacing w:before="1000"/>
    </w:pPr>
  </w:style>
  <w:style w:type="character" w:customStyle="1" w:styleId="NormalHCChar">
    <w:name w:val="Normal HC Char"/>
    <w:uiPriority w:val="99"/>
    <w:semiHidden/>
    <w:locked/>
    <w:rPr>
      <w:rFonts w:ascii="Univers" w:hAnsi="Univers"/>
      <w:sz w:val="26"/>
      <w:szCs w:val="26"/>
    </w:rPr>
  </w:style>
  <w:style w:type="character" w:customStyle="1" w:styleId="StyleFootnoteReferenceChar">
    <w:name w:val="Style Footnote Reference Char"/>
    <w:uiPriority w:val="99"/>
    <w:semiHidden/>
    <w:locked/>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663E86"/>
  </w:style>
  <w:style w:type="paragraph" w:customStyle="1" w:styleId="HeadingJudgment">
    <w:name w:val="Heading Judgment"/>
    <w:basedOn w:val="Normal"/>
    <w:uiPriority w:val="59"/>
    <w:qFormat/>
    <w:locked/>
    <w:rsid w:val="00F90EB0"/>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F75FE2"/>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CE2EB2"/>
    <w:pPr>
      <w:outlineLvl w:val="4"/>
    </w:pPr>
    <w:rPr>
      <w:b w:val="0"/>
    </w:rPr>
  </w:style>
  <w:style w:type="character" w:styleId="PageNumber">
    <w:name w:val="page number"/>
    <w:basedOn w:val="DefaultParagraphFont"/>
    <w:uiPriority w:val="57"/>
    <w:locked/>
    <w:rsid w:val="00A2312E"/>
  </w:style>
  <w:style w:type="paragraph" w:styleId="BalloonText">
    <w:name w:val="Balloon Text"/>
    <w:basedOn w:val="Normal"/>
    <w:link w:val="BalloonTextChar"/>
    <w:semiHidden/>
    <w:locked/>
    <w:rsid w:val="005F4DFE"/>
    <w:rPr>
      <w:rFonts w:ascii="Tahoma" w:hAnsi="Tahoma" w:cs="Tahoma"/>
      <w:sz w:val="16"/>
      <w:szCs w:val="16"/>
      <w:lang w:eastAsia="en-US"/>
    </w:rPr>
  </w:style>
  <w:style w:type="character" w:customStyle="1" w:styleId="BalloonTextChar">
    <w:name w:val="Balloon Text Char"/>
    <w:basedOn w:val="DefaultParagraphFont"/>
    <w:link w:val="BalloonText"/>
    <w:semiHidden/>
    <w:rsid w:val="005F4DFE"/>
    <w:rPr>
      <w:rFonts w:ascii="Tahoma" w:hAnsi="Tahoma" w:cs="Tahoma"/>
      <w:sz w:val="16"/>
      <w:szCs w:val="16"/>
      <w:lang w:eastAsia="en-US"/>
    </w:rPr>
  </w:style>
  <w:style w:type="paragraph" w:customStyle="1" w:styleId="ClosingText">
    <w:name w:val="Closing Text"/>
    <w:basedOn w:val="Normal"/>
    <w:uiPriority w:val="98"/>
    <w:semiHidden/>
    <w:qFormat/>
    <w:locked/>
    <w:rsid w:val="005F4DFE"/>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5F4DFE"/>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5F4DFE"/>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5F4DFE"/>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037A5F"/>
    <w:rPr>
      <w:szCs w:val="20"/>
      <w:lang w:eastAsia="en-US"/>
    </w:rPr>
  </w:style>
  <w:style w:type="paragraph" w:customStyle="1" w:styleId="NormalBody">
    <w:name w:val="Normal Body"/>
    <w:basedOn w:val="NormalHC"/>
    <w:uiPriority w:val="28"/>
    <w:qFormat/>
    <w:locked/>
    <w:rsid w:val="005F3216"/>
    <w:pPr>
      <w:numPr>
        <w:numId w:val="0"/>
      </w:numPr>
    </w:pPr>
    <w:rPr>
      <w:lang w:eastAsia="en-US"/>
    </w:rPr>
  </w:style>
  <w:style w:type="paragraph" w:customStyle="1" w:styleId="StyleFootnoteReference">
    <w:name w:val="Style Footnote Reference"/>
    <w:basedOn w:val="Normal"/>
    <w:next w:val="Normal"/>
    <w:semiHidden/>
    <w:rsid w:val="005F4DFE"/>
    <w:rPr>
      <w:vertAlign w:val="superscript"/>
      <w:lang w:eastAsia="en-US"/>
    </w:rPr>
  </w:style>
  <w:style w:type="paragraph" w:styleId="ListNumber">
    <w:name w:val="List Number"/>
    <w:basedOn w:val="Normal"/>
    <w:uiPriority w:val="56"/>
    <w:locked/>
    <w:rsid w:val="00473869"/>
    <w:pPr>
      <w:numPr>
        <w:numId w:val="11"/>
      </w:numPr>
      <w:contextualSpacing/>
    </w:pPr>
  </w:style>
  <w:style w:type="paragraph" w:customStyle="1" w:styleId="FixListStyle">
    <w:name w:val="FixListStyle"/>
    <w:basedOn w:val="Normal"/>
    <w:uiPriority w:val="99"/>
    <w:qFormat/>
    <w:rsid w:val="00583673"/>
    <w:pPr>
      <w:numPr>
        <w:numId w:val="19"/>
      </w:numPr>
      <w:spacing w:after="480"/>
      <w:ind w:left="0" w:hanging="720"/>
    </w:pPr>
  </w:style>
  <w:style w:type="paragraph" w:customStyle="1" w:styleId="CatchwordsBold">
    <w:name w:val="Catchwords Bold"/>
    <w:basedOn w:val="Normal"/>
    <w:link w:val="CatchwordsBoldChar"/>
    <w:qFormat/>
    <w:rsid w:val="0095456C"/>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95456C"/>
    <w:rPr>
      <w:rFonts w:ascii="Times New Roman" w:hAnsi="Times New Roman"/>
      <w:b/>
      <w:szCs w:val="20"/>
    </w:rPr>
  </w:style>
  <w:style w:type="paragraph" w:customStyle="1" w:styleId="CatchwordsRight">
    <w:name w:val="Catchwords Right"/>
    <w:basedOn w:val="Normal"/>
    <w:link w:val="CatchwordsRightChar"/>
    <w:qFormat/>
    <w:rsid w:val="0095456C"/>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95456C"/>
    <w:rPr>
      <w:rFonts w:ascii="Times New Roman" w:hAnsi="Times New Roman"/>
      <w:szCs w:val="20"/>
    </w:rPr>
  </w:style>
  <w:style w:type="paragraph" w:customStyle="1" w:styleId="CatchwordsText">
    <w:name w:val="Catchwords Text"/>
    <w:basedOn w:val="Normal"/>
    <w:link w:val="CatchwordsTextChar"/>
    <w:qFormat/>
    <w:rsid w:val="0095456C"/>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95456C"/>
    <w:rPr>
      <w:rFonts w:ascii="Times New Roman" w:hAnsi="Times New Roman"/>
      <w:szCs w:val="20"/>
    </w:rPr>
  </w:style>
  <w:style w:type="paragraph" w:customStyle="1" w:styleId="CenteredBorder">
    <w:name w:val="Centered Border"/>
    <w:qFormat/>
    <w:rsid w:val="0095456C"/>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95456C"/>
    <w:pPr>
      <w:jc w:val="center"/>
    </w:pPr>
    <w:rPr>
      <w:rFonts w:ascii="Times New Roman" w:hAnsi="Times New Roman"/>
      <w:b/>
      <w:bCs/>
      <w:szCs w:val="20"/>
      <w:lang w:val="en-GB"/>
    </w:rPr>
  </w:style>
  <w:style w:type="character" w:customStyle="1" w:styleId="OrderCentred">
    <w:name w:val="Order Centred"/>
    <w:semiHidden/>
    <w:rsid w:val="0095456C"/>
    <w:rPr>
      <w:b/>
      <w:bCs/>
      <w:sz w:val="26"/>
    </w:rPr>
  </w:style>
  <w:style w:type="paragraph" w:customStyle="1" w:styleId="OrdersTopLine">
    <w:name w:val="Orders TopLine"/>
    <w:qFormat/>
    <w:rsid w:val="0095456C"/>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95456C"/>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95456C"/>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95456C"/>
    <w:rPr>
      <w:rFonts w:ascii="Times New Roman" w:hAnsi="Times New Roman"/>
      <w:i/>
      <w:lang w:eastAsia="en-US"/>
    </w:rPr>
  </w:style>
  <w:style w:type="paragraph" w:customStyle="1" w:styleId="OrdersIndentLevel2i">
    <w:name w:val="Orders Indent Level 2 (i)"/>
    <w:basedOn w:val="Normal"/>
    <w:link w:val="OrdersIndentLevel2iChar"/>
    <w:qFormat/>
    <w:rsid w:val="0095456C"/>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95456C"/>
    <w:rPr>
      <w:rFonts w:ascii="Times New Roman" w:hAnsi="Times New Roman"/>
      <w:i/>
      <w:lang w:eastAsia="en-US"/>
    </w:rPr>
  </w:style>
  <w:style w:type="paragraph" w:customStyle="1" w:styleId="OrdersMatter">
    <w:name w:val="Orders Matter"/>
    <w:basedOn w:val="OrderCentreBold"/>
    <w:link w:val="OrdersMatterChar"/>
    <w:qFormat/>
    <w:rsid w:val="0095456C"/>
  </w:style>
  <w:style w:type="character" w:customStyle="1" w:styleId="OrdersMatterChar">
    <w:name w:val="Orders Matter Char"/>
    <w:link w:val="OrdersMatter"/>
    <w:rsid w:val="0095456C"/>
    <w:rPr>
      <w:rFonts w:ascii="Times New Roman" w:hAnsi="Times New Roman"/>
      <w:b/>
      <w:bCs/>
      <w:szCs w:val="20"/>
      <w:lang w:val="en-GB"/>
    </w:rPr>
  </w:style>
  <w:style w:type="paragraph" w:customStyle="1" w:styleId="OrdersNotice">
    <w:name w:val="Orders Notice"/>
    <w:rsid w:val="0095456C"/>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95456C"/>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95456C"/>
    <w:rPr>
      <w:rFonts w:ascii="Times New Roman" w:hAnsi="Times New Roman"/>
      <w:szCs w:val="20"/>
      <w:lang w:eastAsia="en-US"/>
    </w:rPr>
  </w:style>
  <w:style w:type="paragraph" w:customStyle="1" w:styleId="OrdersText">
    <w:name w:val="Orders Text"/>
    <w:basedOn w:val="Normal"/>
    <w:link w:val="OrdersTextChar"/>
    <w:qFormat/>
    <w:rsid w:val="0095456C"/>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95456C"/>
    <w:rPr>
      <w:rFonts w:ascii="Times New Roman" w:hAnsi="Times New Roman"/>
      <w:i/>
      <w:lang w:eastAsia="en-US"/>
    </w:rPr>
  </w:style>
  <w:style w:type="paragraph" w:customStyle="1" w:styleId="OrdersCenteredBorder">
    <w:name w:val="Orders Centered Border"/>
    <w:qFormat/>
    <w:rsid w:val="004B26D9"/>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B94B4F"/>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B94B4F"/>
    <w:rPr>
      <w:rFonts w:ascii="Times New Roman" w:hAnsi="Times New Roman"/>
      <w:szCs w:val="20"/>
    </w:rPr>
  </w:style>
  <w:style w:type="paragraph" w:customStyle="1" w:styleId="LRHangingafterHC">
    <w:name w:val="LR Hanging after HC"/>
    <w:basedOn w:val="Normal"/>
    <w:next w:val="LeftrightHanging"/>
    <w:uiPriority w:val="99"/>
    <w:qFormat/>
    <w:rsid w:val="0053324F"/>
    <w:pPr>
      <w:spacing w:before="720" w:line="240" w:lineRule="exact"/>
      <w:ind w:left="1440" w:right="794" w:hanging="720"/>
    </w:pPr>
  </w:style>
  <w:style w:type="character" w:styleId="Emphasis">
    <w:name w:val="Emphasis"/>
    <w:basedOn w:val="DefaultParagraphFont"/>
    <w:uiPriority w:val="20"/>
    <w:qFormat/>
    <w:locked/>
    <w:rsid w:val="008967E7"/>
    <w:rPr>
      <w:i/>
      <w:iCs/>
    </w:rPr>
  </w:style>
  <w:style w:type="paragraph" w:styleId="Revision">
    <w:name w:val="Revision"/>
    <w:hidden/>
    <w:uiPriority w:val="99"/>
    <w:semiHidden/>
    <w:rsid w:val="00B4745C"/>
  </w:style>
  <w:style w:type="character" w:styleId="CommentReference">
    <w:name w:val="annotation reference"/>
    <w:basedOn w:val="DefaultParagraphFont"/>
    <w:uiPriority w:val="99"/>
    <w:semiHidden/>
    <w:unhideWhenUsed/>
    <w:locked/>
    <w:rsid w:val="00DB06FE"/>
    <w:rPr>
      <w:sz w:val="16"/>
      <w:szCs w:val="16"/>
    </w:rPr>
  </w:style>
  <w:style w:type="paragraph" w:styleId="CommentText">
    <w:name w:val="annotation text"/>
    <w:basedOn w:val="Normal"/>
    <w:link w:val="CommentTextChar"/>
    <w:uiPriority w:val="99"/>
    <w:unhideWhenUsed/>
    <w:locked/>
    <w:rsid w:val="00DB06FE"/>
    <w:pPr>
      <w:spacing w:line="240" w:lineRule="auto"/>
    </w:pPr>
    <w:rPr>
      <w:sz w:val="20"/>
      <w:szCs w:val="20"/>
    </w:rPr>
  </w:style>
  <w:style w:type="character" w:customStyle="1" w:styleId="CommentTextChar">
    <w:name w:val="Comment Text Char"/>
    <w:basedOn w:val="DefaultParagraphFont"/>
    <w:link w:val="CommentText"/>
    <w:uiPriority w:val="99"/>
    <w:rsid w:val="00DB06FE"/>
    <w:rPr>
      <w:sz w:val="20"/>
      <w:szCs w:val="20"/>
    </w:rPr>
  </w:style>
  <w:style w:type="paragraph" w:styleId="CommentSubject">
    <w:name w:val="annotation subject"/>
    <w:basedOn w:val="CommentText"/>
    <w:next w:val="CommentText"/>
    <w:link w:val="CommentSubjectChar"/>
    <w:uiPriority w:val="99"/>
    <w:semiHidden/>
    <w:unhideWhenUsed/>
    <w:locked/>
    <w:rsid w:val="00DB06FE"/>
    <w:rPr>
      <w:b/>
      <w:bCs/>
    </w:rPr>
  </w:style>
  <w:style w:type="character" w:customStyle="1" w:styleId="CommentSubjectChar">
    <w:name w:val="Comment Subject Char"/>
    <w:basedOn w:val="CommentTextChar"/>
    <w:link w:val="CommentSubject"/>
    <w:uiPriority w:val="99"/>
    <w:semiHidden/>
    <w:rsid w:val="00DB06FE"/>
    <w:rPr>
      <w:b/>
      <w:bCs/>
      <w:sz w:val="20"/>
      <w:szCs w:val="20"/>
    </w:rPr>
  </w:style>
  <w:style w:type="character" w:styleId="Hyperlink">
    <w:name w:val="Hyperlink"/>
    <w:basedOn w:val="DefaultParagraphFont"/>
    <w:uiPriority w:val="99"/>
    <w:unhideWhenUsed/>
    <w:locked/>
    <w:rsid w:val="00AD7F58"/>
    <w:rPr>
      <w:color w:val="0000FF" w:themeColor="hyperlink"/>
      <w:u w:val="single"/>
    </w:rPr>
  </w:style>
  <w:style w:type="character" w:styleId="UnresolvedMention">
    <w:name w:val="Unresolved Mention"/>
    <w:basedOn w:val="DefaultParagraphFont"/>
    <w:uiPriority w:val="99"/>
    <w:semiHidden/>
    <w:unhideWhenUsed/>
    <w:rsid w:val="00AD7F58"/>
    <w:rPr>
      <w:color w:val="605E5C"/>
      <w:shd w:val="clear" w:color="auto" w:fill="E1DFDD"/>
    </w:rPr>
  </w:style>
  <w:style w:type="character" w:customStyle="1" w:styleId="cf01">
    <w:name w:val="cf01"/>
    <w:basedOn w:val="DefaultParagraphFont"/>
    <w:rsid w:val="00EA1FEC"/>
    <w:rPr>
      <w:rFonts w:ascii="Segoe UI" w:hAnsi="Segoe UI" w:cs="Segoe UI" w:hint="default"/>
      <w:sz w:val="18"/>
      <w:szCs w:val="18"/>
    </w:rPr>
  </w:style>
  <w:style w:type="paragraph" w:styleId="ListParagraph">
    <w:name w:val="List Paragraph"/>
    <w:basedOn w:val="Normal"/>
    <w:uiPriority w:val="55"/>
    <w:qFormat/>
    <w:locked/>
    <w:rsid w:val="005B483D"/>
    <w:pPr>
      <w:ind w:left="720"/>
      <w:contextualSpacing/>
    </w:pPr>
  </w:style>
  <w:style w:type="paragraph" w:customStyle="1" w:styleId="Body">
    <w:name w:val="Body"/>
    <w:basedOn w:val="Normal"/>
    <w:qFormat/>
    <w:rsid w:val="00F66EC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F66EC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F66ECC"/>
    <w:pPr>
      <w:tabs>
        <w:tab w:val="left" w:pos="720"/>
        <w:tab w:val="left" w:pos="1440"/>
      </w:tabs>
      <w:ind w:right="17"/>
      <w:jc w:val="center"/>
    </w:pPr>
    <w:rPr>
      <w:rFonts w:ascii="Times New Roman" w:hAnsi="Times New Roman"/>
      <w:szCs w:val="20"/>
      <w:lang w:val="en-GB"/>
    </w:rPr>
  </w:style>
  <w:style w:type="paragraph" w:customStyle="1" w:styleId="CentreItalics">
    <w:name w:val="Centre Italics"/>
    <w:basedOn w:val="Normal"/>
    <w:qFormat/>
    <w:rsid w:val="00F66EC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rPr>
  </w:style>
  <w:style w:type="paragraph" w:customStyle="1" w:styleId="Notice">
    <w:name w:val="Notice"/>
    <w:rsid w:val="00F66ECC"/>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F66ECC"/>
    <w:pPr>
      <w:jc w:val="center"/>
    </w:pPr>
    <w:rPr>
      <w:rFonts w:ascii="Times New Roman" w:hAnsi="Times New Roman"/>
      <w:bC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3.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bc5b7fd-636f-49ec-b8cc-eb8a3f2ba19e" xsi:nil="true"/>
    <lcf76f155ced4ddcb4097134ff3c332f xmlns="3cc3f26d-d9cc-46f3-89c7-f1482de8c8f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09C98-FF35-416F-A556-17CB658EC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customXml/itemProps3.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cbc5b7fd-636f-49ec-b8cc-eb8a3f2ba19e"/>
    <ds:schemaRef ds:uri="3cc3f26d-d9cc-46f3-89c7-f1482de8c8f1"/>
  </ds:schemaRefs>
</ds:datastoreItem>
</file>

<file path=customXml/itemProps4.xml><?xml version="1.0" encoding="utf-8"?>
<ds:datastoreItem xmlns:ds="http://schemas.openxmlformats.org/officeDocument/2006/customXml" ds:itemID="{4CF51E2A-5120-49B8-B8A9-580B46FA2A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79</Pages>
  <Words>28577</Words>
  <Characters>146031</Characters>
  <Application>Microsoft Office Word</Application>
  <DocSecurity>0</DocSecurity>
  <Lines>2355</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2026-08-07T04:45:00Z</dcterms:created>
  <dcterms:modified xsi:type="dcterms:W3CDTF">2026-08-07T05:12:00Z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