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C1C6C4" w14:textId="77777777" w:rsidR="00E97682" w:rsidRPr="00704FF8" w:rsidRDefault="00E97682" w:rsidP="00704FF8">
      <w:pPr>
        <w:pStyle w:val="OrdersTopLine"/>
      </w:pPr>
      <w:r w:rsidRPr="00704FF8">
        <w:t>HIGH COURT OF AUSTRALIA</w:t>
      </w:r>
    </w:p>
    <w:p w14:paraId="64F319B4" w14:textId="77777777" w:rsidR="00E97682" w:rsidRPr="00704FF8" w:rsidRDefault="00E97682" w:rsidP="00704FF8">
      <w:pPr>
        <w:pStyle w:val="OrderCentre"/>
      </w:pPr>
    </w:p>
    <w:p w14:paraId="5D2DF9B0" w14:textId="77777777" w:rsidR="00E97682" w:rsidRPr="00C46004" w:rsidRDefault="00E97682" w:rsidP="00704FF8">
      <w:pPr>
        <w:pStyle w:val="OrderCentre"/>
        <w:rPr>
          <w:spacing w:val="-4"/>
          <w:sz w:val="24"/>
          <w:szCs w:val="24"/>
        </w:rPr>
      </w:pPr>
      <w:r w:rsidRPr="00C46004">
        <w:rPr>
          <w:spacing w:val="-4"/>
          <w:sz w:val="24"/>
          <w:szCs w:val="24"/>
        </w:rPr>
        <w:t>GAGELER CJ,</w:t>
      </w:r>
    </w:p>
    <w:p w14:paraId="47D0B2F9" w14:textId="77777777" w:rsidR="00E97682" w:rsidRPr="00704FF8" w:rsidRDefault="00E97682" w:rsidP="00704FF8">
      <w:pPr>
        <w:pStyle w:val="OrderCentre"/>
      </w:pPr>
      <w:r w:rsidRPr="00C46004">
        <w:rPr>
          <w:spacing w:val="-4"/>
          <w:sz w:val="24"/>
          <w:szCs w:val="24"/>
        </w:rPr>
        <w:t>GORDON, EDELMAN, JAGOT AND BEECH</w:t>
      </w:r>
      <w:r>
        <w:rPr>
          <w:spacing w:val="-4"/>
          <w:sz w:val="24"/>
          <w:szCs w:val="24"/>
        </w:rPr>
        <w:t>-</w:t>
      </w:r>
      <w:r w:rsidRPr="00C46004">
        <w:rPr>
          <w:spacing w:val="-4"/>
          <w:sz w:val="24"/>
          <w:szCs w:val="24"/>
        </w:rPr>
        <w:t>JONES JJ</w:t>
      </w:r>
    </w:p>
    <w:p w14:paraId="2C6ED2B9" w14:textId="77777777" w:rsidR="00E97682" w:rsidRPr="00427F3A" w:rsidRDefault="00E97682" w:rsidP="00EE5374">
      <w:pPr>
        <w:pStyle w:val="Centre"/>
        <w:rPr>
          <w:lang w:val="en-AU"/>
        </w:rPr>
      </w:pPr>
    </w:p>
    <w:p w14:paraId="3296DC00" w14:textId="77777777" w:rsidR="00E97682" w:rsidRPr="00704FF8" w:rsidRDefault="00E97682" w:rsidP="00704FF8">
      <w:pPr>
        <w:pStyle w:val="OrdersCenteredBorder"/>
      </w:pPr>
    </w:p>
    <w:p w14:paraId="6082A8D7" w14:textId="77777777" w:rsidR="00E97682" w:rsidRPr="00704FF8" w:rsidRDefault="00E97682" w:rsidP="0032341F">
      <w:pPr>
        <w:pStyle w:val="OrdersBodyHeading"/>
      </w:pPr>
    </w:p>
    <w:p w14:paraId="0F942CD4" w14:textId="77777777" w:rsidR="00E97682" w:rsidRPr="0032341F" w:rsidRDefault="00E97682" w:rsidP="009362E8">
      <w:pPr>
        <w:pStyle w:val="OrdersPartyName"/>
        <w:ind w:right="-1"/>
      </w:pPr>
      <w:r w:rsidRPr="00A25FDE">
        <w:t>MACH ENERGY AUSTRALIA PTY LTD</w:t>
      </w:r>
      <w:r w:rsidRPr="0032341F">
        <w:tab/>
        <w:t>APPELLANT</w:t>
      </w:r>
    </w:p>
    <w:p w14:paraId="428889FF" w14:textId="77777777" w:rsidR="00E97682" w:rsidRPr="0032341F" w:rsidRDefault="00E97682" w:rsidP="009362E8">
      <w:pPr>
        <w:pStyle w:val="OrdersPartyName"/>
        <w:ind w:right="-1"/>
      </w:pPr>
    </w:p>
    <w:p w14:paraId="0B22D255" w14:textId="77777777" w:rsidR="00E97682" w:rsidRPr="0032341F" w:rsidRDefault="00E97682" w:rsidP="009362E8">
      <w:pPr>
        <w:pStyle w:val="OrdersPartyName"/>
        <w:ind w:right="-1"/>
      </w:pPr>
      <w:r w:rsidRPr="0032341F">
        <w:t>AND</w:t>
      </w:r>
    </w:p>
    <w:p w14:paraId="51EBC06C" w14:textId="77777777" w:rsidR="00E97682" w:rsidRPr="0032341F" w:rsidRDefault="00E97682" w:rsidP="009362E8">
      <w:pPr>
        <w:pStyle w:val="OrdersPartyName"/>
        <w:ind w:right="-1"/>
      </w:pPr>
    </w:p>
    <w:p w14:paraId="5C41DC41" w14:textId="77777777" w:rsidR="00E97682" w:rsidRDefault="00E97682" w:rsidP="009362E8">
      <w:pPr>
        <w:pStyle w:val="OrdersPartyName"/>
        <w:ind w:right="-1"/>
      </w:pPr>
      <w:r w:rsidRPr="00A25FDE">
        <w:t xml:space="preserve">DENMAN ABERDEEN MUSWELLBROOK SCONE </w:t>
      </w:r>
    </w:p>
    <w:p w14:paraId="65AB8E77" w14:textId="77777777" w:rsidR="00E97682" w:rsidRPr="0032341F" w:rsidRDefault="00E97682" w:rsidP="009362E8">
      <w:pPr>
        <w:pStyle w:val="OrdersPartyName"/>
        <w:ind w:right="-1"/>
      </w:pPr>
      <w:r w:rsidRPr="00A25FDE">
        <w:t>HEALTHY ENVIRONMENT GROUP INC</w:t>
      </w:r>
      <w:r>
        <w:t xml:space="preserve"> </w:t>
      </w:r>
      <w:r w:rsidRPr="00A25FDE">
        <w:t>&amp; ANOR</w:t>
      </w:r>
      <w:r w:rsidRPr="0032341F">
        <w:tab/>
        <w:t>RESPONDENT</w:t>
      </w:r>
      <w:r>
        <w:t>S</w:t>
      </w:r>
    </w:p>
    <w:p w14:paraId="018557CE" w14:textId="77777777" w:rsidR="00E97682" w:rsidRPr="00427F3A" w:rsidRDefault="00E97682" w:rsidP="00AF0A5E">
      <w:pPr>
        <w:pStyle w:val="BodyHeading"/>
      </w:pPr>
    </w:p>
    <w:p w14:paraId="738634E0" w14:textId="77777777" w:rsidR="00E97682" w:rsidRPr="00427F3A" w:rsidRDefault="00E97682" w:rsidP="00BE0A6C">
      <w:pPr>
        <w:pStyle w:val="BodyHeading"/>
      </w:pPr>
    </w:p>
    <w:p w14:paraId="7EA77AAC" w14:textId="77777777" w:rsidR="00E97682" w:rsidRPr="00427F3A" w:rsidRDefault="00E97682" w:rsidP="00EE5374">
      <w:pPr>
        <w:pStyle w:val="CentreItalics"/>
      </w:pPr>
      <w:r w:rsidRPr="00A25FDE">
        <w:t>MACH Energy Australia Pty Ltd v Denman Aberdeen Muswellbrook Scone Healthy Environment Group Inc</w:t>
      </w:r>
    </w:p>
    <w:p w14:paraId="7A1A0341" w14:textId="77777777" w:rsidR="00E97682" w:rsidRPr="00427F3A" w:rsidRDefault="00E97682" w:rsidP="00E90E4F">
      <w:pPr>
        <w:pStyle w:val="OrdersCentre"/>
      </w:pPr>
      <w:r>
        <w:t>[2026</w:t>
      </w:r>
      <w:r w:rsidRPr="00427F3A">
        <w:t xml:space="preserve">] HCA </w:t>
      </w:r>
      <w:r>
        <w:t>35</w:t>
      </w:r>
    </w:p>
    <w:p w14:paraId="52FBCEAC" w14:textId="77777777" w:rsidR="00E97682" w:rsidRDefault="00E97682" w:rsidP="00E90E4F">
      <w:pPr>
        <w:pStyle w:val="OrdersCentreItalics"/>
      </w:pPr>
      <w:r>
        <w:t xml:space="preserve">Date of Hearing: </w:t>
      </w:r>
      <w:r w:rsidRPr="00A25FDE">
        <w:t>13 May 2026</w:t>
      </w:r>
    </w:p>
    <w:p w14:paraId="21347248" w14:textId="77777777" w:rsidR="00E97682" w:rsidRPr="00427F3A" w:rsidRDefault="00E97682" w:rsidP="00E90E4F">
      <w:pPr>
        <w:pStyle w:val="OrdersCentreItalics"/>
      </w:pPr>
      <w:r>
        <w:t>Date of Judgment: 7 October 2026</w:t>
      </w:r>
    </w:p>
    <w:p w14:paraId="7410E6CE" w14:textId="77777777" w:rsidR="00E97682" w:rsidRDefault="00E97682" w:rsidP="00E90E4F">
      <w:pPr>
        <w:pStyle w:val="OrdersCentre"/>
      </w:pPr>
      <w:r w:rsidRPr="00A25FDE">
        <w:t>S174/2025</w:t>
      </w:r>
    </w:p>
    <w:p w14:paraId="477364F2" w14:textId="77777777" w:rsidR="00E97682" w:rsidRPr="00427F3A" w:rsidRDefault="00E97682" w:rsidP="00E90E4F">
      <w:pPr>
        <w:pStyle w:val="OrdersCentre"/>
      </w:pPr>
    </w:p>
    <w:p w14:paraId="30F47859" w14:textId="77777777" w:rsidR="00E97682" w:rsidRPr="00BE0A6C" w:rsidRDefault="00E97682" w:rsidP="00E90E4F">
      <w:pPr>
        <w:pStyle w:val="OrderCentreBold"/>
      </w:pPr>
      <w:r w:rsidRPr="00BE0A6C">
        <w:t>ORDER</w:t>
      </w:r>
    </w:p>
    <w:p w14:paraId="2DB9BF68" w14:textId="77777777" w:rsidR="00E97682" w:rsidRPr="00427F3A" w:rsidRDefault="00E97682" w:rsidP="00736C52">
      <w:pPr>
        <w:pStyle w:val="Centre"/>
        <w:rPr>
          <w:lang w:val="en-AU"/>
        </w:rPr>
      </w:pPr>
    </w:p>
    <w:p w14:paraId="49F0C0C9" w14:textId="77777777" w:rsidR="00E97682" w:rsidRDefault="00E97682" w:rsidP="009E0EA5">
      <w:pPr>
        <w:pStyle w:val="OrdersText"/>
      </w:pPr>
      <w:r>
        <w:t xml:space="preserve">1. </w:t>
      </w:r>
      <w:r>
        <w:tab/>
        <w:t xml:space="preserve">Grant leave to the first respondent to file an amended notice of contention. </w:t>
      </w:r>
    </w:p>
    <w:p w14:paraId="3420CE37" w14:textId="77777777" w:rsidR="00E97682" w:rsidRDefault="00E97682" w:rsidP="009E0EA5">
      <w:pPr>
        <w:pStyle w:val="OrdersText"/>
      </w:pPr>
    </w:p>
    <w:p w14:paraId="6993DCBC" w14:textId="77777777" w:rsidR="00E97682" w:rsidRDefault="00E97682" w:rsidP="009E0EA5">
      <w:pPr>
        <w:pStyle w:val="OrdersText"/>
      </w:pPr>
      <w:r>
        <w:t xml:space="preserve">2. </w:t>
      </w:r>
      <w:r>
        <w:tab/>
        <w:t>Appeal dismissed with costs.</w:t>
      </w:r>
    </w:p>
    <w:p w14:paraId="68880072" w14:textId="77777777" w:rsidR="00E97682" w:rsidRDefault="00E97682" w:rsidP="00EE5374">
      <w:pPr>
        <w:pStyle w:val="Body"/>
      </w:pPr>
    </w:p>
    <w:p w14:paraId="448601AF" w14:textId="77777777" w:rsidR="00E97682" w:rsidRPr="00427F3A" w:rsidRDefault="00E97682" w:rsidP="00EE5374">
      <w:pPr>
        <w:pStyle w:val="Body"/>
      </w:pPr>
    </w:p>
    <w:p w14:paraId="63FB8278" w14:textId="77777777" w:rsidR="00E97682" w:rsidRPr="00427F3A" w:rsidRDefault="00E97682" w:rsidP="0032341F">
      <w:pPr>
        <w:pStyle w:val="OrdersBody"/>
      </w:pPr>
      <w:r w:rsidRPr="00427F3A">
        <w:t xml:space="preserve">On appeal from the </w:t>
      </w:r>
      <w:r w:rsidRPr="00A25FDE">
        <w:t>Supreme Court of New South Wales</w:t>
      </w:r>
    </w:p>
    <w:p w14:paraId="42C92503" w14:textId="77777777" w:rsidR="00E97682" w:rsidRDefault="00E97682" w:rsidP="00EE5374">
      <w:pPr>
        <w:pStyle w:val="Body"/>
      </w:pPr>
    </w:p>
    <w:p w14:paraId="399DC1C0" w14:textId="77777777" w:rsidR="00E97682" w:rsidRPr="00427F3A" w:rsidRDefault="00E97682" w:rsidP="00EE5374">
      <w:pPr>
        <w:pStyle w:val="Body"/>
      </w:pPr>
    </w:p>
    <w:p w14:paraId="741EBE89" w14:textId="77777777" w:rsidR="00E97682" w:rsidRPr="00427F3A" w:rsidRDefault="00E97682" w:rsidP="00E90E4F">
      <w:pPr>
        <w:pStyle w:val="OrdersBodyHeading"/>
      </w:pPr>
      <w:r w:rsidRPr="00427F3A">
        <w:t>Representation</w:t>
      </w:r>
    </w:p>
    <w:p w14:paraId="5A807B2A" w14:textId="77777777" w:rsidR="00E97682" w:rsidRDefault="00E97682" w:rsidP="00EE5374">
      <w:pPr>
        <w:pStyle w:val="Body"/>
      </w:pPr>
    </w:p>
    <w:p w14:paraId="0E01DB98" w14:textId="77777777" w:rsidR="00E97682" w:rsidRPr="00377367" w:rsidRDefault="00E97682" w:rsidP="00E90E4F">
      <w:pPr>
        <w:pStyle w:val="OrdersBody"/>
      </w:pPr>
      <w:r w:rsidRPr="00377367">
        <w:t>M A Izzo SC with J E Davidson SC, S H Hartford Davis and O</w:t>
      </w:r>
      <w:r>
        <w:t xml:space="preserve"> </w:t>
      </w:r>
      <w:r w:rsidRPr="00377367">
        <w:t>J</w:t>
      </w:r>
      <w:r>
        <w:t xml:space="preserve"> </w:t>
      </w:r>
      <w:r w:rsidRPr="00377367">
        <w:t>Ronan for the appellant (instructed by Ashurst Australia)</w:t>
      </w:r>
    </w:p>
    <w:p w14:paraId="785207D1" w14:textId="77777777" w:rsidR="00E97682" w:rsidRPr="00377367" w:rsidRDefault="00E97682" w:rsidP="001B3C97">
      <w:pPr>
        <w:pStyle w:val="Body"/>
      </w:pPr>
    </w:p>
    <w:p w14:paraId="7E02E691" w14:textId="77777777" w:rsidR="00E97682" w:rsidRPr="00377367" w:rsidRDefault="00E97682" w:rsidP="00E90E4F">
      <w:pPr>
        <w:pStyle w:val="OrdersBody"/>
      </w:pPr>
      <w:r w:rsidRPr="00377367">
        <w:t>N L Sharp SC with S A C Patterson and M S E Thompson for the first respondent (instructed by Johnson Legal Pty Ltd)</w:t>
      </w:r>
    </w:p>
    <w:p w14:paraId="50543C70" w14:textId="77777777" w:rsidR="00E97682" w:rsidRPr="00377367" w:rsidRDefault="00E97682" w:rsidP="00A01277">
      <w:pPr>
        <w:pStyle w:val="Body"/>
      </w:pPr>
    </w:p>
    <w:p w14:paraId="2B617781" w14:textId="77777777" w:rsidR="00E97682" w:rsidRDefault="00E97682">
      <w:pPr>
        <w:tabs>
          <w:tab w:val="clear" w:pos="720"/>
          <w:tab w:val="clear" w:pos="1440"/>
          <w:tab w:val="clear" w:pos="2160"/>
          <w:tab w:val="clear" w:pos="2880"/>
          <w:tab w:val="clear" w:pos="3600"/>
          <w:tab w:val="clear" w:pos="4320"/>
          <w:tab w:val="clear" w:pos="5040"/>
          <w:tab w:val="clear" w:pos="5760"/>
          <w:tab w:val="clear" w:pos="6480"/>
          <w:tab w:val="clear" w:pos="7200"/>
        </w:tabs>
        <w:spacing w:line="240" w:lineRule="auto"/>
        <w:ind w:right="0" w:firstLine="0"/>
        <w:rPr>
          <w:rFonts w:ascii="Times New Roman" w:hAnsi="Times New Roman"/>
          <w:szCs w:val="20"/>
          <w:lang w:val="en-GB"/>
        </w:rPr>
      </w:pPr>
      <w:r>
        <w:br w:type="page"/>
      </w:r>
    </w:p>
    <w:p w14:paraId="08B21FB7" w14:textId="77777777" w:rsidR="00E97682" w:rsidRDefault="00E97682">
      <w:pPr>
        <w:tabs>
          <w:tab w:val="clear" w:pos="720"/>
          <w:tab w:val="clear" w:pos="1440"/>
          <w:tab w:val="clear" w:pos="2160"/>
          <w:tab w:val="clear" w:pos="2880"/>
          <w:tab w:val="clear" w:pos="3600"/>
          <w:tab w:val="clear" w:pos="4320"/>
          <w:tab w:val="clear" w:pos="5040"/>
          <w:tab w:val="clear" w:pos="5760"/>
          <w:tab w:val="clear" w:pos="6480"/>
          <w:tab w:val="clear" w:pos="7200"/>
        </w:tabs>
        <w:spacing w:line="240" w:lineRule="auto"/>
        <w:ind w:right="0" w:firstLine="0"/>
        <w:rPr>
          <w:rFonts w:ascii="Times New Roman" w:hAnsi="Times New Roman"/>
          <w:szCs w:val="20"/>
          <w:lang w:val="en-GB"/>
        </w:rPr>
      </w:pPr>
      <w:r>
        <w:lastRenderedPageBreak/>
        <w:br w:type="page"/>
      </w:r>
    </w:p>
    <w:p w14:paraId="4A9F86F4" w14:textId="553260A3" w:rsidR="00E97682" w:rsidRPr="00377367" w:rsidRDefault="00E97682" w:rsidP="00EB2770">
      <w:pPr>
        <w:pStyle w:val="OrdersBody"/>
      </w:pPr>
      <w:r w:rsidRPr="00377367">
        <w:lastRenderedPageBreak/>
        <w:t>Z C Heger SC with Z J Bush and R A Nanthakumar for Melbourne Climate Futures, appearing as amicus curiae (instructed by Equity Generation Lawyers)</w:t>
      </w:r>
    </w:p>
    <w:p w14:paraId="6509188D" w14:textId="77777777" w:rsidR="00E97682" w:rsidRPr="00377367" w:rsidRDefault="00E97682" w:rsidP="009B25C7">
      <w:pPr>
        <w:pStyle w:val="OrdersBody"/>
      </w:pPr>
    </w:p>
    <w:p w14:paraId="28FFD83A" w14:textId="77777777" w:rsidR="00E97682" w:rsidRPr="00377367" w:rsidRDefault="00E97682" w:rsidP="00FD777C">
      <w:pPr>
        <w:pStyle w:val="OrdersBody"/>
      </w:pPr>
      <w:r w:rsidRPr="00377367">
        <w:t>B</w:t>
      </w:r>
      <w:r>
        <w:t xml:space="preserve"> </w:t>
      </w:r>
      <w:r w:rsidRPr="00377367">
        <w:t>K</w:t>
      </w:r>
      <w:r>
        <w:t xml:space="preserve"> </w:t>
      </w:r>
      <w:r w:rsidRPr="00377367">
        <w:t>Lim SC with J</w:t>
      </w:r>
      <w:r>
        <w:t xml:space="preserve"> </w:t>
      </w:r>
      <w:r w:rsidRPr="00377367">
        <w:t>G</w:t>
      </w:r>
      <w:r>
        <w:t xml:space="preserve"> </w:t>
      </w:r>
      <w:r w:rsidRPr="00377367">
        <w:t>Wherrett for the Union of Concerned Scientists, appearing as amicus curiae (instructed by Hall &amp; Wilcox)</w:t>
      </w:r>
    </w:p>
    <w:p w14:paraId="7A16FE56" w14:textId="77777777" w:rsidR="00E97682" w:rsidRPr="00377367" w:rsidRDefault="00E97682" w:rsidP="00FD777C">
      <w:pPr>
        <w:pStyle w:val="OrdersBody"/>
      </w:pPr>
    </w:p>
    <w:p w14:paraId="5F281E34" w14:textId="77777777" w:rsidR="00E97682" w:rsidRPr="00377367" w:rsidRDefault="00E97682" w:rsidP="00377367">
      <w:pPr>
        <w:pStyle w:val="OrdersBody"/>
      </w:pPr>
      <w:r w:rsidRPr="00377367">
        <w:t>Centre for Climate Engagement at Hughes Hall, University of Cambridge and the Sabin Center for Climate Change Law at Columbia Law School</w:t>
      </w:r>
      <w:r>
        <w:t>,</w:t>
      </w:r>
      <w:r w:rsidRPr="00377367">
        <w:t xml:space="preserve"> appearing as amicus curiae, limited to written submissions</w:t>
      </w:r>
    </w:p>
    <w:p w14:paraId="211B9F90" w14:textId="77777777" w:rsidR="00E97682" w:rsidRPr="00377367" w:rsidRDefault="00E97682" w:rsidP="00A01277">
      <w:pPr>
        <w:pStyle w:val="Body"/>
      </w:pPr>
    </w:p>
    <w:p w14:paraId="3BC515A7" w14:textId="77777777" w:rsidR="00E97682" w:rsidRPr="00377367" w:rsidRDefault="00E97682" w:rsidP="00E90E4F">
      <w:pPr>
        <w:pStyle w:val="OrdersBody"/>
      </w:pPr>
      <w:r w:rsidRPr="00377367">
        <w:t>Submitting appearance for the second respondent</w:t>
      </w:r>
    </w:p>
    <w:p w14:paraId="12DC864E" w14:textId="77777777" w:rsidR="00E97682" w:rsidRDefault="00E97682" w:rsidP="00A01277">
      <w:pPr>
        <w:pStyle w:val="Body"/>
      </w:pPr>
    </w:p>
    <w:p w14:paraId="3119219F" w14:textId="77777777" w:rsidR="00E97682" w:rsidRDefault="00E97682" w:rsidP="00EE5374">
      <w:pPr>
        <w:pStyle w:val="Body"/>
      </w:pPr>
    </w:p>
    <w:p w14:paraId="4E93F9D6" w14:textId="77777777" w:rsidR="00E97682" w:rsidRDefault="00E97682" w:rsidP="00EE5374">
      <w:pPr>
        <w:pStyle w:val="Body"/>
      </w:pPr>
    </w:p>
    <w:p w14:paraId="4E2DC3F0" w14:textId="77777777" w:rsidR="00E97682" w:rsidRDefault="00E97682" w:rsidP="00EE5374">
      <w:pPr>
        <w:pStyle w:val="Body"/>
      </w:pPr>
    </w:p>
    <w:p w14:paraId="644CD8D6" w14:textId="77777777" w:rsidR="00E97682" w:rsidRDefault="00E97682" w:rsidP="00EE5374">
      <w:pPr>
        <w:pStyle w:val="Body"/>
      </w:pPr>
    </w:p>
    <w:p w14:paraId="278664C2" w14:textId="77777777" w:rsidR="00E97682" w:rsidRDefault="00E97682" w:rsidP="00EE5374">
      <w:pPr>
        <w:pStyle w:val="Body"/>
      </w:pPr>
    </w:p>
    <w:p w14:paraId="3DF368A4" w14:textId="77777777" w:rsidR="00E97682" w:rsidRDefault="00E97682" w:rsidP="00EE5374">
      <w:pPr>
        <w:pStyle w:val="Body"/>
      </w:pPr>
    </w:p>
    <w:p w14:paraId="6D097FD4" w14:textId="77777777" w:rsidR="00E97682" w:rsidRDefault="00E97682" w:rsidP="00EE5374">
      <w:pPr>
        <w:pStyle w:val="Body"/>
      </w:pPr>
    </w:p>
    <w:p w14:paraId="34816B16" w14:textId="77777777" w:rsidR="00E97682" w:rsidRDefault="00E97682" w:rsidP="00EE5374">
      <w:pPr>
        <w:pStyle w:val="Body"/>
      </w:pPr>
    </w:p>
    <w:p w14:paraId="19AC371C" w14:textId="77777777" w:rsidR="00E97682" w:rsidRDefault="00E97682" w:rsidP="00EE5374">
      <w:pPr>
        <w:pStyle w:val="Body"/>
      </w:pPr>
    </w:p>
    <w:p w14:paraId="5175F682" w14:textId="77777777" w:rsidR="00E97682" w:rsidRDefault="00E97682" w:rsidP="00EE5374">
      <w:pPr>
        <w:pStyle w:val="Body"/>
      </w:pPr>
    </w:p>
    <w:p w14:paraId="20FBB818" w14:textId="77777777" w:rsidR="00E97682" w:rsidRDefault="00E97682" w:rsidP="00EE5374">
      <w:pPr>
        <w:pStyle w:val="Body"/>
      </w:pPr>
    </w:p>
    <w:p w14:paraId="1C76F9EE" w14:textId="77777777" w:rsidR="00E97682" w:rsidRDefault="00E97682" w:rsidP="00EE5374">
      <w:pPr>
        <w:pStyle w:val="Body"/>
      </w:pPr>
    </w:p>
    <w:p w14:paraId="69333681" w14:textId="77777777" w:rsidR="00E97682" w:rsidRDefault="00E97682" w:rsidP="00EE5374">
      <w:pPr>
        <w:pStyle w:val="Body"/>
      </w:pPr>
    </w:p>
    <w:p w14:paraId="5D15E036" w14:textId="77777777" w:rsidR="00E97682" w:rsidRDefault="00E97682" w:rsidP="00EE5374">
      <w:pPr>
        <w:pStyle w:val="Body"/>
      </w:pPr>
    </w:p>
    <w:p w14:paraId="1AB40D1D" w14:textId="77777777" w:rsidR="00E97682" w:rsidRDefault="00E97682" w:rsidP="00EE5374">
      <w:pPr>
        <w:pStyle w:val="Body"/>
      </w:pPr>
    </w:p>
    <w:p w14:paraId="2B0A838A" w14:textId="77777777" w:rsidR="00E97682" w:rsidRDefault="00E97682" w:rsidP="00EE5374">
      <w:pPr>
        <w:pStyle w:val="Body"/>
      </w:pPr>
    </w:p>
    <w:p w14:paraId="58A506A7" w14:textId="77777777" w:rsidR="00E97682" w:rsidRDefault="00E97682" w:rsidP="00EE5374">
      <w:pPr>
        <w:pStyle w:val="Body"/>
      </w:pPr>
    </w:p>
    <w:p w14:paraId="56E9614D" w14:textId="77777777" w:rsidR="00E97682" w:rsidRDefault="00E97682" w:rsidP="00EE5374">
      <w:pPr>
        <w:pStyle w:val="Body"/>
      </w:pPr>
    </w:p>
    <w:p w14:paraId="27FF792E" w14:textId="77777777" w:rsidR="00E97682" w:rsidRDefault="00E97682" w:rsidP="00EE5374">
      <w:pPr>
        <w:pStyle w:val="Body"/>
      </w:pPr>
    </w:p>
    <w:p w14:paraId="1F282C6B" w14:textId="77777777" w:rsidR="00E97682" w:rsidRDefault="00E97682" w:rsidP="00EE5374">
      <w:pPr>
        <w:pStyle w:val="Body"/>
      </w:pPr>
    </w:p>
    <w:p w14:paraId="07570C29" w14:textId="77777777" w:rsidR="00E97682" w:rsidRDefault="00E97682" w:rsidP="00EE5374">
      <w:pPr>
        <w:pStyle w:val="Body"/>
      </w:pPr>
    </w:p>
    <w:p w14:paraId="7A76FB16" w14:textId="77777777" w:rsidR="00E97682" w:rsidRDefault="00E97682" w:rsidP="00EE5374">
      <w:pPr>
        <w:pStyle w:val="Body"/>
      </w:pPr>
    </w:p>
    <w:p w14:paraId="60E1F421" w14:textId="77777777" w:rsidR="00E97682" w:rsidRDefault="00E97682" w:rsidP="00EE5374">
      <w:pPr>
        <w:pStyle w:val="Body"/>
      </w:pPr>
    </w:p>
    <w:p w14:paraId="0EB8CB41" w14:textId="77777777" w:rsidR="00E97682" w:rsidRDefault="00E97682" w:rsidP="00EE5374">
      <w:pPr>
        <w:pStyle w:val="Body"/>
      </w:pPr>
    </w:p>
    <w:p w14:paraId="01346DAB" w14:textId="77777777" w:rsidR="00E97682" w:rsidRDefault="00E97682" w:rsidP="00EE5374">
      <w:pPr>
        <w:pStyle w:val="Body"/>
      </w:pPr>
    </w:p>
    <w:p w14:paraId="2C2BAEF3" w14:textId="77777777" w:rsidR="00E97682" w:rsidRPr="00427F3A" w:rsidRDefault="00E97682" w:rsidP="00EE5374">
      <w:pPr>
        <w:pStyle w:val="Body"/>
      </w:pPr>
    </w:p>
    <w:p w14:paraId="22E3601E" w14:textId="77777777" w:rsidR="00E97682" w:rsidRPr="00427F3A" w:rsidRDefault="00E97682" w:rsidP="00F9713B">
      <w:pPr>
        <w:pStyle w:val="Notice"/>
        <w:rPr>
          <w:lang w:val="en-AU"/>
        </w:rPr>
      </w:pPr>
      <w:r w:rsidRPr="00427F3A">
        <w:rPr>
          <w:lang w:val="en-AU"/>
        </w:rPr>
        <w:t>Notice:  This copy of the Court's Reasons for Judgment is subject to formal revision prior to publication in the Commonwealth Law Reports.</w:t>
      </w:r>
    </w:p>
    <w:p w14:paraId="59C4027C" w14:textId="457E3B01" w:rsidR="00E97682" w:rsidRDefault="00E97682">
      <w:pPr>
        <w:tabs>
          <w:tab w:val="clear" w:pos="720"/>
          <w:tab w:val="clear" w:pos="1440"/>
          <w:tab w:val="clear" w:pos="2160"/>
          <w:tab w:val="clear" w:pos="2880"/>
          <w:tab w:val="clear" w:pos="3600"/>
          <w:tab w:val="clear" w:pos="4320"/>
          <w:tab w:val="clear" w:pos="5040"/>
          <w:tab w:val="clear" w:pos="5760"/>
          <w:tab w:val="clear" w:pos="6480"/>
          <w:tab w:val="clear" w:pos="7200"/>
        </w:tabs>
        <w:spacing w:line="240" w:lineRule="auto"/>
        <w:ind w:right="0" w:firstLine="0"/>
        <w:rPr>
          <w:rFonts w:ascii="Times New Roman" w:hAnsi="Times New Roman"/>
          <w:lang w:eastAsia="en-US"/>
        </w:rPr>
      </w:pPr>
      <w:r>
        <w:rPr>
          <w:rFonts w:ascii="Times New Roman" w:hAnsi="Times New Roman"/>
        </w:rPr>
        <w:br w:type="page"/>
      </w:r>
    </w:p>
    <w:p w14:paraId="505510AF" w14:textId="77777777" w:rsidR="00FF2E95" w:rsidRDefault="00E97682">
      <w:pPr>
        <w:tabs>
          <w:tab w:val="clear" w:pos="720"/>
          <w:tab w:val="clear" w:pos="1440"/>
          <w:tab w:val="clear" w:pos="2160"/>
          <w:tab w:val="clear" w:pos="2880"/>
          <w:tab w:val="clear" w:pos="3600"/>
          <w:tab w:val="clear" w:pos="4320"/>
          <w:tab w:val="clear" w:pos="5040"/>
          <w:tab w:val="clear" w:pos="5760"/>
          <w:tab w:val="clear" w:pos="6480"/>
          <w:tab w:val="clear" w:pos="7200"/>
        </w:tabs>
        <w:spacing w:line="240" w:lineRule="auto"/>
        <w:ind w:right="0" w:firstLine="0"/>
        <w:rPr>
          <w:rFonts w:ascii="Times New Roman" w:hAnsi="Times New Roman"/>
        </w:rPr>
        <w:sectPr w:rsidR="00FF2E95" w:rsidSect="00E97682">
          <w:headerReference w:type="even" r:id="rId11"/>
          <w:headerReference w:type="default" r:id="rId12"/>
          <w:footerReference w:type="even" r:id="rId13"/>
          <w:footerReference w:type="default" r:id="rId14"/>
          <w:headerReference w:type="first" r:id="rId15"/>
          <w:footerReference w:type="first" r:id="rId16"/>
          <w:pgSz w:w="11907" w:h="16839" w:code="9"/>
          <w:pgMar w:top="1440" w:right="1984" w:bottom="1984" w:left="1984" w:header="720" w:footer="720" w:gutter="0"/>
          <w:cols w:space="720"/>
          <w:titlePg/>
          <w:docGrid w:linePitch="354"/>
        </w:sectPr>
      </w:pPr>
      <w:r>
        <w:rPr>
          <w:rFonts w:ascii="Times New Roman" w:hAnsi="Times New Roman"/>
        </w:rPr>
        <w:lastRenderedPageBreak/>
        <w:br w:type="page"/>
      </w:r>
    </w:p>
    <w:p w14:paraId="12807465" w14:textId="77777777" w:rsidR="00FF2E95" w:rsidRDefault="00FF2E95" w:rsidP="00FF2E95">
      <w:pPr>
        <w:pStyle w:val="CatchwordsBold"/>
      </w:pPr>
      <w:r w:rsidRPr="00B9489E">
        <w:lastRenderedPageBreak/>
        <w:t>CATCHWORDS</w:t>
      </w:r>
    </w:p>
    <w:p w14:paraId="64FE0D32" w14:textId="77777777" w:rsidR="00FF2E95" w:rsidRPr="00B9489E" w:rsidRDefault="00FF2E95" w:rsidP="00FF2E95">
      <w:pPr>
        <w:pStyle w:val="CatchwordsBold"/>
      </w:pPr>
    </w:p>
    <w:p w14:paraId="014D3473" w14:textId="77777777" w:rsidR="00FF2E95" w:rsidRPr="00B9489E" w:rsidRDefault="00FF2E95" w:rsidP="00FF2E95">
      <w:pPr>
        <w:pStyle w:val="CatchwordsBold"/>
      </w:pPr>
      <w:r>
        <w:t xml:space="preserve">MACH Energy Australia Pty Ltd v Denman Aberdeen Muswellbrook Scone Healthy Environment Group Inc </w:t>
      </w:r>
    </w:p>
    <w:p w14:paraId="09E1C7DE" w14:textId="77777777" w:rsidR="00FF2E95" w:rsidRPr="00B9489E" w:rsidRDefault="00FF2E95" w:rsidP="00FF2E95">
      <w:pPr>
        <w:pStyle w:val="CatchwordsBold"/>
      </w:pPr>
    </w:p>
    <w:p w14:paraId="35BD49F2" w14:textId="7F544B97" w:rsidR="00FF2E95" w:rsidRPr="00AB7278" w:rsidRDefault="00FF2E95" w:rsidP="00FF2E95">
      <w:pPr>
        <w:pStyle w:val="CatchwordsText"/>
      </w:pPr>
      <w:r>
        <w:t xml:space="preserve">Administrative law – Judicial review – Where appellant sought development consent for project to extend and expand coal mine – Where </w:t>
      </w:r>
      <w:r w:rsidRPr="004E66B4">
        <w:t xml:space="preserve">Independent Planning Commission of </w:t>
      </w:r>
      <w:r w:rsidRPr="003F6BFF">
        <w:t>New South Wales</w:t>
      </w:r>
      <w:r w:rsidRPr="004E66B4">
        <w:t xml:space="preserve"> ("Commission")</w:t>
      </w:r>
      <w:r>
        <w:t xml:space="preserve"> granted development consent – Where Scope 3 emissions constituted </w:t>
      </w:r>
      <w:r w:rsidRPr="009F5C4F">
        <w:t>98 per cent o</w:t>
      </w:r>
      <w:r>
        <w:t>f</w:t>
      </w:r>
      <w:r w:rsidRPr="009F5C4F">
        <w:t xml:space="preserve"> project's total greenhouse gas emissions</w:t>
      </w:r>
      <w:r>
        <w:t xml:space="preserve"> – Where no conditions to minimise Scope 3 emissions imposed – Whether Commission complied with obligation to consider "likely impacts of that development, including environmental impacts ... </w:t>
      </w:r>
      <w:r w:rsidRPr="0017221C">
        <w:t>in the locality</w:t>
      </w:r>
      <w:r>
        <w:t>" – Whether Commission complied with obligation to consider imposing conditions aimed at ensuring greenhouse gas emissions minimised to greatest extent practicable.</w:t>
      </w:r>
    </w:p>
    <w:p w14:paraId="39CA9408" w14:textId="77777777" w:rsidR="00FF2E95" w:rsidRPr="00FF2E95" w:rsidRDefault="00FF2E95" w:rsidP="00FF2E95">
      <w:pPr>
        <w:pStyle w:val="CatchwordsText"/>
      </w:pPr>
    </w:p>
    <w:p w14:paraId="2B9DC13D" w14:textId="77777777" w:rsidR="00FF2E95" w:rsidRPr="00AB7278" w:rsidRDefault="00FF2E95" w:rsidP="00FF2E95">
      <w:pPr>
        <w:pStyle w:val="CatchwordsText"/>
      </w:pPr>
      <w:r>
        <w:t>Words and phrases – "climate change", "coal mine", "conditions", "consider", "consideration", "development consent", "duty to give reasons", "</w:t>
      </w:r>
      <w:r w:rsidRPr="00A9504C">
        <w:t>environmental impact statement</w:t>
      </w:r>
      <w:r>
        <w:t>", "environmental planning instrument", "</w:t>
      </w:r>
      <w:r w:rsidRPr="00AF5B53">
        <w:t>global warming</w:t>
      </w:r>
      <w:r>
        <w:t>", "greatest extent practicable", "greenhouse gas emissions", "impact", "in the locality", "intended essential meaning", "interpretation of reasons", "judicial review", "jurisdictional error", "</w:t>
      </w:r>
      <w:r w:rsidRPr="006B7483">
        <w:t>jurisdictional fact</w:t>
      </w:r>
      <w:r>
        <w:t>", "</w:t>
      </w:r>
      <w:r w:rsidRPr="00985317">
        <w:t>likely impacts</w:t>
      </w:r>
      <w:r>
        <w:t>", "</w:t>
      </w:r>
      <w:r w:rsidRPr="00950D7A">
        <w:t>mandatory</w:t>
      </w:r>
      <w:r>
        <w:t xml:space="preserve"> relevant</w:t>
      </w:r>
      <w:r w:rsidRPr="00950D7A">
        <w:t xml:space="preserve"> consideration</w:t>
      </w:r>
      <w:r>
        <w:t xml:space="preserve">", "materiality", "minimised to the greatest extent practicable", "Paris Agreement", "Scope 3 emissions". </w:t>
      </w:r>
    </w:p>
    <w:p w14:paraId="5E0AFBD4" w14:textId="77777777" w:rsidR="00FF2E95" w:rsidRPr="00FF2E95" w:rsidRDefault="00FF2E95" w:rsidP="00FF2E95">
      <w:pPr>
        <w:pStyle w:val="CatchwordsText"/>
      </w:pPr>
    </w:p>
    <w:p w14:paraId="666BD678" w14:textId="77777777" w:rsidR="00FF2E95" w:rsidRDefault="00FF2E95" w:rsidP="00FF2E95">
      <w:pPr>
        <w:pStyle w:val="CatchwordsText"/>
      </w:pPr>
      <w:r w:rsidRPr="00FF2E95">
        <w:rPr>
          <w:i/>
          <w:iCs/>
        </w:rPr>
        <w:t xml:space="preserve">Environmental Planning and Assessment Act 1979 </w:t>
      </w:r>
      <w:r w:rsidRPr="00930750">
        <w:t>(NSW)</w:t>
      </w:r>
      <w:r>
        <w:t>, ss 4.15(1)(a)(i), 4.15(1)(b).</w:t>
      </w:r>
    </w:p>
    <w:p w14:paraId="16AA60F8" w14:textId="7AEB46BE" w:rsidR="00E97682" w:rsidRPr="00FF2E95" w:rsidRDefault="00FF2E95" w:rsidP="00FF2E95">
      <w:pPr>
        <w:pStyle w:val="CatchwordsText"/>
        <w:rPr>
          <w:szCs w:val="26"/>
        </w:rPr>
      </w:pPr>
      <w:r w:rsidRPr="00FF2E95">
        <w:rPr>
          <w:i/>
          <w:iCs/>
        </w:rPr>
        <w:t xml:space="preserve">State Environmental Planning Policy (Resources and Energy) 2021 </w:t>
      </w:r>
      <w:r w:rsidRPr="006F5397">
        <w:t>(NSW)</w:t>
      </w:r>
      <w:r>
        <w:t xml:space="preserve">, cll 2.20(1)(c), 2.20(2).  </w:t>
      </w:r>
    </w:p>
    <w:p w14:paraId="1948A97B" w14:textId="4066128E" w:rsidR="00FF2E95" w:rsidRDefault="00FF2E95">
      <w:pPr>
        <w:tabs>
          <w:tab w:val="clear" w:pos="720"/>
          <w:tab w:val="clear" w:pos="1440"/>
          <w:tab w:val="clear" w:pos="2160"/>
          <w:tab w:val="clear" w:pos="2880"/>
          <w:tab w:val="clear" w:pos="3600"/>
          <w:tab w:val="clear" w:pos="4320"/>
          <w:tab w:val="clear" w:pos="5040"/>
          <w:tab w:val="clear" w:pos="5760"/>
          <w:tab w:val="clear" w:pos="6480"/>
          <w:tab w:val="clear" w:pos="7200"/>
        </w:tabs>
        <w:spacing w:line="240" w:lineRule="auto"/>
        <w:ind w:right="0" w:firstLine="0"/>
        <w:rPr>
          <w:rFonts w:ascii="Times New Roman" w:hAnsi="Times New Roman"/>
          <w:lang w:eastAsia="en-US"/>
        </w:rPr>
      </w:pPr>
      <w:r>
        <w:rPr>
          <w:rFonts w:ascii="Times New Roman" w:hAnsi="Times New Roman"/>
        </w:rPr>
        <w:br w:type="page"/>
      </w:r>
    </w:p>
    <w:p w14:paraId="26E2A8F4" w14:textId="60786A89" w:rsidR="00FF2E95" w:rsidRDefault="00FF2E95">
      <w:pPr>
        <w:tabs>
          <w:tab w:val="clear" w:pos="720"/>
          <w:tab w:val="clear" w:pos="1440"/>
          <w:tab w:val="clear" w:pos="2160"/>
          <w:tab w:val="clear" w:pos="2880"/>
          <w:tab w:val="clear" w:pos="3600"/>
          <w:tab w:val="clear" w:pos="4320"/>
          <w:tab w:val="clear" w:pos="5040"/>
          <w:tab w:val="clear" w:pos="5760"/>
          <w:tab w:val="clear" w:pos="6480"/>
          <w:tab w:val="clear" w:pos="7200"/>
        </w:tabs>
        <w:spacing w:line="240" w:lineRule="auto"/>
        <w:ind w:right="0" w:firstLine="0"/>
        <w:rPr>
          <w:rFonts w:ascii="Times New Roman" w:hAnsi="Times New Roman"/>
          <w:lang w:eastAsia="en-US"/>
        </w:rPr>
      </w:pPr>
      <w:r>
        <w:rPr>
          <w:rFonts w:ascii="Times New Roman" w:hAnsi="Times New Roman"/>
        </w:rPr>
        <w:lastRenderedPageBreak/>
        <w:br w:type="page"/>
      </w:r>
    </w:p>
    <w:p w14:paraId="069BF811" w14:textId="77777777" w:rsidR="00E97682" w:rsidRDefault="00E97682" w:rsidP="007406B5">
      <w:pPr>
        <w:pStyle w:val="NormalBody"/>
        <w:tabs>
          <w:tab w:val="clear" w:pos="720"/>
          <w:tab w:val="left" w:pos="0"/>
        </w:tabs>
        <w:spacing w:after="260" w:line="280" w:lineRule="exact"/>
        <w:ind w:right="0"/>
        <w:jc w:val="both"/>
        <w:rPr>
          <w:rFonts w:ascii="Times New Roman" w:hAnsi="Times New Roman"/>
        </w:rPr>
        <w:sectPr w:rsidR="00E97682" w:rsidSect="00FF2E95">
          <w:pgSz w:w="11907" w:h="16839" w:code="9"/>
          <w:pgMar w:top="1440" w:right="1701" w:bottom="1984" w:left="1701" w:header="720" w:footer="720" w:gutter="0"/>
          <w:pgNumType w:start="1"/>
          <w:cols w:space="720"/>
          <w:titlePg/>
          <w:docGrid w:linePitch="354"/>
        </w:sectPr>
      </w:pPr>
    </w:p>
    <w:p w14:paraId="2A9A79D0" w14:textId="47C99AD9" w:rsidR="007406B5" w:rsidRPr="007406B5" w:rsidRDefault="007406B5" w:rsidP="007406B5">
      <w:pPr>
        <w:pStyle w:val="NormalBody"/>
        <w:tabs>
          <w:tab w:val="clear" w:pos="720"/>
          <w:tab w:val="left" w:pos="0"/>
        </w:tabs>
        <w:spacing w:after="260" w:line="280" w:lineRule="exact"/>
        <w:ind w:right="0"/>
        <w:jc w:val="both"/>
        <w:rPr>
          <w:rFonts w:ascii="Times New Roman" w:hAnsi="Times New Roman"/>
        </w:rPr>
      </w:pPr>
      <w:r w:rsidRPr="007406B5">
        <w:rPr>
          <w:rFonts w:ascii="Times New Roman" w:hAnsi="Times New Roman"/>
        </w:rPr>
        <w:lastRenderedPageBreak/>
        <w:t xml:space="preserve">GAGELER CJ AND JAGOT J.   </w:t>
      </w:r>
    </w:p>
    <w:p w14:paraId="68D9E75C" w14:textId="35842C0B" w:rsidR="00A73989" w:rsidRPr="007406B5" w:rsidRDefault="0062599A" w:rsidP="007406B5">
      <w:pPr>
        <w:pStyle w:val="HeadingL1"/>
        <w:spacing w:after="260" w:line="280" w:lineRule="exact"/>
        <w:ind w:right="0"/>
        <w:jc w:val="both"/>
        <w:rPr>
          <w:rFonts w:ascii="Times New Roman" w:hAnsi="Times New Roman"/>
        </w:rPr>
      </w:pPr>
      <w:r w:rsidRPr="007406B5">
        <w:rPr>
          <w:rFonts w:ascii="Times New Roman" w:hAnsi="Times New Roman"/>
        </w:rPr>
        <w:t>The appeal</w:t>
      </w:r>
      <w:r w:rsidR="007066C7" w:rsidRPr="007406B5">
        <w:rPr>
          <w:rFonts w:ascii="Times New Roman" w:hAnsi="Times New Roman"/>
        </w:rPr>
        <w:t xml:space="preserve"> and amended notice of contention</w:t>
      </w:r>
    </w:p>
    <w:p w14:paraId="3AEB2128" w14:textId="18F86D76" w:rsidR="0062599A" w:rsidRPr="007406B5" w:rsidRDefault="0062599A" w:rsidP="007406B5">
      <w:pPr>
        <w:pStyle w:val="FixListStyle"/>
        <w:spacing w:after="260" w:line="280" w:lineRule="exact"/>
        <w:ind w:right="0"/>
        <w:jc w:val="both"/>
        <w:rPr>
          <w:rFonts w:ascii="Times New Roman" w:hAnsi="Times New Roman"/>
        </w:rPr>
      </w:pPr>
      <w:r w:rsidRPr="007406B5">
        <w:rPr>
          <w:rFonts w:ascii="Times New Roman" w:hAnsi="Times New Roman"/>
        </w:rPr>
        <w:tab/>
      </w:r>
      <w:r w:rsidR="00D15663" w:rsidRPr="007406B5">
        <w:rPr>
          <w:rFonts w:ascii="Times New Roman" w:hAnsi="Times New Roman"/>
        </w:rPr>
        <w:t>Section 4.15(1) o</w:t>
      </w:r>
      <w:r w:rsidR="00A35FB0" w:rsidRPr="007406B5">
        <w:rPr>
          <w:rFonts w:ascii="Times New Roman" w:hAnsi="Times New Roman"/>
        </w:rPr>
        <w:t xml:space="preserve">f the </w:t>
      </w:r>
      <w:r w:rsidR="00502E32" w:rsidRPr="007406B5">
        <w:rPr>
          <w:rFonts w:ascii="Times New Roman" w:hAnsi="Times New Roman"/>
          <w:i/>
          <w:iCs/>
        </w:rPr>
        <w:t>Environmental Planning and Assessment Act 1979</w:t>
      </w:r>
      <w:r w:rsidR="00502E32" w:rsidRPr="007406B5">
        <w:rPr>
          <w:rFonts w:ascii="Times New Roman" w:hAnsi="Times New Roman"/>
        </w:rPr>
        <w:t xml:space="preserve"> </w:t>
      </w:r>
      <w:r w:rsidR="00B14295" w:rsidRPr="007406B5">
        <w:rPr>
          <w:rFonts w:ascii="Times New Roman" w:hAnsi="Times New Roman"/>
        </w:rPr>
        <w:t xml:space="preserve">(NSW) </w:t>
      </w:r>
      <w:r w:rsidR="00D41C2F" w:rsidRPr="007406B5">
        <w:rPr>
          <w:rFonts w:ascii="Times New Roman" w:hAnsi="Times New Roman"/>
        </w:rPr>
        <w:t>(</w:t>
      </w:r>
      <w:r w:rsidR="004648D7" w:rsidRPr="007406B5">
        <w:rPr>
          <w:rFonts w:ascii="Times New Roman" w:hAnsi="Times New Roman"/>
        </w:rPr>
        <w:t>"</w:t>
      </w:r>
      <w:r w:rsidR="00D41C2F" w:rsidRPr="007406B5">
        <w:rPr>
          <w:rFonts w:ascii="Times New Roman" w:hAnsi="Times New Roman"/>
        </w:rPr>
        <w:t xml:space="preserve">the EPA Act") </w:t>
      </w:r>
      <w:r w:rsidR="00A35FB0" w:rsidRPr="007406B5">
        <w:rPr>
          <w:rFonts w:ascii="Times New Roman" w:hAnsi="Times New Roman"/>
        </w:rPr>
        <w:t xml:space="preserve">relevantly </w:t>
      </w:r>
      <w:r w:rsidR="003503DD" w:rsidRPr="007406B5">
        <w:rPr>
          <w:rFonts w:ascii="Times New Roman" w:hAnsi="Times New Roman"/>
        </w:rPr>
        <w:t>provide</w:t>
      </w:r>
      <w:r w:rsidR="00A35FB0" w:rsidRPr="007406B5">
        <w:rPr>
          <w:rFonts w:ascii="Times New Roman" w:hAnsi="Times New Roman"/>
        </w:rPr>
        <w:t>s</w:t>
      </w:r>
      <w:r w:rsidR="003503DD" w:rsidRPr="007406B5">
        <w:rPr>
          <w:rFonts w:ascii="Times New Roman" w:hAnsi="Times New Roman"/>
        </w:rPr>
        <w:t xml:space="preserve"> that</w:t>
      </w:r>
      <w:r w:rsidR="00093C86" w:rsidRPr="007406B5">
        <w:rPr>
          <w:rFonts w:ascii="Times New Roman" w:hAnsi="Times New Roman"/>
        </w:rPr>
        <w:t>:</w:t>
      </w:r>
    </w:p>
    <w:p w14:paraId="79442A66" w14:textId="1E8C1570" w:rsidR="00BD18C6" w:rsidRPr="007406B5" w:rsidRDefault="00A74218" w:rsidP="007406B5">
      <w:pPr>
        <w:pStyle w:val="leftright"/>
        <w:spacing w:before="0" w:after="260" w:line="280" w:lineRule="exact"/>
        <w:ind w:right="0"/>
        <w:jc w:val="both"/>
        <w:rPr>
          <w:rFonts w:ascii="Times New Roman" w:hAnsi="Times New Roman"/>
        </w:rPr>
      </w:pPr>
      <w:r w:rsidRPr="007406B5">
        <w:rPr>
          <w:rFonts w:ascii="Times New Roman" w:hAnsi="Times New Roman"/>
        </w:rPr>
        <w:t>"</w:t>
      </w:r>
      <w:r w:rsidR="00BD18C6" w:rsidRPr="007406B5">
        <w:rPr>
          <w:rFonts w:ascii="Times New Roman" w:hAnsi="Times New Roman"/>
        </w:rPr>
        <w:t>In determining a development application, a consent authority is to take into consideration such of the following matters as are of relevance to the development the subject of the development application</w:t>
      </w:r>
      <w:r w:rsidR="00C46B3C" w:rsidRPr="007406B5">
        <w:rPr>
          <w:rFonts w:ascii="Times New Roman" w:hAnsi="Times New Roman"/>
        </w:rPr>
        <w:t xml:space="preserve"> </w:t>
      </w:r>
      <w:r w:rsidR="00473090" w:rsidRPr="007406B5">
        <w:rPr>
          <w:rFonts w:ascii="Times New Roman" w:hAnsi="Times New Roman"/>
        </w:rPr>
        <w:t>–</w:t>
      </w:r>
    </w:p>
    <w:p w14:paraId="471B8530" w14:textId="18D9AC23" w:rsidR="00BD18C6" w:rsidRPr="007406B5" w:rsidRDefault="00BD18C6" w:rsidP="007406B5">
      <w:pPr>
        <w:pStyle w:val="leftright"/>
        <w:spacing w:before="0" w:after="260" w:line="280" w:lineRule="exact"/>
        <w:ind w:right="0"/>
        <w:jc w:val="both"/>
        <w:rPr>
          <w:rFonts w:ascii="Times New Roman" w:hAnsi="Times New Roman"/>
        </w:rPr>
      </w:pPr>
      <w:r w:rsidRPr="007406B5">
        <w:rPr>
          <w:rFonts w:ascii="Times New Roman" w:hAnsi="Times New Roman"/>
        </w:rPr>
        <w:t xml:space="preserve">(a) </w:t>
      </w:r>
      <w:r w:rsidR="00BB3F45" w:rsidRPr="007406B5">
        <w:rPr>
          <w:rFonts w:ascii="Times New Roman" w:hAnsi="Times New Roman"/>
        </w:rPr>
        <w:tab/>
      </w:r>
      <w:r w:rsidRPr="007406B5">
        <w:rPr>
          <w:rFonts w:ascii="Times New Roman" w:hAnsi="Times New Roman"/>
        </w:rPr>
        <w:t>the provisions of</w:t>
      </w:r>
      <w:r w:rsidR="00B63268" w:rsidRPr="007406B5">
        <w:rPr>
          <w:rFonts w:ascii="Times New Roman" w:hAnsi="Times New Roman"/>
        </w:rPr>
        <w:t xml:space="preserve"> </w:t>
      </w:r>
      <w:r w:rsidR="00473090" w:rsidRPr="007406B5">
        <w:rPr>
          <w:rFonts w:ascii="Times New Roman" w:hAnsi="Times New Roman"/>
        </w:rPr>
        <w:t>–</w:t>
      </w:r>
    </w:p>
    <w:p w14:paraId="3C6E64B4" w14:textId="7DDBEA29" w:rsidR="00093C86" w:rsidRPr="007406B5" w:rsidRDefault="00BD18C6" w:rsidP="007406B5">
      <w:pPr>
        <w:pStyle w:val="leftright"/>
        <w:tabs>
          <w:tab w:val="clear" w:pos="720"/>
        </w:tabs>
        <w:spacing w:before="0" w:after="260" w:line="280" w:lineRule="exact"/>
        <w:ind w:left="1440" w:right="0"/>
        <w:jc w:val="both"/>
        <w:rPr>
          <w:rFonts w:ascii="Times New Roman" w:hAnsi="Times New Roman"/>
        </w:rPr>
      </w:pPr>
      <w:r w:rsidRPr="007406B5">
        <w:rPr>
          <w:rFonts w:ascii="Times New Roman" w:hAnsi="Times New Roman"/>
        </w:rPr>
        <w:t>(i)</w:t>
      </w:r>
      <w:r w:rsidR="00BB3F45" w:rsidRPr="007406B5">
        <w:rPr>
          <w:rFonts w:ascii="Times New Roman" w:hAnsi="Times New Roman"/>
        </w:rPr>
        <w:tab/>
      </w:r>
      <w:r w:rsidRPr="007406B5">
        <w:rPr>
          <w:rFonts w:ascii="Times New Roman" w:hAnsi="Times New Roman"/>
        </w:rPr>
        <w:t>any environmental planning instrument</w:t>
      </w:r>
      <w:r w:rsidR="006216B8" w:rsidRPr="007406B5">
        <w:rPr>
          <w:rFonts w:ascii="Times New Roman" w:hAnsi="Times New Roman"/>
        </w:rPr>
        <w:t xml:space="preserve"> ...</w:t>
      </w:r>
    </w:p>
    <w:p w14:paraId="32891FF1" w14:textId="23069B24" w:rsidR="00BD18C6" w:rsidRPr="007406B5" w:rsidRDefault="00BD18C6" w:rsidP="007406B5">
      <w:pPr>
        <w:pStyle w:val="leftright"/>
        <w:spacing w:before="0" w:after="260" w:line="280" w:lineRule="exact"/>
        <w:ind w:left="1440" w:right="0"/>
        <w:jc w:val="both"/>
        <w:rPr>
          <w:rFonts w:ascii="Times New Roman" w:hAnsi="Times New Roman"/>
        </w:rPr>
      </w:pPr>
      <w:r w:rsidRPr="007406B5">
        <w:rPr>
          <w:rFonts w:ascii="Times New Roman" w:hAnsi="Times New Roman"/>
        </w:rPr>
        <w:t>...</w:t>
      </w:r>
    </w:p>
    <w:p w14:paraId="0E02F9C0" w14:textId="62ED5233" w:rsidR="00C03D3B" w:rsidRPr="007406B5" w:rsidRDefault="00191261" w:rsidP="007406B5">
      <w:pPr>
        <w:pStyle w:val="leftright"/>
        <w:spacing w:before="0" w:after="260" w:line="280" w:lineRule="exact"/>
        <w:ind w:left="1440" w:right="0"/>
        <w:jc w:val="both"/>
        <w:rPr>
          <w:rFonts w:ascii="Times New Roman" w:hAnsi="Times New Roman"/>
        </w:rPr>
      </w:pPr>
      <w:r w:rsidRPr="007406B5">
        <w:rPr>
          <w:rFonts w:ascii="Times New Roman" w:hAnsi="Times New Roman"/>
        </w:rPr>
        <w:t>that apply to the land to which the development application relates,</w:t>
      </w:r>
    </w:p>
    <w:p w14:paraId="3D261EE6" w14:textId="77777777" w:rsidR="004556D4" w:rsidRPr="007406B5" w:rsidRDefault="00EB2600" w:rsidP="007406B5">
      <w:pPr>
        <w:pStyle w:val="leftright"/>
        <w:spacing w:before="0" w:after="260" w:line="280" w:lineRule="exact"/>
        <w:ind w:left="1440" w:right="0" w:hanging="720"/>
        <w:jc w:val="both"/>
        <w:rPr>
          <w:rFonts w:ascii="Times New Roman" w:hAnsi="Times New Roman"/>
        </w:rPr>
      </w:pPr>
      <w:r w:rsidRPr="007406B5">
        <w:rPr>
          <w:rFonts w:ascii="Times New Roman" w:hAnsi="Times New Roman"/>
        </w:rPr>
        <w:t xml:space="preserve">(b) </w:t>
      </w:r>
      <w:r w:rsidR="00BB3F45" w:rsidRPr="007406B5">
        <w:rPr>
          <w:rFonts w:ascii="Times New Roman" w:hAnsi="Times New Roman"/>
        </w:rPr>
        <w:tab/>
      </w:r>
      <w:r w:rsidRPr="007406B5">
        <w:rPr>
          <w:rFonts w:ascii="Times New Roman" w:hAnsi="Times New Roman"/>
        </w:rPr>
        <w:t>the likely impacts of that development, including environmental impacts on both the natural and built environments, and social and economic impacts in the locality</w:t>
      </w:r>
      <w:r w:rsidR="004556D4" w:rsidRPr="007406B5">
        <w:rPr>
          <w:rFonts w:ascii="Times New Roman" w:hAnsi="Times New Roman"/>
        </w:rPr>
        <w:t>,</w:t>
      </w:r>
    </w:p>
    <w:p w14:paraId="59CEC24C" w14:textId="77777777" w:rsidR="007406B5" w:rsidRDefault="004556D4" w:rsidP="007406B5">
      <w:pPr>
        <w:pStyle w:val="leftright"/>
        <w:spacing w:before="0" w:after="260" w:line="280" w:lineRule="exact"/>
        <w:ind w:left="1440" w:right="0" w:hanging="720"/>
        <w:jc w:val="both"/>
        <w:rPr>
          <w:rFonts w:ascii="Times New Roman" w:hAnsi="Times New Roman"/>
        </w:rPr>
      </w:pPr>
      <w:r w:rsidRPr="007406B5">
        <w:rPr>
          <w:rFonts w:ascii="Times New Roman" w:hAnsi="Times New Roman"/>
        </w:rPr>
        <w:t>...</w:t>
      </w:r>
      <w:r w:rsidR="00EB2600" w:rsidRPr="007406B5">
        <w:rPr>
          <w:rFonts w:ascii="Times New Roman" w:hAnsi="Times New Roman"/>
        </w:rPr>
        <w:t>"</w:t>
      </w:r>
    </w:p>
    <w:p w14:paraId="673FD4AF" w14:textId="049EC3EB" w:rsidR="009148A4" w:rsidRPr="007406B5" w:rsidRDefault="00D84609" w:rsidP="007406B5">
      <w:pPr>
        <w:pStyle w:val="FixListStyle"/>
        <w:spacing w:after="260" w:line="280" w:lineRule="exact"/>
        <w:ind w:right="0"/>
        <w:jc w:val="both"/>
        <w:rPr>
          <w:rFonts w:ascii="Times New Roman" w:hAnsi="Times New Roman"/>
        </w:rPr>
      </w:pPr>
      <w:r w:rsidRPr="007406B5">
        <w:rPr>
          <w:rFonts w:ascii="Times New Roman" w:hAnsi="Times New Roman"/>
        </w:rPr>
        <w:tab/>
      </w:r>
      <w:r w:rsidR="00C31E4C" w:rsidRPr="007406B5">
        <w:rPr>
          <w:rFonts w:ascii="Times New Roman" w:hAnsi="Times New Roman"/>
        </w:rPr>
        <w:t xml:space="preserve">The development the subject of the development application </w:t>
      </w:r>
      <w:r w:rsidR="00573A85" w:rsidRPr="007406B5">
        <w:rPr>
          <w:rFonts w:ascii="Times New Roman" w:hAnsi="Times New Roman"/>
        </w:rPr>
        <w:t xml:space="preserve">made by </w:t>
      </w:r>
      <w:r w:rsidR="004A0069" w:rsidRPr="007406B5">
        <w:rPr>
          <w:rFonts w:ascii="Times New Roman" w:hAnsi="Times New Roman"/>
        </w:rPr>
        <w:t>the applicant</w:t>
      </w:r>
      <w:r w:rsidR="00A708D4" w:rsidRPr="007406B5">
        <w:rPr>
          <w:rFonts w:ascii="Times New Roman" w:hAnsi="Times New Roman"/>
        </w:rPr>
        <w:t xml:space="preserve"> </w:t>
      </w:r>
      <w:r w:rsidR="005D1542" w:rsidRPr="007406B5">
        <w:rPr>
          <w:rFonts w:ascii="Times New Roman" w:hAnsi="Times New Roman"/>
        </w:rPr>
        <w:t xml:space="preserve">for development consent </w:t>
      </w:r>
      <w:r w:rsidR="00A708D4" w:rsidRPr="007406B5">
        <w:rPr>
          <w:rFonts w:ascii="Times New Roman" w:hAnsi="Times New Roman"/>
        </w:rPr>
        <w:t>and the appellant in this appeal</w:t>
      </w:r>
      <w:r w:rsidR="004A0069" w:rsidRPr="007406B5">
        <w:rPr>
          <w:rFonts w:ascii="Times New Roman" w:hAnsi="Times New Roman"/>
        </w:rPr>
        <w:t xml:space="preserve">, </w:t>
      </w:r>
      <w:r w:rsidR="00441082" w:rsidRPr="007406B5">
        <w:rPr>
          <w:rFonts w:ascii="Times New Roman" w:hAnsi="Times New Roman"/>
        </w:rPr>
        <w:t>MACH</w:t>
      </w:r>
      <w:r w:rsidR="004A0069" w:rsidRPr="007406B5">
        <w:rPr>
          <w:rFonts w:ascii="Times New Roman" w:hAnsi="Times New Roman"/>
        </w:rPr>
        <w:t xml:space="preserve"> Energy Australia Pty Ltd ("</w:t>
      </w:r>
      <w:r w:rsidR="00441082" w:rsidRPr="007406B5">
        <w:rPr>
          <w:rFonts w:ascii="Times New Roman" w:hAnsi="Times New Roman"/>
        </w:rPr>
        <w:t>MACH</w:t>
      </w:r>
      <w:r w:rsidR="004A0069" w:rsidRPr="007406B5">
        <w:rPr>
          <w:rFonts w:ascii="Times New Roman" w:hAnsi="Times New Roman"/>
        </w:rPr>
        <w:t>")</w:t>
      </w:r>
      <w:r w:rsidR="00DC5A9A" w:rsidRPr="007406B5">
        <w:rPr>
          <w:rFonts w:ascii="Times New Roman" w:hAnsi="Times New Roman"/>
        </w:rPr>
        <w:t>,</w:t>
      </w:r>
      <w:r w:rsidR="004A0069" w:rsidRPr="007406B5">
        <w:rPr>
          <w:rFonts w:ascii="Times New Roman" w:hAnsi="Times New Roman"/>
        </w:rPr>
        <w:t xml:space="preserve"> </w:t>
      </w:r>
      <w:r w:rsidR="00897E4B" w:rsidRPr="007406B5">
        <w:rPr>
          <w:rFonts w:ascii="Times New Roman" w:hAnsi="Times New Roman"/>
        </w:rPr>
        <w:t xml:space="preserve">involved </w:t>
      </w:r>
      <w:r w:rsidR="00EE0D1D" w:rsidRPr="007406B5">
        <w:rPr>
          <w:rFonts w:ascii="Times New Roman" w:hAnsi="Times New Roman"/>
        </w:rPr>
        <w:t xml:space="preserve">an extension of the operational life of the </w:t>
      </w:r>
      <w:r w:rsidR="004511DD" w:rsidRPr="007406B5">
        <w:rPr>
          <w:rFonts w:ascii="Times New Roman" w:hAnsi="Times New Roman"/>
        </w:rPr>
        <w:t>Mount Pleasant coal mine</w:t>
      </w:r>
      <w:r w:rsidR="0059491F" w:rsidRPr="007406B5">
        <w:rPr>
          <w:rFonts w:ascii="Times New Roman" w:hAnsi="Times New Roman"/>
        </w:rPr>
        <w:t xml:space="preserve"> in the Hunter region of New South Wales</w:t>
      </w:r>
      <w:r w:rsidR="00EE46B7" w:rsidRPr="007406B5">
        <w:rPr>
          <w:rFonts w:ascii="Times New Roman" w:hAnsi="Times New Roman"/>
        </w:rPr>
        <w:t>,</w:t>
      </w:r>
      <w:r w:rsidR="004511DD" w:rsidRPr="007406B5">
        <w:rPr>
          <w:rFonts w:ascii="Times New Roman" w:hAnsi="Times New Roman"/>
        </w:rPr>
        <w:t xml:space="preserve"> </w:t>
      </w:r>
      <w:r w:rsidR="009148A4" w:rsidRPr="007406B5">
        <w:rPr>
          <w:rFonts w:ascii="Times New Roman" w:hAnsi="Times New Roman"/>
        </w:rPr>
        <w:t>for a period of 22</w:t>
      </w:r>
      <w:r w:rsidR="004124C2" w:rsidRPr="007406B5">
        <w:rPr>
          <w:rFonts w:ascii="Times New Roman" w:hAnsi="Times New Roman"/>
        </w:rPr>
        <w:t> </w:t>
      </w:r>
      <w:r w:rsidR="009148A4" w:rsidRPr="007406B5">
        <w:rPr>
          <w:rFonts w:ascii="Times New Roman" w:hAnsi="Times New Roman"/>
        </w:rPr>
        <w:t xml:space="preserve">years </w:t>
      </w:r>
      <w:r w:rsidR="004511DD" w:rsidRPr="007406B5">
        <w:rPr>
          <w:rFonts w:ascii="Times New Roman" w:hAnsi="Times New Roman"/>
        </w:rPr>
        <w:t xml:space="preserve">from its </w:t>
      </w:r>
      <w:r w:rsidR="00C9498A" w:rsidRPr="007406B5">
        <w:rPr>
          <w:rFonts w:ascii="Times New Roman" w:hAnsi="Times New Roman"/>
        </w:rPr>
        <w:t xml:space="preserve">current </w:t>
      </w:r>
      <w:r w:rsidR="004511DD" w:rsidRPr="007406B5">
        <w:rPr>
          <w:rFonts w:ascii="Times New Roman" w:hAnsi="Times New Roman"/>
        </w:rPr>
        <w:t xml:space="preserve">end of extraction date of </w:t>
      </w:r>
      <w:r w:rsidR="00CD15A0" w:rsidRPr="007406B5">
        <w:rPr>
          <w:rFonts w:ascii="Times New Roman" w:hAnsi="Times New Roman"/>
        </w:rPr>
        <w:t>22</w:t>
      </w:r>
      <w:r w:rsidR="004124C2" w:rsidRPr="007406B5">
        <w:rPr>
          <w:rFonts w:ascii="Times New Roman" w:hAnsi="Times New Roman"/>
        </w:rPr>
        <w:t> </w:t>
      </w:r>
      <w:r w:rsidR="00CD15A0" w:rsidRPr="007406B5">
        <w:rPr>
          <w:rFonts w:ascii="Times New Roman" w:hAnsi="Times New Roman"/>
        </w:rPr>
        <w:t>December 2026 until 22</w:t>
      </w:r>
      <w:r w:rsidR="004124C2" w:rsidRPr="007406B5">
        <w:rPr>
          <w:rFonts w:ascii="Times New Roman" w:hAnsi="Times New Roman"/>
        </w:rPr>
        <w:t> </w:t>
      </w:r>
      <w:r w:rsidR="00CD15A0" w:rsidRPr="007406B5">
        <w:rPr>
          <w:rFonts w:ascii="Times New Roman" w:hAnsi="Times New Roman"/>
        </w:rPr>
        <w:t xml:space="preserve">December 2048. </w:t>
      </w:r>
      <w:r w:rsidR="00E93B73" w:rsidRPr="007406B5">
        <w:rPr>
          <w:rFonts w:ascii="Times New Roman" w:hAnsi="Times New Roman"/>
        </w:rPr>
        <w:t>This would enable the extraction of an additional 406</w:t>
      </w:r>
      <w:r w:rsidR="006C522D" w:rsidRPr="007406B5">
        <w:rPr>
          <w:rFonts w:ascii="Times New Roman" w:hAnsi="Times New Roman"/>
        </w:rPr>
        <w:t> </w:t>
      </w:r>
      <w:r w:rsidR="00E93B73" w:rsidRPr="007406B5">
        <w:rPr>
          <w:rFonts w:ascii="Times New Roman" w:hAnsi="Times New Roman"/>
        </w:rPr>
        <w:t xml:space="preserve">million tonnes of </w:t>
      </w:r>
      <w:r w:rsidR="00700484" w:rsidRPr="007406B5">
        <w:rPr>
          <w:rFonts w:ascii="Times New Roman" w:hAnsi="Times New Roman"/>
        </w:rPr>
        <w:t xml:space="preserve">coal to be achieved by deepening part of the </w:t>
      </w:r>
      <w:r w:rsidR="00374010" w:rsidRPr="007406B5">
        <w:rPr>
          <w:rFonts w:ascii="Times New Roman" w:hAnsi="Times New Roman"/>
        </w:rPr>
        <w:t xml:space="preserve">existing </w:t>
      </w:r>
      <w:r w:rsidR="00700484" w:rsidRPr="007406B5">
        <w:rPr>
          <w:rFonts w:ascii="Times New Roman" w:hAnsi="Times New Roman"/>
        </w:rPr>
        <w:t xml:space="preserve">open cut mining area </w:t>
      </w:r>
      <w:r w:rsidR="00374010" w:rsidRPr="007406B5">
        <w:rPr>
          <w:rFonts w:ascii="Times New Roman" w:hAnsi="Times New Roman"/>
        </w:rPr>
        <w:t>and increasing the mine's annual production rate of coal from 10.5</w:t>
      </w:r>
      <w:r w:rsidR="006C522D" w:rsidRPr="007406B5">
        <w:rPr>
          <w:rFonts w:ascii="Times New Roman" w:hAnsi="Times New Roman"/>
        </w:rPr>
        <w:t> </w:t>
      </w:r>
      <w:r w:rsidR="00374010" w:rsidRPr="007406B5">
        <w:rPr>
          <w:rFonts w:ascii="Times New Roman" w:hAnsi="Times New Roman"/>
        </w:rPr>
        <w:t xml:space="preserve">million tonnes per year to </w:t>
      </w:r>
      <w:r w:rsidR="00D015F2" w:rsidRPr="007406B5">
        <w:rPr>
          <w:rFonts w:ascii="Times New Roman" w:hAnsi="Times New Roman"/>
        </w:rPr>
        <w:t>21</w:t>
      </w:r>
      <w:r w:rsidR="006C522D" w:rsidRPr="007406B5">
        <w:rPr>
          <w:rFonts w:ascii="Times New Roman" w:hAnsi="Times New Roman"/>
        </w:rPr>
        <w:t> </w:t>
      </w:r>
      <w:r w:rsidR="00D015F2" w:rsidRPr="007406B5">
        <w:rPr>
          <w:rFonts w:ascii="Times New Roman" w:hAnsi="Times New Roman"/>
        </w:rPr>
        <w:t xml:space="preserve">million tonnes per year. </w:t>
      </w:r>
    </w:p>
    <w:p w14:paraId="2BA5DDED" w14:textId="68EBAFDC" w:rsidR="008D38A3" w:rsidRPr="007406B5" w:rsidRDefault="009148A4" w:rsidP="007406B5">
      <w:pPr>
        <w:pStyle w:val="FixListStyle"/>
        <w:spacing w:after="260" w:line="280" w:lineRule="exact"/>
        <w:ind w:right="0"/>
        <w:jc w:val="both"/>
        <w:rPr>
          <w:rFonts w:ascii="Times New Roman" w:hAnsi="Times New Roman"/>
        </w:rPr>
      </w:pPr>
      <w:r w:rsidRPr="007406B5">
        <w:rPr>
          <w:rFonts w:ascii="Times New Roman" w:hAnsi="Times New Roman"/>
        </w:rPr>
        <w:tab/>
      </w:r>
      <w:r w:rsidR="008E019E" w:rsidRPr="007406B5">
        <w:rPr>
          <w:rFonts w:ascii="Times New Roman" w:hAnsi="Times New Roman"/>
        </w:rPr>
        <w:t xml:space="preserve">The development </w:t>
      </w:r>
      <w:r w:rsidR="009C6270" w:rsidRPr="007406B5">
        <w:rPr>
          <w:rFonts w:ascii="Times New Roman" w:hAnsi="Times New Roman"/>
        </w:rPr>
        <w:t xml:space="preserve">constituted </w:t>
      </w:r>
      <w:r w:rsidR="008E019E" w:rsidRPr="007406B5">
        <w:rPr>
          <w:rFonts w:ascii="Times New Roman" w:hAnsi="Times New Roman"/>
        </w:rPr>
        <w:t xml:space="preserve">"State significant development" </w:t>
      </w:r>
      <w:r w:rsidR="00AB7273" w:rsidRPr="007406B5">
        <w:rPr>
          <w:rFonts w:ascii="Times New Roman" w:hAnsi="Times New Roman"/>
        </w:rPr>
        <w:t>in accordance with s 4.36 of the EPA Act</w:t>
      </w:r>
      <w:r w:rsidR="005051F7" w:rsidRPr="007406B5">
        <w:rPr>
          <w:rFonts w:ascii="Times New Roman" w:hAnsi="Times New Roman"/>
        </w:rPr>
        <w:t>.</w:t>
      </w:r>
      <w:r w:rsidR="00AB7273" w:rsidRPr="007406B5">
        <w:rPr>
          <w:rFonts w:ascii="Times New Roman" w:hAnsi="Times New Roman"/>
        </w:rPr>
        <w:t xml:space="preserve"> </w:t>
      </w:r>
      <w:r w:rsidR="005051F7" w:rsidRPr="007406B5">
        <w:rPr>
          <w:rFonts w:ascii="Times New Roman" w:hAnsi="Times New Roman"/>
        </w:rPr>
        <w:t>By s 4.5 of</w:t>
      </w:r>
      <w:r w:rsidRPr="007406B5">
        <w:rPr>
          <w:rFonts w:ascii="Times New Roman" w:hAnsi="Times New Roman"/>
        </w:rPr>
        <w:t xml:space="preserve"> that Act,</w:t>
      </w:r>
      <w:r w:rsidR="005051F7" w:rsidRPr="007406B5">
        <w:rPr>
          <w:rFonts w:ascii="Times New Roman" w:hAnsi="Times New Roman"/>
        </w:rPr>
        <w:t xml:space="preserve"> t</w:t>
      </w:r>
      <w:r w:rsidR="00AC6F8B" w:rsidRPr="007406B5">
        <w:rPr>
          <w:rFonts w:ascii="Times New Roman" w:hAnsi="Times New Roman"/>
        </w:rPr>
        <w:t>he Independent Planning Commission of New South Wales (</w:t>
      </w:r>
      <w:r w:rsidR="008B6DBD" w:rsidRPr="007406B5">
        <w:rPr>
          <w:rFonts w:ascii="Times New Roman" w:hAnsi="Times New Roman"/>
        </w:rPr>
        <w:t>"</w:t>
      </w:r>
      <w:r w:rsidR="00AC6F8B" w:rsidRPr="007406B5">
        <w:rPr>
          <w:rFonts w:ascii="Times New Roman" w:hAnsi="Times New Roman"/>
        </w:rPr>
        <w:t xml:space="preserve">the </w:t>
      </w:r>
      <w:r w:rsidR="001B7839" w:rsidRPr="007406B5">
        <w:rPr>
          <w:rFonts w:ascii="Times New Roman" w:hAnsi="Times New Roman"/>
        </w:rPr>
        <w:t>Commission</w:t>
      </w:r>
      <w:r w:rsidR="00AC6F8B" w:rsidRPr="007406B5">
        <w:rPr>
          <w:rFonts w:ascii="Times New Roman" w:hAnsi="Times New Roman"/>
        </w:rPr>
        <w:t>")</w:t>
      </w:r>
      <w:r w:rsidR="003C53A9" w:rsidRPr="007406B5">
        <w:rPr>
          <w:rFonts w:ascii="Times New Roman" w:hAnsi="Times New Roman"/>
        </w:rPr>
        <w:t xml:space="preserve"> </w:t>
      </w:r>
      <w:r w:rsidR="005051F7" w:rsidRPr="007406B5">
        <w:rPr>
          <w:rFonts w:ascii="Times New Roman" w:hAnsi="Times New Roman"/>
        </w:rPr>
        <w:t>was the consent authority for the development application</w:t>
      </w:r>
      <w:r w:rsidR="00AC6F8B" w:rsidRPr="007406B5">
        <w:rPr>
          <w:rFonts w:ascii="Times New Roman" w:hAnsi="Times New Roman"/>
        </w:rPr>
        <w:t xml:space="preserve">. By </w:t>
      </w:r>
      <w:r w:rsidR="00324EF1" w:rsidRPr="007406B5">
        <w:rPr>
          <w:rFonts w:ascii="Times New Roman" w:hAnsi="Times New Roman"/>
        </w:rPr>
        <w:t>s 4.40</w:t>
      </w:r>
      <w:r w:rsidR="00731FCA" w:rsidRPr="007406B5">
        <w:rPr>
          <w:rFonts w:ascii="Times New Roman" w:hAnsi="Times New Roman"/>
        </w:rPr>
        <w:t>, s 4.15 applied to the determination of the development application.</w:t>
      </w:r>
      <w:r w:rsidR="00ED176A" w:rsidRPr="007406B5">
        <w:rPr>
          <w:rFonts w:ascii="Times New Roman" w:hAnsi="Times New Roman"/>
        </w:rPr>
        <w:t xml:space="preserve"> By s 4.38</w:t>
      </w:r>
      <w:r w:rsidR="005A05A4" w:rsidRPr="007406B5">
        <w:rPr>
          <w:rFonts w:ascii="Times New Roman" w:hAnsi="Times New Roman"/>
        </w:rPr>
        <w:t>,</w:t>
      </w:r>
      <w:r w:rsidR="00ED176A" w:rsidRPr="007406B5">
        <w:rPr>
          <w:rFonts w:ascii="Times New Roman" w:hAnsi="Times New Roman"/>
        </w:rPr>
        <w:t xml:space="preserve"> the </w:t>
      </w:r>
      <w:r w:rsidR="001B7839" w:rsidRPr="007406B5">
        <w:rPr>
          <w:rFonts w:ascii="Times New Roman" w:hAnsi="Times New Roman"/>
        </w:rPr>
        <w:t>Commission</w:t>
      </w:r>
      <w:r w:rsidR="00ED176A" w:rsidRPr="007406B5">
        <w:rPr>
          <w:rFonts w:ascii="Times New Roman" w:hAnsi="Times New Roman"/>
        </w:rPr>
        <w:t xml:space="preserve"> </w:t>
      </w:r>
      <w:r w:rsidR="005A05A4" w:rsidRPr="007406B5">
        <w:rPr>
          <w:rFonts w:ascii="Times New Roman" w:hAnsi="Times New Roman"/>
        </w:rPr>
        <w:t xml:space="preserve">as the consent </w:t>
      </w:r>
      <w:r w:rsidR="00814D47" w:rsidRPr="007406B5">
        <w:rPr>
          <w:rFonts w:ascii="Times New Roman" w:hAnsi="Times New Roman"/>
        </w:rPr>
        <w:t>authority</w:t>
      </w:r>
      <w:r w:rsidR="005A05A4" w:rsidRPr="007406B5">
        <w:rPr>
          <w:rFonts w:ascii="Times New Roman" w:hAnsi="Times New Roman"/>
        </w:rPr>
        <w:t xml:space="preserve"> </w:t>
      </w:r>
      <w:r w:rsidR="00814D47" w:rsidRPr="007406B5">
        <w:rPr>
          <w:rFonts w:ascii="Times New Roman" w:hAnsi="Times New Roman"/>
        </w:rPr>
        <w:t>was to determine the development application by "granting consent to the application with such modifications of the proposed development or on such conditions as the consent authority may determine" or "</w:t>
      </w:r>
      <w:r w:rsidR="00031CDF" w:rsidRPr="007406B5">
        <w:rPr>
          <w:rFonts w:ascii="Times New Roman" w:hAnsi="Times New Roman"/>
        </w:rPr>
        <w:t>refusing consent to the application"</w:t>
      </w:r>
      <w:r w:rsidR="001D1100" w:rsidRPr="007406B5">
        <w:rPr>
          <w:rFonts w:ascii="Times New Roman" w:hAnsi="Times New Roman"/>
        </w:rPr>
        <w:t>.</w:t>
      </w:r>
      <w:r w:rsidR="00031CDF" w:rsidRPr="007406B5">
        <w:rPr>
          <w:rFonts w:ascii="Times New Roman" w:hAnsi="Times New Roman"/>
        </w:rPr>
        <w:t xml:space="preserve"> </w:t>
      </w:r>
      <w:r w:rsidR="00EE328F" w:rsidRPr="007406B5">
        <w:rPr>
          <w:rFonts w:ascii="Times New Roman" w:hAnsi="Times New Roman"/>
        </w:rPr>
        <w:t>By s</w:t>
      </w:r>
      <w:r w:rsidR="00370222" w:rsidRPr="007406B5">
        <w:rPr>
          <w:rFonts w:ascii="Times New Roman" w:hAnsi="Times New Roman"/>
        </w:rPr>
        <w:t>s</w:t>
      </w:r>
      <w:r w:rsidR="00EE328F" w:rsidRPr="007406B5">
        <w:rPr>
          <w:rFonts w:ascii="Times New Roman" w:hAnsi="Times New Roman"/>
        </w:rPr>
        <w:t> </w:t>
      </w:r>
      <w:r w:rsidR="0057768F" w:rsidRPr="007406B5">
        <w:rPr>
          <w:rFonts w:ascii="Times New Roman" w:hAnsi="Times New Roman"/>
        </w:rPr>
        <w:t>2.21(1)</w:t>
      </w:r>
      <w:r w:rsidR="00EE328F" w:rsidRPr="007406B5">
        <w:rPr>
          <w:rFonts w:ascii="Times New Roman" w:hAnsi="Times New Roman"/>
        </w:rPr>
        <w:t xml:space="preserve">(d) </w:t>
      </w:r>
      <w:r w:rsidR="00176447" w:rsidRPr="007406B5">
        <w:rPr>
          <w:rFonts w:ascii="Times New Roman" w:hAnsi="Times New Roman"/>
        </w:rPr>
        <w:t>and</w:t>
      </w:r>
      <w:r w:rsidR="00370222" w:rsidRPr="007406B5">
        <w:rPr>
          <w:rFonts w:ascii="Times New Roman" w:hAnsi="Times New Roman"/>
        </w:rPr>
        <w:t> </w:t>
      </w:r>
      <w:r w:rsidR="00176447" w:rsidRPr="007406B5">
        <w:rPr>
          <w:rFonts w:ascii="Times New Roman" w:hAnsi="Times New Roman"/>
        </w:rPr>
        <w:t xml:space="preserve">2.21(2)(b) </w:t>
      </w:r>
      <w:r w:rsidR="007F3212" w:rsidRPr="007406B5">
        <w:rPr>
          <w:rFonts w:ascii="Times New Roman" w:hAnsi="Times New Roman"/>
        </w:rPr>
        <w:t xml:space="preserve">the </w:t>
      </w:r>
      <w:r w:rsidR="001B7839" w:rsidRPr="007406B5">
        <w:rPr>
          <w:rFonts w:ascii="Times New Roman" w:hAnsi="Times New Roman"/>
        </w:rPr>
        <w:t>Commission</w:t>
      </w:r>
      <w:r w:rsidR="007F3212" w:rsidRPr="007406B5">
        <w:rPr>
          <w:rFonts w:ascii="Times New Roman" w:hAnsi="Times New Roman"/>
        </w:rPr>
        <w:t xml:space="preserve"> was required, amongst other things, to carry out the "community </w:t>
      </w:r>
      <w:r w:rsidR="006371F1" w:rsidRPr="007406B5">
        <w:rPr>
          <w:rFonts w:ascii="Times New Roman" w:hAnsi="Times New Roman"/>
        </w:rPr>
        <w:t>participation</w:t>
      </w:r>
      <w:r w:rsidR="007F3212" w:rsidRPr="007406B5">
        <w:rPr>
          <w:rFonts w:ascii="Times New Roman" w:hAnsi="Times New Roman"/>
        </w:rPr>
        <w:t>"</w:t>
      </w:r>
      <w:r w:rsidR="00102B2A" w:rsidRPr="007406B5">
        <w:rPr>
          <w:rFonts w:ascii="Times New Roman" w:hAnsi="Times New Roman"/>
        </w:rPr>
        <w:t xml:space="preserve"> function</w:t>
      </w:r>
      <w:r w:rsidR="007F3212" w:rsidRPr="007406B5">
        <w:rPr>
          <w:rFonts w:ascii="Times New Roman" w:hAnsi="Times New Roman"/>
        </w:rPr>
        <w:t xml:space="preserve"> in </w:t>
      </w:r>
      <w:r w:rsidR="007F3212" w:rsidRPr="007406B5">
        <w:rPr>
          <w:rFonts w:ascii="Times New Roman" w:hAnsi="Times New Roman"/>
        </w:rPr>
        <w:lastRenderedPageBreak/>
        <w:t xml:space="preserve">respect of the development </w:t>
      </w:r>
      <w:r w:rsidR="006371F1" w:rsidRPr="007406B5">
        <w:rPr>
          <w:rFonts w:ascii="Times New Roman" w:hAnsi="Times New Roman"/>
        </w:rPr>
        <w:t>application</w:t>
      </w:r>
      <w:r w:rsidR="007F3212" w:rsidRPr="007406B5">
        <w:rPr>
          <w:rFonts w:ascii="Times New Roman" w:hAnsi="Times New Roman"/>
        </w:rPr>
        <w:t xml:space="preserve"> in accordance with </w:t>
      </w:r>
      <w:r w:rsidR="006371F1" w:rsidRPr="007406B5">
        <w:rPr>
          <w:rFonts w:ascii="Times New Roman" w:hAnsi="Times New Roman"/>
        </w:rPr>
        <w:t>Div 2.6 of Pt </w:t>
      </w:r>
      <w:r w:rsidR="0032011D" w:rsidRPr="007406B5">
        <w:rPr>
          <w:rFonts w:ascii="Times New Roman" w:hAnsi="Times New Roman"/>
        </w:rPr>
        <w:t>2</w:t>
      </w:r>
      <w:r w:rsidR="006371F1" w:rsidRPr="007406B5">
        <w:rPr>
          <w:rFonts w:ascii="Times New Roman" w:hAnsi="Times New Roman"/>
        </w:rPr>
        <w:t xml:space="preserve"> of the EPA Act.</w:t>
      </w:r>
    </w:p>
    <w:p w14:paraId="793A8BA6" w14:textId="381194E7" w:rsidR="00D015F2" w:rsidRPr="007406B5" w:rsidRDefault="00D015F2" w:rsidP="007406B5">
      <w:pPr>
        <w:pStyle w:val="FixListStyle"/>
        <w:spacing w:after="260" w:line="280" w:lineRule="exact"/>
        <w:ind w:right="0"/>
        <w:jc w:val="both"/>
        <w:rPr>
          <w:rFonts w:ascii="Times New Roman" w:hAnsi="Times New Roman"/>
        </w:rPr>
      </w:pPr>
      <w:r w:rsidRPr="007406B5">
        <w:rPr>
          <w:rFonts w:ascii="Times New Roman" w:hAnsi="Times New Roman"/>
        </w:rPr>
        <w:tab/>
      </w:r>
      <w:r w:rsidR="00D07D50" w:rsidRPr="007406B5">
        <w:rPr>
          <w:rFonts w:ascii="Times New Roman" w:hAnsi="Times New Roman"/>
        </w:rPr>
        <w:t xml:space="preserve">The development application was the subject of significant objection including from the </w:t>
      </w:r>
      <w:r w:rsidR="00A55CE1" w:rsidRPr="007406B5">
        <w:rPr>
          <w:rFonts w:ascii="Times New Roman" w:hAnsi="Times New Roman"/>
        </w:rPr>
        <w:t xml:space="preserve">first </w:t>
      </w:r>
      <w:r w:rsidR="00F12DA9" w:rsidRPr="007406B5">
        <w:rPr>
          <w:rFonts w:ascii="Times New Roman" w:hAnsi="Times New Roman"/>
        </w:rPr>
        <w:t>respondent</w:t>
      </w:r>
      <w:r w:rsidR="007C2618" w:rsidRPr="007406B5">
        <w:rPr>
          <w:rFonts w:ascii="Times New Roman" w:hAnsi="Times New Roman"/>
        </w:rPr>
        <w:t>,</w:t>
      </w:r>
      <w:r w:rsidR="00D07D50" w:rsidRPr="007406B5">
        <w:rPr>
          <w:rFonts w:ascii="Times New Roman" w:hAnsi="Times New Roman"/>
        </w:rPr>
        <w:t xml:space="preserve"> </w:t>
      </w:r>
      <w:r w:rsidR="005F7535" w:rsidRPr="007406B5">
        <w:rPr>
          <w:rFonts w:ascii="Times New Roman" w:hAnsi="Times New Roman"/>
        </w:rPr>
        <w:t xml:space="preserve">Denman Aberdeen Muswellbrook Scone </w:t>
      </w:r>
      <w:r w:rsidR="000E7810" w:rsidRPr="007406B5">
        <w:rPr>
          <w:rFonts w:ascii="Times New Roman" w:hAnsi="Times New Roman"/>
        </w:rPr>
        <w:t>Healthy Environment Group Inc (</w:t>
      </w:r>
      <w:r w:rsidR="007A18A7" w:rsidRPr="007406B5">
        <w:rPr>
          <w:rFonts w:ascii="Times New Roman" w:hAnsi="Times New Roman"/>
        </w:rPr>
        <w:t>"</w:t>
      </w:r>
      <w:r w:rsidR="000E7810" w:rsidRPr="007406B5">
        <w:rPr>
          <w:rFonts w:ascii="Times New Roman" w:hAnsi="Times New Roman"/>
        </w:rPr>
        <w:t>DAMSHEG")</w:t>
      </w:r>
      <w:r w:rsidR="009E73BA" w:rsidRPr="007406B5">
        <w:rPr>
          <w:rFonts w:ascii="Times New Roman" w:hAnsi="Times New Roman"/>
        </w:rPr>
        <w:t xml:space="preserve">. Many of the objections concerned the greenhouse gas emissions which the proposed development would generate. </w:t>
      </w:r>
      <w:r w:rsidR="0004539B" w:rsidRPr="007406B5">
        <w:rPr>
          <w:rFonts w:ascii="Times New Roman" w:hAnsi="Times New Roman"/>
        </w:rPr>
        <w:t>I</w:t>
      </w:r>
      <w:r w:rsidR="002F3BB9" w:rsidRPr="007406B5">
        <w:rPr>
          <w:rFonts w:ascii="Times New Roman" w:hAnsi="Times New Roman"/>
        </w:rPr>
        <w:t xml:space="preserve">t was common ground </w:t>
      </w:r>
      <w:r w:rsidR="00EB0186" w:rsidRPr="007406B5">
        <w:rPr>
          <w:rFonts w:ascii="Times New Roman" w:hAnsi="Times New Roman"/>
        </w:rPr>
        <w:t xml:space="preserve">at all times </w:t>
      </w:r>
      <w:r w:rsidR="002F3BB9" w:rsidRPr="007406B5">
        <w:rPr>
          <w:rFonts w:ascii="Times New Roman" w:hAnsi="Times New Roman"/>
        </w:rPr>
        <w:t xml:space="preserve">that </w:t>
      </w:r>
      <w:r w:rsidR="0004539B" w:rsidRPr="007406B5">
        <w:rPr>
          <w:rFonts w:ascii="Times New Roman" w:hAnsi="Times New Roman"/>
        </w:rPr>
        <w:t xml:space="preserve">those emissions could be described </w:t>
      </w:r>
      <w:r w:rsidR="00E5277B" w:rsidRPr="007406B5">
        <w:rPr>
          <w:rFonts w:ascii="Times New Roman" w:hAnsi="Times New Roman"/>
        </w:rPr>
        <w:t>in the terms set out by the Commission</w:t>
      </w:r>
      <w:r w:rsidR="008C069B" w:rsidRPr="007406B5">
        <w:rPr>
          <w:rFonts w:ascii="Times New Roman" w:hAnsi="Times New Roman"/>
        </w:rPr>
        <w:t xml:space="preserve"> in its reasons for decision</w:t>
      </w:r>
      <w:r w:rsidR="00E5277B" w:rsidRPr="007406B5">
        <w:rPr>
          <w:rFonts w:ascii="Times New Roman" w:hAnsi="Times New Roman"/>
        </w:rPr>
        <w:t xml:space="preserve"> </w:t>
      </w:r>
      <w:r w:rsidR="0004539B" w:rsidRPr="007406B5">
        <w:rPr>
          <w:rFonts w:ascii="Times New Roman" w:hAnsi="Times New Roman"/>
        </w:rPr>
        <w:t>as</w:t>
      </w:r>
      <w:r w:rsidR="00EF5F07" w:rsidRPr="007406B5">
        <w:rPr>
          <w:rFonts w:ascii="Times New Roman" w:hAnsi="Times New Roman"/>
        </w:rPr>
        <w:t>:</w:t>
      </w:r>
    </w:p>
    <w:p w14:paraId="20BA8BED" w14:textId="2B2C6E3C" w:rsidR="00DD5AA6" w:rsidRPr="007406B5" w:rsidRDefault="00EF5F07" w:rsidP="007406B5">
      <w:pPr>
        <w:pStyle w:val="leftright"/>
        <w:spacing w:before="0" w:after="260" w:line="280" w:lineRule="exact"/>
        <w:ind w:left="1440" w:right="0" w:hanging="720"/>
        <w:jc w:val="both"/>
        <w:rPr>
          <w:rFonts w:ascii="Times New Roman" w:hAnsi="Times New Roman"/>
        </w:rPr>
      </w:pPr>
      <w:r w:rsidRPr="007406B5">
        <w:rPr>
          <w:rFonts w:ascii="Times New Roman" w:hAnsi="Times New Roman"/>
        </w:rPr>
        <w:t>"</w:t>
      </w:r>
      <w:r w:rsidR="00DD5AA6" w:rsidRPr="007406B5">
        <w:rPr>
          <w:rFonts w:ascii="Times New Roman" w:hAnsi="Times New Roman"/>
        </w:rPr>
        <w:t xml:space="preserve">• </w:t>
      </w:r>
      <w:r w:rsidR="000D1C00" w:rsidRPr="007406B5">
        <w:rPr>
          <w:rFonts w:ascii="Times New Roman" w:hAnsi="Times New Roman"/>
        </w:rPr>
        <w:tab/>
      </w:r>
      <w:r w:rsidR="00DD5AA6" w:rsidRPr="007406B5">
        <w:rPr>
          <w:rFonts w:ascii="Times New Roman" w:hAnsi="Times New Roman"/>
        </w:rPr>
        <w:t>Scope</w:t>
      </w:r>
      <w:r w:rsidR="000D1C00" w:rsidRPr="007406B5">
        <w:rPr>
          <w:rFonts w:ascii="Times New Roman" w:hAnsi="Times New Roman"/>
        </w:rPr>
        <w:t> </w:t>
      </w:r>
      <w:r w:rsidR="00DD5AA6" w:rsidRPr="007406B5">
        <w:rPr>
          <w:rFonts w:ascii="Times New Roman" w:hAnsi="Times New Roman"/>
        </w:rPr>
        <w:t>1: emissions released to the atmosphere as a direct result of an activity, or series of activities, at a facility level;</w:t>
      </w:r>
    </w:p>
    <w:p w14:paraId="47F1C884" w14:textId="628DB8A7" w:rsidR="00DD5AA6" w:rsidRPr="007406B5" w:rsidRDefault="00DD5AA6" w:rsidP="007406B5">
      <w:pPr>
        <w:pStyle w:val="leftright"/>
        <w:spacing w:before="0" w:after="260" w:line="280" w:lineRule="exact"/>
        <w:ind w:left="1440" w:right="0" w:hanging="720"/>
        <w:jc w:val="both"/>
        <w:rPr>
          <w:rFonts w:ascii="Times New Roman" w:hAnsi="Times New Roman"/>
        </w:rPr>
      </w:pPr>
      <w:r w:rsidRPr="007406B5">
        <w:rPr>
          <w:rFonts w:ascii="Times New Roman" w:hAnsi="Times New Roman"/>
        </w:rPr>
        <w:t xml:space="preserve">• </w:t>
      </w:r>
      <w:r w:rsidR="00F91594" w:rsidRPr="007406B5">
        <w:rPr>
          <w:rFonts w:ascii="Times New Roman" w:hAnsi="Times New Roman"/>
        </w:rPr>
        <w:tab/>
      </w:r>
      <w:r w:rsidRPr="007406B5">
        <w:rPr>
          <w:rFonts w:ascii="Times New Roman" w:hAnsi="Times New Roman"/>
        </w:rPr>
        <w:t>Scope</w:t>
      </w:r>
      <w:r w:rsidR="00F91594" w:rsidRPr="007406B5">
        <w:rPr>
          <w:rFonts w:ascii="Times New Roman" w:hAnsi="Times New Roman"/>
        </w:rPr>
        <w:t> </w:t>
      </w:r>
      <w:r w:rsidRPr="007406B5">
        <w:rPr>
          <w:rFonts w:ascii="Times New Roman" w:hAnsi="Times New Roman"/>
        </w:rPr>
        <w:t>2: emissions released to the atmosphere from the indirect consumption of an energy commodity. For example, emissions from the generation of purchased energy electricity, heat and steam used by a facility; and</w:t>
      </w:r>
    </w:p>
    <w:p w14:paraId="64508175" w14:textId="77777777" w:rsidR="007406B5" w:rsidRDefault="00DD5AA6" w:rsidP="007406B5">
      <w:pPr>
        <w:pStyle w:val="leftright"/>
        <w:spacing w:before="0" w:after="260" w:line="280" w:lineRule="exact"/>
        <w:ind w:left="1440" w:right="0" w:hanging="720"/>
        <w:jc w:val="both"/>
        <w:rPr>
          <w:rFonts w:ascii="Times New Roman" w:hAnsi="Times New Roman"/>
        </w:rPr>
      </w:pPr>
      <w:r w:rsidRPr="007406B5">
        <w:rPr>
          <w:rFonts w:ascii="Times New Roman" w:hAnsi="Times New Roman"/>
        </w:rPr>
        <w:t xml:space="preserve">• </w:t>
      </w:r>
      <w:r w:rsidR="002D1575" w:rsidRPr="007406B5">
        <w:rPr>
          <w:rFonts w:ascii="Times New Roman" w:hAnsi="Times New Roman"/>
        </w:rPr>
        <w:tab/>
      </w:r>
      <w:r w:rsidRPr="007406B5">
        <w:rPr>
          <w:rFonts w:ascii="Times New Roman" w:hAnsi="Times New Roman"/>
        </w:rPr>
        <w:t>Scope</w:t>
      </w:r>
      <w:r w:rsidR="002D1575" w:rsidRPr="007406B5">
        <w:rPr>
          <w:rFonts w:ascii="Times New Roman" w:hAnsi="Times New Roman"/>
        </w:rPr>
        <w:t> </w:t>
      </w:r>
      <w:r w:rsidRPr="007406B5">
        <w:rPr>
          <w:rFonts w:ascii="Times New Roman" w:hAnsi="Times New Roman"/>
        </w:rPr>
        <w:t xml:space="preserve">3: indirect </w:t>
      </w:r>
      <w:r w:rsidR="00260F1F" w:rsidRPr="007406B5">
        <w:rPr>
          <w:rFonts w:ascii="Times New Roman" w:hAnsi="Times New Roman"/>
        </w:rPr>
        <w:t xml:space="preserve">[greenhouse gas] </w:t>
      </w:r>
      <w:r w:rsidRPr="007406B5">
        <w:rPr>
          <w:rFonts w:ascii="Times New Roman" w:hAnsi="Times New Roman"/>
        </w:rPr>
        <w:t>emissions other than scope</w:t>
      </w:r>
      <w:r w:rsidR="00D555FC" w:rsidRPr="007406B5">
        <w:rPr>
          <w:rFonts w:ascii="Times New Roman" w:hAnsi="Times New Roman"/>
        </w:rPr>
        <w:t> </w:t>
      </w:r>
      <w:r w:rsidRPr="007406B5">
        <w:rPr>
          <w:rFonts w:ascii="Times New Roman" w:hAnsi="Times New Roman"/>
        </w:rPr>
        <w:t>2 emissions that are generated in the wider economy. They occur as a consequence of the activities of a facility, but from sources not owned or controlled by that facility's business."</w:t>
      </w:r>
    </w:p>
    <w:p w14:paraId="0B98D7C1" w14:textId="534DA219" w:rsidR="00DD5AA6" w:rsidRPr="007406B5" w:rsidRDefault="00E542A8" w:rsidP="007406B5">
      <w:pPr>
        <w:pStyle w:val="FixListStyle"/>
        <w:spacing w:after="260" w:line="280" w:lineRule="exact"/>
        <w:ind w:right="0"/>
        <w:jc w:val="both"/>
        <w:rPr>
          <w:rFonts w:ascii="Times New Roman" w:hAnsi="Times New Roman"/>
        </w:rPr>
      </w:pPr>
      <w:r w:rsidRPr="007406B5">
        <w:rPr>
          <w:rFonts w:ascii="Times New Roman" w:hAnsi="Times New Roman"/>
        </w:rPr>
        <w:tab/>
      </w:r>
      <w:r w:rsidR="00485CBA" w:rsidRPr="007406B5">
        <w:rPr>
          <w:rFonts w:ascii="Times New Roman" w:hAnsi="Times New Roman"/>
        </w:rPr>
        <w:t>The focus of th</w:t>
      </w:r>
      <w:r w:rsidR="000E3F28" w:rsidRPr="007406B5">
        <w:rPr>
          <w:rFonts w:ascii="Times New Roman" w:hAnsi="Times New Roman"/>
        </w:rPr>
        <w:t>is</w:t>
      </w:r>
      <w:r w:rsidR="00485CBA" w:rsidRPr="007406B5">
        <w:rPr>
          <w:rFonts w:ascii="Times New Roman" w:hAnsi="Times New Roman"/>
        </w:rPr>
        <w:t xml:space="preserve"> appeal </w:t>
      </w:r>
      <w:r w:rsidR="00113AD5" w:rsidRPr="007406B5">
        <w:rPr>
          <w:rFonts w:ascii="Times New Roman" w:hAnsi="Times New Roman"/>
        </w:rPr>
        <w:t xml:space="preserve">was </w:t>
      </w:r>
      <w:r w:rsidR="00485CBA" w:rsidRPr="007406B5">
        <w:rPr>
          <w:rFonts w:ascii="Times New Roman" w:hAnsi="Times New Roman"/>
        </w:rPr>
        <w:t>scope</w:t>
      </w:r>
      <w:r w:rsidR="00E5277B" w:rsidRPr="007406B5">
        <w:rPr>
          <w:rFonts w:ascii="Times New Roman" w:hAnsi="Times New Roman"/>
        </w:rPr>
        <w:t> </w:t>
      </w:r>
      <w:r w:rsidR="00485CBA" w:rsidRPr="007406B5">
        <w:rPr>
          <w:rFonts w:ascii="Times New Roman" w:hAnsi="Times New Roman"/>
        </w:rPr>
        <w:t xml:space="preserve">3 emissions of greenhouse gases. </w:t>
      </w:r>
      <w:r w:rsidR="00AE205E" w:rsidRPr="007406B5">
        <w:rPr>
          <w:rFonts w:ascii="Times New Roman" w:hAnsi="Times New Roman"/>
        </w:rPr>
        <w:t xml:space="preserve">It was not in dispute at any time during the </w:t>
      </w:r>
      <w:r w:rsidR="008C069B" w:rsidRPr="007406B5">
        <w:rPr>
          <w:rFonts w:ascii="Times New Roman" w:hAnsi="Times New Roman"/>
        </w:rPr>
        <w:t xml:space="preserve">Commission's </w:t>
      </w:r>
      <w:r w:rsidR="00832B95" w:rsidRPr="007406B5">
        <w:rPr>
          <w:rFonts w:ascii="Times New Roman" w:hAnsi="Times New Roman"/>
        </w:rPr>
        <w:t xml:space="preserve">consideration and </w:t>
      </w:r>
      <w:r w:rsidR="00484203" w:rsidRPr="007406B5">
        <w:rPr>
          <w:rFonts w:ascii="Times New Roman" w:hAnsi="Times New Roman"/>
        </w:rPr>
        <w:t>determination</w:t>
      </w:r>
      <w:r w:rsidR="00832B95" w:rsidRPr="007406B5">
        <w:rPr>
          <w:rFonts w:ascii="Times New Roman" w:hAnsi="Times New Roman"/>
        </w:rPr>
        <w:t xml:space="preserve"> of the development application that the extension of the operational life of the Mount Pleasant coal mine would involve </w:t>
      </w:r>
      <w:r w:rsidR="00484203" w:rsidRPr="007406B5">
        <w:rPr>
          <w:rFonts w:ascii="Times New Roman" w:hAnsi="Times New Roman"/>
        </w:rPr>
        <w:t>scope</w:t>
      </w:r>
      <w:r w:rsidR="00E5277B" w:rsidRPr="007406B5">
        <w:rPr>
          <w:rFonts w:ascii="Times New Roman" w:hAnsi="Times New Roman"/>
        </w:rPr>
        <w:t> </w:t>
      </w:r>
      <w:r w:rsidR="00484203" w:rsidRPr="007406B5">
        <w:rPr>
          <w:rFonts w:ascii="Times New Roman" w:hAnsi="Times New Roman"/>
        </w:rPr>
        <w:t>1, scope</w:t>
      </w:r>
      <w:r w:rsidR="00E5277B" w:rsidRPr="007406B5">
        <w:rPr>
          <w:rFonts w:ascii="Times New Roman" w:hAnsi="Times New Roman"/>
        </w:rPr>
        <w:t> </w:t>
      </w:r>
      <w:r w:rsidR="00484203" w:rsidRPr="007406B5">
        <w:rPr>
          <w:rFonts w:ascii="Times New Roman" w:hAnsi="Times New Roman"/>
        </w:rPr>
        <w:t>2 and scope</w:t>
      </w:r>
      <w:r w:rsidR="00E5277B" w:rsidRPr="007406B5">
        <w:rPr>
          <w:rFonts w:ascii="Times New Roman" w:hAnsi="Times New Roman"/>
        </w:rPr>
        <w:t> </w:t>
      </w:r>
      <w:r w:rsidR="00484203" w:rsidRPr="007406B5">
        <w:rPr>
          <w:rFonts w:ascii="Times New Roman" w:hAnsi="Times New Roman"/>
        </w:rPr>
        <w:t xml:space="preserve">3 emissions of greenhouse gases. </w:t>
      </w:r>
      <w:r w:rsidR="00CE529A" w:rsidRPr="007406B5">
        <w:rPr>
          <w:rFonts w:ascii="Times New Roman" w:hAnsi="Times New Roman"/>
        </w:rPr>
        <w:t>The environmental impact statement (</w:t>
      </w:r>
      <w:r w:rsidR="00E5277B" w:rsidRPr="007406B5">
        <w:rPr>
          <w:rFonts w:ascii="Times New Roman" w:hAnsi="Times New Roman"/>
        </w:rPr>
        <w:t>"</w:t>
      </w:r>
      <w:r w:rsidR="00CE529A" w:rsidRPr="007406B5">
        <w:rPr>
          <w:rFonts w:ascii="Times New Roman" w:hAnsi="Times New Roman"/>
        </w:rPr>
        <w:t xml:space="preserve">the EIS") accompanying the development application identified these emissions. </w:t>
      </w:r>
      <w:r w:rsidR="00ED5B34" w:rsidRPr="007406B5">
        <w:rPr>
          <w:rFonts w:ascii="Times New Roman" w:hAnsi="Times New Roman"/>
        </w:rPr>
        <w:t>T</w:t>
      </w:r>
      <w:r w:rsidR="00CE529A" w:rsidRPr="007406B5">
        <w:rPr>
          <w:rFonts w:ascii="Times New Roman" w:hAnsi="Times New Roman"/>
        </w:rPr>
        <w:t xml:space="preserve">he </w:t>
      </w:r>
      <w:r w:rsidR="005342FD" w:rsidRPr="007406B5">
        <w:rPr>
          <w:rFonts w:ascii="Times New Roman" w:hAnsi="Times New Roman"/>
        </w:rPr>
        <w:t xml:space="preserve">EIS </w:t>
      </w:r>
      <w:r w:rsidR="001C1C2A" w:rsidRPr="007406B5">
        <w:rPr>
          <w:rFonts w:ascii="Times New Roman" w:hAnsi="Times New Roman"/>
        </w:rPr>
        <w:t>acknowledged</w:t>
      </w:r>
      <w:r w:rsidR="00147675" w:rsidRPr="007406B5">
        <w:rPr>
          <w:rFonts w:ascii="Times New Roman" w:hAnsi="Times New Roman"/>
        </w:rPr>
        <w:t xml:space="preserve"> that "all sources of greenhouse gas emissions will contribute in some way towards the </w:t>
      </w:r>
      <w:r w:rsidR="001C1C2A" w:rsidRPr="007406B5">
        <w:rPr>
          <w:rFonts w:ascii="Times New Roman" w:hAnsi="Times New Roman"/>
        </w:rPr>
        <w:t xml:space="preserve">potential global, national, </w:t>
      </w:r>
      <w:r w:rsidR="00C75FC6" w:rsidRPr="007406B5">
        <w:rPr>
          <w:rFonts w:ascii="Times New Roman" w:hAnsi="Times New Roman"/>
        </w:rPr>
        <w:t>[S]</w:t>
      </w:r>
      <w:r w:rsidR="001C1C2A" w:rsidRPr="007406B5">
        <w:rPr>
          <w:rFonts w:ascii="Times New Roman" w:hAnsi="Times New Roman"/>
        </w:rPr>
        <w:t xml:space="preserve">tate and regional effects of climate change" </w:t>
      </w:r>
      <w:r w:rsidR="001E5DFD" w:rsidRPr="007406B5">
        <w:rPr>
          <w:rFonts w:ascii="Times New Roman" w:hAnsi="Times New Roman"/>
        </w:rPr>
        <w:t>and that the development's "contribution to climate change, including the associated environmental impacts, would be in prop</w:t>
      </w:r>
      <w:r w:rsidR="007014D3" w:rsidRPr="007406B5">
        <w:rPr>
          <w:rFonts w:ascii="Times New Roman" w:hAnsi="Times New Roman"/>
        </w:rPr>
        <w:t>o</w:t>
      </w:r>
      <w:r w:rsidR="001E5DFD" w:rsidRPr="007406B5">
        <w:rPr>
          <w:rFonts w:ascii="Times New Roman" w:hAnsi="Times New Roman"/>
        </w:rPr>
        <w:t>rtion with its contribution to global greenhouse gas emissions"</w:t>
      </w:r>
      <w:r w:rsidR="001E4C58" w:rsidRPr="007406B5">
        <w:rPr>
          <w:rFonts w:ascii="Times New Roman" w:hAnsi="Times New Roman"/>
        </w:rPr>
        <w:t>.</w:t>
      </w:r>
      <w:r w:rsidR="001E5DFD" w:rsidRPr="007406B5">
        <w:rPr>
          <w:rFonts w:ascii="Times New Roman" w:hAnsi="Times New Roman"/>
        </w:rPr>
        <w:t xml:space="preserve"> </w:t>
      </w:r>
      <w:r w:rsidR="00A37CB7" w:rsidRPr="007406B5">
        <w:rPr>
          <w:rFonts w:ascii="Times New Roman" w:hAnsi="Times New Roman"/>
        </w:rPr>
        <w:t xml:space="preserve">The EIS estimated that </w:t>
      </w:r>
      <w:r w:rsidR="00005B51" w:rsidRPr="007406B5">
        <w:rPr>
          <w:rFonts w:ascii="Times New Roman" w:hAnsi="Times New Roman"/>
        </w:rPr>
        <w:t>the scope</w:t>
      </w:r>
      <w:r w:rsidR="00402D0D" w:rsidRPr="007406B5">
        <w:rPr>
          <w:rFonts w:ascii="Times New Roman" w:hAnsi="Times New Roman"/>
        </w:rPr>
        <w:t> </w:t>
      </w:r>
      <w:r w:rsidR="00005B51" w:rsidRPr="007406B5">
        <w:rPr>
          <w:rFonts w:ascii="Times New Roman" w:hAnsi="Times New Roman"/>
        </w:rPr>
        <w:t>3 emissions</w:t>
      </w:r>
      <w:r w:rsidR="0082235A" w:rsidRPr="007406B5">
        <w:rPr>
          <w:rFonts w:ascii="Times New Roman" w:hAnsi="Times New Roman"/>
        </w:rPr>
        <w:t>,</w:t>
      </w:r>
      <w:r w:rsidR="00005B51" w:rsidRPr="007406B5">
        <w:rPr>
          <w:rFonts w:ascii="Times New Roman" w:hAnsi="Times New Roman"/>
        </w:rPr>
        <w:t xml:space="preserve"> resulting </w:t>
      </w:r>
      <w:r w:rsidR="00A73F46" w:rsidRPr="007406B5">
        <w:rPr>
          <w:rFonts w:ascii="Times New Roman" w:hAnsi="Times New Roman"/>
        </w:rPr>
        <w:t>mostly</w:t>
      </w:r>
      <w:r w:rsidR="00005B51" w:rsidRPr="007406B5">
        <w:rPr>
          <w:rFonts w:ascii="Times New Roman" w:hAnsi="Times New Roman"/>
        </w:rPr>
        <w:t xml:space="preserve"> from </w:t>
      </w:r>
      <w:r w:rsidR="00A73F46" w:rsidRPr="007406B5">
        <w:rPr>
          <w:rFonts w:ascii="Times New Roman" w:hAnsi="Times New Roman"/>
        </w:rPr>
        <w:t xml:space="preserve">combustion </w:t>
      </w:r>
      <w:r w:rsidR="009E319D" w:rsidRPr="007406B5">
        <w:rPr>
          <w:rFonts w:ascii="Times New Roman" w:hAnsi="Times New Roman"/>
        </w:rPr>
        <w:t xml:space="preserve">overseas </w:t>
      </w:r>
      <w:r w:rsidR="00005B51" w:rsidRPr="007406B5">
        <w:rPr>
          <w:rFonts w:ascii="Times New Roman" w:hAnsi="Times New Roman"/>
        </w:rPr>
        <w:t>of the coal extracted from the Mount Pleasant coal mine</w:t>
      </w:r>
      <w:r w:rsidR="003E00EF" w:rsidRPr="007406B5">
        <w:rPr>
          <w:rFonts w:ascii="Times New Roman" w:hAnsi="Times New Roman"/>
        </w:rPr>
        <w:t>,</w:t>
      </w:r>
      <w:r w:rsidR="00005B51" w:rsidRPr="007406B5">
        <w:rPr>
          <w:rFonts w:ascii="Times New Roman" w:hAnsi="Times New Roman"/>
        </w:rPr>
        <w:t xml:space="preserve"> </w:t>
      </w:r>
      <w:r w:rsidR="00DD6BC1" w:rsidRPr="007406B5">
        <w:rPr>
          <w:rFonts w:ascii="Times New Roman" w:hAnsi="Times New Roman"/>
        </w:rPr>
        <w:t xml:space="preserve">would represent </w:t>
      </w:r>
      <w:r w:rsidR="00494404" w:rsidRPr="007406B5">
        <w:rPr>
          <w:rFonts w:ascii="Times New Roman" w:hAnsi="Times New Roman"/>
        </w:rPr>
        <w:t>approximately</w:t>
      </w:r>
      <w:r w:rsidR="00DD6BC1" w:rsidRPr="007406B5">
        <w:rPr>
          <w:rFonts w:ascii="Times New Roman" w:hAnsi="Times New Roman"/>
        </w:rPr>
        <w:t xml:space="preserve"> 0.065% of the total of </w:t>
      </w:r>
      <w:r w:rsidR="00494404" w:rsidRPr="007406B5">
        <w:rPr>
          <w:rFonts w:ascii="Times New Roman" w:hAnsi="Times New Roman"/>
        </w:rPr>
        <w:t xml:space="preserve">anthropogenic </w:t>
      </w:r>
      <w:r w:rsidR="00DD6BC1" w:rsidRPr="007406B5">
        <w:rPr>
          <w:rFonts w:ascii="Times New Roman" w:hAnsi="Times New Roman"/>
        </w:rPr>
        <w:t>global greenhouse gas emissions</w:t>
      </w:r>
      <w:r w:rsidR="009F5593" w:rsidRPr="007406B5">
        <w:rPr>
          <w:rFonts w:ascii="Times New Roman" w:hAnsi="Times New Roman"/>
        </w:rPr>
        <w:t xml:space="preserve"> (excluding emissions from land use change)</w:t>
      </w:r>
      <w:r w:rsidR="00DD6BC1" w:rsidRPr="007406B5">
        <w:rPr>
          <w:rFonts w:ascii="Times New Roman" w:hAnsi="Times New Roman"/>
        </w:rPr>
        <w:t xml:space="preserve"> </w:t>
      </w:r>
      <w:r w:rsidR="00494404" w:rsidRPr="007406B5">
        <w:rPr>
          <w:rFonts w:ascii="Times New Roman" w:hAnsi="Times New Roman"/>
        </w:rPr>
        <w:t>in 2017.</w:t>
      </w:r>
      <w:r w:rsidR="00A73F46" w:rsidRPr="007406B5">
        <w:rPr>
          <w:rFonts w:ascii="Times New Roman" w:hAnsi="Times New Roman"/>
        </w:rPr>
        <w:t xml:space="preserve"> </w:t>
      </w:r>
    </w:p>
    <w:p w14:paraId="75395FEE" w14:textId="2430C3A7" w:rsidR="009D2F4E" w:rsidRPr="007406B5" w:rsidRDefault="009D2F4E" w:rsidP="007406B5">
      <w:pPr>
        <w:pStyle w:val="FixListStyle"/>
        <w:spacing w:after="260" w:line="280" w:lineRule="exact"/>
        <w:ind w:right="0"/>
        <w:jc w:val="both"/>
        <w:rPr>
          <w:rFonts w:ascii="Times New Roman" w:hAnsi="Times New Roman"/>
        </w:rPr>
      </w:pPr>
      <w:r w:rsidRPr="007406B5">
        <w:rPr>
          <w:rFonts w:ascii="Times New Roman" w:hAnsi="Times New Roman"/>
        </w:rPr>
        <w:tab/>
      </w:r>
      <w:r w:rsidR="003B4526" w:rsidRPr="007406B5">
        <w:rPr>
          <w:rFonts w:ascii="Times New Roman" w:hAnsi="Times New Roman"/>
        </w:rPr>
        <w:t>T</w:t>
      </w:r>
      <w:r w:rsidR="00C46F61" w:rsidRPr="007406B5">
        <w:rPr>
          <w:rFonts w:ascii="Times New Roman" w:hAnsi="Times New Roman"/>
        </w:rPr>
        <w:t xml:space="preserve">he EIS </w:t>
      </w:r>
      <w:r w:rsidR="00661C57" w:rsidRPr="007406B5">
        <w:rPr>
          <w:rFonts w:ascii="Times New Roman" w:hAnsi="Times New Roman"/>
        </w:rPr>
        <w:t>iden</w:t>
      </w:r>
      <w:r w:rsidR="006D7D96" w:rsidRPr="007406B5">
        <w:rPr>
          <w:rFonts w:ascii="Times New Roman" w:hAnsi="Times New Roman"/>
        </w:rPr>
        <w:t>tified "inherent uncertainties"</w:t>
      </w:r>
      <w:r w:rsidR="00755F18" w:rsidRPr="007406B5">
        <w:rPr>
          <w:rFonts w:ascii="Times New Roman" w:hAnsi="Times New Roman"/>
        </w:rPr>
        <w:t xml:space="preserve"> </w:t>
      </w:r>
      <w:r w:rsidR="009602CF" w:rsidRPr="007406B5">
        <w:rPr>
          <w:rFonts w:ascii="Times New Roman" w:hAnsi="Times New Roman"/>
        </w:rPr>
        <w:t xml:space="preserve">about climate change projections </w:t>
      </w:r>
      <w:r w:rsidR="009B7B55" w:rsidRPr="007406B5">
        <w:rPr>
          <w:rFonts w:ascii="Times New Roman" w:hAnsi="Times New Roman"/>
        </w:rPr>
        <w:t xml:space="preserve">resulting </w:t>
      </w:r>
      <w:r w:rsidR="00755F18" w:rsidRPr="007406B5">
        <w:rPr>
          <w:rFonts w:ascii="Times New Roman" w:hAnsi="Times New Roman"/>
        </w:rPr>
        <w:t>not only f</w:t>
      </w:r>
      <w:r w:rsidR="00E611B1" w:rsidRPr="007406B5">
        <w:rPr>
          <w:rFonts w:ascii="Times New Roman" w:hAnsi="Times New Roman"/>
        </w:rPr>
        <w:t>ro</w:t>
      </w:r>
      <w:r w:rsidR="00755F18" w:rsidRPr="007406B5">
        <w:rPr>
          <w:rFonts w:ascii="Times New Roman" w:hAnsi="Times New Roman"/>
        </w:rPr>
        <w:t xml:space="preserve">m </w:t>
      </w:r>
      <w:r w:rsidR="00D928F9" w:rsidRPr="007406B5">
        <w:rPr>
          <w:rFonts w:ascii="Times New Roman" w:hAnsi="Times New Roman"/>
        </w:rPr>
        <w:t>continuous</w:t>
      </w:r>
      <w:r w:rsidR="00755F18" w:rsidRPr="007406B5">
        <w:rPr>
          <w:rFonts w:ascii="Times New Roman" w:hAnsi="Times New Roman"/>
        </w:rPr>
        <w:t xml:space="preserve"> modelling and predictive updates </w:t>
      </w:r>
      <w:r w:rsidR="00B72605" w:rsidRPr="007406B5">
        <w:rPr>
          <w:rFonts w:ascii="Times New Roman" w:hAnsi="Times New Roman"/>
        </w:rPr>
        <w:t xml:space="preserve">of such projections </w:t>
      </w:r>
      <w:r w:rsidR="00755F18" w:rsidRPr="007406B5">
        <w:rPr>
          <w:rFonts w:ascii="Times New Roman" w:hAnsi="Times New Roman"/>
        </w:rPr>
        <w:t xml:space="preserve">but also from </w:t>
      </w:r>
      <w:r w:rsidR="00D928F9" w:rsidRPr="007406B5">
        <w:rPr>
          <w:rFonts w:ascii="Times New Roman" w:hAnsi="Times New Roman"/>
        </w:rPr>
        <w:t>the continuous adjustment and implementation of greenhouse gas emissions mitigation measures</w:t>
      </w:r>
      <w:r w:rsidR="002D4470" w:rsidRPr="007406B5">
        <w:rPr>
          <w:rFonts w:ascii="Times New Roman" w:hAnsi="Times New Roman"/>
        </w:rPr>
        <w:t xml:space="preserve"> including by way of new technologies</w:t>
      </w:r>
      <w:r w:rsidR="00D928F9" w:rsidRPr="007406B5">
        <w:rPr>
          <w:rFonts w:ascii="Times New Roman" w:hAnsi="Times New Roman"/>
        </w:rPr>
        <w:t xml:space="preserve">. </w:t>
      </w:r>
      <w:r w:rsidR="003B4526" w:rsidRPr="007406B5">
        <w:rPr>
          <w:rFonts w:ascii="Times New Roman" w:hAnsi="Times New Roman"/>
        </w:rPr>
        <w:t xml:space="preserve">Notwithstanding this, </w:t>
      </w:r>
      <w:r w:rsidR="009602CF" w:rsidRPr="007406B5">
        <w:rPr>
          <w:rFonts w:ascii="Times New Roman" w:hAnsi="Times New Roman"/>
        </w:rPr>
        <w:t>f</w:t>
      </w:r>
      <w:r w:rsidR="003B4526" w:rsidRPr="007406B5">
        <w:rPr>
          <w:rFonts w:ascii="Times New Roman" w:hAnsi="Times New Roman"/>
        </w:rPr>
        <w:t xml:space="preserve">rom the range of global, national, </w:t>
      </w:r>
      <w:r w:rsidR="00C75FC6" w:rsidRPr="007406B5">
        <w:rPr>
          <w:rFonts w:ascii="Times New Roman" w:hAnsi="Times New Roman"/>
        </w:rPr>
        <w:t>S</w:t>
      </w:r>
      <w:r w:rsidR="003B4526" w:rsidRPr="007406B5">
        <w:rPr>
          <w:rFonts w:ascii="Times New Roman" w:hAnsi="Times New Roman"/>
        </w:rPr>
        <w:t xml:space="preserve">tate and regional environmental impacts associated with </w:t>
      </w:r>
      <w:r w:rsidR="009B7B55" w:rsidRPr="007406B5">
        <w:rPr>
          <w:rFonts w:ascii="Times New Roman" w:hAnsi="Times New Roman"/>
        </w:rPr>
        <w:t xml:space="preserve">global </w:t>
      </w:r>
      <w:r w:rsidR="003B4526" w:rsidRPr="007406B5">
        <w:rPr>
          <w:rFonts w:ascii="Times New Roman" w:hAnsi="Times New Roman"/>
        </w:rPr>
        <w:t xml:space="preserve">climate change, the EIS </w:t>
      </w:r>
      <w:r w:rsidR="009602CF" w:rsidRPr="007406B5">
        <w:rPr>
          <w:rFonts w:ascii="Times New Roman" w:hAnsi="Times New Roman"/>
        </w:rPr>
        <w:lastRenderedPageBreak/>
        <w:t>said that</w:t>
      </w:r>
      <w:r w:rsidR="007E71EB" w:rsidRPr="007406B5">
        <w:rPr>
          <w:rFonts w:ascii="Times New Roman" w:hAnsi="Times New Roman"/>
        </w:rPr>
        <w:t>, amongst other things,</w:t>
      </w:r>
      <w:r w:rsidR="009602CF" w:rsidRPr="007406B5">
        <w:rPr>
          <w:rFonts w:ascii="Times New Roman" w:hAnsi="Times New Roman"/>
        </w:rPr>
        <w:t xml:space="preserve"> the </w:t>
      </w:r>
      <w:r w:rsidR="006D286D" w:rsidRPr="007406B5">
        <w:rPr>
          <w:rFonts w:ascii="Times New Roman" w:hAnsi="Times New Roman"/>
        </w:rPr>
        <w:t xml:space="preserve">climate change </w:t>
      </w:r>
      <w:r w:rsidR="009602CF" w:rsidRPr="007406B5">
        <w:rPr>
          <w:rFonts w:ascii="Times New Roman" w:hAnsi="Times New Roman"/>
        </w:rPr>
        <w:t xml:space="preserve">projections indicated </w:t>
      </w:r>
      <w:r w:rsidR="00D96C8D" w:rsidRPr="007406B5">
        <w:rPr>
          <w:rFonts w:ascii="Times New Roman" w:hAnsi="Times New Roman"/>
        </w:rPr>
        <w:t>a likely rise in average temperatures in the region of the development</w:t>
      </w:r>
      <w:r w:rsidR="00F77CEB" w:rsidRPr="007406B5">
        <w:rPr>
          <w:rFonts w:ascii="Times New Roman" w:hAnsi="Times New Roman"/>
        </w:rPr>
        <w:t xml:space="preserve"> </w:t>
      </w:r>
      <w:r w:rsidR="00D96C8D" w:rsidRPr="007406B5">
        <w:rPr>
          <w:rFonts w:ascii="Times New Roman" w:hAnsi="Times New Roman"/>
        </w:rPr>
        <w:t>suggesting that bushfires may become more prevalent in that area</w:t>
      </w:r>
      <w:r w:rsidR="000550EB" w:rsidRPr="007406B5">
        <w:rPr>
          <w:rFonts w:ascii="Times New Roman" w:hAnsi="Times New Roman"/>
        </w:rPr>
        <w:t xml:space="preserve"> and that "rainfall has the potential to both increase and </w:t>
      </w:r>
      <w:r w:rsidR="00BA5911" w:rsidRPr="007406B5">
        <w:rPr>
          <w:rFonts w:ascii="Times New Roman" w:hAnsi="Times New Roman"/>
        </w:rPr>
        <w:t>decrease</w:t>
      </w:r>
      <w:r w:rsidR="000550EB" w:rsidRPr="007406B5">
        <w:rPr>
          <w:rFonts w:ascii="Times New Roman" w:hAnsi="Times New Roman"/>
        </w:rPr>
        <w:t xml:space="preserve">, </w:t>
      </w:r>
      <w:r w:rsidR="00BA5911" w:rsidRPr="007406B5">
        <w:rPr>
          <w:rFonts w:ascii="Times New Roman" w:hAnsi="Times New Roman"/>
        </w:rPr>
        <w:t>particularly</w:t>
      </w:r>
      <w:r w:rsidR="000550EB" w:rsidRPr="007406B5">
        <w:rPr>
          <w:rFonts w:ascii="Times New Roman" w:hAnsi="Times New Roman"/>
        </w:rPr>
        <w:t xml:space="preserve"> seasonally</w:t>
      </w:r>
      <w:r w:rsidR="00BA5911" w:rsidRPr="007406B5">
        <w:rPr>
          <w:rFonts w:ascii="Times New Roman" w:hAnsi="Times New Roman"/>
        </w:rPr>
        <w:t>, with heavier rainfall events likely to become more frequent"</w:t>
      </w:r>
      <w:r w:rsidR="00D96C8D" w:rsidRPr="007406B5">
        <w:rPr>
          <w:rFonts w:ascii="Times New Roman" w:hAnsi="Times New Roman"/>
        </w:rPr>
        <w:t xml:space="preserve">. </w:t>
      </w:r>
    </w:p>
    <w:p w14:paraId="6E857453" w14:textId="7C6BBE87" w:rsidR="00301EB6" w:rsidRPr="007406B5" w:rsidRDefault="00E960F2" w:rsidP="007406B5">
      <w:pPr>
        <w:pStyle w:val="FixListStyle"/>
        <w:spacing w:after="260" w:line="280" w:lineRule="exact"/>
        <w:ind w:right="0"/>
        <w:jc w:val="both"/>
        <w:rPr>
          <w:rFonts w:ascii="Times New Roman" w:hAnsi="Times New Roman"/>
        </w:rPr>
      </w:pPr>
      <w:r w:rsidRPr="007406B5">
        <w:rPr>
          <w:rFonts w:ascii="Times New Roman" w:hAnsi="Times New Roman"/>
        </w:rPr>
        <w:tab/>
        <w:t xml:space="preserve">DAMSHEG, amongst others, contended that the development application should be refused consent including because of the greenhouse gas emissions it would </w:t>
      </w:r>
      <w:r w:rsidR="003530F1" w:rsidRPr="007406B5">
        <w:rPr>
          <w:rFonts w:ascii="Times New Roman" w:hAnsi="Times New Roman"/>
        </w:rPr>
        <w:t>cause</w:t>
      </w:r>
      <w:r w:rsidR="00CC175B" w:rsidRPr="007406B5">
        <w:rPr>
          <w:rFonts w:ascii="Times New Roman" w:hAnsi="Times New Roman"/>
        </w:rPr>
        <w:t>,</w:t>
      </w:r>
      <w:r w:rsidR="00EC6397" w:rsidRPr="007406B5">
        <w:rPr>
          <w:rFonts w:ascii="Times New Roman" w:hAnsi="Times New Roman"/>
        </w:rPr>
        <w:t xml:space="preserve"> which would contribute to global climate change</w:t>
      </w:r>
      <w:r w:rsidR="003530F1" w:rsidRPr="007406B5">
        <w:rPr>
          <w:rFonts w:ascii="Times New Roman" w:hAnsi="Times New Roman"/>
        </w:rPr>
        <w:t>.</w:t>
      </w:r>
      <w:r w:rsidR="001546C6" w:rsidRPr="007406B5">
        <w:rPr>
          <w:rFonts w:ascii="Times New Roman" w:hAnsi="Times New Roman"/>
        </w:rPr>
        <w:t xml:space="preserve"> </w:t>
      </w:r>
      <w:r w:rsidR="003530F1" w:rsidRPr="007406B5">
        <w:rPr>
          <w:rFonts w:ascii="Times New Roman" w:hAnsi="Times New Roman"/>
        </w:rPr>
        <w:t xml:space="preserve">The </w:t>
      </w:r>
      <w:r w:rsidR="001B7839" w:rsidRPr="007406B5">
        <w:rPr>
          <w:rFonts w:ascii="Times New Roman" w:hAnsi="Times New Roman"/>
        </w:rPr>
        <w:t>Commission</w:t>
      </w:r>
      <w:r w:rsidR="00E24661" w:rsidRPr="007406B5">
        <w:rPr>
          <w:rFonts w:ascii="Times New Roman" w:hAnsi="Times New Roman"/>
        </w:rPr>
        <w:t xml:space="preserve"> determined to grant consent to the development, subject to conditions.</w:t>
      </w:r>
      <w:r w:rsidR="00587FDC" w:rsidRPr="007406B5">
        <w:rPr>
          <w:rFonts w:ascii="Times New Roman" w:hAnsi="Times New Roman"/>
        </w:rPr>
        <w:t xml:space="preserve"> </w:t>
      </w:r>
    </w:p>
    <w:p w14:paraId="25AAF069" w14:textId="54864DD2" w:rsidR="00E960F2" w:rsidRPr="007406B5" w:rsidRDefault="00301EB6" w:rsidP="007406B5">
      <w:pPr>
        <w:pStyle w:val="FixListStyle"/>
        <w:spacing w:after="260" w:line="280" w:lineRule="exact"/>
        <w:ind w:right="0"/>
        <w:jc w:val="both"/>
        <w:rPr>
          <w:rFonts w:ascii="Times New Roman" w:hAnsi="Times New Roman"/>
        </w:rPr>
      </w:pPr>
      <w:r w:rsidRPr="007406B5">
        <w:rPr>
          <w:rFonts w:ascii="Times New Roman" w:hAnsi="Times New Roman"/>
        </w:rPr>
        <w:tab/>
      </w:r>
      <w:r w:rsidR="006C0E94" w:rsidRPr="007406B5">
        <w:rPr>
          <w:rFonts w:ascii="Times New Roman" w:hAnsi="Times New Roman"/>
        </w:rPr>
        <w:t xml:space="preserve">DAMSHEG </w:t>
      </w:r>
      <w:r w:rsidR="004F5997" w:rsidRPr="007406B5">
        <w:rPr>
          <w:rFonts w:ascii="Times New Roman" w:hAnsi="Times New Roman"/>
        </w:rPr>
        <w:t>challenged</w:t>
      </w:r>
      <w:r w:rsidR="006C0E94" w:rsidRPr="007406B5">
        <w:rPr>
          <w:rFonts w:ascii="Times New Roman" w:hAnsi="Times New Roman"/>
        </w:rPr>
        <w:t xml:space="preserve"> the validity of the </w:t>
      </w:r>
      <w:r w:rsidR="004F5997" w:rsidRPr="007406B5">
        <w:rPr>
          <w:rFonts w:ascii="Times New Roman" w:hAnsi="Times New Roman"/>
        </w:rPr>
        <w:t>development consent</w:t>
      </w:r>
      <w:r w:rsidR="000C7882" w:rsidRPr="007406B5">
        <w:rPr>
          <w:rFonts w:ascii="Times New Roman" w:hAnsi="Times New Roman"/>
        </w:rPr>
        <w:t xml:space="preserve"> </w:t>
      </w:r>
      <w:r w:rsidR="0076651F" w:rsidRPr="007406B5">
        <w:rPr>
          <w:rFonts w:ascii="Times New Roman" w:hAnsi="Times New Roman"/>
        </w:rPr>
        <w:t xml:space="preserve">in the Land and Environment Court of New South Wales </w:t>
      </w:r>
      <w:r w:rsidR="000C7882" w:rsidRPr="007406B5">
        <w:rPr>
          <w:rFonts w:ascii="Times New Roman" w:hAnsi="Times New Roman"/>
        </w:rPr>
        <w:t xml:space="preserve">on grounds including that the </w:t>
      </w:r>
      <w:r w:rsidR="001B7839" w:rsidRPr="007406B5">
        <w:rPr>
          <w:rFonts w:ascii="Times New Roman" w:hAnsi="Times New Roman"/>
        </w:rPr>
        <w:t>Commission</w:t>
      </w:r>
      <w:r w:rsidR="00CC6E44" w:rsidRPr="007406B5">
        <w:rPr>
          <w:rFonts w:ascii="Times New Roman" w:hAnsi="Times New Roman"/>
        </w:rPr>
        <w:t xml:space="preserve"> had not complied with</w:t>
      </w:r>
      <w:r w:rsidR="000C7882" w:rsidRPr="007406B5">
        <w:rPr>
          <w:rFonts w:ascii="Times New Roman" w:hAnsi="Times New Roman"/>
        </w:rPr>
        <w:t xml:space="preserve">: </w:t>
      </w:r>
      <w:r w:rsidR="00B80EC8" w:rsidRPr="007406B5">
        <w:rPr>
          <w:rFonts w:ascii="Times New Roman" w:hAnsi="Times New Roman"/>
        </w:rPr>
        <w:t>(i) </w:t>
      </w:r>
      <w:r w:rsidR="00CC6E44" w:rsidRPr="007406B5">
        <w:rPr>
          <w:rFonts w:ascii="Times New Roman" w:hAnsi="Times New Roman"/>
        </w:rPr>
        <w:t>s 4.15(1)(b) of the EPA Act</w:t>
      </w:r>
      <w:r w:rsidR="003D3ACD" w:rsidRPr="007406B5">
        <w:rPr>
          <w:rFonts w:ascii="Times New Roman" w:hAnsi="Times New Roman"/>
        </w:rPr>
        <w:t>,</w:t>
      </w:r>
      <w:r w:rsidR="00CC6E44" w:rsidRPr="007406B5">
        <w:rPr>
          <w:rFonts w:ascii="Times New Roman" w:hAnsi="Times New Roman"/>
        </w:rPr>
        <w:t xml:space="preserve"> by </w:t>
      </w:r>
      <w:r w:rsidR="00C3604C" w:rsidRPr="007406B5">
        <w:rPr>
          <w:rFonts w:ascii="Times New Roman" w:hAnsi="Times New Roman"/>
        </w:rPr>
        <w:t xml:space="preserve">misconstruing that provision and thereby not </w:t>
      </w:r>
      <w:r w:rsidR="00FD788A" w:rsidRPr="007406B5">
        <w:rPr>
          <w:rFonts w:ascii="Times New Roman" w:hAnsi="Times New Roman"/>
        </w:rPr>
        <w:t>considering</w:t>
      </w:r>
      <w:r w:rsidR="00D16283" w:rsidRPr="007406B5">
        <w:rPr>
          <w:rFonts w:ascii="Times New Roman" w:hAnsi="Times New Roman"/>
        </w:rPr>
        <w:t>,</w:t>
      </w:r>
      <w:r w:rsidR="00C3604C" w:rsidRPr="007406B5">
        <w:rPr>
          <w:rFonts w:ascii="Times New Roman" w:hAnsi="Times New Roman"/>
        </w:rPr>
        <w:t xml:space="preserve"> </w:t>
      </w:r>
      <w:r w:rsidR="00EC6397" w:rsidRPr="007406B5">
        <w:rPr>
          <w:rFonts w:ascii="Times New Roman" w:hAnsi="Times New Roman"/>
        </w:rPr>
        <w:t>as required</w:t>
      </w:r>
      <w:r w:rsidR="00D16283" w:rsidRPr="007406B5">
        <w:rPr>
          <w:rFonts w:ascii="Times New Roman" w:hAnsi="Times New Roman"/>
        </w:rPr>
        <w:t>,</w:t>
      </w:r>
      <w:r w:rsidR="00EC6397" w:rsidRPr="007406B5">
        <w:rPr>
          <w:rFonts w:ascii="Times New Roman" w:hAnsi="Times New Roman"/>
        </w:rPr>
        <w:t xml:space="preserve"> </w:t>
      </w:r>
      <w:r w:rsidR="00C3604C" w:rsidRPr="007406B5">
        <w:rPr>
          <w:rFonts w:ascii="Times New Roman" w:hAnsi="Times New Roman"/>
        </w:rPr>
        <w:t xml:space="preserve">the </w:t>
      </w:r>
      <w:r w:rsidR="00FD788A" w:rsidRPr="007406B5">
        <w:rPr>
          <w:rFonts w:ascii="Times New Roman" w:hAnsi="Times New Roman"/>
        </w:rPr>
        <w:t>likely impacts of the development in terms of its scope</w:t>
      </w:r>
      <w:r w:rsidR="00AC702B" w:rsidRPr="007406B5">
        <w:rPr>
          <w:rFonts w:ascii="Times New Roman" w:hAnsi="Times New Roman"/>
        </w:rPr>
        <w:t> </w:t>
      </w:r>
      <w:r w:rsidR="00FD788A" w:rsidRPr="007406B5">
        <w:rPr>
          <w:rFonts w:ascii="Times New Roman" w:hAnsi="Times New Roman"/>
        </w:rPr>
        <w:t>3 emissions;</w:t>
      </w:r>
      <w:r w:rsidR="00322364" w:rsidRPr="007406B5">
        <w:rPr>
          <w:rFonts w:ascii="Times New Roman" w:hAnsi="Times New Roman"/>
        </w:rPr>
        <w:t xml:space="preserve"> </w:t>
      </w:r>
      <w:r w:rsidR="000C7882" w:rsidRPr="007406B5">
        <w:rPr>
          <w:rFonts w:ascii="Times New Roman" w:hAnsi="Times New Roman"/>
        </w:rPr>
        <w:t>(i</w:t>
      </w:r>
      <w:r w:rsidR="00B80EC8" w:rsidRPr="007406B5">
        <w:rPr>
          <w:rFonts w:ascii="Times New Roman" w:hAnsi="Times New Roman"/>
        </w:rPr>
        <w:t>i</w:t>
      </w:r>
      <w:r w:rsidR="000C7882" w:rsidRPr="007406B5">
        <w:rPr>
          <w:rFonts w:ascii="Times New Roman" w:hAnsi="Times New Roman"/>
        </w:rPr>
        <w:t>) </w:t>
      </w:r>
      <w:r w:rsidR="0070133E" w:rsidRPr="007406B5">
        <w:rPr>
          <w:rFonts w:ascii="Times New Roman" w:hAnsi="Times New Roman"/>
        </w:rPr>
        <w:t>s 4.15(1)(a)(i) of the EPA Act</w:t>
      </w:r>
      <w:r w:rsidR="00145C13" w:rsidRPr="007406B5">
        <w:rPr>
          <w:rFonts w:ascii="Times New Roman" w:hAnsi="Times New Roman"/>
        </w:rPr>
        <w:t>,</w:t>
      </w:r>
      <w:r w:rsidR="0070133E" w:rsidRPr="007406B5">
        <w:rPr>
          <w:rFonts w:ascii="Times New Roman" w:hAnsi="Times New Roman"/>
        </w:rPr>
        <w:t xml:space="preserve"> by not complying with</w:t>
      </w:r>
      <w:r w:rsidR="00B26193" w:rsidRPr="007406B5">
        <w:rPr>
          <w:rFonts w:ascii="Times New Roman" w:hAnsi="Times New Roman"/>
        </w:rPr>
        <w:t xml:space="preserve"> applicable provisions of an applicable environmental planning instrument, </w:t>
      </w:r>
      <w:r w:rsidR="00B80EC8" w:rsidRPr="007406B5">
        <w:rPr>
          <w:rFonts w:ascii="Times New Roman" w:hAnsi="Times New Roman"/>
          <w:i/>
          <w:iCs/>
        </w:rPr>
        <w:t>State Environmental Planning Policy (Resources and Energy) 2021</w:t>
      </w:r>
      <w:r w:rsidR="00B80EC8" w:rsidRPr="007406B5">
        <w:rPr>
          <w:rFonts w:ascii="Times New Roman" w:hAnsi="Times New Roman"/>
        </w:rPr>
        <w:t xml:space="preserve"> </w:t>
      </w:r>
      <w:r w:rsidR="000B16E0" w:rsidRPr="007406B5">
        <w:rPr>
          <w:rFonts w:ascii="Times New Roman" w:hAnsi="Times New Roman"/>
        </w:rPr>
        <w:t xml:space="preserve">(NSW) </w:t>
      </w:r>
      <w:r w:rsidR="00B80EC8" w:rsidRPr="007406B5">
        <w:rPr>
          <w:rFonts w:ascii="Times New Roman" w:hAnsi="Times New Roman"/>
        </w:rPr>
        <w:t>(</w:t>
      </w:r>
      <w:r w:rsidR="005032E9" w:rsidRPr="007406B5">
        <w:rPr>
          <w:rFonts w:ascii="Times New Roman" w:hAnsi="Times New Roman"/>
        </w:rPr>
        <w:t>"</w:t>
      </w:r>
      <w:r w:rsidR="00B80EC8" w:rsidRPr="007406B5">
        <w:rPr>
          <w:rFonts w:ascii="Times New Roman" w:hAnsi="Times New Roman"/>
        </w:rPr>
        <w:t>the Resources SEPP")</w:t>
      </w:r>
      <w:r w:rsidR="00F24AF0" w:rsidRPr="007406B5">
        <w:rPr>
          <w:rFonts w:ascii="Times New Roman" w:hAnsi="Times New Roman"/>
        </w:rPr>
        <w:t>; and (iii)</w:t>
      </w:r>
      <w:r w:rsidR="00AD710D" w:rsidRPr="007406B5">
        <w:rPr>
          <w:rFonts w:ascii="Times New Roman" w:hAnsi="Times New Roman"/>
        </w:rPr>
        <w:t> s 4.15</w:t>
      </w:r>
      <w:r w:rsidR="00B6099A" w:rsidRPr="007406B5">
        <w:rPr>
          <w:rFonts w:ascii="Times New Roman" w:hAnsi="Times New Roman"/>
        </w:rPr>
        <w:t>(1)(d) and</w:t>
      </w:r>
      <w:r w:rsidR="00CD6819" w:rsidRPr="007406B5">
        <w:rPr>
          <w:rFonts w:ascii="Times New Roman" w:hAnsi="Times New Roman"/>
        </w:rPr>
        <w:t> </w:t>
      </w:r>
      <w:r w:rsidR="00B6099A" w:rsidRPr="007406B5">
        <w:rPr>
          <w:rFonts w:ascii="Times New Roman" w:hAnsi="Times New Roman"/>
        </w:rPr>
        <w:t xml:space="preserve">(e) of the EPA Act, which required the consent authority to </w:t>
      </w:r>
      <w:r w:rsidR="00BD7677" w:rsidRPr="007406B5">
        <w:rPr>
          <w:rFonts w:ascii="Times New Roman" w:hAnsi="Times New Roman"/>
        </w:rPr>
        <w:t xml:space="preserve">"take into consideration ... as are of relevance to the development the subject of the development application" </w:t>
      </w:r>
      <w:r w:rsidR="00A9500C" w:rsidRPr="007406B5">
        <w:rPr>
          <w:rFonts w:ascii="Times New Roman" w:hAnsi="Times New Roman"/>
        </w:rPr>
        <w:t xml:space="preserve">respectively </w:t>
      </w:r>
      <w:r w:rsidR="00BD7677" w:rsidRPr="007406B5">
        <w:rPr>
          <w:rFonts w:ascii="Times New Roman" w:hAnsi="Times New Roman"/>
        </w:rPr>
        <w:t>"</w:t>
      </w:r>
      <w:r w:rsidR="00A9500C" w:rsidRPr="007406B5">
        <w:rPr>
          <w:rFonts w:ascii="Times New Roman" w:hAnsi="Times New Roman"/>
        </w:rPr>
        <w:t>any submissions made in accordance with this Act or the regulations" and "the public interest"</w:t>
      </w:r>
      <w:r w:rsidR="00CB4422" w:rsidRPr="007406B5">
        <w:rPr>
          <w:rFonts w:ascii="Times New Roman" w:hAnsi="Times New Roman"/>
        </w:rPr>
        <w:t>.</w:t>
      </w:r>
      <w:r w:rsidR="00433F7F" w:rsidRPr="007406B5">
        <w:rPr>
          <w:rFonts w:ascii="Times New Roman" w:hAnsi="Times New Roman"/>
        </w:rPr>
        <w:t xml:space="preserve"> </w:t>
      </w:r>
    </w:p>
    <w:p w14:paraId="45DAFCB0" w14:textId="3F64607C" w:rsidR="002124E8" w:rsidRPr="007406B5" w:rsidRDefault="00D3144E" w:rsidP="007406B5">
      <w:pPr>
        <w:pStyle w:val="FixListStyle"/>
        <w:spacing w:after="260" w:line="280" w:lineRule="exact"/>
        <w:ind w:right="0"/>
        <w:jc w:val="both"/>
        <w:rPr>
          <w:rFonts w:ascii="Times New Roman" w:hAnsi="Times New Roman"/>
        </w:rPr>
      </w:pPr>
      <w:r w:rsidRPr="007406B5">
        <w:rPr>
          <w:rFonts w:ascii="Times New Roman" w:hAnsi="Times New Roman"/>
        </w:rPr>
        <w:tab/>
        <w:t xml:space="preserve">The primary judge in the Land and Environment </w:t>
      </w:r>
      <w:r w:rsidR="0076651F" w:rsidRPr="007406B5">
        <w:rPr>
          <w:rFonts w:ascii="Times New Roman" w:hAnsi="Times New Roman"/>
        </w:rPr>
        <w:t xml:space="preserve">Court </w:t>
      </w:r>
      <w:r w:rsidRPr="007406B5">
        <w:rPr>
          <w:rFonts w:ascii="Times New Roman" w:hAnsi="Times New Roman"/>
        </w:rPr>
        <w:t>(Robson J) dismissed DAMSHEG's challenge on all grounds.</w:t>
      </w:r>
      <w:r w:rsidRPr="007406B5">
        <w:rPr>
          <w:rStyle w:val="FootnoteReference"/>
          <w:rFonts w:ascii="Times New Roman" w:hAnsi="Times New Roman"/>
          <w:sz w:val="24"/>
        </w:rPr>
        <w:footnoteReference w:id="2"/>
      </w:r>
      <w:r w:rsidRPr="007406B5">
        <w:rPr>
          <w:rFonts w:ascii="Times New Roman" w:hAnsi="Times New Roman"/>
        </w:rPr>
        <w:t xml:space="preserve"> </w:t>
      </w:r>
      <w:r w:rsidR="00483C2D" w:rsidRPr="007406B5">
        <w:rPr>
          <w:rFonts w:ascii="Times New Roman" w:hAnsi="Times New Roman"/>
        </w:rPr>
        <w:t>DAMSHEG appealed</w:t>
      </w:r>
      <w:r w:rsidR="00935466" w:rsidRPr="007406B5">
        <w:rPr>
          <w:rFonts w:ascii="Times New Roman" w:hAnsi="Times New Roman"/>
        </w:rPr>
        <w:t xml:space="preserve"> that decision to the Court of Appeal of the Supreme Court of New South Wal</w:t>
      </w:r>
      <w:r w:rsidR="00C75FC6" w:rsidRPr="007406B5">
        <w:rPr>
          <w:rFonts w:ascii="Times New Roman" w:hAnsi="Times New Roman"/>
        </w:rPr>
        <w:t>e</w:t>
      </w:r>
      <w:r w:rsidR="00935466" w:rsidRPr="007406B5">
        <w:rPr>
          <w:rFonts w:ascii="Times New Roman" w:hAnsi="Times New Roman"/>
        </w:rPr>
        <w:t>s</w:t>
      </w:r>
      <w:r w:rsidR="00483C2D" w:rsidRPr="007406B5">
        <w:rPr>
          <w:rFonts w:ascii="Times New Roman" w:hAnsi="Times New Roman"/>
        </w:rPr>
        <w:t xml:space="preserve"> </w:t>
      </w:r>
      <w:r w:rsidR="00270F5A" w:rsidRPr="007406B5">
        <w:rPr>
          <w:rFonts w:ascii="Times New Roman" w:hAnsi="Times New Roman"/>
        </w:rPr>
        <w:t>on two</w:t>
      </w:r>
      <w:r w:rsidR="00300499" w:rsidRPr="007406B5">
        <w:rPr>
          <w:rFonts w:ascii="Times New Roman" w:hAnsi="Times New Roman"/>
        </w:rPr>
        <w:t> </w:t>
      </w:r>
      <w:r w:rsidR="00270F5A" w:rsidRPr="007406B5">
        <w:rPr>
          <w:rFonts w:ascii="Times New Roman" w:hAnsi="Times New Roman"/>
        </w:rPr>
        <w:t xml:space="preserve">grounds, being those described </w:t>
      </w:r>
      <w:r w:rsidR="00A2707E" w:rsidRPr="007406B5">
        <w:rPr>
          <w:rFonts w:ascii="Times New Roman" w:hAnsi="Times New Roman"/>
        </w:rPr>
        <w:t xml:space="preserve">in its amended notice of </w:t>
      </w:r>
      <w:r w:rsidR="002D36AE" w:rsidRPr="007406B5">
        <w:rPr>
          <w:rFonts w:ascii="Times New Roman" w:hAnsi="Times New Roman"/>
        </w:rPr>
        <w:t>appeal</w:t>
      </w:r>
      <w:r w:rsidR="00A2707E" w:rsidRPr="007406B5">
        <w:rPr>
          <w:rFonts w:ascii="Times New Roman" w:hAnsi="Times New Roman"/>
        </w:rPr>
        <w:t xml:space="preserve"> </w:t>
      </w:r>
      <w:r w:rsidR="00F553A5" w:rsidRPr="007406B5">
        <w:rPr>
          <w:rFonts w:ascii="Times New Roman" w:hAnsi="Times New Roman"/>
        </w:rPr>
        <w:t>alleg</w:t>
      </w:r>
      <w:r w:rsidR="00A2707E" w:rsidRPr="007406B5">
        <w:rPr>
          <w:rFonts w:ascii="Times New Roman" w:hAnsi="Times New Roman"/>
        </w:rPr>
        <w:t>ing</w:t>
      </w:r>
      <w:r w:rsidR="00F553A5" w:rsidRPr="007406B5">
        <w:rPr>
          <w:rFonts w:ascii="Times New Roman" w:hAnsi="Times New Roman"/>
        </w:rPr>
        <w:t xml:space="preserve"> non-compliance with s 4.15(1)</w:t>
      </w:r>
      <w:r w:rsidR="002D487B" w:rsidRPr="007406B5">
        <w:rPr>
          <w:rFonts w:ascii="Times New Roman" w:hAnsi="Times New Roman"/>
        </w:rPr>
        <w:t>(a)</w:t>
      </w:r>
      <w:r w:rsidR="003B1A61" w:rsidRPr="007406B5">
        <w:rPr>
          <w:rFonts w:ascii="Times New Roman" w:hAnsi="Times New Roman"/>
        </w:rPr>
        <w:t>(i)</w:t>
      </w:r>
      <w:r w:rsidR="002D487B" w:rsidRPr="007406B5">
        <w:rPr>
          <w:rFonts w:ascii="Times New Roman" w:hAnsi="Times New Roman"/>
        </w:rPr>
        <w:t xml:space="preserve"> and</w:t>
      </w:r>
      <w:r w:rsidR="002D36AE" w:rsidRPr="007406B5">
        <w:rPr>
          <w:rFonts w:ascii="Times New Roman" w:hAnsi="Times New Roman"/>
        </w:rPr>
        <w:t> </w:t>
      </w:r>
      <w:r w:rsidR="00F553A5" w:rsidRPr="007406B5">
        <w:rPr>
          <w:rFonts w:ascii="Times New Roman" w:hAnsi="Times New Roman"/>
        </w:rPr>
        <w:t xml:space="preserve">(b) </w:t>
      </w:r>
      <w:r w:rsidR="002D487B" w:rsidRPr="007406B5">
        <w:rPr>
          <w:rFonts w:ascii="Times New Roman" w:hAnsi="Times New Roman"/>
        </w:rPr>
        <w:t>of the EPA Act.</w:t>
      </w:r>
      <w:r w:rsidR="002D36AE" w:rsidRPr="007406B5">
        <w:rPr>
          <w:rFonts w:ascii="Times New Roman" w:hAnsi="Times New Roman"/>
        </w:rPr>
        <w:t xml:space="preserve"> </w:t>
      </w:r>
      <w:r w:rsidR="002D487B" w:rsidRPr="007406B5">
        <w:rPr>
          <w:rFonts w:ascii="Times New Roman" w:hAnsi="Times New Roman"/>
        </w:rPr>
        <w:t>DAMSHEG made no appeal against the primary judge's dismissal of its claims relying on s 4.15(1)(d) and</w:t>
      </w:r>
      <w:r w:rsidR="006639A2" w:rsidRPr="007406B5">
        <w:rPr>
          <w:rFonts w:ascii="Times New Roman" w:hAnsi="Times New Roman"/>
        </w:rPr>
        <w:t> </w:t>
      </w:r>
      <w:r w:rsidR="002D487B" w:rsidRPr="007406B5">
        <w:rPr>
          <w:rFonts w:ascii="Times New Roman" w:hAnsi="Times New Roman"/>
        </w:rPr>
        <w:t xml:space="preserve">(e) of the EPA Act. </w:t>
      </w:r>
    </w:p>
    <w:p w14:paraId="300E2111" w14:textId="08D63DCE" w:rsidR="00D3144E" w:rsidRPr="007406B5" w:rsidRDefault="002124E8" w:rsidP="007406B5">
      <w:pPr>
        <w:pStyle w:val="FixListStyle"/>
        <w:spacing w:after="260" w:line="280" w:lineRule="exact"/>
        <w:ind w:right="0"/>
        <w:jc w:val="both"/>
        <w:rPr>
          <w:rFonts w:ascii="Times New Roman" w:hAnsi="Times New Roman"/>
        </w:rPr>
      </w:pPr>
      <w:r w:rsidRPr="007406B5">
        <w:rPr>
          <w:rFonts w:ascii="Times New Roman" w:hAnsi="Times New Roman"/>
        </w:rPr>
        <w:tab/>
      </w:r>
      <w:r w:rsidR="007D2DD4" w:rsidRPr="007406B5">
        <w:rPr>
          <w:rFonts w:ascii="Times New Roman" w:hAnsi="Times New Roman"/>
        </w:rPr>
        <w:t>The</w:t>
      </w:r>
      <w:r w:rsidR="00300499" w:rsidRPr="007406B5">
        <w:rPr>
          <w:rFonts w:ascii="Times New Roman" w:hAnsi="Times New Roman"/>
        </w:rPr>
        <w:t xml:space="preserve"> </w:t>
      </w:r>
      <w:r w:rsidR="007D2DD4" w:rsidRPr="007406B5">
        <w:rPr>
          <w:rFonts w:ascii="Times New Roman" w:hAnsi="Times New Roman"/>
        </w:rPr>
        <w:t>Court of Appeal (Ward P, Adamson JA and Price A</w:t>
      </w:r>
      <w:r w:rsidR="004C5772" w:rsidRPr="007406B5">
        <w:rPr>
          <w:rFonts w:ascii="Times New Roman" w:hAnsi="Times New Roman"/>
        </w:rPr>
        <w:t>-</w:t>
      </w:r>
      <w:r w:rsidR="007D2DD4" w:rsidRPr="007406B5">
        <w:rPr>
          <w:rFonts w:ascii="Times New Roman" w:hAnsi="Times New Roman"/>
        </w:rPr>
        <w:t xml:space="preserve">JA) allowed </w:t>
      </w:r>
      <w:r w:rsidR="00BD2B9C" w:rsidRPr="007406B5">
        <w:rPr>
          <w:rFonts w:ascii="Times New Roman" w:hAnsi="Times New Roman"/>
        </w:rPr>
        <w:t xml:space="preserve">DAMSHEG's appeal </w:t>
      </w:r>
      <w:r w:rsidR="001B524E" w:rsidRPr="007406B5">
        <w:rPr>
          <w:rFonts w:ascii="Times New Roman" w:hAnsi="Times New Roman"/>
        </w:rPr>
        <w:t xml:space="preserve">and </w:t>
      </w:r>
      <w:r w:rsidR="0070240D" w:rsidRPr="007406B5">
        <w:rPr>
          <w:rFonts w:ascii="Times New Roman" w:hAnsi="Times New Roman"/>
        </w:rPr>
        <w:t xml:space="preserve">held that </w:t>
      </w:r>
      <w:r w:rsidR="001B524E" w:rsidRPr="007406B5">
        <w:rPr>
          <w:rFonts w:ascii="Times New Roman" w:hAnsi="Times New Roman"/>
        </w:rPr>
        <w:t xml:space="preserve">the development consent </w:t>
      </w:r>
      <w:r w:rsidR="0070240D" w:rsidRPr="007406B5">
        <w:rPr>
          <w:rFonts w:ascii="Times New Roman" w:hAnsi="Times New Roman"/>
        </w:rPr>
        <w:t xml:space="preserve">was </w:t>
      </w:r>
      <w:r w:rsidR="001B524E" w:rsidRPr="007406B5">
        <w:rPr>
          <w:rFonts w:ascii="Times New Roman" w:hAnsi="Times New Roman"/>
        </w:rPr>
        <w:t xml:space="preserve">invalid on the </w:t>
      </w:r>
      <w:r w:rsidR="000F4E31" w:rsidRPr="007406B5">
        <w:rPr>
          <w:rFonts w:ascii="Times New Roman" w:hAnsi="Times New Roman"/>
        </w:rPr>
        <w:t xml:space="preserve">sole </w:t>
      </w:r>
      <w:r w:rsidR="001B524E" w:rsidRPr="007406B5">
        <w:rPr>
          <w:rFonts w:ascii="Times New Roman" w:hAnsi="Times New Roman"/>
        </w:rPr>
        <w:t xml:space="preserve">ground that </w:t>
      </w:r>
      <w:r w:rsidR="001C6C04" w:rsidRPr="007406B5">
        <w:rPr>
          <w:rFonts w:ascii="Times New Roman" w:hAnsi="Times New Roman"/>
        </w:rPr>
        <w:t xml:space="preserve">the </w:t>
      </w:r>
      <w:r w:rsidR="001B7839" w:rsidRPr="007406B5">
        <w:rPr>
          <w:rFonts w:ascii="Times New Roman" w:hAnsi="Times New Roman"/>
        </w:rPr>
        <w:t>Commission</w:t>
      </w:r>
      <w:r w:rsidR="001C6C04" w:rsidRPr="007406B5">
        <w:rPr>
          <w:rFonts w:ascii="Times New Roman" w:hAnsi="Times New Roman"/>
        </w:rPr>
        <w:t xml:space="preserve"> had not complied with s 4.15(1)(b) of the EPA Act in that</w:t>
      </w:r>
      <w:r w:rsidR="007C1115" w:rsidRPr="007406B5">
        <w:rPr>
          <w:rFonts w:ascii="Times New Roman" w:hAnsi="Times New Roman"/>
        </w:rPr>
        <w:t>: (i) s</w:t>
      </w:r>
      <w:r w:rsidR="002C5980" w:rsidRPr="007406B5">
        <w:rPr>
          <w:rFonts w:ascii="Times New Roman" w:hAnsi="Times New Roman"/>
        </w:rPr>
        <w:t> </w:t>
      </w:r>
      <w:r w:rsidR="007C1115" w:rsidRPr="007406B5">
        <w:rPr>
          <w:rFonts w:ascii="Times New Roman" w:hAnsi="Times New Roman"/>
        </w:rPr>
        <w:t>4.15(1)(b)</w:t>
      </w:r>
      <w:r w:rsidR="002C5980" w:rsidRPr="007406B5">
        <w:rPr>
          <w:rFonts w:ascii="Times New Roman" w:hAnsi="Times New Roman"/>
        </w:rPr>
        <w:t xml:space="preserve">, properly construed, required the </w:t>
      </w:r>
      <w:r w:rsidR="001B7839" w:rsidRPr="007406B5">
        <w:rPr>
          <w:rFonts w:ascii="Times New Roman" w:hAnsi="Times New Roman"/>
        </w:rPr>
        <w:t>Commission</w:t>
      </w:r>
      <w:r w:rsidR="002C5980" w:rsidRPr="007406B5">
        <w:rPr>
          <w:rFonts w:ascii="Times New Roman" w:hAnsi="Times New Roman"/>
        </w:rPr>
        <w:t xml:space="preserve"> to consider the development's </w:t>
      </w:r>
      <w:r w:rsidR="00812D1D" w:rsidRPr="007406B5">
        <w:rPr>
          <w:rFonts w:ascii="Times New Roman" w:hAnsi="Times New Roman"/>
        </w:rPr>
        <w:t xml:space="preserve">likely </w:t>
      </w:r>
      <w:r w:rsidR="002C5980" w:rsidRPr="007406B5">
        <w:rPr>
          <w:rFonts w:ascii="Times New Roman" w:hAnsi="Times New Roman"/>
        </w:rPr>
        <w:t xml:space="preserve">impacts on the </w:t>
      </w:r>
      <w:r w:rsidR="000A0A4F" w:rsidRPr="007406B5">
        <w:rPr>
          <w:rFonts w:ascii="Times New Roman" w:hAnsi="Times New Roman"/>
        </w:rPr>
        <w:t xml:space="preserve">environment in the </w:t>
      </w:r>
      <w:r w:rsidR="002C5980" w:rsidRPr="007406B5">
        <w:rPr>
          <w:rFonts w:ascii="Times New Roman" w:hAnsi="Times New Roman"/>
        </w:rPr>
        <w:t xml:space="preserve">locality </w:t>
      </w:r>
      <w:r w:rsidR="000A0A4F" w:rsidRPr="007406B5">
        <w:rPr>
          <w:rFonts w:ascii="Times New Roman" w:hAnsi="Times New Roman"/>
        </w:rPr>
        <w:t xml:space="preserve">of </w:t>
      </w:r>
      <w:r w:rsidR="002C5980" w:rsidRPr="007406B5">
        <w:rPr>
          <w:rFonts w:ascii="Times New Roman" w:hAnsi="Times New Roman"/>
        </w:rPr>
        <w:t xml:space="preserve">the </w:t>
      </w:r>
      <w:r w:rsidR="000A0A4F" w:rsidRPr="007406B5">
        <w:rPr>
          <w:rFonts w:ascii="Times New Roman" w:hAnsi="Times New Roman"/>
        </w:rPr>
        <w:t xml:space="preserve">development; and (ii) it should be inferred from the evidence that the </w:t>
      </w:r>
      <w:r w:rsidR="001B7839" w:rsidRPr="007406B5">
        <w:rPr>
          <w:rFonts w:ascii="Times New Roman" w:hAnsi="Times New Roman"/>
        </w:rPr>
        <w:t>Commission</w:t>
      </w:r>
      <w:r w:rsidR="000A0A4F" w:rsidRPr="007406B5">
        <w:rPr>
          <w:rFonts w:ascii="Times New Roman" w:hAnsi="Times New Roman"/>
        </w:rPr>
        <w:t xml:space="preserve"> did not consider the development's </w:t>
      </w:r>
      <w:r w:rsidR="00812D1D" w:rsidRPr="007406B5">
        <w:rPr>
          <w:rFonts w:ascii="Times New Roman" w:hAnsi="Times New Roman"/>
        </w:rPr>
        <w:t xml:space="preserve">likely </w:t>
      </w:r>
      <w:r w:rsidR="000A0A4F" w:rsidRPr="007406B5">
        <w:rPr>
          <w:rFonts w:ascii="Times New Roman" w:hAnsi="Times New Roman"/>
        </w:rPr>
        <w:t xml:space="preserve">impacts on the environment in the locality of the development </w:t>
      </w:r>
      <w:r w:rsidR="007542C8" w:rsidRPr="007406B5">
        <w:rPr>
          <w:rFonts w:ascii="Times New Roman" w:hAnsi="Times New Roman"/>
        </w:rPr>
        <w:t>by reason of the scope</w:t>
      </w:r>
      <w:r w:rsidR="004A0BF4" w:rsidRPr="007406B5">
        <w:rPr>
          <w:rFonts w:ascii="Times New Roman" w:hAnsi="Times New Roman"/>
        </w:rPr>
        <w:t> </w:t>
      </w:r>
      <w:r w:rsidR="007542C8" w:rsidRPr="007406B5">
        <w:rPr>
          <w:rFonts w:ascii="Times New Roman" w:hAnsi="Times New Roman"/>
        </w:rPr>
        <w:t>3 emissions the development would cause and the contribution of those emissions to climate change</w:t>
      </w:r>
      <w:r w:rsidR="00245EAF" w:rsidRPr="007406B5">
        <w:rPr>
          <w:rFonts w:ascii="Times New Roman" w:hAnsi="Times New Roman"/>
        </w:rPr>
        <w:t xml:space="preserve"> and the </w:t>
      </w:r>
      <w:r w:rsidR="00245EAF" w:rsidRPr="007406B5">
        <w:rPr>
          <w:rFonts w:ascii="Times New Roman" w:hAnsi="Times New Roman"/>
        </w:rPr>
        <w:lastRenderedPageBreak/>
        <w:t>impacts of climate change in the locality of the development</w:t>
      </w:r>
      <w:r w:rsidR="007542C8" w:rsidRPr="007406B5">
        <w:rPr>
          <w:rFonts w:ascii="Times New Roman" w:hAnsi="Times New Roman"/>
        </w:rPr>
        <w:t>.</w:t>
      </w:r>
      <w:r w:rsidR="002950E7" w:rsidRPr="007406B5">
        <w:rPr>
          <w:rStyle w:val="FootnoteReference"/>
          <w:rFonts w:ascii="Times New Roman" w:hAnsi="Times New Roman"/>
          <w:sz w:val="24"/>
        </w:rPr>
        <w:footnoteReference w:id="3"/>
      </w:r>
      <w:r w:rsidR="007542C8" w:rsidRPr="007406B5">
        <w:rPr>
          <w:rFonts w:ascii="Times New Roman" w:hAnsi="Times New Roman"/>
        </w:rPr>
        <w:t xml:space="preserve"> </w:t>
      </w:r>
      <w:r w:rsidR="007C7C46" w:rsidRPr="007406B5">
        <w:rPr>
          <w:rFonts w:ascii="Times New Roman" w:hAnsi="Times New Roman"/>
        </w:rPr>
        <w:t xml:space="preserve">The Court of Appeal ordered that the matter be remitted to the Land and Environment Court </w:t>
      </w:r>
      <w:r w:rsidR="00A55F5E" w:rsidRPr="007406B5">
        <w:rPr>
          <w:rFonts w:ascii="Times New Roman" w:hAnsi="Times New Roman"/>
        </w:rPr>
        <w:t>to consider</w:t>
      </w:r>
      <w:r w:rsidR="000F4E31" w:rsidRPr="007406B5">
        <w:rPr>
          <w:rFonts w:ascii="Times New Roman" w:hAnsi="Times New Roman"/>
        </w:rPr>
        <w:t xml:space="preserve"> the application of Div 3 of Pt 3 of th</w:t>
      </w:r>
      <w:r w:rsidR="000B07B7" w:rsidRPr="007406B5">
        <w:rPr>
          <w:rFonts w:ascii="Times New Roman" w:hAnsi="Times New Roman"/>
        </w:rPr>
        <w:t xml:space="preserve">e </w:t>
      </w:r>
      <w:r w:rsidR="007F0287" w:rsidRPr="007406B5">
        <w:rPr>
          <w:rFonts w:ascii="Times New Roman" w:hAnsi="Times New Roman"/>
          <w:i/>
          <w:iCs/>
        </w:rPr>
        <w:t>Land and Environment Court Act 1979</w:t>
      </w:r>
      <w:r w:rsidR="007F0287" w:rsidRPr="007406B5">
        <w:rPr>
          <w:rFonts w:ascii="Times New Roman" w:hAnsi="Times New Roman"/>
        </w:rPr>
        <w:t xml:space="preserve"> (NSW)</w:t>
      </w:r>
      <w:r w:rsidR="000F4E31" w:rsidRPr="007406B5">
        <w:rPr>
          <w:rFonts w:ascii="Times New Roman" w:hAnsi="Times New Roman"/>
        </w:rPr>
        <w:t xml:space="preserve"> to the development consent, </w:t>
      </w:r>
      <w:r w:rsidR="00692B77" w:rsidRPr="007406B5">
        <w:rPr>
          <w:rFonts w:ascii="Times New Roman" w:hAnsi="Times New Roman"/>
        </w:rPr>
        <w:t>enabling orders to be made for the validity or conditional validity of the development consent in specified circumstances rather than a declaration of invalidity of the consent.</w:t>
      </w:r>
      <w:r w:rsidR="000B07B7" w:rsidRPr="007406B5">
        <w:rPr>
          <w:rStyle w:val="FootnoteReference"/>
          <w:rFonts w:ascii="Times New Roman" w:hAnsi="Times New Roman"/>
          <w:sz w:val="24"/>
        </w:rPr>
        <w:footnoteReference w:id="4"/>
      </w:r>
      <w:r w:rsidR="00692B77" w:rsidRPr="007406B5">
        <w:rPr>
          <w:rFonts w:ascii="Times New Roman" w:hAnsi="Times New Roman"/>
        </w:rPr>
        <w:t xml:space="preserve"> </w:t>
      </w:r>
    </w:p>
    <w:p w14:paraId="215FFD5E" w14:textId="1E0DC9A0" w:rsidR="008F60D9" w:rsidRPr="007406B5" w:rsidRDefault="00692B77" w:rsidP="007406B5">
      <w:pPr>
        <w:pStyle w:val="FixListStyle"/>
        <w:spacing w:after="260" w:line="280" w:lineRule="exact"/>
        <w:ind w:right="0"/>
        <w:jc w:val="both"/>
        <w:rPr>
          <w:rFonts w:ascii="Times New Roman" w:hAnsi="Times New Roman"/>
        </w:rPr>
      </w:pPr>
      <w:r w:rsidRPr="007406B5">
        <w:rPr>
          <w:rFonts w:ascii="Times New Roman" w:hAnsi="Times New Roman"/>
        </w:rPr>
        <w:tab/>
      </w:r>
      <w:r w:rsidR="007540B5" w:rsidRPr="007406B5">
        <w:rPr>
          <w:rFonts w:ascii="Times New Roman" w:hAnsi="Times New Roman"/>
        </w:rPr>
        <w:t>Pursuant to a grant of special leave to appeal, MACH contended that the Court of Appeal erred on three grounds: (i) </w:t>
      </w:r>
      <w:r w:rsidR="00634976" w:rsidRPr="007406B5">
        <w:rPr>
          <w:rFonts w:ascii="Times New Roman" w:hAnsi="Times New Roman"/>
        </w:rPr>
        <w:t xml:space="preserve">construing s 4.15(1)(b) of the EPA Act as </w:t>
      </w:r>
      <w:r w:rsidR="00634976" w:rsidRPr="007406B5" w:rsidDel="00FC3BDB">
        <w:rPr>
          <w:rFonts w:ascii="Times New Roman" w:hAnsi="Times New Roman"/>
        </w:rPr>
        <w:t>if it imposed</w:t>
      </w:r>
      <w:r w:rsidR="00634976" w:rsidRPr="007406B5">
        <w:rPr>
          <w:rFonts w:ascii="Times New Roman" w:hAnsi="Times New Roman"/>
        </w:rPr>
        <w:t xml:space="preserve"> a requirement to </w:t>
      </w:r>
      <w:r w:rsidR="00E37396" w:rsidRPr="007406B5">
        <w:rPr>
          <w:rFonts w:ascii="Times New Roman" w:hAnsi="Times New Roman"/>
        </w:rPr>
        <w:t>consider</w:t>
      </w:r>
      <w:r w:rsidR="00634976" w:rsidRPr="007406B5">
        <w:rPr>
          <w:rFonts w:ascii="Times New Roman" w:hAnsi="Times New Roman"/>
        </w:rPr>
        <w:t xml:space="preserve"> </w:t>
      </w:r>
      <w:r w:rsidR="00812D1D" w:rsidRPr="007406B5">
        <w:rPr>
          <w:rFonts w:ascii="Times New Roman" w:hAnsi="Times New Roman"/>
        </w:rPr>
        <w:t xml:space="preserve">likely </w:t>
      </w:r>
      <w:r w:rsidR="00634976" w:rsidRPr="007406B5">
        <w:rPr>
          <w:rFonts w:ascii="Times New Roman" w:hAnsi="Times New Roman"/>
        </w:rPr>
        <w:t xml:space="preserve">impacts of a development on the </w:t>
      </w:r>
      <w:r w:rsidR="00E37396" w:rsidRPr="007406B5">
        <w:rPr>
          <w:rFonts w:ascii="Times New Roman" w:hAnsi="Times New Roman"/>
        </w:rPr>
        <w:t xml:space="preserve">built and natural environment "in the locality"; (ii) construing s 4.15(1)(b) of the EPA Act as if it imposed a requirement to </w:t>
      </w:r>
      <w:r w:rsidR="00DA3B2B" w:rsidRPr="007406B5">
        <w:rPr>
          <w:rFonts w:ascii="Times New Roman" w:hAnsi="Times New Roman"/>
        </w:rPr>
        <w:t xml:space="preserve">conduct a causal inquiry as to the impacts of climate change; and (iii) concluding that the impact of climate change is </w:t>
      </w:r>
      <w:r w:rsidR="003B1800" w:rsidRPr="007406B5">
        <w:rPr>
          <w:rFonts w:ascii="Times New Roman" w:hAnsi="Times New Roman"/>
        </w:rPr>
        <w:t xml:space="preserve">capable of being a </w:t>
      </w:r>
      <w:r w:rsidR="00A620BB" w:rsidRPr="007406B5">
        <w:rPr>
          <w:rFonts w:ascii="Times New Roman" w:hAnsi="Times New Roman"/>
        </w:rPr>
        <w:t xml:space="preserve">likely </w:t>
      </w:r>
      <w:r w:rsidR="003F6EF3" w:rsidRPr="007406B5">
        <w:rPr>
          <w:rFonts w:ascii="Times New Roman" w:hAnsi="Times New Roman"/>
        </w:rPr>
        <w:t xml:space="preserve">environmental </w:t>
      </w:r>
      <w:r w:rsidR="003B1800" w:rsidRPr="007406B5">
        <w:rPr>
          <w:rFonts w:ascii="Times New Roman" w:hAnsi="Times New Roman"/>
        </w:rPr>
        <w:t>impact in the locality of the development within the meaning of s 4.15(1)(b) of the EPA Act.</w:t>
      </w:r>
      <w:r w:rsidR="004148C8" w:rsidRPr="007406B5">
        <w:rPr>
          <w:rFonts w:ascii="Times New Roman" w:hAnsi="Times New Roman"/>
        </w:rPr>
        <w:t xml:space="preserve"> </w:t>
      </w:r>
    </w:p>
    <w:p w14:paraId="634209A0" w14:textId="3FA83AE4" w:rsidR="008F60D9" w:rsidRPr="007406B5" w:rsidRDefault="008F60D9" w:rsidP="007406B5">
      <w:pPr>
        <w:pStyle w:val="FixListStyle"/>
        <w:spacing w:after="260" w:line="280" w:lineRule="exact"/>
        <w:ind w:right="0"/>
        <w:jc w:val="both"/>
        <w:rPr>
          <w:rFonts w:ascii="Times New Roman" w:hAnsi="Times New Roman"/>
        </w:rPr>
      </w:pPr>
      <w:r w:rsidRPr="007406B5">
        <w:rPr>
          <w:rFonts w:ascii="Times New Roman" w:hAnsi="Times New Roman"/>
        </w:rPr>
        <w:tab/>
      </w:r>
      <w:r w:rsidR="005019B2" w:rsidRPr="007406B5">
        <w:rPr>
          <w:rFonts w:ascii="Times New Roman" w:hAnsi="Times New Roman"/>
        </w:rPr>
        <w:t xml:space="preserve">DAMSHEG filed a notice of contention </w:t>
      </w:r>
      <w:r w:rsidR="000D1E9F" w:rsidRPr="007406B5">
        <w:rPr>
          <w:rFonts w:ascii="Times New Roman" w:hAnsi="Times New Roman"/>
        </w:rPr>
        <w:t xml:space="preserve">contending that the </w:t>
      </w:r>
      <w:r w:rsidR="00562F26" w:rsidRPr="007406B5">
        <w:rPr>
          <w:rFonts w:ascii="Times New Roman" w:hAnsi="Times New Roman"/>
        </w:rPr>
        <w:t xml:space="preserve">Court of Appeal </w:t>
      </w:r>
      <w:r w:rsidR="00A23312" w:rsidRPr="007406B5">
        <w:rPr>
          <w:rFonts w:ascii="Times New Roman" w:hAnsi="Times New Roman"/>
        </w:rPr>
        <w:t xml:space="preserve">erred in failing to find that the </w:t>
      </w:r>
      <w:r w:rsidR="001B7839" w:rsidRPr="007406B5">
        <w:rPr>
          <w:rFonts w:ascii="Times New Roman" w:hAnsi="Times New Roman"/>
        </w:rPr>
        <w:t>Commission</w:t>
      </w:r>
      <w:r w:rsidR="000D1E9F" w:rsidRPr="007406B5">
        <w:rPr>
          <w:rFonts w:ascii="Times New Roman" w:hAnsi="Times New Roman"/>
        </w:rPr>
        <w:t xml:space="preserve"> contravened s 4.15(1)(a)(i) of the EPA Act by not complying with applicable provisions of the Resources SEPP, specifically </w:t>
      </w:r>
      <w:r w:rsidR="00F376E4" w:rsidRPr="007406B5">
        <w:rPr>
          <w:rFonts w:ascii="Times New Roman" w:hAnsi="Times New Roman"/>
        </w:rPr>
        <w:t>s </w:t>
      </w:r>
      <w:r w:rsidR="000D1E9F" w:rsidRPr="007406B5">
        <w:rPr>
          <w:rFonts w:ascii="Times New Roman" w:hAnsi="Times New Roman"/>
        </w:rPr>
        <w:t>2.20</w:t>
      </w:r>
      <w:r w:rsidR="00F83B65" w:rsidRPr="007406B5">
        <w:rPr>
          <w:rFonts w:ascii="Times New Roman" w:hAnsi="Times New Roman"/>
        </w:rPr>
        <w:t>,</w:t>
      </w:r>
      <w:r w:rsidR="000D1E9F" w:rsidRPr="007406B5">
        <w:rPr>
          <w:rFonts w:ascii="Times New Roman" w:hAnsi="Times New Roman"/>
        </w:rPr>
        <w:t xml:space="preserve"> which required the </w:t>
      </w:r>
      <w:r w:rsidR="001B7839" w:rsidRPr="007406B5">
        <w:rPr>
          <w:rFonts w:ascii="Times New Roman" w:hAnsi="Times New Roman"/>
        </w:rPr>
        <w:t>Commission</w:t>
      </w:r>
      <w:r w:rsidR="000D1E9F" w:rsidRPr="007406B5">
        <w:rPr>
          <w:rFonts w:ascii="Times New Roman" w:hAnsi="Times New Roman"/>
        </w:rPr>
        <w:t xml:space="preserve"> to consider "whether development consent should be issued subject to conditions aimed at ensuring that greenhouse gas emissions (including downstream emissions) of the development are minimised to the greatest extent practicable"</w:t>
      </w:r>
      <w:r w:rsidR="00FC7D74" w:rsidRPr="007406B5">
        <w:rPr>
          <w:rFonts w:ascii="Times New Roman" w:hAnsi="Times New Roman"/>
        </w:rPr>
        <w:t>.</w:t>
      </w:r>
      <w:r w:rsidR="006C19FC" w:rsidRPr="007406B5">
        <w:rPr>
          <w:rFonts w:ascii="Times New Roman" w:hAnsi="Times New Roman"/>
        </w:rPr>
        <w:t xml:space="preserve"> </w:t>
      </w:r>
      <w:r w:rsidR="00FC7D74" w:rsidRPr="007406B5">
        <w:rPr>
          <w:rFonts w:ascii="Times New Roman" w:hAnsi="Times New Roman"/>
        </w:rPr>
        <w:t xml:space="preserve">DAMSHEG </w:t>
      </w:r>
      <w:r w:rsidR="005019B2" w:rsidRPr="007406B5">
        <w:rPr>
          <w:rFonts w:ascii="Times New Roman" w:hAnsi="Times New Roman"/>
        </w:rPr>
        <w:t>sought leave during the hearing to file an amen</w:t>
      </w:r>
      <w:r w:rsidR="002950E7" w:rsidRPr="007406B5">
        <w:rPr>
          <w:rFonts w:ascii="Times New Roman" w:hAnsi="Times New Roman"/>
        </w:rPr>
        <w:t>d</w:t>
      </w:r>
      <w:r w:rsidR="005019B2" w:rsidRPr="007406B5">
        <w:rPr>
          <w:rFonts w:ascii="Times New Roman" w:hAnsi="Times New Roman"/>
        </w:rPr>
        <w:t>ed notice of contention</w:t>
      </w:r>
      <w:r w:rsidR="000710E3" w:rsidRPr="007406B5">
        <w:rPr>
          <w:rFonts w:ascii="Times New Roman" w:hAnsi="Times New Roman"/>
        </w:rPr>
        <w:t>,</w:t>
      </w:r>
      <w:r w:rsidR="005019B2" w:rsidRPr="007406B5">
        <w:rPr>
          <w:rFonts w:ascii="Times New Roman" w:hAnsi="Times New Roman"/>
        </w:rPr>
        <w:t xml:space="preserve"> which MACH opposed in part. The </w:t>
      </w:r>
      <w:r w:rsidR="00FE09BD" w:rsidRPr="007406B5">
        <w:rPr>
          <w:rFonts w:ascii="Times New Roman" w:hAnsi="Times New Roman"/>
        </w:rPr>
        <w:t>additional ground</w:t>
      </w:r>
      <w:r w:rsidR="0034334C" w:rsidRPr="007406B5">
        <w:rPr>
          <w:rFonts w:ascii="Times New Roman" w:hAnsi="Times New Roman"/>
        </w:rPr>
        <w:t xml:space="preserve"> in the </w:t>
      </w:r>
      <w:r w:rsidR="00FE09BD" w:rsidRPr="007406B5">
        <w:rPr>
          <w:rFonts w:ascii="Times New Roman" w:hAnsi="Times New Roman"/>
        </w:rPr>
        <w:t xml:space="preserve">amended </w:t>
      </w:r>
      <w:r w:rsidR="005019B2" w:rsidRPr="007406B5">
        <w:rPr>
          <w:rFonts w:ascii="Times New Roman" w:hAnsi="Times New Roman"/>
        </w:rPr>
        <w:t>notice of contention contended that</w:t>
      </w:r>
      <w:r w:rsidR="003B0F0A" w:rsidRPr="007406B5">
        <w:rPr>
          <w:rFonts w:ascii="Times New Roman" w:hAnsi="Times New Roman"/>
        </w:rPr>
        <w:t>, if</w:t>
      </w:r>
      <w:r w:rsidR="005019B2" w:rsidRPr="007406B5">
        <w:rPr>
          <w:rFonts w:ascii="Times New Roman" w:hAnsi="Times New Roman"/>
        </w:rPr>
        <w:t xml:space="preserve"> the Court of Appeal</w:t>
      </w:r>
      <w:r w:rsidR="003B0F0A" w:rsidRPr="007406B5">
        <w:rPr>
          <w:rFonts w:ascii="Times New Roman" w:hAnsi="Times New Roman"/>
        </w:rPr>
        <w:t xml:space="preserve"> erred in its construction of s 4.15(1)(b) of the EPA Act, the Court of Appeal</w:t>
      </w:r>
      <w:r w:rsidR="005019B2" w:rsidRPr="007406B5">
        <w:rPr>
          <w:rFonts w:ascii="Times New Roman" w:hAnsi="Times New Roman"/>
        </w:rPr>
        <w:t xml:space="preserve"> ought to have held that the development </w:t>
      </w:r>
      <w:r w:rsidR="0075665A" w:rsidRPr="007406B5">
        <w:rPr>
          <w:rFonts w:ascii="Times New Roman" w:hAnsi="Times New Roman"/>
        </w:rPr>
        <w:t>consent</w:t>
      </w:r>
      <w:r w:rsidR="005019B2" w:rsidRPr="007406B5">
        <w:rPr>
          <w:rFonts w:ascii="Times New Roman" w:hAnsi="Times New Roman"/>
        </w:rPr>
        <w:t xml:space="preserve"> was invalid on </w:t>
      </w:r>
      <w:r w:rsidR="005F58F5" w:rsidRPr="007406B5">
        <w:rPr>
          <w:rFonts w:ascii="Times New Roman" w:hAnsi="Times New Roman"/>
        </w:rPr>
        <w:t xml:space="preserve">a further </w:t>
      </w:r>
      <w:r w:rsidR="00042826" w:rsidRPr="007406B5">
        <w:rPr>
          <w:rFonts w:ascii="Times New Roman" w:hAnsi="Times New Roman"/>
        </w:rPr>
        <w:t>ground that</w:t>
      </w:r>
      <w:r w:rsidR="00267968" w:rsidRPr="007406B5">
        <w:rPr>
          <w:rFonts w:ascii="Times New Roman" w:hAnsi="Times New Roman"/>
        </w:rPr>
        <w:t xml:space="preserve"> the </w:t>
      </w:r>
      <w:r w:rsidR="001B7839" w:rsidRPr="007406B5">
        <w:rPr>
          <w:rFonts w:ascii="Times New Roman" w:hAnsi="Times New Roman"/>
        </w:rPr>
        <w:t>Commission</w:t>
      </w:r>
      <w:r w:rsidR="00267968" w:rsidRPr="007406B5">
        <w:rPr>
          <w:rFonts w:ascii="Times New Roman" w:hAnsi="Times New Roman"/>
        </w:rPr>
        <w:t xml:space="preserve"> </w:t>
      </w:r>
      <w:r w:rsidR="0093544A" w:rsidRPr="007406B5">
        <w:rPr>
          <w:rFonts w:ascii="Times New Roman" w:hAnsi="Times New Roman"/>
        </w:rPr>
        <w:t xml:space="preserve">"was required to consider the likely impacts of climate change in NSW and the Hunter Valley because of the evidence before the </w:t>
      </w:r>
      <w:r w:rsidR="001B7839" w:rsidRPr="007406B5">
        <w:rPr>
          <w:rFonts w:ascii="Times New Roman" w:hAnsi="Times New Roman"/>
        </w:rPr>
        <w:t>Commission</w:t>
      </w:r>
      <w:r w:rsidR="005F4B04" w:rsidRPr="007406B5">
        <w:rPr>
          <w:rFonts w:ascii="Times New Roman" w:hAnsi="Times New Roman"/>
        </w:rPr>
        <w:t xml:space="preserve"> </w:t>
      </w:r>
      <w:r w:rsidR="0093544A" w:rsidRPr="007406B5">
        <w:rPr>
          <w:rFonts w:ascii="Times New Roman" w:hAnsi="Times New Roman"/>
        </w:rPr>
        <w:t xml:space="preserve">including the material in the" EIS. </w:t>
      </w:r>
    </w:p>
    <w:p w14:paraId="1B4445A5" w14:textId="3BE67142" w:rsidR="002E7EEF" w:rsidRPr="007406B5" w:rsidRDefault="008F60D9" w:rsidP="007406B5">
      <w:pPr>
        <w:pStyle w:val="FixListStyle"/>
        <w:spacing w:after="260" w:line="280" w:lineRule="exact"/>
        <w:ind w:right="0"/>
        <w:jc w:val="both"/>
        <w:rPr>
          <w:rFonts w:ascii="Times New Roman" w:hAnsi="Times New Roman"/>
        </w:rPr>
      </w:pPr>
      <w:r w:rsidRPr="007406B5">
        <w:rPr>
          <w:rFonts w:ascii="Times New Roman" w:hAnsi="Times New Roman"/>
        </w:rPr>
        <w:tab/>
      </w:r>
      <w:r w:rsidR="00343A4E" w:rsidRPr="007406B5">
        <w:rPr>
          <w:rFonts w:ascii="Times New Roman" w:hAnsi="Times New Roman"/>
        </w:rPr>
        <w:t xml:space="preserve">Two further bodies, </w:t>
      </w:r>
      <w:r w:rsidR="00500463" w:rsidRPr="007406B5">
        <w:rPr>
          <w:rFonts w:ascii="Times New Roman" w:hAnsi="Times New Roman"/>
        </w:rPr>
        <w:t xml:space="preserve">Melbourne </w:t>
      </w:r>
      <w:r w:rsidR="000D6260" w:rsidRPr="007406B5">
        <w:rPr>
          <w:rFonts w:ascii="Times New Roman" w:hAnsi="Times New Roman"/>
        </w:rPr>
        <w:t>Climate</w:t>
      </w:r>
      <w:r w:rsidR="00500463" w:rsidRPr="007406B5">
        <w:rPr>
          <w:rFonts w:ascii="Times New Roman" w:hAnsi="Times New Roman"/>
        </w:rPr>
        <w:t xml:space="preserve"> Futures</w:t>
      </w:r>
      <w:r w:rsidR="000D6260" w:rsidRPr="007406B5">
        <w:rPr>
          <w:rFonts w:ascii="Times New Roman" w:hAnsi="Times New Roman"/>
        </w:rPr>
        <w:t xml:space="preserve"> and the Union of Concerned Scientists, were granted leave to be heard in the appeal.</w:t>
      </w:r>
      <w:r w:rsidR="006249E7" w:rsidRPr="007406B5">
        <w:rPr>
          <w:rFonts w:ascii="Times New Roman" w:hAnsi="Times New Roman"/>
        </w:rPr>
        <w:t xml:space="preserve"> In addition, leave was granted to the </w:t>
      </w:r>
      <w:r w:rsidR="00E438C1" w:rsidRPr="007406B5">
        <w:rPr>
          <w:rFonts w:ascii="Times New Roman" w:hAnsi="Times New Roman"/>
        </w:rPr>
        <w:t>Centre for Climate Engagement at Hughes Hall, University of Cambridge, along with the Sabin Center for Climate Change Law at Columbia Law School</w:t>
      </w:r>
      <w:r w:rsidR="00727FFC" w:rsidRPr="007406B5">
        <w:rPr>
          <w:rFonts w:ascii="Times New Roman" w:hAnsi="Times New Roman"/>
        </w:rPr>
        <w:t>,</w:t>
      </w:r>
      <w:r w:rsidR="00E438C1" w:rsidRPr="007406B5">
        <w:rPr>
          <w:rFonts w:ascii="Times New Roman" w:hAnsi="Times New Roman"/>
        </w:rPr>
        <w:t xml:space="preserve"> to appear as amici curiae by way of written submissions.</w:t>
      </w:r>
      <w:r w:rsidR="000D6260" w:rsidRPr="007406B5">
        <w:rPr>
          <w:rFonts w:ascii="Times New Roman" w:hAnsi="Times New Roman"/>
        </w:rPr>
        <w:t xml:space="preserve"> </w:t>
      </w:r>
      <w:r w:rsidR="00903B2E" w:rsidRPr="007406B5">
        <w:rPr>
          <w:rFonts w:ascii="Times New Roman" w:hAnsi="Times New Roman"/>
        </w:rPr>
        <w:lastRenderedPageBreak/>
        <w:t>I</w:t>
      </w:r>
      <w:r w:rsidR="000D6260" w:rsidRPr="007406B5">
        <w:rPr>
          <w:rFonts w:ascii="Times New Roman" w:hAnsi="Times New Roman"/>
        </w:rPr>
        <w:t>t is unnecessary for the submissions on behalf of these bodies to be discussed.</w:t>
      </w:r>
      <w:r w:rsidR="00903B2E" w:rsidRPr="007406B5">
        <w:rPr>
          <w:rFonts w:ascii="Times New Roman" w:hAnsi="Times New Roman"/>
        </w:rPr>
        <w:t xml:space="preserve"> </w:t>
      </w:r>
      <w:r w:rsidR="00B37B4A" w:rsidRPr="007406B5">
        <w:rPr>
          <w:rFonts w:ascii="Times New Roman" w:hAnsi="Times New Roman"/>
        </w:rPr>
        <w:t xml:space="preserve">As will be </w:t>
      </w:r>
      <w:r w:rsidR="001D072F" w:rsidRPr="007406B5">
        <w:rPr>
          <w:rFonts w:ascii="Times New Roman" w:hAnsi="Times New Roman"/>
        </w:rPr>
        <w:t xml:space="preserve">apparent, the appeal concerns the meaning and </w:t>
      </w:r>
      <w:r w:rsidR="008D6D33" w:rsidRPr="007406B5">
        <w:rPr>
          <w:rFonts w:ascii="Times New Roman" w:hAnsi="Times New Roman"/>
        </w:rPr>
        <w:t xml:space="preserve">application of provisions of the EPA Act. It does not raise for consideration any issue concerning </w:t>
      </w:r>
      <w:r w:rsidR="001A5EB6" w:rsidRPr="007406B5">
        <w:rPr>
          <w:rFonts w:ascii="Times New Roman" w:hAnsi="Times New Roman"/>
        </w:rPr>
        <w:t xml:space="preserve">climate change outside of the meaning and application of the EPA Act. </w:t>
      </w:r>
      <w:r w:rsidR="00D533BF" w:rsidRPr="007406B5">
        <w:rPr>
          <w:rFonts w:ascii="Times New Roman" w:hAnsi="Times New Roman"/>
        </w:rPr>
        <w:t>Nor does it concern any aspect of the merits of the development</w:t>
      </w:r>
      <w:r w:rsidR="00882A03" w:rsidRPr="007406B5">
        <w:rPr>
          <w:rFonts w:ascii="Times New Roman" w:hAnsi="Times New Roman"/>
        </w:rPr>
        <w:t>,</w:t>
      </w:r>
      <w:r w:rsidR="00D533BF" w:rsidRPr="007406B5">
        <w:rPr>
          <w:rFonts w:ascii="Times New Roman" w:hAnsi="Times New Roman"/>
        </w:rPr>
        <w:t xml:space="preserve"> which </w:t>
      </w:r>
      <w:r w:rsidR="00882A03" w:rsidRPr="007406B5">
        <w:rPr>
          <w:rFonts w:ascii="Times New Roman" w:hAnsi="Times New Roman"/>
        </w:rPr>
        <w:t xml:space="preserve">are </w:t>
      </w:r>
      <w:r w:rsidR="00035521" w:rsidRPr="007406B5">
        <w:rPr>
          <w:rFonts w:ascii="Times New Roman" w:hAnsi="Times New Roman"/>
        </w:rPr>
        <w:t xml:space="preserve">extraneous to the questions in the appeal. </w:t>
      </w:r>
    </w:p>
    <w:p w14:paraId="04914745" w14:textId="49479580" w:rsidR="002C3E84" w:rsidRPr="007406B5" w:rsidRDefault="002E7EEF" w:rsidP="007406B5">
      <w:pPr>
        <w:pStyle w:val="FixListStyle"/>
        <w:spacing w:after="260" w:line="280" w:lineRule="exact"/>
        <w:ind w:right="0"/>
        <w:jc w:val="both"/>
        <w:rPr>
          <w:rFonts w:ascii="Times New Roman" w:hAnsi="Times New Roman"/>
        </w:rPr>
      </w:pPr>
      <w:r w:rsidRPr="007406B5">
        <w:rPr>
          <w:rFonts w:ascii="Times New Roman" w:hAnsi="Times New Roman"/>
        </w:rPr>
        <w:tab/>
      </w:r>
      <w:r w:rsidR="00035521" w:rsidRPr="007406B5">
        <w:rPr>
          <w:rFonts w:ascii="Times New Roman" w:hAnsi="Times New Roman"/>
        </w:rPr>
        <w:t xml:space="preserve">As will be </w:t>
      </w:r>
      <w:r w:rsidR="00B37B4A" w:rsidRPr="007406B5">
        <w:rPr>
          <w:rFonts w:ascii="Times New Roman" w:hAnsi="Times New Roman"/>
        </w:rPr>
        <w:t xml:space="preserve">explained, </w:t>
      </w:r>
      <w:r w:rsidR="00441082" w:rsidRPr="007406B5">
        <w:rPr>
          <w:rFonts w:ascii="Times New Roman" w:hAnsi="Times New Roman"/>
        </w:rPr>
        <w:t>MACH</w:t>
      </w:r>
      <w:r w:rsidR="00B37B4A" w:rsidRPr="007406B5">
        <w:rPr>
          <w:rFonts w:ascii="Times New Roman" w:hAnsi="Times New Roman"/>
        </w:rPr>
        <w:t xml:space="preserve">'s </w:t>
      </w:r>
      <w:r w:rsidR="003E1551" w:rsidRPr="007406B5">
        <w:rPr>
          <w:rFonts w:ascii="Times New Roman" w:hAnsi="Times New Roman"/>
        </w:rPr>
        <w:t xml:space="preserve">central </w:t>
      </w:r>
      <w:r w:rsidR="00E11A31" w:rsidRPr="007406B5">
        <w:rPr>
          <w:rFonts w:ascii="Times New Roman" w:hAnsi="Times New Roman"/>
        </w:rPr>
        <w:t xml:space="preserve">ground of </w:t>
      </w:r>
      <w:r w:rsidR="00B37B4A" w:rsidRPr="007406B5">
        <w:rPr>
          <w:rFonts w:ascii="Times New Roman" w:hAnsi="Times New Roman"/>
        </w:rPr>
        <w:t>appeal, that the Court of Appeal misconstrued and therefore misapplied s 4.15(1)(b) of the EPA Act</w:t>
      </w:r>
      <w:r w:rsidR="002F51BB" w:rsidRPr="007406B5">
        <w:rPr>
          <w:rFonts w:ascii="Times New Roman" w:hAnsi="Times New Roman"/>
        </w:rPr>
        <w:t>, must be allowed</w:t>
      </w:r>
      <w:r w:rsidR="00263CC0" w:rsidRPr="007406B5">
        <w:rPr>
          <w:rFonts w:ascii="Times New Roman" w:hAnsi="Times New Roman"/>
        </w:rPr>
        <w:t>.</w:t>
      </w:r>
      <w:r w:rsidR="00927B2C" w:rsidRPr="007406B5">
        <w:rPr>
          <w:rFonts w:ascii="Times New Roman" w:hAnsi="Times New Roman"/>
        </w:rPr>
        <w:t xml:space="preserve"> </w:t>
      </w:r>
      <w:r w:rsidR="008457F9" w:rsidRPr="007406B5">
        <w:rPr>
          <w:rFonts w:ascii="Times New Roman" w:hAnsi="Times New Roman"/>
        </w:rPr>
        <w:t xml:space="preserve">MACH's </w:t>
      </w:r>
      <w:r w:rsidR="002E3AC3" w:rsidRPr="007406B5">
        <w:rPr>
          <w:rFonts w:ascii="Times New Roman" w:hAnsi="Times New Roman"/>
        </w:rPr>
        <w:t xml:space="preserve">remaining two grounds of appeal do not arise for consideration. </w:t>
      </w:r>
      <w:r w:rsidR="00E90976" w:rsidRPr="007406B5">
        <w:rPr>
          <w:rFonts w:ascii="Times New Roman" w:hAnsi="Times New Roman"/>
        </w:rPr>
        <w:t xml:space="preserve">While leave should be </w:t>
      </w:r>
      <w:r w:rsidR="00DE51FA" w:rsidRPr="007406B5">
        <w:rPr>
          <w:rFonts w:ascii="Times New Roman" w:hAnsi="Times New Roman"/>
        </w:rPr>
        <w:t xml:space="preserve">granted </w:t>
      </w:r>
      <w:r w:rsidR="00E90976" w:rsidRPr="007406B5">
        <w:rPr>
          <w:rFonts w:ascii="Times New Roman" w:hAnsi="Times New Roman"/>
        </w:rPr>
        <w:t xml:space="preserve">for DAMSHEG to </w:t>
      </w:r>
      <w:r w:rsidR="00DE51FA" w:rsidRPr="007406B5">
        <w:rPr>
          <w:rFonts w:ascii="Times New Roman" w:hAnsi="Times New Roman"/>
        </w:rPr>
        <w:t>rely upon</w:t>
      </w:r>
      <w:r w:rsidR="00E90976" w:rsidRPr="007406B5">
        <w:rPr>
          <w:rFonts w:ascii="Times New Roman" w:hAnsi="Times New Roman"/>
        </w:rPr>
        <w:t xml:space="preserve"> its amended notice of contention, </w:t>
      </w:r>
      <w:r w:rsidR="00DF1D90" w:rsidRPr="007406B5">
        <w:rPr>
          <w:rFonts w:ascii="Times New Roman" w:hAnsi="Times New Roman"/>
        </w:rPr>
        <w:t>the</w:t>
      </w:r>
      <w:r w:rsidR="00E90976" w:rsidRPr="007406B5">
        <w:rPr>
          <w:rFonts w:ascii="Times New Roman" w:hAnsi="Times New Roman"/>
        </w:rPr>
        <w:t xml:space="preserve"> </w:t>
      </w:r>
      <w:r w:rsidR="00927B2C" w:rsidRPr="007406B5">
        <w:rPr>
          <w:rFonts w:ascii="Times New Roman" w:hAnsi="Times New Roman"/>
        </w:rPr>
        <w:t>amended</w:t>
      </w:r>
      <w:r w:rsidR="00A85901" w:rsidRPr="007406B5">
        <w:rPr>
          <w:rFonts w:ascii="Times New Roman" w:hAnsi="Times New Roman"/>
        </w:rPr>
        <w:t xml:space="preserve"> notice of contention must be rejected</w:t>
      </w:r>
      <w:r w:rsidR="00AD5AF7" w:rsidRPr="007406B5">
        <w:rPr>
          <w:rFonts w:ascii="Times New Roman" w:hAnsi="Times New Roman"/>
        </w:rPr>
        <w:t xml:space="preserve"> on both grounds</w:t>
      </w:r>
      <w:r w:rsidR="006452AC" w:rsidRPr="007406B5">
        <w:rPr>
          <w:rFonts w:ascii="Times New Roman" w:hAnsi="Times New Roman"/>
        </w:rPr>
        <w:t>.</w:t>
      </w:r>
      <w:r w:rsidR="002F51BB" w:rsidRPr="007406B5">
        <w:rPr>
          <w:rFonts w:ascii="Times New Roman" w:hAnsi="Times New Roman"/>
        </w:rPr>
        <w:t xml:space="preserve"> </w:t>
      </w:r>
    </w:p>
    <w:p w14:paraId="750947D8" w14:textId="18D01794" w:rsidR="008A7E94" w:rsidRPr="007406B5" w:rsidRDefault="008A7E94" w:rsidP="007406B5">
      <w:pPr>
        <w:pStyle w:val="HeadingL1"/>
        <w:spacing w:after="260" w:line="280" w:lineRule="exact"/>
        <w:ind w:right="0"/>
        <w:jc w:val="both"/>
        <w:rPr>
          <w:rFonts w:ascii="Times New Roman" w:hAnsi="Times New Roman"/>
        </w:rPr>
      </w:pPr>
      <w:r w:rsidRPr="007406B5">
        <w:rPr>
          <w:rFonts w:ascii="Times New Roman" w:hAnsi="Times New Roman"/>
        </w:rPr>
        <w:t xml:space="preserve">MACH's contention based on </w:t>
      </w:r>
      <w:r w:rsidRPr="007406B5">
        <w:rPr>
          <w:rFonts w:ascii="Times New Roman" w:hAnsi="Times New Roman"/>
          <w:i/>
          <w:iCs/>
        </w:rPr>
        <w:t>Ross v Lane</w:t>
      </w:r>
    </w:p>
    <w:p w14:paraId="3B24C8C2" w14:textId="33E81A7D" w:rsidR="00F2663E" w:rsidRPr="007406B5" w:rsidRDefault="008A7E94" w:rsidP="007406B5">
      <w:pPr>
        <w:pStyle w:val="FixListStyle"/>
        <w:spacing w:after="260" w:line="280" w:lineRule="exact"/>
        <w:ind w:right="0"/>
        <w:jc w:val="both"/>
        <w:rPr>
          <w:rFonts w:ascii="Times New Roman" w:hAnsi="Times New Roman"/>
        </w:rPr>
      </w:pPr>
      <w:r w:rsidRPr="007406B5">
        <w:rPr>
          <w:rFonts w:ascii="Times New Roman" w:hAnsi="Times New Roman"/>
        </w:rPr>
        <w:tab/>
      </w:r>
      <w:r w:rsidR="00630E02" w:rsidRPr="007406B5">
        <w:rPr>
          <w:rFonts w:ascii="Times New Roman" w:hAnsi="Times New Roman"/>
        </w:rPr>
        <w:t>I</w:t>
      </w:r>
      <w:r w:rsidR="00905CC8" w:rsidRPr="007406B5">
        <w:rPr>
          <w:rFonts w:ascii="Times New Roman" w:hAnsi="Times New Roman"/>
        </w:rPr>
        <w:t xml:space="preserve">t is </w:t>
      </w:r>
      <w:r w:rsidR="009D5ECB" w:rsidRPr="007406B5">
        <w:rPr>
          <w:rFonts w:ascii="Times New Roman" w:hAnsi="Times New Roman"/>
        </w:rPr>
        <w:t>appropriate</w:t>
      </w:r>
      <w:r w:rsidR="002E3AC3" w:rsidRPr="007406B5">
        <w:rPr>
          <w:rFonts w:ascii="Times New Roman" w:hAnsi="Times New Roman"/>
        </w:rPr>
        <w:t xml:space="preserve"> </w:t>
      </w:r>
      <w:r w:rsidR="00905CC8" w:rsidRPr="007406B5">
        <w:rPr>
          <w:rFonts w:ascii="Times New Roman" w:hAnsi="Times New Roman"/>
        </w:rPr>
        <w:t xml:space="preserve">to deal </w:t>
      </w:r>
      <w:r w:rsidR="009D5ECB" w:rsidRPr="007406B5">
        <w:rPr>
          <w:rFonts w:ascii="Times New Roman" w:hAnsi="Times New Roman"/>
        </w:rPr>
        <w:t xml:space="preserve">at the threshold </w:t>
      </w:r>
      <w:r w:rsidR="00905CC8" w:rsidRPr="007406B5">
        <w:rPr>
          <w:rFonts w:ascii="Times New Roman" w:hAnsi="Times New Roman"/>
        </w:rPr>
        <w:t xml:space="preserve">with </w:t>
      </w:r>
      <w:r w:rsidR="00441082" w:rsidRPr="007406B5">
        <w:rPr>
          <w:rFonts w:ascii="Times New Roman" w:hAnsi="Times New Roman"/>
        </w:rPr>
        <w:t>MACH</w:t>
      </w:r>
      <w:r w:rsidR="00905CC8" w:rsidRPr="007406B5">
        <w:rPr>
          <w:rFonts w:ascii="Times New Roman" w:hAnsi="Times New Roman"/>
        </w:rPr>
        <w:t xml:space="preserve">'s contention, </w:t>
      </w:r>
      <w:r w:rsidR="00004773" w:rsidRPr="007406B5">
        <w:rPr>
          <w:rFonts w:ascii="Times New Roman" w:hAnsi="Times New Roman"/>
        </w:rPr>
        <w:t xml:space="preserve">based on the reasoning in </w:t>
      </w:r>
      <w:r w:rsidR="00004773" w:rsidRPr="007406B5">
        <w:rPr>
          <w:rFonts w:ascii="Times New Roman" w:hAnsi="Times New Roman"/>
          <w:i/>
          <w:iCs/>
        </w:rPr>
        <w:t>Ross v Lane</w:t>
      </w:r>
      <w:r w:rsidR="00141249" w:rsidRPr="007406B5">
        <w:rPr>
          <w:rFonts w:ascii="Times New Roman" w:hAnsi="Times New Roman"/>
        </w:rPr>
        <w:t>,</w:t>
      </w:r>
      <w:r w:rsidR="00004773" w:rsidRPr="007406B5">
        <w:rPr>
          <w:rStyle w:val="FootnoteReference"/>
          <w:rFonts w:ascii="Times New Roman" w:hAnsi="Times New Roman"/>
          <w:sz w:val="24"/>
        </w:rPr>
        <w:footnoteReference w:id="5"/>
      </w:r>
      <w:r w:rsidR="00141249" w:rsidRPr="007406B5">
        <w:rPr>
          <w:rFonts w:ascii="Times New Roman" w:hAnsi="Times New Roman"/>
        </w:rPr>
        <w:t xml:space="preserve"> </w:t>
      </w:r>
      <w:r w:rsidR="00630E02" w:rsidRPr="007406B5">
        <w:rPr>
          <w:rFonts w:ascii="Times New Roman" w:hAnsi="Times New Roman"/>
        </w:rPr>
        <w:t xml:space="preserve">that </w:t>
      </w:r>
      <w:r w:rsidR="002B115B" w:rsidRPr="007406B5">
        <w:rPr>
          <w:rFonts w:ascii="Times New Roman" w:hAnsi="Times New Roman"/>
        </w:rPr>
        <w:t xml:space="preserve">even if the </w:t>
      </w:r>
      <w:r w:rsidR="001B7839" w:rsidRPr="007406B5">
        <w:rPr>
          <w:rFonts w:ascii="Times New Roman" w:hAnsi="Times New Roman"/>
        </w:rPr>
        <w:t>Commission</w:t>
      </w:r>
      <w:r w:rsidR="002B115B" w:rsidRPr="007406B5">
        <w:rPr>
          <w:rFonts w:ascii="Times New Roman" w:hAnsi="Times New Roman"/>
        </w:rPr>
        <w:t xml:space="preserve"> had not considered </w:t>
      </w:r>
      <w:r w:rsidR="00F9119C" w:rsidRPr="007406B5">
        <w:rPr>
          <w:rFonts w:ascii="Times New Roman" w:hAnsi="Times New Roman"/>
        </w:rPr>
        <w:t xml:space="preserve">the emission of greenhouse gases </w:t>
      </w:r>
      <w:r w:rsidR="00FB5E48" w:rsidRPr="007406B5">
        <w:rPr>
          <w:rFonts w:ascii="Times New Roman" w:hAnsi="Times New Roman"/>
        </w:rPr>
        <w:t>from the development</w:t>
      </w:r>
      <w:r w:rsidR="00E674AE" w:rsidRPr="007406B5">
        <w:rPr>
          <w:rFonts w:ascii="Times New Roman" w:hAnsi="Times New Roman"/>
        </w:rPr>
        <w:t>,</w:t>
      </w:r>
      <w:r w:rsidR="00FB5E48" w:rsidRPr="007406B5">
        <w:rPr>
          <w:rFonts w:ascii="Times New Roman" w:hAnsi="Times New Roman"/>
        </w:rPr>
        <w:t xml:space="preserve"> including scope</w:t>
      </w:r>
      <w:r w:rsidR="00E674AE" w:rsidRPr="007406B5">
        <w:rPr>
          <w:rFonts w:ascii="Times New Roman" w:hAnsi="Times New Roman"/>
        </w:rPr>
        <w:t> </w:t>
      </w:r>
      <w:r w:rsidR="00FB5E48" w:rsidRPr="007406B5">
        <w:rPr>
          <w:rFonts w:ascii="Times New Roman" w:hAnsi="Times New Roman"/>
        </w:rPr>
        <w:t>3 emissions</w:t>
      </w:r>
      <w:r w:rsidR="00E674AE" w:rsidRPr="007406B5">
        <w:rPr>
          <w:rFonts w:ascii="Times New Roman" w:hAnsi="Times New Roman"/>
        </w:rPr>
        <w:t>,</w:t>
      </w:r>
      <w:r w:rsidR="00FB5E48" w:rsidRPr="007406B5">
        <w:rPr>
          <w:rFonts w:ascii="Times New Roman" w:hAnsi="Times New Roman"/>
        </w:rPr>
        <w:t xml:space="preserve"> </w:t>
      </w:r>
      <w:r w:rsidR="00566522" w:rsidRPr="007406B5">
        <w:rPr>
          <w:rFonts w:ascii="Times New Roman" w:hAnsi="Times New Roman"/>
        </w:rPr>
        <w:t xml:space="preserve">as </w:t>
      </w:r>
      <w:r w:rsidR="002B115B" w:rsidRPr="007406B5">
        <w:rPr>
          <w:rFonts w:ascii="Times New Roman" w:hAnsi="Times New Roman"/>
        </w:rPr>
        <w:t>a likely impact of the development</w:t>
      </w:r>
      <w:r w:rsidR="00566522" w:rsidRPr="007406B5">
        <w:rPr>
          <w:rFonts w:ascii="Times New Roman" w:hAnsi="Times New Roman"/>
        </w:rPr>
        <w:t xml:space="preserve"> by contributing to global climate change</w:t>
      </w:r>
      <w:r w:rsidR="001C0921" w:rsidRPr="007406B5">
        <w:rPr>
          <w:rFonts w:ascii="Times New Roman" w:hAnsi="Times New Roman"/>
        </w:rPr>
        <w:t xml:space="preserve">, that would not constitute a breach of the EPA Act </w:t>
      </w:r>
      <w:r w:rsidR="00B172E6" w:rsidRPr="007406B5">
        <w:rPr>
          <w:rFonts w:ascii="Times New Roman" w:hAnsi="Times New Roman"/>
        </w:rPr>
        <w:t xml:space="preserve">potentially </w:t>
      </w:r>
      <w:r w:rsidR="001C0921" w:rsidRPr="007406B5">
        <w:rPr>
          <w:rFonts w:ascii="Times New Roman" w:hAnsi="Times New Roman"/>
        </w:rPr>
        <w:t>invalidating the development consent.</w:t>
      </w:r>
      <w:r w:rsidR="004E2458" w:rsidRPr="007406B5">
        <w:rPr>
          <w:rFonts w:ascii="Times New Roman" w:hAnsi="Times New Roman"/>
        </w:rPr>
        <w:t xml:space="preserve"> </w:t>
      </w:r>
      <w:r w:rsidR="00207A57" w:rsidRPr="007406B5">
        <w:rPr>
          <w:rFonts w:ascii="Times New Roman" w:hAnsi="Times New Roman"/>
        </w:rPr>
        <w:t>If</w:t>
      </w:r>
      <w:r w:rsidR="009D5ECB" w:rsidRPr="007406B5">
        <w:rPr>
          <w:rFonts w:ascii="Times New Roman" w:hAnsi="Times New Roman"/>
        </w:rPr>
        <w:t xml:space="preserve"> that </w:t>
      </w:r>
      <w:r w:rsidR="004E2458" w:rsidRPr="007406B5">
        <w:rPr>
          <w:rFonts w:ascii="Times New Roman" w:hAnsi="Times New Roman"/>
        </w:rPr>
        <w:t xml:space="preserve">contention </w:t>
      </w:r>
      <w:r w:rsidR="00207A57" w:rsidRPr="007406B5">
        <w:rPr>
          <w:rFonts w:ascii="Times New Roman" w:hAnsi="Times New Roman"/>
        </w:rPr>
        <w:t xml:space="preserve">were </w:t>
      </w:r>
      <w:r w:rsidR="004E2458" w:rsidRPr="007406B5">
        <w:rPr>
          <w:rFonts w:ascii="Times New Roman" w:hAnsi="Times New Roman"/>
        </w:rPr>
        <w:t xml:space="preserve">correct, it would </w:t>
      </w:r>
      <w:r w:rsidR="00E5224B" w:rsidRPr="007406B5">
        <w:rPr>
          <w:rFonts w:ascii="Times New Roman" w:hAnsi="Times New Roman"/>
        </w:rPr>
        <w:t xml:space="preserve">render this appeal moot. </w:t>
      </w:r>
    </w:p>
    <w:p w14:paraId="40A39B3E" w14:textId="294988F9" w:rsidR="00F54F28" w:rsidRPr="007406B5" w:rsidRDefault="00F54F28" w:rsidP="007406B5">
      <w:pPr>
        <w:pStyle w:val="HeadingL2"/>
        <w:spacing w:after="260" w:line="280" w:lineRule="exact"/>
        <w:ind w:right="0"/>
        <w:jc w:val="both"/>
        <w:rPr>
          <w:rFonts w:ascii="Times New Roman" w:hAnsi="Times New Roman"/>
        </w:rPr>
      </w:pPr>
      <w:r w:rsidRPr="007406B5">
        <w:rPr>
          <w:rFonts w:ascii="Times New Roman" w:hAnsi="Times New Roman"/>
        </w:rPr>
        <w:t>Ross v Lane</w:t>
      </w:r>
    </w:p>
    <w:p w14:paraId="7B0867F4" w14:textId="76E2680E" w:rsidR="00B0344A" w:rsidRPr="007406B5" w:rsidRDefault="009769DF" w:rsidP="007406B5">
      <w:pPr>
        <w:pStyle w:val="FixListStyle"/>
        <w:spacing w:after="260" w:line="280" w:lineRule="exact"/>
        <w:ind w:right="0"/>
        <w:jc w:val="both"/>
        <w:rPr>
          <w:rFonts w:ascii="Times New Roman" w:hAnsi="Times New Roman"/>
        </w:rPr>
      </w:pPr>
      <w:r w:rsidRPr="007406B5">
        <w:rPr>
          <w:rFonts w:ascii="Times New Roman" w:hAnsi="Times New Roman"/>
        </w:rPr>
        <w:tab/>
      </w:r>
      <w:r w:rsidR="003264F4" w:rsidRPr="007406B5">
        <w:rPr>
          <w:rFonts w:ascii="Times New Roman" w:hAnsi="Times New Roman"/>
          <w:i/>
          <w:iCs/>
        </w:rPr>
        <w:t>Ross v Lane</w:t>
      </w:r>
      <w:r w:rsidR="003264F4" w:rsidRPr="007406B5">
        <w:rPr>
          <w:rFonts w:ascii="Times New Roman" w:hAnsi="Times New Roman"/>
        </w:rPr>
        <w:t xml:space="preserve"> </w:t>
      </w:r>
      <w:r w:rsidR="002F494D" w:rsidRPr="007406B5">
        <w:rPr>
          <w:rFonts w:ascii="Times New Roman" w:hAnsi="Times New Roman"/>
        </w:rPr>
        <w:t>concerned</w:t>
      </w:r>
      <w:r w:rsidR="003264F4" w:rsidRPr="007406B5">
        <w:rPr>
          <w:rFonts w:ascii="Times New Roman" w:hAnsi="Times New Roman"/>
        </w:rPr>
        <w:t xml:space="preserve"> </w:t>
      </w:r>
      <w:r w:rsidR="002F494D" w:rsidRPr="007406B5">
        <w:rPr>
          <w:rFonts w:ascii="Times New Roman" w:hAnsi="Times New Roman"/>
        </w:rPr>
        <w:t>s 4.15(1)(a)(i) of the EPA Act</w:t>
      </w:r>
      <w:r w:rsidR="00E77A3D" w:rsidRPr="007406B5">
        <w:rPr>
          <w:rFonts w:ascii="Times New Roman" w:hAnsi="Times New Roman"/>
        </w:rPr>
        <w:t>,</w:t>
      </w:r>
      <w:r w:rsidR="002F494D" w:rsidRPr="007406B5">
        <w:rPr>
          <w:rFonts w:ascii="Times New Roman" w:hAnsi="Times New Roman"/>
        </w:rPr>
        <w:t xml:space="preserve"> which </w:t>
      </w:r>
      <w:r w:rsidR="0068459C" w:rsidRPr="007406B5">
        <w:rPr>
          <w:rFonts w:ascii="Times New Roman" w:hAnsi="Times New Roman"/>
        </w:rPr>
        <w:t>(as noted)</w:t>
      </w:r>
      <w:r w:rsidR="002F494D" w:rsidRPr="007406B5">
        <w:rPr>
          <w:rFonts w:ascii="Times New Roman" w:hAnsi="Times New Roman"/>
        </w:rPr>
        <w:t xml:space="preserve"> </w:t>
      </w:r>
      <w:r w:rsidR="00753428" w:rsidRPr="007406B5">
        <w:rPr>
          <w:rFonts w:ascii="Times New Roman" w:hAnsi="Times New Roman"/>
        </w:rPr>
        <w:t>required a consent authority in determining a development application</w:t>
      </w:r>
      <w:r w:rsidR="00BD4AE0" w:rsidRPr="007406B5">
        <w:rPr>
          <w:rFonts w:ascii="Times New Roman" w:hAnsi="Times New Roman"/>
        </w:rPr>
        <w:t xml:space="preserve"> </w:t>
      </w:r>
      <w:r w:rsidR="00753428" w:rsidRPr="007406B5">
        <w:rPr>
          <w:rFonts w:ascii="Times New Roman" w:hAnsi="Times New Roman"/>
        </w:rPr>
        <w:t xml:space="preserve">to take into consideration as of relevance to the development the subject of the development application </w:t>
      </w:r>
      <w:r w:rsidR="00453373" w:rsidRPr="007406B5">
        <w:rPr>
          <w:rFonts w:ascii="Times New Roman" w:hAnsi="Times New Roman"/>
        </w:rPr>
        <w:t xml:space="preserve">the provisions of an environmental planning instrument. The environmental planning instrument in question was </w:t>
      </w:r>
      <w:r w:rsidR="00E5252A" w:rsidRPr="007406B5">
        <w:rPr>
          <w:rFonts w:ascii="Times New Roman" w:hAnsi="Times New Roman"/>
          <w:i/>
          <w:iCs/>
        </w:rPr>
        <w:t>State Environment</w:t>
      </w:r>
      <w:r w:rsidR="000C4BE4" w:rsidRPr="007406B5">
        <w:rPr>
          <w:rFonts w:ascii="Times New Roman" w:hAnsi="Times New Roman"/>
          <w:i/>
          <w:iCs/>
        </w:rPr>
        <w:t>al</w:t>
      </w:r>
      <w:r w:rsidR="00E5252A" w:rsidRPr="007406B5">
        <w:rPr>
          <w:rFonts w:ascii="Times New Roman" w:hAnsi="Times New Roman"/>
          <w:i/>
          <w:iCs/>
        </w:rPr>
        <w:t xml:space="preserve"> Planning Policy</w:t>
      </w:r>
      <w:r w:rsidR="000C4BE4" w:rsidRPr="007406B5">
        <w:rPr>
          <w:rFonts w:ascii="Times New Roman" w:hAnsi="Times New Roman"/>
          <w:i/>
          <w:iCs/>
        </w:rPr>
        <w:t xml:space="preserve"> No</w:t>
      </w:r>
      <w:r w:rsidR="000B69ED" w:rsidRPr="007406B5">
        <w:rPr>
          <w:rFonts w:ascii="Times New Roman" w:hAnsi="Times New Roman"/>
          <w:i/>
          <w:iCs/>
        </w:rPr>
        <w:t xml:space="preserve"> </w:t>
      </w:r>
      <w:r w:rsidR="00E5252A" w:rsidRPr="007406B5">
        <w:rPr>
          <w:rFonts w:ascii="Times New Roman" w:hAnsi="Times New Roman"/>
          <w:i/>
          <w:iCs/>
        </w:rPr>
        <w:t>65 – Design Quality of Residential Apartment Development</w:t>
      </w:r>
      <w:r w:rsidR="00E5252A" w:rsidRPr="007406B5">
        <w:rPr>
          <w:rFonts w:ascii="Times New Roman" w:hAnsi="Times New Roman"/>
        </w:rPr>
        <w:t xml:space="preserve"> (NSW) ("SEPP</w:t>
      </w:r>
      <w:r w:rsidR="005D605E" w:rsidRPr="007406B5">
        <w:rPr>
          <w:rFonts w:ascii="Times New Roman" w:hAnsi="Times New Roman"/>
        </w:rPr>
        <w:t> </w:t>
      </w:r>
      <w:r w:rsidR="00E5252A" w:rsidRPr="007406B5">
        <w:rPr>
          <w:rFonts w:ascii="Times New Roman" w:hAnsi="Times New Roman"/>
        </w:rPr>
        <w:t xml:space="preserve">65"). </w:t>
      </w:r>
      <w:r w:rsidR="006C50CB" w:rsidRPr="007406B5">
        <w:rPr>
          <w:rFonts w:ascii="Times New Roman" w:hAnsi="Times New Roman"/>
        </w:rPr>
        <w:t>Clause</w:t>
      </w:r>
      <w:r w:rsidR="00644AD1" w:rsidRPr="007406B5">
        <w:rPr>
          <w:rFonts w:ascii="Times New Roman" w:hAnsi="Times New Roman"/>
        </w:rPr>
        <w:t> </w:t>
      </w:r>
      <w:r w:rsidR="006C50CB" w:rsidRPr="007406B5">
        <w:rPr>
          <w:rFonts w:ascii="Times New Roman" w:hAnsi="Times New Roman"/>
        </w:rPr>
        <w:t>4 of SEPP</w:t>
      </w:r>
      <w:r w:rsidR="005D605E" w:rsidRPr="007406B5">
        <w:rPr>
          <w:rFonts w:ascii="Times New Roman" w:hAnsi="Times New Roman"/>
        </w:rPr>
        <w:t> </w:t>
      </w:r>
      <w:r w:rsidR="006C50CB" w:rsidRPr="007406B5">
        <w:rPr>
          <w:rFonts w:ascii="Times New Roman" w:hAnsi="Times New Roman"/>
        </w:rPr>
        <w:t>65 provided that SEPP</w:t>
      </w:r>
      <w:r w:rsidR="005D605E" w:rsidRPr="007406B5">
        <w:rPr>
          <w:rFonts w:ascii="Times New Roman" w:hAnsi="Times New Roman"/>
        </w:rPr>
        <w:t> </w:t>
      </w:r>
      <w:r w:rsidR="006C50CB" w:rsidRPr="007406B5">
        <w:rPr>
          <w:rFonts w:ascii="Times New Roman" w:hAnsi="Times New Roman"/>
        </w:rPr>
        <w:t xml:space="preserve">65 </w:t>
      </w:r>
      <w:r w:rsidR="008D2C75" w:rsidRPr="007406B5">
        <w:rPr>
          <w:rFonts w:ascii="Times New Roman" w:hAnsi="Times New Roman"/>
        </w:rPr>
        <w:t xml:space="preserve">applied </w:t>
      </w:r>
      <w:r w:rsidR="006C50CB" w:rsidRPr="007406B5">
        <w:rPr>
          <w:rFonts w:ascii="Times New Roman" w:hAnsi="Times New Roman"/>
        </w:rPr>
        <w:t xml:space="preserve">to development </w:t>
      </w:r>
      <w:r w:rsidR="00724C53" w:rsidRPr="007406B5">
        <w:rPr>
          <w:rFonts w:ascii="Times New Roman" w:hAnsi="Times New Roman"/>
        </w:rPr>
        <w:t>described</w:t>
      </w:r>
      <w:r w:rsidR="00AE2DE3" w:rsidRPr="007406B5">
        <w:rPr>
          <w:rFonts w:ascii="Times New Roman" w:hAnsi="Times New Roman"/>
        </w:rPr>
        <w:t xml:space="preserve"> in p</w:t>
      </w:r>
      <w:r w:rsidR="00724C53" w:rsidRPr="007406B5">
        <w:rPr>
          <w:rFonts w:ascii="Times New Roman" w:hAnsi="Times New Roman"/>
        </w:rPr>
        <w:t xml:space="preserve">art </w:t>
      </w:r>
      <w:r w:rsidR="00AE2DE3" w:rsidRPr="007406B5">
        <w:rPr>
          <w:rFonts w:ascii="Times New Roman" w:hAnsi="Times New Roman"/>
        </w:rPr>
        <w:t xml:space="preserve">as </w:t>
      </w:r>
      <w:r w:rsidR="00637CE4" w:rsidRPr="007406B5">
        <w:rPr>
          <w:rFonts w:ascii="Times New Roman" w:hAnsi="Times New Roman"/>
        </w:rPr>
        <w:t>"the substantial redevelopment or the substantial refurbishment of an existing building"</w:t>
      </w:r>
      <w:r w:rsidR="00C54775" w:rsidRPr="007406B5">
        <w:rPr>
          <w:rFonts w:ascii="Times New Roman" w:hAnsi="Times New Roman"/>
        </w:rPr>
        <w:t>. If SEPP 65 applied</w:t>
      </w:r>
      <w:r w:rsidR="006F7AE9" w:rsidRPr="007406B5">
        <w:rPr>
          <w:rFonts w:ascii="Times New Roman" w:hAnsi="Times New Roman"/>
        </w:rPr>
        <w:t>,</w:t>
      </w:r>
      <w:r w:rsidR="00C54775" w:rsidRPr="007406B5">
        <w:rPr>
          <w:rFonts w:ascii="Times New Roman" w:hAnsi="Times New Roman"/>
        </w:rPr>
        <w:t xml:space="preserve"> it required </w:t>
      </w:r>
      <w:r w:rsidR="00CA60BC" w:rsidRPr="007406B5">
        <w:rPr>
          <w:rFonts w:ascii="Times New Roman" w:hAnsi="Times New Roman"/>
        </w:rPr>
        <w:t xml:space="preserve">the consent authority to refer the development </w:t>
      </w:r>
      <w:r w:rsidR="000722C1" w:rsidRPr="007406B5">
        <w:rPr>
          <w:rFonts w:ascii="Times New Roman" w:hAnsi="Times New Roman"/>
        </w:rPr>
        <w:t>application</w:t>
      </w:r>
      <w:r w:rsidR="00CA60BC" w:rsidRPr="007406B5">
        <w:rPr>
          <w:rFonts w:ascii="Times New Roman" w:hAnsi="Times New Roman"/>
        </w:rPr>
        <w:t xml:space="preserve"> to a design review panel</w:t>
      </w:r>
      <w:r w:rsidR="000722C1" w:rsidRPr="007406B5">
        <w:rPr>
          <w:rFonts w:ascii="Times New Roman" w:hAnsi="Times New Roman"/>
        </w:rPr>
        <w:t xml:space="preserve"> for assessment of the development in accordance with certain design review principles set out in </w:t>
      </w:r>
      <w:r w:rsidR="000722C1" w:rsidRPr="007406B5">
        <w:rPr>
          <w:rFonts w:ascii="Times New Roman" w:hAnsi="Times New Roman"/>
        </w:rPr>
        <w:lastRenderedPageBreak/>
        <w:t>SEPP 65.</w:t>
      </w:r>
      <w:r w:rsidR="009069E1" w:rsidRPr="007406B5">
        <w:rPr>
          <w:rStyle w:val="FootnoteReference"/>
          <w:rFonts w:ascii="Times New Roman" w:hAnsi="Times New Roman"/>
          <w:sz w:val="24"/>
        </w:rPr>
        <w:footnoteReference w:id="6"/>
      </w:r>
      <w:r w:rsidR="000722C1" w:rsidRPr="007406B5">
        <w:rPr>
          <w:rFonts w:ascii="Times New Roman" w:hAnsi="Times New Roman"/>
        </w:rPr>
        <w:t xml:space="preserve"> </w:t>
      </w:r>
      <w:r w:rsidR="006D48C4" w:rsidRPr="007406B5">
        <w:rPr>
          <w:rFonts w:ascii="Times New Roman" w:hAnsi="Times New Roman"/>
        </w:rPr>
        <w:t>T</w:t>
      </w:r>
      <w:r w:rsidR="00836686" w:rsidRPr="007406B5">
        <w:rPr>
          <w:rFonts w:ascii="Times New Roman" w:hAnsi="Times New Roman"/>
        </w:rPr>
        <w:t xml:space="preserve">he consent authority </w:t>
      </w:r>
      <w:r w:rsidR="005713CE" w:rsidRPr="007406B5">
        <w:rPr>
          <w:rFonts w:ascii="Times New Roman" w:hAnsi="Times New Roman"/>
        </w:rPr>
        <w:t xml:space="preserve">in that case </w:t>
      </w:r>
      <w:r w:rsidR="00836686" w:rsidRPr="007406B5">
        <w:rPr>
          <w:rFonts w:ascii="Times New Roman" w:hAnsi="Times New Roman"/>
        </w:rPr>
        <w:t>granted a development consent having decided that SEPP 65 did not apply to a development.</w:t>
      </w:r>
      <w:r w:rsidR="00A11345" w:rsidRPr="007406B5">
        <w:rPr>
          <w:rStyle w:val="FootnoteReference"/>
          <w:rFonts w:ascii="Times New Roman" w:hAnsi="Times New Roman"/>
          <w:sz w:val="24"/>
        </w:rPr>
        <w:footnoteReference w:id="7"/>
      </w:r>
      <w:r w:rsidR="00836686" w:rsidRPr="007406B5">
        <w:rPr>
          <w:rFonts w:ascii="Times New Roman" w:hAnsi="Times New Roman"/>
        </w:rPr>
        <w:t xml:space="preserve"> </w:t>
      </w:r>
    </w:p>
    <w:p w14:paraId="5E1F550A" w14:textId="11313BA1" w:rsidR="00FD00DC" w:rsidRPr="007406B5" w:rsidRDefault="00B0344A" w:rsidP="007406B5">
      <w:pPr>
        <w:pStyle w:val="FixListStyle"/>
        <w:spacing w:after="260" w:line="280" w:lineRule="exact"/>
        <w:ind w:right="0"/>
        <w:jc w:val="both"/>
        <w:rPr>
          <w:rFonts w:ascii="Times New Roman" w:hAnsi="Times New Roman"/>
        </w:rPr>
      </w:pPr>
      <w:r w:rsidRPr="007406B5">
        <w:rPr>
          <w:rFonts w:ascii="Times New Roman" w:hAnsi="Times New Roman"/>
        </w:rPr>
        <w:tab/>
      </w:r>
      <w:r w:rsidR="005B30BC" w:rsidRPr="007406B5">
        <w:rPr>
          <w:rFonts w:ascii="Times New Roman" w:hAnsi="Times New Roman"/>
        </w:rPr>
        <w:t>A majority of the Court of Appeal of the Supreme Court of New South Wales (</w:t>
      </w:r>
      <w:r w:rsidR="00B36A82" w:rsidRPr="007406B5">
        <w:rPr>
          <w:rFonts w:ascii="Times New Roman" w:hAnsi="Times New Roman"/>
        </w:rPr>
        <w:t>Macfarlan</w:t>
      </w:r>
      <w:r w:rsidR="002405CF" w:rsidRPr="007406B5">
        <w:rPr>
          <w:rFonts w:ascii="Times New Roman" w:hAnsi="Times New Roman"/>
        </w:rPr>
        <w:t> </w:t>
      </w:r>
      <w:r w:rsidR="00B36A82" w:rsidRPr="007406B5">
        <w:rPr>
          <w:rFonts w:ascii="Times New Roman" w:hAnsi="Times New Roman"/>
        </w:rPr>
        <w:t xml:space="preserve">JA </w:t>
      </w:r>
      <w:r w:rsidR="00326DEE" w:rsidRPr="007406B5">
        <w:rPr>
          <w:rFonts w:ascii="Times New Roman" w:hAnsi="Times New Roman"/>
        </w:rPr>
        <w:t>and Basten A-JA</w:t>
      </w:r>
      <w:r w:rsidR="006F7AE9" w:rsidRPr="007406B5">
        <w:rPr>
          <w:rFonts w:ascii="Times New Roman" w:hAnsi="Times New Roman"/>
        </w:rPr>
        <w:t>; Beech-Jones J</w:t>
      </w:r>
      <w:r w:rsidR="001504C4" w:rsidRPr="007406B5">
        <w:rPr>
          <w:rFonts w:ascii="Times New Roman" w:hAnsi="Times New Roman"/>
        </w:rPr>
        <w:t>A</w:t>
      </w:r>
      <w:r w:rsidR="006F7AE9" w:rsidRPr="007406B5">
        <w:rPr>
          <w:rFonts w:ascii="Times New Roman" w:hAnsi="Times New Roman"/>
        </w:rPr>
        <w:t xml:space="preserve"> dissenting</w:t>
      </w:r>
      <w:r w:rsidR="009C18A5" w:rsidRPr="007406B5">
        <w:rPr>
          <w:rFonts w:ascii="Times New Roman" w:hAnsi="Times New Roman"/>
        </w:rPr>
        <w:t xml:space="preserve"> on this point</w:t>
      </w:r>
      <w:r w:rsidR="00B36A82" w:rsidRPr="007406B5">
        <w:rPr>
          <w:rFonts w:ascii="Times New Roman" w:hAnsi="Times New Roman"/>
        </w:rPr>
        <w:t xml:space="preserve">) </w:t>
      </w:r>
      <w:r w:rsidR="00B30E2A" w:rsidRPr="007406B5">
        <w:rPr>
          <w:rFonts w:ascii="Times New Roman" w:hAnsi="Times New Roman"/>
        </w:rPr>
        <w:t>held</w:t>
      </w:r>
      <w:r w:rsidR="00B36A82" w:rsidRPr="007406B5">
        <w:rPr>
          <w:rFonts w:ascii="Times New Roman" w:hAnsi="Times New Roman"/>
        </w:rPr>
        <w:t xml:space="preserve"> that </w:t>
      </w:r>
      <w:r w:rsidR="00D02338" w:rsidRPr="007406B5">
        <w:rPr>
          <w:rFonts w:ascii="Times New Roman" w:hAnsi="Times New Roman"/>
        </w:rPr>
        <w:t xml:space="preserve">the question whether or not the development answered the description of "the substantial redevelopment or the substantial refurbishment of an existing building" </w:t>
      </w:r>
      <w:r w:rsidR="006221DA" w:rsidRPr="007406B5">
        <w:rPr>
          <w:rFonts w:ascii="Times New Roman" w:hAnsi="Times New Roman"/>
        </w:rPr>
        <w:t xml:space="preserve">such that SEPP 65 applied </w:t>
      </w:r>
      <w:r w:rsidR="002E493B" w:rsidRPr="007406B5">
        <w:rPr>
          <w:rFonts w:ascii="Times New Roman" w:hAnsi="Times New Roman"/>
        </w:rPr>
        <w:t>was</w:t>
      </w:r>
      <w:r w:rsidR="00630768" w:rsidRPr="007406B5">
        <w:rPr>
          <w:rFonts w:ascii="Times New Roman" w:hAnsi="Times New Roman"/>
        </w:rPr>
        <w:t xml:space="preserve"> not a jurisdictional fact which </w:t>
      </w:r>
      <w:r w:rsidR="00B9425C" w:rsidRPr="007406B5">
        <w:rPr>
          <w:rFonts w:ascii="Times New Roman" w:hAnsi="Times New Roman"/>
        </w:rPr>
        <w:t xml:space="preserve">a court </w:t>
      </w:r>
      <w:r w:rsidR="008645E0" w:rsidRPr="007406B5">
        <w:rPr>
          <w:rFonts w:ascii="Times New Roman" w:hAnsi="Times New Roman"/>
        </w:rPr>
        <w:t xml:space="preserve">must </w:t>
      </w:r>
      <w:r w:rsidR="00630768" w:rsidRPr="007406B5">
        <w:rPr>
          <w:rFonts w:ascii="Times New Roman" w:hAnsi="Times New Roman"/>
        </w:rPr>
        <w:t>determine for itself.</w:t>
      </w:r>
      <w:r w:rsidR="009C18A5" w:rsidRPr="007406B5">
        <w:rPr>
          <w:rStyle w:val="FootnoteReference"/>
          <w:rFonts w:ascii="Times New Roman" w:hAnsi="Times New Roman"/>
          <w:sz w:val="24"/>
        </w:rPr>
        <w:footnoteReference w:id="8"/>
      </w:r>
      <w:r w:rsidR="00630768" w:rsidRPr="007406B5">
        <w:rPr>
          <w:rFonts w:ascii="Times New Roman" w:hAnsi="Times New Roman"/>
        </w:rPr>
        <w:t xml:space="preserve"> </w:t>
      </w:r>
      <w:r w:rsidR="006D48C4" w:rsidRPr="007406B5">
        <w:rPr>
          <w:rFonts w:ascii="Times New Roman" w:hAnsi="Times New Roman"/>
        </w:rPr>
        <w:t>In so holding</w:t>
      </w:r>
      <w:r w:rsidR="00F25DA7" w:rsidRPr="007406B5">
        <w:rPr>
          <w:rFonts w:ascii="Times New Roman" w:hAnsi="Times New Roman"/>
        </w:rPr>
        <w:t>,</w:t>
      </w:r>
      <w:r w:rsidR="006D48C4" w:rsidRPr="007406B5">
        <w:rPr>
          <w:rFonts w:ascii="Times New Roman" w:hAnsi="Times New Roman"/>
        </w:rPr>
        <w:t xml:space="preserve"> </w:t>
      </w:r>
      <w:r w:rsidR="00C233AA" w:rsidRPr="007406B5">
        <w:rPr>
          <w:rFonts w:ascii="Times New Roman" w:hAnsi="Times New Roman"/>
        </w:rPr>
        <w:t xml:space="preserve">Macfarlan JA and </w:t>
      </w:r>
      <w:r w:rsidR="008B4D67" w:rsidRPr="007406B5">
        <w:rPr>
          <w:rFonts w:ascii="Times New Roman" w:hAnsi="Times New Roman"/>
        </w:rPr>
        <w:t>Basten A-JA</w:t>
      </w:r>
      <w:r w:rsidR="006221DA" w:rsidRPr="007406B5">
        <w:rPr>
          <w:rFonts w:ascii="Times New Roman" w:hAnsi="Times New Roman"/>
        </w:rPr>
        <w:t xml:space="preserve"> </w:t>
      </w:r>
      <w:r w:rsidR="006D48C4" w:rsidRPr="007406B5">
        <w:rPr>
          <w:rFonts w:ascii="Times New Roman" w:hAnsi="Times New Roman"/>
        </w:rPr>
        <w:t>distinguished an earlier decision</w:t>
      </w:r>
      <w:r w:rsidR="000E469D" w:rsidRPr="007406B5">
        <w:rPr>
          <w:rFonts w:ascii="Times New Roman" w:hAnsi="Times New Roman"/>
        </w:rPr>
        <w:t>,</w:t>
      </w:r>
      <w:r w:rsidR="006D48C4" w:rsidRPr="007406B5">
        <w:rPr>
          <w:rFonts w:ascii="Times New Roman" w:hAnsi="Times New Roman"/>
        </w:rPr>
        <w:t xml:space="preserve"> </w:t>
      </w:r>
      <w:r w:rsidR="00406096" w:rsidRPr="007406B5">
        <w:rPr>
          <w:rFonts w:ascii="Times New Roman" w:hAnsi="Times New Roman"/>
          <w:i/>
          <w:iCs/>
        </w:rPr>
        <w:t>Woolworths Ltd v Pallas Newco Pty Ltd</w:t>
      </w:r>
      <w:r w:rsidR="00617E64" w:rsidRPr="007406B5">
        <w:rPr>
          <w:rFonts w:ascii="Times New Roman" w:hAnsi="Times New Roman"/>
        </w:rPr>
        <w:t>,</w:t>
      </w:r>
      <w:r w:rsidR="00406096" w:rsidRPr="007406B5">
        <w:rPr>
          <w:rStyle w:val="FootnoteReference"/>
          <w:rFonts w:ascii="Times New Roman" w:hAnsi="Times New Roman"/>
          <w:sz w:val="24"/>
        </w:rPr>
        <w:footnoteReference w:id="9"/>
      </w:r>
      <w:r w:rsidR="001E23FE" w:rsidRPr="007406B5">
        <w:rPr>
          <w:rFonts w:ascii="Times New Roman" w:hAnsi="Times New Roman"/>
        </w:rPr>
        <w:t xml:space="preserve"> in which the Court of Appeal </w:t>
      </w:r>
      <w:r w:rsidR="00A33483" w:rsidRPr="007406B5">
        <w:rPr>
          <w:rFonts w:ascii="Times New Roman" w:hAnsi="Times New Roman"/>
        </w:rPr>
        <w:t>(Spigelman CJ</w:t>
      </w:r>
      <w:r w:rsidR="00D92CEB" w:rsidRPr="007406B5">
        <w:rPr>
          <w:rFonts w:ascii="Times New Roman" w:hAnsi="Times New Roman"/>
        </w:rPr>
        <w:t>;</w:t>
      </w:r>
      <w:r w:rsidR="00A33483" w:rsidRPr="007406B5">
        <w:rPr>
          <w:rFonts w:ascii="Times New Roman" w:hAnsi="Times New Roman"/>
        </w:rPr>
        <w:t xml:space="preserve"> Mason</w:t>
      </w:r>
      <w:r w:rsidR="002B5784" w:rsidRPr="007406B5">
        <w:rPr>
          <w:rFonts w:ascii="Times New Roman" w:hAnsi="Times New Roman"/>
        </w:rPr>
        <w:t> </w:t>
      </w:r>
      <w:r w:rsidR="00A33483" w:rsidRPr="007406B5">
        <w:rPr>
          <w:rFonts w:ascii="Times New Roman" w:hAnsi="Times New Roman"/>
        </w:rPr>
        <w:t>P, Handley and Sheller JJA and Cripps A</w:t>
      </w:r>
      <w:r w:rsidR="002B5784" w:rsidRPr="007406B5">
        <w:rPr>
          <w:rFonts w:ascii="Times New Roman" w:hAnsi="Times New Roman"/>
        </w:rPr>
        <w:t>-</w:t>
      </w:r>
      <w:r w:rsidR="00A33483" w:rsidRPr="007406B5">
        <w:rPr>
          <w:rFonts w:ascii="Times New Roman" w:hAnsi="Times New Roman"/>
        </w:rPr>
        <w:t xml:space="preserve">JA agreeing) </w:t>
      </w:r>
      <w:r w:rsidR="001E23FE" w:rsidRPr="007406B5">
        <w:rPr>
          <w:rFonts w:ascii="Times New Roman" w:hAnsi="Times New Roman"/>
        </w:rPr>
        <w:t xml:space="preserve">held that </w:t>
      </w:r>
      <w:r w:rsidR="001859DE" w:rsidRPr="007406B5">
        <w:rPr>
          <w:rFonts w:ascii="Times New Roman" w:hAnsi="Times New Roman"/>
        </w:rPr>
        <w:t xml:space="preserve">the question whether a development was permissible with consent or prohibited under an </w:t>
      </w:r>
      <w:r w:rsidR="008F5263" w:rsidRPr="007406B5">
        <w:rPr>
          <w:rFonts w:ascii="Times New Roman" w:hAnsi="Times New Roman"/>
        </w:rPr>
        <w:t xml:space="preserve">environmental planning instrument was a </w:t>
      </w:r>
      <w:r w:rsidR="00321EB0" w:rsidRPr="007406B5">
        <w:rPr>
          <w:rFonts w:ascii="Times New Roman" w:hAnsi="Times New Roman"/>
        </w:rPr>
        <w:t xml:space="preserve">question </w:t>
      </w:r>
      <w:r w:rsidR="008F5263" w:rsidRPr="007406B5">
        <w:rPr>
          <w:rFonts w:ascii="Times New Roman" w:hAnsi="Times New Roman"/>
        </w:rPr>
        <w:t>which a court on review was required to decide for itself.</w:t>
      </w:r>
      <w:r w:rsidR="00303BC5" w:rsidRPr="007406B5">
        <w:rPr>
          <w:rStyle w:val="FootnoteReference"/>
          <w:rFonts w:ascii="Times New Roman" w:hAnsi="Times New Roman"/>
          <w:sz w:val="24"/>
        </w:rPr>
        <w:footnoteReference w:id="10"/>
      </w:r>
      <w:r w:rsidR="00FD00DC" w:rsidRPr="007406B5">
        <w:rPr>
          <w:rFonts w:ascii="Times New Roman" w:hAnsi="Times New Roman"/>
        </w:rPr>
        <w:t xml:space="preserve"> </w:t>
      </w:r>
    </w:p>
    <w:p w14:paraId="3882D483" w14:textId="248926A6" w:rsidR="00CA44BE" w:rsidRPr="007406B5" w:rsidRDefault="00B0344A" w:rsidP="007406B5">
      <w:pPr>
        <w:pStyle w:val="FixListStyle"/>
        <w:spacing w:after="260" w:line="280" w:lineRule="exact"/>
        <w:ind w:right="0"/>
        <w:jc w:val="both"/>
        <w:rPr>
          <w:rFonts w:ascii="Times New Roman" w:hAnsi="Times New Roman"/>
        </w:rPr>
      </w:pPr>
      <w:r w:rsidRPr="007406B5">
        <w:rPr>
          <w:rFonts w:ascii="Times New Roman" w:hAnsi="Times New Roman"/>
        </w:rPr>
        <w:tab/>
        <w:t xml:space="preserve">In support of the conclusion contrary to that </w:t>
      </w:r>
      <w:r w:rsidR="004C22FC" w:rsidRPr="007406B5">
        <w:rPr>
          <w:rFonts w:ascii="Times New Roman" w:hAnsi="Times New Roman"/>
        </w:rPr>
        <w:t xml:space="preserve">reached </w:t>
      </w:r>
      <w:r w:rsidRPr="007406B5">
        <w:rPr>
          <w:rFonts w:ascii="Times New Roman" w:hAnsi="Times New Roman"/>
        </w:rPr>
        <w:t xml:space="preserve">in </w:t>
      </w:r>
      <w:r w:rsidRPr="007406B5">
        <w:rPr>
          <w:rFonts w:ascii="Times New Roman" w:hAnsi="Times New Roman"/>
          <w:i/>
          <w:iCs/>
        </w:rPr>
        <w:t>Woolworths Ltd v Pallas Newco Pty Ltd</w:t>
      </w:r>
      <w:r w:rsidRPr="007406B5">
        <w:rPr>
          <w:rFonts w:ascii="Times New Roman" w:hAnsi="Times New Roman"/>
        </w:rPr>
        <w:t xml:space="preserve">, </w:t>
      </w:r>
      <w:r w:rsidR="007677F7" w:rsidRPr="007406B5">
        <w:rPr>
          <w:rFonts w:ascii="Times New Roman" w:hAnsi="Times New Roman"/>
        </w:rPr>
        <w:t>Basten A</w:t>
      </w:r>
      <w:r w:rsidR="00960454" w:rsidRPr="007406B5">
        <w:rPr>
          <w:rFonts w:ascii="Times New Roman" w:hAnsi="Times New Roman"/>
        </w:rPr>
        <w:t>-</w:t>
      </w:r>
      <w:r w:rsidR="007677F7" w:rsidRPr="007406B5">
        <w:rPr>
          <w:rFonts w:ascii="Times New Roman" w:hAnsi="Times New Roman"/>
        </w:rPr>
        <w:t>JA</w:t>
      </w:r>
      <w:r w:rsidR="00535174" w:rsidRPr="007406B5">
        <w:rPr>
          <w:rFonts w:ascii="Times New Roman" w:hAnsi="Times New Roman"/>
        </w:rPr>
        <w:t>, with whom Macfarlan JA agreed,</w:t>
      </w:r>
      <w:r w:rsidR="007677F7" w:rsidRPr="007406B5">
        <w:rPr>
          <w:rFonts w:ascii="Times New Roman" w:hAnsi="Times New Roman"/>
        </w:rPr>
        <w:t xml:space="preserve"> </w:t>
      </w:r>
      <w:r w:rsidR="00935D27" w:rsidRPr="007406B5">
        <w:rPr>
          <w:rFonts w:ascii="Times New Roman" w:hAnsi="Times New Roman"/>
        </w:rPr>
        <w:t xml:space="preserve">observed that "where a statute does not express itself in terms of the satisfaction or opinion of the repository of the power, such an intention may nevertheless </w:t>
      </w:r>
      <w:r w:rsidR="005559F2" w:rsidRPr="007406B5">
        <w:rPr>
          <w:rFonts w:ascii="Times New Roman" w:hAnsi="Times New Roman"/>
        </w:rPr>
        <w:t>[be]</w:t>
      </w:r>
      <w:r w:rsidR="00935D27" w:rsidRPr="007406B5">
        <w:rPr>
          <w:rFonts w:ascii="Times New Roman" w:hAnsi="Times New Roman"/>
        </w:rPr>
        <w:t xml:space="preserve"> inferred from the nature of the power, the circumstances in which it comes to be exercised, and by reference to other principles relevant to the proper construction of a statute"</w:t>
      </w:r>
      <w:r w:rsidR="00A212FD" w:rsidRPr="007406B5">
        <w:rPr>
          <w:rFonts w:ascii="Times New Roman" w:hAnsi="Times New Roman"/>
        </w:rPr>
        <w:t>.</w:t>
      </w:r>
      <w:r w:rsidR="004B41DB" w:rsidRPr="007406B5">
        <w:rPr>
          <w:rStyle w:val="FootnoteReference"/>
          <w:rFonts w:ascii="Times New Roman" w:hAnsi="Times New Roman"/>
          <w:sz w:val="24"/>
        </w:rPr>
        <w:footnoteReference w:id="11"/>
      </w:r>
      <w:r w:rsidR="00935D27" w:rsidRPr="007406B5">
        <w:rPr>
          <w:rFonts w:ascii="Times New Roman" w:hAnsi="Times New Roman"/>
        </w:rPr>
        <w:t xml:space="preserve"> </w:t>
      </w:r>
      <w:r w:rsidR="004B41DB" w:rsidRPr="007406B5">
        <w:rPr>
          <w:rFonts w:ascii="Times New Roman" w:hAnsi="Times New Roman"/>
        </w:rPr>
        <w:t xml:space="preserve">His Honour </w:t>
      </w:r>
      <w:r w:rsidR="007677F7" w:rsidRPr="007406B5">
        <w:rPr>
          <w:rFonts w:ascii="Times New Roman" w:hAnsi="Times New Roman"/>
        </w:rPr>
        <w:t>reasoned</w:t>
      </w:r>
      <w:r w:rsidR="00D60AD6" w:rsidRPr="007406B5">
        <w:rPr>
          <w:rFonts w:ascii="Times New Roman" w:hAnsi="Times New Roman"/>
        </w:rPr>
        <w:t>, in effect,</w:t>
      </w:r>
      <w:r w:rsidR="007677F7" w:rsidRPr="007406B5">
        <w:rPr>
          <w:rFonts w:ascii="Times New Roman" w:hAnsi="Times New Roman"/>
        </w:rPr>
        <w:t xml:space="preserve"> that</w:t>
      </w:r>
      <w:r w:rsidR="003629D2" w:rsidRPr="007406B5">
        <w:rPr>
          <w:rFonts w:ascii="Times New Roman" w:hAnsi="Times New Roman"/>
        </w:rPr>
        <w:t xml:space="preserve"> as</w:t>
      </w:r>
      <w:r w:rsidR="00912810" w:rsidRPr="007406B5">
        <w:rPr>
          <w:rFonts w:ascii="Times New Roman" w:hAnsi="Times New Roman"/>
        </w:rPr>
        <w:t xml:space="preserve">: (i) s 4.15(1) </w:t>
      </w:r>
      <w:r w:rsidR="003629D2" w:rsidRPr="007406B5">
        <w:rPr>
          <w:rFonts w:ascii="Times New Roman" w:hAnsi="Times New Roman"/>
        </w:rPr>
        <w:t>regulates the evaluation of a development application; (ii) </w:t>
      </w:r>
      <w:r w:rsidR="002A0706" w:rsidRPr="007406B5">
        <w:rPr>
          <w:rFonts w:ascii="Times New Roman" w:hAnsi="Times New Roman"/>
        </w:rPr>
        <w:t xml:space="preserve">the matters in s 4.15(1)(b)-(e) are plainly evaluative; </w:t>
      </w:r>
      <w:r w:rsidR="00D60AD6" w:rsidRPr="007406B5">
        <w:rPr>
          <w:rFonts w:ascii="Times New Roman" w:hAnsi="Times New Roman"/>
        </w:rPr>
        <w:t xml:space="preserve">and </w:t>
      </w:r>
      <w:r w:rsidR="002A0706" w:rsidRPr="007406B5">
        <w:rPr>
          <w:rFonts w:ascii="Times New Roman" w:hAnsi="Times New Roman"/>
        </w:rPr>
        <w:t>(iii) </w:t>
      </w:r>
      <w:r w:rsidR="009B5BA5" w:rsidRPr="007406B5">
        <w:rPr>
          <w:rFonts w:ascii="Times New Roman" w:hAnsi="Times New Roman"/>
        </w:rPr>
        <w:t>there</w:t>
      </w:r>
      <w:r w:rsidR="00B96E5A" w:rsidRPr="007406B5">
        <w:rPr>
          <w:rFonts w:ascii="Times New Roman" w:hAnsi="Times New Roman"/>
        </w:rPr>
        <w:t xml:space="preserve"> would be considerable </w:t>
      </w:r>
      <w:r w:rsidR="009B5BA5" w:rsidRPr="007406B5">
        <w:rPr>
          <w:rFonts w:ascii="Times New Roman" w:hAnsi="Times New Roman"/>
        </w:rPr>
        <w:t>inconvenience</w:t>
      </w:r>
      <w:r w:rsidR="00B96E5A" w:rsidRPr="007406B5">
        <w:rPr>
          <w:rFonts w:ascii="Times New Roman" w:hAnsi="Times New Roman"/>
        </w:rPr>
        <w:t xml:space="preserve"> if a consent </w:t>
      </w:r>
      <w:r w:rsidR="009B5BA5" w:rsidRPr="007406B5">
        <w:rPr>
          <w:rFonts w:ascii="Times New Roman" w:hAnsi="Times New Roman"/>
        </w:rPr>
        <w:t>authority's</w:t>
      </w:r>
      <w:r w:rsidR="00B96E5A" w:rsidRPr="007406B5">
        <w:rPr>
          <w:rFonts w:ascii="Times New Roman" w:hAnsi="Times New Roman"/>
        </w:rPr>
        <w:t xml:space="preserve"> </w:t>
      </w:r>
      <w:r w:rsidR="009B5BA5" w:rsidRPr="007406B5">
        <w:rPr>
          <w:rFonts w:ascii="Times New Roman" w:hAnsi="Times New Roman"/>
        </w:rPr>
        <w:t xml:space="preserve">decision as to the applicability of an environmental planning instrument were open to challenge </w:t>
      </w:r>
      <w:r w:rsidR="00CC4E11" w:rsidRPr="007406B5">
        <w:rPr>
          <w:rFonts w:ascii="Times New Roman" w:hAnsi="Times New Roman"/>
        </w:rPr>
        <w:t xml:space="preserve">on any question of fact or law, </w:t>
      </w:r>
      <w:r w:rsidR="001F7C86" w:rsidRPr="007406B5">
        <w:rPr>
          <w:rFonts w:ascii="Times New Roman" w:hAnsi="Times New Roman"/>
        </w:rPr>
        <w:t>s 4.15(1)</w:t>
      </w:r>
      <w:r w:rsidR="008F21CA" w:rsidRPr="007406B5">
        <w:rPr>
          <w:rFonts w:ascii="Times New Roman" w:hAnsi="Times New Roman"/>
        </w:rPr>
        <w:t>(a)</w:t>
      </w:r>
      <w:r w:rsidR="001F7C86" w:rsidRPr="007406B5">
        <w:rPr>
          <w:rFonts w:ascii="Times New Roman" w:hAnsi="Times New Roman"/>
        </w:rPr>
        <w:t xml:space="preserve"> </w:t>
      </w:r>
      <w:r w:rsidR="00507F29" w:rsidRPr="007406B5">
        <w:rPr>
          <w:rFonts w:ascii="Times New Roman" w:hAnsi="Times New Roman"/>
        </w:rPr>
        <w:t xml:space="preserve">did not permit </w:t>
      </w:r>
      <w:r w:rsidR="00F213D1" w:rsidRPr="007406B5">
        <w:rPr>
          <w:rFonts w:ascii="Times New Roman" w:hAnsi="Times New Roman"/>
        </w:rPr>
        <w:t>a c</w:t>
      </w:r>
      <w:r w:rsidR="00507F29" w:rsidRPr="007406B5">
        <w:rPr>
          <w:rFonts w:ascii="Times New Roman" w:hAnsi="Times New Roman"/>
        </w:rPr>
        <w:t xml:space="preserve">ourt to decide </w:t>
      </w:r>
      <w:r w:rsidR="0050299C" w:rsidRPr="007406B5">
        <w:rPr>
          <w:rFonts w:ascii="Times New Roman" w:hAnsi="Times New Roman"/>
        </w:rPr>
        <w:t xml:space="preserve">whether any environmental planning instrument applied provided </w:t>
      </w:r>
      <w:r w:rsidR="0050299C" w:rsidRPr="007406B5">
        <w:rPr>
          <w:rFonts w:ascii="Times New Roman" w:hAnsi="Times New Roman"/>
        </w:rPr>
        <w:lastRenderedPageBreak/>
        <w:t>that the development was permissible with consent.</w:t>
      </w:r>
      <w:r w:rsidR="009C1B2A" w:rsidRPr="007406B5">
        <w:rPr>
          <w:rStyle w:val="FootnoteReference"/>
          <w:rFonts w:ascii="Times New Roman" w:hAnsi="Times New Roman"/>
          <w:sz w:val="24"/>
        </w:rPr>
        <w:footnoteReference w:id="12"/>
      </w:r>
      <w:r w:rsidR="0050299C" w:rsidRPr="007406B5">
        <w:rPr>
          <w:rFonts w:ascii="Times New Roman" w:hAnsi="Times New Roman"/>
        </w:rPr>
        <w:t xml:space="preserve"> </w:t>
      </w:r>
      <w:r w:rsidR="002869AD" w:rsidRPr="007406B5">
        <w:rPr>
          <w:rFonts w:ascii="Times New Roman" w:hAnsi="Times New Roman"/>
        </w:rPr>
        <w:t>T</w:t>
      </w:r>
      <w:r w:rsidR="00CA44BE" w:rsidRPr="007406B5">
        <w:rPr>
          <w:rFonts w:ascii="Times New Roman" w:hAnsi="Times New Roman"/>
        </w:rPr>
        <w:t xml:space="preserve">his conclusion in part reflected his Honour's description of </w:t>
      </w:r>
      <w:r w:rsidR="0080272A" w:rsidRPr="007406B5">
        <w:rPr>
          <w:rFonts w:ascii="Times New Roman" w:hAnsi="Times New Roman"/>
        </w:rPr>
        <w:t>the function of s 4.15(1) in these terms:</w:t>
      </w:r>
      <w:r w:rsidR="009B2DAA" w:rsidRPr="007406B5">
        <w:rPr>
          <w:rStyle w:val="FootnoteReference"/>
          <w:rFonts w:ascii="Times New Roman" w:hAnsi="Times New Roman"/>
          <w:sz w:val="24"/>
        </w:rPr>
        <w:footnoteReference w:id="13"/>
      </w:r>
    </w:p>
    <w:p w14:paraId="62B5AF33" w14:textId="77777777" w:rsidR="007406B5" w:rsidRDefault="0080272A" w:rsidP="007406B5">
      <w:pPr>
        <w:pStyle w:val="LRIndentafterHC"/>
        <w:spacing w:before="0" w:after="260" w:line="280" w:lineRule="exact"/>
        <w:ind w:right="0"/>
        <w:jc w:val="both"/>
        <w:rPr>
          <w:rFonts w:ascii="Times New Roman" w:hAnsi="Times New Roman"/>
        </w:rPr>
      </w:pPr>
      <w:r w:rsidRPr="007406B5">
        <w:rPr>
          <w:rFonts w:ascii="Times New Roman" w:hAnsi="Times New Roman"/>
        </w:rPr>
        <w:t>"Prohibited development aside, a consent authority is obliged to determine whether or not to grant consent to a development application</w:t>
      </w:r>
      <w:r w:rsidR="00ED787C" w:rsidRPr="007406B5">
        <w:rPr>
          <w:rFonts w:ascii="Times New Roman" w:hAnsi="Times New Roman"/>
        </w:rPr>
        <w:t> </w:t>
      </w:r>
      <w:r w:rsidR="00DE3FC8" w:rsidRPr="007406B5">
        <w:rPr>
          <w:rFonts w:ascii="Times New Roman" w:hAnsi="Times New Roman"/>
        </w:rPr>
        <w:t>...</w:t>
      </w:r>
      <w:r w:rsidR="00ED787C" w:rsidRPr="007406B5">
        <w:rPr>
          <w:rFonts w:ascii="Times New Roman" w:hAnsi="Times New Roman"/>
        </w:rPr>
        <w:t> </w:t>
      </w:r>
      <w:r w:rsidRPr="007406B5">
        <w:rPr>
          <w:rFonts w:ascii="Times New Roman" w:hAnsi="Times New Roman"/>
        </w:rPr>
        <w:t>and is required to carry out an evaluation taking into consideration the matters specified in s</w:t>
      </w:r>
      <w:r w:rsidR="009B2DAA" w:rsidRPr="007406B5">
        <w:rPr>
          <w:rFonts w:ascii="Times New Roman" w:hAnsi="Times New Roman"/>
        </w:rPr>
        <w:t> </w:t>
      </w:r>
      <w:r w:rsidRPr="007406B5">
        <w:rPr>
          <w:rFonts w:ascii="Times New Roman" w:hAnsi="Times New Roman"/>
        </w:rPr>
        <w:t>4.15."</w:t>
      </w:r>
    </w:p>
    <w:p w14:paraId="0C43C74C" w14:textId="70B8FEEA" w:rsidR="00A22A75" w:rsidRPr="007406B5" w:rsidRDefault="00CA44BE" w:rsidP="007406B5">
      <w:pPr>
        <w:pStyle w:val="FixListStyle"/>
        <w:spacing w:after="260" w:line="280" w:lineRule="exact"/>
        <w:ind w:right="0"/>
        <w:jc w:val="both"/>
        <w:rPr>
          <w:rFonts w:ascii="Times New Roman" w:hAnsi="Times New Roman"/>
        </w:rPr>
      </w:pPr>
      <w:r w:rsidRPr="007406B5">
        <w:rPr>
          <w:rFonts w:ascii="Times New Roman" w:hAnsi="Times New Roman"/>
        </w:rPr>
        <w:tab/>
      </w:r>
      <w:r w:rsidR="00A22A75" w:rsidRPr="007406B5">
        <w:rPr>
          <w:rFonts w:ascii="Times New Roman" w:hAnsi="Times New Roman"/>
        </w:rPr>
        <w:t>The proviso "</w:t>
      </w:r>
      <w:r w:rsidR="00782393" w:rsidRPr="007406B5">
        <w:rPr>
          <w:rFonts w:ascii="Times New Roman" w:hAnsi="Times New Roman"/>
        </w:rPr>
        <w:t>[</w:t>
      </w:r>
      <w:r w:rsidR="00A22A75" w:rsidRPr="007406B5">
        <w:rPr>
          <w:rFonts w:ascii="Times New Roman" w:hAnsi="Times New Roman"/>
        </w:rPr>
        <w:t>p</w:t>
      </w:r>
      <w:r w:rsidR="00782393" w:rsidRPr="007406B5">
        <w:rPr>
          <w:rFonts w:ascii="Times New Roman" w:hAnsi="Times New Roman"/>
        </w:rPr>
        <w:t>]</w:t>
      </w:r>
      <w:r w:rsidR="00A22A75" w:rsidRPr="007406B5">
        <w:rPr>
          <w:rFonts w:ascii="Times New Roman" w:hAnsi="Times New Roman"/>
        </w:rPr>
        <w:t>rohibited development aside"</w:t>
      </w:r>
      <w:r w:rsidR="007D7AD3" w:rsidRPr="007406B5">
        <w:rPr>
          <w:rFonts w:ascii="Times New Roman" w:hAnsi="Times New Roman"/>
        </w:rPr>
        <w:t xml:space="preserve"> (also expressed as "provided the development was permissible with consent")</w:t>
      </w:r>
      <w:r w:rsidR="00F51B45" w:rsidRPr="007406B5">
        <w:rPr>
          <w:rFonts w:ascii="Times New Roman" w:hAnsi="Times New Roman"/>
        </w:rPr>
        <w:t>, the basis upon which Basten A</w:t>
      </w:r>
      <w:r w:rsidR="001670BA">
        <w:rPr>
          <w:rFonts w:ascii="Times New Roman" w:hAnsi="Times New Roman"/>
        </w:rPr>
        <w:noBreakHyphen/>
      </w:r>
      <w:r w:rsidR="00F51B45" w:rsidRPr="007406B5">
        <w:rPr>
          <w:rFonts w:ascii="Times New Roman" w:hAnsi="Times New Roman"/>
        </w:rPr>
        <w:t xml:space="preserve">JA distinguished </w:t>
      </w:r>
      <w:r w:rsidR="00F51B45" w:rsidRPr="007406B5">
        <w:rPr>
          <w:rFonts w:ascii="Times New Roman" w:hAnsi="Times New Roman"/>
          <w:i/>
          <w:iCs/>
        </w:rPr>
        <w:t>Woolworths Ltd v Pallas Newco Pty Ltd</w:t>
      </w:r>
      <w:r w:rsidR="00F51B45" w:rsidRPr="007406B5">
        <w:rPr>
          <w:rFonts w:ascii="Times New Roman" w:hAnsi="Times New Roman"/>
        </w:rPr>
        <w:t xml:space="preserve">, </w:t>
      </w:r>
      <w:r w:rsidR="002D536E" w:rsidRPr="007406B5">
        <w:rPr>
          <w:rFonts w:ascii="Times New Roman" w:hAnsi="Times New Roman"/>
        </w:rPr>
        <w:t>was critical to his Honour's reasoning, as disclosed in his conclusion that:</w:t>
      </w:r>
      <w:r w:rsidR="008C4D9F" w:rsidRPr="007406B5">
        <w:rPr>
          <w:rStyle w:val="FootnoteReference"/>
          <w:rFonts w:ascii="Times New Roman" w:hAnsi="Times New Roman"/>
          <w:sz w:val="24"/>
        </w:rPr>
        <w:footnoteReference w:id="14"/>
      </w:r>
    </w:p>
    <w:p w14:paraId="039C8A85" w14:textId="77777777" w:rsidR="007406B5" w:rsidRDefault="00B0344A" w:rsidP="007406B5">
      <w:pPr>
        <w:pStyle w:val="leftright"/>
        <w:spacing w:before="0" w:after="260" w:line="280" w:lineRule="exact"/>
        <w:ind w:right="0"/>
        <w:jc w:val="both"/>
        <w:rPr>
          <w:rFonts w:ascii="Times New Roman" w:hAnsi="Times New Roman"/>
        </w:rPr>
      </w:pPr>
      <w:r w:rsidRPr="007406B5">
        <w:rPr>
          <w:rFonts w:ascii="Times New Roman" w:hAnsi="Times New Roman"/>
        </w:rPr>
        <w:t>"</w:t>
      </w:r>
      <w:r w:rsidR="008C4D9F" w:rsidRPr="007406B5">
        <w:rPr>
          <w:rFonts w:ascii="Times New Roman" w:hAnsi="Times New Roman"/>
        </w:rPr>
        <w:t>as a matter of construction of the [EPA Act], the application of the environmental planning instruments, including SEPP</w:t>
      </w:r>
      <w:r w:rsidR="00856CA7" w:rsidRPr="007406B5">
        <w:rPr>
          <w:rFonts w:ascii="Times New Roman" w:hAnsi="Times New Roman"/>
        </w:rPr>
        <w:t> </w:t>
      </w:r>
      <w:r w:rsidR="008C4D9F" w:rsidRPr="007406B5">
        <w:rPr>
          <w:rFonts w:ascii="Times New Roman" w:hAnsi="Times New Roman"/>
        </w:rPr>
        <w:t xml:space="preserve">65, </w:t>
      </w:r>
      <w:r w:rsidR="008C4D9F" w:rsidRPr="007406B5">
        <w:rPr>
          <w:rFonts w:ascii="Times New Roman" w:hAnsi="Times New Roman"/>
          <w:i/>
          <w:iCs/>
        </w:rPr>
        <w:t>in a particular case where development is permissible with consent</w:t>
      </w:r>
      <w:r w:rsidR="008C4D9F" w:rsidRPr="007406B5">
        <w:rPr>
          <w:rFonts w:ascii="Times New Roman" w:hAnsi="Times New Roman"/>
        </w:rPr>
        <w:t>, is a matter for consideration by the consent authority in the first instance (subject to statutory forms of review and appeal) and does not require (or permit) determination by the court"</w:t>
      </w:r>
      <w:r w:rsidR="00DD2500" w:rsidRPr="007406B5">
        <w:rPr>
          <w:rFonts w:ascii="Times New Roman" w:hAnsi="Times New Roman"/>
        </w:rPr>
        <w:t>.</w:t>
      </w:r>
    </w:p>
    <w:p w14:paraId="5AA7B5FF" w14:textId="4EFAB91E" w:rsidR="00AD57A2" w:rsidRPr="007406B5" w:rsidRDefault="00F15E9F" w:rsidP="007406B5">
      <w:pPr>
        <w:pStyle w:val="FixListStyle"/>
        <w:spacing w:after="260" w:line="280" w:lineRule="exact"/>
        <w:ind w:right="0"/>
        <w:jc w:val="both"/>
        <w:rPr>
          <w:rFonts w:ascii="Times New Roman" w:hAnsi="Times New Roman"/>
        </w:rPr>
      </w:pPr>
      <w:r w:rsidRPr="007406B5">
        <w:rPr>
          <w:rFonts w:ascii="Times New Roman" w:hAnsi="Times New Roman"/>
        </w:rPr>
        <w:tab/>
      </w:r>
      <w:r w:rsidR="00F6511C" w:rsidRPr="007406B5">
        <w:rPr>
          <w:rFonts w:ascii="Times New Roman" w:hAnsi="Times New Roman"/>
        </w:rPr>
        <w:t>I</w:t>
      </w:r>
      <w:r w:rsidR="0097668F" w:rsidRPr="007406B5">
        <w:rPr>
          <w:rFonts w:ascii="Times New Roman" w:hAnsi="Times New Roman"/>
        </w:rPr>
        <w:t xml:space="preserve">n </w:t>
      </w:r>
      <w:r w:rsidR="001E3F5E" w:rsidRPr="007406B5">
        <w:rPr>
          <w:rFonts w:ascii="Times New Roman" w:hAnsi="Times New Roman"/>
          <w:i/>
          <w:iCs/>
        </w:rPr>
        <w:t xml:space="preserve">El Khouri </w:t>
      </w:r>
      <w:r w:rsidR="00C66FEF" w:rsidRPr="007406B5">
        <w:rPr>
          <w:rFonts w:ascii="Times New Roman" w:hAnsi="Times New Roman"/>
          <w:i/>
          <w:iCs/>
        </w:rPr>
        <w:t>v Gemaveld Pty Ltd</w:t>
      </w:r>
      <w:r w:rsidR="00C66FEF" w:rsidRPr="007406B5">
        <w:rPr>
          <w:rStyle w:val="FootnoteReference"/>
          <w:rFonts w:ascii="Times New Roman" w:hAnsi="Times New Roman"/>
          <w:sz w:val="24"/>
        </w:rPr>
        <w:footnoteReference w:id="15"/>
      </w:r>
      <w:r w:rsidR="00E45D24" w:rsidRPr="007406B5">
        <w:rPr>
          <w:rFonts w:ascii="Times New Roman" w:hAnsi="Times New Roman"/>
          <w:i/>
          <w:iCs/>
        </w:rPr>
        <w:t xml:space="preserve"> </w:t>
      </w:r>
      <w:r w:rsidR="00F6511C" w:rsidRPr="007406B5">
        <w:rPr>
          <w:rFonts w:ascii="Times New Roman" w:hAnsi="Times New Roman"/>
        </w:rPr>
        <w:t>n</w:t>
      </w:r>
      <w:r w:rsidR="004A6AD0" w:rsidRPr="007406B5">
        <w:rPr>
          <w:rFonts w:ascii="Times New Roman" w:hAnsi="Times New Roman"/>
        </w:rPr>
        <w:t xml:space="preserve">o application was made to the </w:t>
      </w:r>
      <w:r w:rsidR="00793267" w:rsidRPr="007406B5">
        <w:rPr>
          <w:rFonts w:ascii="Times New Roman" w:hAnsi="Times New Roman"/>
        </w:rPr>
        <w:t>Court</w:t>
      </w:r>
      <w:r w:rsidR="004A6AD0" w:rsidRPr="007406B5">
        <w:rPr>
          <w:rFonts w:ascii="Times New Roman" w:hAnsi="Times New Roman"/>
        </w:rPr>
        <w:t xml:space="preserve"> of Appeal to re-open</w:t>
      </w:r>
      <w:r w:rsidR="00793267" w:rsidRPr="007406B5">
        <w:rPr>
          <w:rFonts w:ascii="Times New Roman" w:hAnsi="Times New Roman"/>
        </w:rPr>
        <w:t xml:space="preserve"> </w:t>
      </w:r>
      <w:r w:rsidR="00793267" w:rsidRPr="007406B5">
        <w:rPr>
          <w:rFonts w:ascii="Times New Roman" w:hAnsi="Times New Roman"/>
          <w:i/>
          <w:iCs/>
        </w:rPr>
        <w:t>Ross v Lane</w:t>
      </w:r>
      <w:r w:rsidR="00793267" w:rsidRPr="007406B5">
        <w:rPr>
          <w:rFonts w:ascii="Times New Roman" w:hAnsi="Times New Roman"/>
        </w:rPr>
        <w:t>.</w:t>
      </w:r>
      <w:r w:rsidR="00793267" w:rsidRPr="007406B5">
        <w:rPr>
          <w:rStyle w:val="FootnoteReference"/>
          <w:rFonts w:ascii="Times New Roman" w:hAnsi="Times New Roman"/>
          <w:sz w:val="24"/>
        </w:rPr>
        <w:footnoteReference w:id="16"/>
      </w:r>
      <w:r w:rsidR="004A6AD0" w:rsidRPr="007406B5">
        <w:rPr>
          <w:rFonts w:ascii="Times New Roman" w:hAnsi="Times New Roman"/>
        </w:rPr>
        <w:t xml:space="preserve"> </w:t>
      </w:r>
      <w:r w:rsidR="00F94AEB" w:rsidRPr="007406B5">
        <w:rPr>
          <w:rFonts w:ascii="Times New Roman" w:hAnsi="Times New Roman"/>
        </w:rPr>
        <w:t>T</w:t>
      </w:r>
      <w:r w:rsidR="00793267" w:rsidRPr="007406B5">
        <w:rPr>
          <w:rFonts w:ascii="Times New Roman" w:hAnsi="Times New Roman"/>
        </w:rPr>
        <w:t xml:space="preserve">herefore, </w:t>
      </w:r>
      <w:r w:rsidR="00B41854" w:rsidRPr="007406B5">
        <w:rPr>
          <w:rFonts w:ascii="Times New Roman" w:hAnsi="Times New Roman"/>
        </w:rPr>
        <w:t>Leeming JA (with whom Gleeson and Adamson JJ</w:t>
      </w:r>
      <w:r w:rsidR="009C3B00" w:rsidRPr="007406B5">
        <w:rPr>
          <w:rFonts w:ascii="Times New Roman" w:hAnsi="Times New Roman"/>
        </w:rPr>
        <w:t>A</w:t>
      </w:r>
      <w:r w:rsidR="00B41854" w:rsidRPr="007406B5">
        <w:rPr>
          <w:rFonts w:ascii="Times New Roman" w:hAnsi="Times New Roman"/>
        </w:rPr>
        <w:t xml:space="preserve"> agreed)</w:t>
      </w:r>
      <w:r w:rsidR="00537296" w:rsidRPr="007406B5">
        <w:rPr>
          <w:rFonts w:ascii="Times New Roman" w:hAnsi="Times New Roman"/>
        </w:rPr>
        <w:t xml:space="preserve"> </w:t>
      </w:r>
      <w:r w:rsidR="00F94AEB" w:rsidRPr="007406B5">
        <w:rPr>
          <w:rFonts w:ascii="Times New Roman" w:hAnsi="Times New Roman"/>
        </w:rPr>
        <w:t>appl</w:t>
      </w:r>
      <w:r w:rsidR="00517607" w:rsidRPr="007406B5">
        <w:rPr>
          <w:rFonts w:ascii="Times New Roman" w:hAnsi="Times New Roman"/>
        </w:rPr>
        <w:t>ied</w:t>
      </w:r>
      <w:r w:rsidR="00F94AEB" w:rsidRPr="007406B5">
        <w:rPr>
          <w:rFonts w:ascii="Times New Roman" w:hAnsi="Times New Roman"/>
        </w:rPr>
        <w:t xml:space="preserve"> </w:t>
      </w:r>
      <w:r w:rsidR="00537296" w:rsidRPr="007406B5">
        <w:rPr>
          <w:rFonts w:ascii="Times New Roman" w:hAnsi="Times New Roman"/>
          <w:i/>
          <w:iCs/>
        </w:rPr>
        <w:t>Ross v Lane</w:t>
      </w:r>
      <w:r w:rsidR="00517607" w:rsidRPr="007406B5">
        <w:rPr>
          <w:rFonts w:ascii="Times New Roman" w:hAnsi="Times New Roman"/>
        </w:rPr>
        <w:t xml:space="preserve"> to</w:t>
      </w:r>
      <w:r w:rsidR="00537296" w:rsidRPr="007406B5">
        <w:rPr>
          <w:rFonts w:ascii="Times New Roman" w:hAnsi="Times New Roman"/>
        </w:rPr>
        <w:t xml:space="preserve"> </w:t>
      </w:r>
      <w:r w:rsidR="00D1107F" w:rsidRPr="007406B5">
        <w:rPr>
          <w:rFonts w:ascii="Times New Roman" w:hAnsi="Times New Roman"/>
        </w:rPr>
        <w:t xml:space="preserve">conclude that </w:t>
      </w:r>
      <w:r w:rsidR="00657F72" w:rsidRPr="007406B5">
        <w:rPr>
          <w:rFonts w:ascii="Times New Roman" w:hAnsi="Times New Roman"/>
        </w:rPr>
        <w:t xml:space="preserve">a </w:t>
      </w:r>
      <w:r w:rsidR="00D1107F" w:rsidRPr="007406B5">
        <w:rPr>
          <w:rFonts w:ascii="Times New Roman" w:hAnsi="Times New Roman"/>
        </w:rPr>
        <w:t xml:space="preserve">maximum height provision in </w:t>
      </w:r>
      <w:r w:rsidR="00DA5231" w:rsidRPr="007406B5">
        <w:rPr>
          <w:rFonts w:ascii="Times New Roman" w:hAnsi="Times New Roman"/>
        </w:rPr>
        <w:t xml:space="preserve">a </w:t>
      </w:r>
      <w:r w:rsidR="00517607" w:rsidRPr="007406B5">
        <w:rPr>
          <w:rFonts w:ascii="Times New Roman" w:hAnsi="Times New Roman"/>
        </w:rPr>
        <w:t xml:space="preserve">local environmental plan </w:t>
      </w:r>
      <w:r w:rsidR="00A33461" w:rsidRPr="007406B5">
        <w:rPr>
          <w:rFonts w:ascii="Times New Roman" w:hAnsi="Times New Roman"/>
        </w:rPr>
        <w:t xml:space="preserve">did not involve a question of jurisdictional fact </w:t>
      </w:r>
      <w:r w:rsidR="00517607" w:rsidRPr="007406B5">
        <w:rPr>
          <w:rFonts w:ascii="Times New Roman" w:hAnsi="Times New Roman"/>
        </w:rPr>
        <w:t>(</w:t>
      </w:r>
      <w:r w:rsidR="00A33461" w:rsidRPr="007406B5">
        <w:rPr>
          <w:rFonts w:ascii="Times New Roman" w:hAnsi="Times New Roman"/>
        </w:rPr>
        <w:t xml:space="preserve">but </w:t>
      </w:r>
      <w:r w:rsidR="00D1107F" w:rsidRPr="007406B5">
        <w:rPr>
          <w:rFonts w:ascii="Times New Roman" w:hAnsi="Times New Roman"/>
        </w:rPr>
        <w:t>was a rel</w:t>
      </w:r>
      <w:r w:rsidR="000D2CD4" w:rsidRPr="007406B5">
        <w:rPr>
          <w:rFonts w:ascii="Times New Roman" w:hAnsi="Times New Roman"/>
        </w:rPr>
        <w:t>e</w:t>
      </w:r>
      <w:r w:rsidR="00D1107F" w:rsidRPr="007406B5">
        <w:rPr>
          <w:rFonts w:ascii="Times New Roman" w:hAnsi="Times New Roman"/>
        </w:rPr>
        <w:t xml:space="preserve">vant consideration </w:t>
      </w:r>
      <w:r w:rsidR="000D2CD4" w:rsidRPr="007406B5">
        <w:rPr>
          <w:rFonts w:ascii="Times New Roman" w:hAnsi="Times New Roman"/>
        </w:rPr>
        <w:t>under</w:t>
      </w:r>
      <w:r w:rsidR="00D1107F" w:rsidRPr="007406B5">
        <w:rPr>
          <w:rFonts w:ascii="Times New Roman" w:hAnsi="Times New Roman"/>
        </w:rPr>
        <w:t xml:space="preserve"> </w:t>
      </w:r>
      <w:r w:rsidR="000D2CD4" w:rsidRPr="007406B5">
        <w:rPr>
          <w:rFonts w:ascii="Times New Roman" w:hAnsi="Times New Roman"/>
        </w:rPr>
        <w:t>s 4.15(1)(a) of the EPA Act</w:t>
      </w:r>
      <w:r w:rsidR="00517607" w:rsidRPr="007406B5">
        <w:rPr>
          <w:rFonts w:ascii="Times New Roman" w:hAnsi="Times New Roman"/>
        </w:rPr>
        <w:t>)</w:t>
      </w:r>
      <w:r w:rsidR="000D2CD4" w:rsidRPr="007406B5">
        <w:rPr>
          <w:rFonts w:ascii="Times New Roman" w:hAnsi="Times New Roman"/>
        </w:rPr>
        <w:t>.</w:t>
      </w:r>
      <w:r w:rsidR="00A45D3B" w:rsidRPr="007406B5">
        <w:rPr>
          <w:rFonts w:ascii="Times New Roman" w:hAnsi="Times New Roman"/>
        </w:rPr>
        <w:t xml:space="preserve"> </w:t>
      </w:r>
      <w:r w:rsidR="00A33461" w:rsidRPr="007406B5">
        <w:rPr>
          <w:rFonts w:ascii="Times New Roman" w:hAnsi="Times New Roman"/>
        </w:rPr>
        <w:t xml:space="preserve">It followed </w:t>
      </w:r>
      <w:r w:rsidR="00517607" w:rsidRPr="007406B5">
        <w:rPr>
          <w:rFonts w:ascii="Times New Roman" w:hAnsi="Times New Roman"/>
        </w:rPr>
        <w:t xml:space="preserve">from this conclusion </w:t>
      </w:r>
      <w:r w:rsidR="00A33461" w:rsidRPr="007406B5">
        <w:rPr>
          <w:rFonts w:ascii="Times New Roman" w:hAnsi="Times New Roman"/>
        </w:rPr>
        <w:t xml:space="preserve">that </w:t>
      </w:r>
      <w:r w:rsidR="00A45D3B" w:rsidRPr="007406B5">
        <w:rPr>
          <w:rFonts w:ascii="Times New Roman" w:hAnsi="Times New Roman"/>
        </w:rPr>
        <w:t xml:space="preserve">compliance with the maximum height provision </w:t>
      </w:r>
      <w:r w:rsidR="00FB380D" w:rsidRPr="007406B5">
        <w:rPr>
          <w:rFonts w:ascii="Times New Roman" w:hAnsi="Times New Roman"/>
        </w:rPr>
        <w:t xml:space="preserve">would have been </w:t>
      </w:r>
      <w:r w:rsidR="00DB26C0" w:rsidRPr="007406B5">
        <w:rPr>
          <w:rFonts w:ascii="Times New Roman" w:hAnsi="Times New Roman"/>
        </w:rPr>
        <w:t>a</w:t>
      </w:r>
      <w:r w:rsidR="00A45D3B" w:rsidRPr="007406B5">
        <w:rPr>
          <w:rFonts w:ascii="Times New Roman" w:hAnsi="Times New Roman"/>
        </w:rPr>
        <w:t xml:space="preserve"> matter for the opinion of the consent authority</w:t>
      </w:r>
      <w:r w:rsidR="00B34F27" w:rsidRPr="007406B5">
        <w:rPr>
          <w:rFonts w:ascii="Times New Roman" w:hAnsi="Times New Roman"/>
        </w:rPr>
        <w:t>.</w:t>
      </w:r>
      <w:r w:rsidR="00A33461" w:rsidRPr="007406B5">
        <w:rPr>
          <w:rStyle w:val="FootnoteReference"/>
          <w:rFonts w:ascii="Times New Roman" w:hAnsi="Times New Roman"/>
          <w:sz w:val="24"/>
        </w:rPr>
        <w:footnoteReference w:id="17"/>
      </w:r>
      <w:r w:rsidR="00A45D3B" w:rsidRPr="007406B5">
        <w:rPr>
          <w:rFonts w:ascii="Times New Roman" w:hAnsi="Times New Roman"/>
        </w:rPr>
        <w:t xml:space="preserve"> </w:t>
      </w:r>
    </w:p>
    <w:p w14:paraId="33341018" w14:textId="79DB34DE" w:rsidR="007677F7" w:rsidRPr="007406B5" w:rsidRDefault="00AD57A2" w:rsidP="007406B5">
      <w:pPr>
        <w:pStyle w:val="FixListStyle"/>
        <w:spacing w:after="260" w:line="280" w:lineRule="exact"/>
        <w:ind w:right="0"/>
        <w:jc w:val="both"/>
        <w:rPr>
          <w:rFonts w:ascii="Times New Roman" w:hAnsi="Times New Roman"/>
        </w:rPr>
      </w:pPr>
      <w:r w:rsidRPr="007406B5">
        <w:rPr>
          <w:rFonts w:ascii="Times New Roman" w:hAnsi="Times New Roman"/>
        </w:rPr>
        <w:lastRenderedPageBreak/>
        <w:tab/>
      </w:r>
      <w:r w:rsidR="00E603B4" w:rsidRPr="007406B5">
        <w:rPr>
          <w:rFonts w:ascii="Times New Roman" w:hAnsi="Times New Roman"/>
        </w:rPr>
        <w:t xml:space="preserve">Subsequently, </w:t>
      </w:r>
      <w:r w:rsidR="006013E4" w:rsidRPr="007406B5">
        <w:rPr>
          <w:rFonts w:ascii="Times New Roman" w:hAnsi="Times New Roman"/>
        </w:rPr>
        <w:t xml:space="preserve">in </w:t>
      </w:r>
      <w:r w:rsidR="00E603B4" w:rsidRPr="007406B5">
        <w:rPr>
          <w:rFonts w:ascii="Times New Roman" w:hAnsi="Times New Roman"/>
          <w:i/>
          <w:iCs/>
        </w:rPr>
        <w:t>Bingman Catchment Landcare Group Inc v Bowdens Silver Pty Ltd</w:t>
      </w:r>
      <w:r w:rsidR="00BC0584" w:rsidRPr="007406B5">
        <w:rPr>
          <w:rFonts w:ascii="Times New Roman" w:hAnsi="Times New Roman"/>
          <w:i/>
          <w:iCs/>
        </w:rPr>
        <w:t xml:space="preserve"> </w:t>
      </w:r>
      <w:r w:rsidR="00BC0584" w:rsidRPr="007406B5">
        <w:rPr>
          <w:rFonts w:ascii="Times New Roman" w:hAnsi="Times New Roman"/>
        </w:rPr>
        <w:t>("</w:t>
      </w:r>
      <w:r w:rsidR="00BC0584" w:rsidRPr="007406B5">
        <w:rPr>
          <w:rFonts w:ascii="Times New Roman" w:hAnsi="Times New Roman"/>
          <w:i/>
          <w:iCs/>
        </w:rPr>
        <w:t>Bingman</w:t>
      </w:r>
      <w:r w:rsidR="00BC0584" w:rsidRPr="007406B5">
        <w:rPr>
          <w:rFonts w:ascii="Times New Roman" w:hAnsi="Times New Roman"/>
        </w:rPr>
        <w:t>")</w:t>
      </w:r>
      <w:r w:rsidR="004216BF" w:rsidRPr="007406B5">
        <w:rPr>
          <w:rFonts w:ascii="Times New Roman" w:hAnsi="Times New Roman"/>
        </w:rPr>
        <w:t>,</w:t>
      </w:r>
      <w:r w:rsidR="00E603B4" w:rsidRPr="007406B5">
        <w:rPr>
          <w:rStyle w:val="FootnoteReference"/>
          <w:rFonts w:ascii="Times New Roman" w:hAnsi="Times New Roman"/>
          <w:sz w:val="24"/>
        </w:rPr>
        <w:footnoteReference w:id="18"/>
      </w:r>
      <w:r w:rsidR="001B0AD7" w:rsidRPr="007406B5">
        <w:rPr>
          <w:rFonts w:ascii="Times New Roman" w:hAnsi="Times New Roman"/>
        </w:rPr>
        <w:t xml:space="preserve"> </w:t>
      </w:r>
      <w:r w:rsidR="005541B2" w:rsidRPr="007406B5">
        <w:rPr>
          <w:rFonts w:ascii="Times New Roman" w:hAnsi="Times New Roman"/>
        </w:rPr>
        <w:t>White</w:t>
      </w:r>
      <w:r w:rsidR="00C54CF0" w:rsidRPr="007406B5">
        <w:rPr>
          <w:rFonts w:ascii="Times New Roman" w:hAnsi="Times New Roman"/>
        </w:rPr>
        <w:t> </w:t>
      </w:r>
      <w:r w:rsidR="005541B2" w:rsidRPr="007406B5">
        <w:rPr>
          <w:rFonts w:ascii="Times New Roman" w:hAnsi="Times New Roman"/>
        </w:rPr>
        <w:t>JA</w:t>
      </w:r>
      <w:r w:rsidR="007938FF" w:rsidRPr="007406B5">
        <w:rPr>
          <w:rFonts w:ascii="Times New Roman" w:hAnsi="Times New Roman"/>
        </w:rPr>
        <w:t xml:space="preserve"> </w:t>
      </w:r>
      <w:r w:rsidR="00C62F4F" w:rsidRPr="007406B5">
        <w:rPr>
          <w:rFonts w:ascii="Times New Roman" w:hAnsi="Times New Roman"/>
        </w:rPr>
        <w:t>observed that "the fact that the chapeau to s 4.15(1) refers to the consent authority's consideration of the matters in that subsection provides textual support for Basten AJA's analysis"</w:t>
      </w:r>
      <w:r w:rsidR="004B10E8" w:rsidRPr="007406B5">
        <w:rPr>
          <w:rFonts w:ascii="Times New Roman" w:hAnsi="Times New Roman"/>
        </w:rPr>
        <w:t>.</w:t>
      </w:r>
      <w:r w:rsidR="005541B2" w:rsidRPr="007406B5">
        <w:rPr>
          <w:rStyle w:val="FootnoteReference"/>
          <w:rFonts w:ascii="Times New Roman" w:hAnsi="Times New Roman"/>
          <w:sz w:val="24"/>
        </w:rPr>
        <w:footnoteReference w:id="19"/>
      </w:r>
    </w:p>
    <w:p w14:paraId="4D4E81D2" w14:textId="6A4D0932" w:rsidR="00321563" w:rsidRPr="007406B5" w:rsidRDefault="00321563" w:rsidP="007406B5">
      <w:pPr>
        <w:pStyle w:val="FixListStyle"/>
        <w:spacing w:after="260" w:line="280" w:lineRule="exact"/>
        <w:ind w:right="0"/>
        <w:jc w:val="both"/>
        <w:rPr>
          <w:rFonts w:ascii="Times New Roman" w:hAnsi="Times New Roman"/>
        </w:rPr>
      </w:pPr>
      <w:r w:rsidRPr="007406B5">
        <w:rPr>
          <w:rFonts w:ascii="Times New Roman" w:hAnsi="Times New Roman"/>
        </w:rPr>
        <w:tab/>
      </w:r>
      <w:r w:rsidR="00441082" w:rsidRPr="007406B5">
        <w:rPr>
          <w:rFonts w:ascii="Times New Roman" w:hAnsi="Times New Roman"/>
        </w:rPr>
        <w:t>MACH</w:t>
      </w:r>
      <w:r w:rsidR="0031050B" w:rsidRPr="007406B5">
        <w:rPr>
          <w:rFonts w:ascii="Times New Roman" w:hAnsi="Times New Roman"/>
        </w:rPr>
        <w:t xml:space="preserve"> submitted that the effect of the reasoning </w:t>
      </w:r>
      <w:r w:rsidR="007D5441" w:rsidRPr="007406B5">
        <w:rPr>
          <w:rFonts w:ascii="Times New Roman" w:hAnsi="Times New Roman"/>
        </w:rPr>
        <w:t xml:space="preserve">in </w:t>
      </w:r>
      <w:r w:rsidR="00AD57A2" w:rsidRPr="007406B5">
        <w:rPr>
          <w:rFonts w:ascii="Times New Roman" w:hAnsi="Times New Roman"/>
          <w:i/>
          <w:iCs/>
        </w:rPr>
        <w:t>Ross v Lane</w:t>
      </w:r>
      <w:r w:rsidR="00AD57A2" w:rsidRPr="007406B5">
        <w:rPr>
          <w:rFonts w:ascii="Times New Roman" w:hAnsi="Times New Roman"/>
        </w:rPr>
        <w:t xml:space="preserve"> </w:t>
      </w:r>
      <w:r w:rsidR="0031050B" w:rsidRPr="007406B5">
        <w:rPr>
          <w:rFonts w:ascii="Times New Roman" w:hAnsi="Times New Roman"/>
        </w:rPr>
        <w:t>was that, properly construed, s 4.15(1) of the EPA Act means "</w:t>
      </w:r>
      <w:r w:rsidR="00E5124B" w:rsidRPr="007406B5">
        <w:rPr>
          <w:rFonts w:ascii="Times New Roman" w:hAnsi="Times New Roman"/>
        </w:rPr>
        <w:t>[i]n determining a development application, a consent authority is to take into consideration such of the following matters as</w:t>
      </w:r>
      <w:r w:rsidR="00221C52" w:rsidRPr="007406B5">
        <w:rPr>
          <w:rFonts w:ascii="Times New Roman" w:hAnsi="Times New Roman"/>
        </w:rPr>
        <w:t xml:space="preserve"> are</w:t>
      </w:r>
      <w:r w:rsidR="00E5124B" w:rsidRPr="007406B5">
        <w:rPr>
          <w:rFonts w:ascii="Times New Roman" w:hAnsi="Times New Roman"/>
        </w:rPr>
        <w:t xml:space="preserve">, </w:t>
      </w:r>
      <w:r w:rsidR="00E5124B" w:rsidRPr="007406B5">
        <w:rPr>
          <w:rFonts w:ascii="Times New Roman" w:hAnsi="Times New Roman"/>
          <w:i/>
          <w:iCs/>
        </w:rPr>
        <w:t>in the opinion of the consent authority</w:t>
      </w:r>
      <w:r w:rsidR="00E5124B" w:rsidRPr="007406B5">
        <w:rPr>
          <w:rFonts w:ascii="Times New Roman" w:hAnsi="Times New Roman"/>
        </w:rPr>
        <w:t xml:space="preserve">, of relevance to the development the subject of the development application". </w:t>
      </w:r>
      <w:r w:rsidR="00202C2A" w:rsidRPr="007406B5">
        <w:rPr>
          <w:rFonts w:ascii="Times New Roman" w:hAnsi="Times New Roman"/>
        </w:rPr>
        <w:t xml:space="preserve">While White JA in </w:t>
      </w:r>
      <w:r w:rsidR="00202C2A" w:rsidRPr="007406B5">
        <w:rPr>
          <w:rFonts w:ascii="Times New Roman" w:hAnsi="Times New Roman"/>
          <w:i/>
          <w:iCs/>
        </w:rPr>
        <w:t>Bingman</w:t>
      </w:r>
      <w:r w:rsidR="00202C2A" w:rsidRPr="007406B5">
        <w:rPr>
          <w:rFonts w:ascii="Times New Roman" w:hAnsi="Times New Roman"/>
        </w:rPr>
        <w:t xml:space="preserve"> </w:t>
      </w:r>
      <w:r w:rsidR="00365EF1" w:rsidRPr="007406B5">
        <w:rPr>
          <w:rFonts w:ascii="Times New Roman" w:hAnsi="Times New Roman"/>
        </w:rPr>
        <w:t xml:space="preserve">may </w:t>
      </w:r>
      <w:r w:rsidR="00925CEF" w:rsidRPr="007406B5">
        <w:rPr>
          <w:rFonts w:ascii="Times New Roman" w:hAnsi="Times New Roman"/>
        </w:rPr>
        <w:t xml:space="preserve">appear to have </w:t>
      </w:r>
      <w:r w:rsidR="00202C2A" w:rsidRPr="007406B5">
        <w:rPr>
          <w:rFonts w:ascii="Times New Roman" w:hAnsi="Times New Roman"/>
        </w:rPr>
        <w:t>expressly rejected that proposition</w:t>
      </w:r>
      <w:r w:rsidR="00925CEF" w:rsidRPr="007406B5">
        <w:rPr>
          <w:rFonts w:ascii="Times New Roman" w:hAnsi="Times New Roman"/>
        </w:rPr>
        <w:t>,</w:t>
      </w:r>
      <w:r w:rsidR="00202C2A" w:rsidRPr="007406B5">
        <w:rPr>
          <w:rStyle w:val="FootnoteReference"/>
          <w:rFonts w:ascii="Times New Roman" w:hAnsi="Times New Roman"/>
          <w:sz w:val="24"/>
        </w:rPr>
        <w:footnoteReference w:id="20"/>
      </w:r>
      <w:r w:rsidR="00925CEF" w:rsidRPr="007406B5">
        <w:rPr>
          <w:rFonts w:ascii="Times New Roman" w:hAnsi="Times New Roman"/>
        </w:rPr>
        <w:t xml:space="preserve"> </w:t>
      </w:r>
      <w:r w:rsidR="00301265" w:rsidRPr="007406B5">
        <w:rPr>
          <w:rFonts w:ascii="Times New Roman" w:hAnsi="Times New Roman"/>
        </w:rPr>
        <w:t xml:space="preserve">one </w:t>
      </w:r>
      <w:r w:rsidR="00925CEF" w:rsidRPr="007406B5">
        <w:rPr>
          <w:rFonts w:ascii="Times New Roman" w:hAnsi="Times New Roman"/>
        </w:rPr>
        <w:t xml:space="preserve">reading of his Honour's reasons is that </w:t>
      </w:r>
      <w:r w:rsidR="00A44193" w:rsidRPr="007406B5">
        <w:rPr>
          <w:rFonts w:ascii="Times New Roman" w:hAnsi="Times New Roman"/>
        </w:rPr>
        <w:t xml:space="preserve">he considered that </w:t>
      </w:r>
      <w:r w:rsidR="00925CEF" w:rsidRPr="007406B5">
        <w:rPr>
          <w:rFonts w:ascii="Times New Roman" w:hAnsi="Times New Roman"/>
        </w:rPr>
        <w:t>s 4.15(1) of the EP</w:t>
      </w:r>
      <w:r w:rsidR="00107B5B" w:rsidRPr="007406B5">
        <w:rPr>
          <w:rFonts w:ascii="Times New Roman" w:hAnsi="Times New Roman"/>
        </w:rPr>
        <w:t>A</w:t>
      </w:r>
      <w:r w:rsidR="00925CEF" w:rsidRPr="007406B5">
        <w:rPr>
          <w:rFonts w:ascii="Times New Roman" w:hAnsi="Times New Roman"/>
        </w:rPr>
        <w:t xml:space="preserve"> Act is to be so construed </w:t>
      </w:r>
      <w:r w:rsidR="00107B5B" w:rsidRPr="007406B5">
        <w:rPr>
          <w:rFonts w:ascii="Times New Roman" w:hAnsi="Times New Roman"/>
        </w:rPr>
        <w:t xml:space="preserve">but </w:t>
      </w:r>
      <w:r w:rsidR="00AD4BD0" w:rsidRPr="007406B5">
        <w:rPr>
          <w:rFonts w:ascii="Times New Roman" w:hAnsi="Times New Roman"/>
        </w:rPr>
        <w:t xml:space="preserve">that </w:t>
      </w:r>
      <w:r w:rsidR="00107B5B" w:rsidRPr="007406B5">
        <w:rPr>
          <w:rFonts w:ascii="Times New Roman" w:hAnsi="Times New Roman"/>
        </w:rPr>
        <w:t>such a construction</w:t>
      </w:r>
      <w:r w:rsidR="00A44193" w:rsidRPr="007406B5">
        <w:rPr>
          <w:rFonts w:ascii="Times New Roman" w:hAnsi="Times New Roman"/>
        </w:rPr>
        <w:t xml:space="preserve"> did</w:t>
      </w:r>
      <w:r w:rsidR="00107B5B" w:rsidRPr="007406B5">
        <w:rPr>
          <w:rFonts w:ascii="Times New Roman" w:hAnsi="Times New Roman"/>
        </w:rPr>
        <w:t xml:space="preserve"> not involve the impermissible addition of words into that provision.</w:t>
      </w:r>
      <w:r w:rsidR="00C878AD" w:rsidRPr="007406B5">
        <w:rPr>
          <w:rFonts w:ascii="Times New Roman" w:hAnsi="Times New Roman"/>
        </w:rPr>
        <w:t xml:space="preserve"> </w:t>
      </w:r>
      <w:r w:rsidR="0093538A" w:rsidRPr="007406B5">
        <w:rPr>
          <w:rFonts w:ascii="Times New Roman" w:hAnsi="Times New Roman"/>
        </w:rPr>
        <w:t xml:space="preserve">MACH's contention in this appeal </w:t>
      </w:r>
      <w:r w:rsidR="004F1EEC" w:rsidRPr="007406B5">
        <w:rPr>
          <w:rFonts w:ascii="Times New Roman" w:hAnsi="Times New Roman"/>
        </w:rPr>
        <w:t xml:space="preserve">assumes this </w:t>
      </w:r>
      <w:r w:rsidR="000F5DC7" w:rsidRPr="007406B5">
        <w:rPr>
          <w:rFonts w:ascii="Times New Roman" w:hAnsi="Times New Roman"/>
        </w:rPr>
        <w:t xml:space="preserve">reading of White JA's reasons </w:t>
      </w:r>
      <w:r w:rsidR="004F1EEC" w:rsidRPr="007406B5">
        <w:rPr>
          <w:rFonts w:ascii="Times New Roman" w:hAnsi="Times New Roman"/>
        </w:rPr>
        <w:t xml:space="preserve">and calls in aid </w:t>
      </w:r>
      <w:r w:rsidR="004F1EEC" w:rsidRPr="007406B5">
        <w:rPr>
          <w:rFonts w:ascii="Times New Roman" w:hAnsi="Times New Roman"/>
          <w:i/>
          <w:iCs/>
        </w:rPr>
        <w:t>Ross v Lane</w:t>
      </w:r>
      <w:r w:rsidR="004F1EEC" w:rsidRPr="007406B5">
        <w:rPr>
          <w:rFonts w:ascii="Times New Roman" w:hAnsi="Times New Roman"/>
        </w:rPr>
        <w:t xml:space="preserve"> to </w:t>
      </w:r>
      <w:r w:rsidR="0018047B" w:rsidRPr="007406B5">
        <w:rPr>
          <w:rFonts w:ascii="Times New Roman" w:hAnsi="Times New Roman"/>
        </w:rPr>
        <w:t xml:space="preserve">undermine the reasoning of the Court of Appeal and </w:t>
      </w:r>
      <w:r w:rsidR="00A856A5" w:rsidRPr="007406B5">
        <w:rPr>
          <w:rFonts w:ascii="Times New Roman" w:hAnsi="Times New Roman"/>
        </w:rPr>
        <w:t>DAMSHEG's notice of contention.</w:t>
      </w:r>
    </w:p>
    <w:p w14:paraId="4DCF5978" w14:textId="2A599DCC" w:rsidR="00BB5A07" w:rsidRPr="007406B5" w:rsidRDefault="00BB5A07" w:rsidP="007406B5">
      <w:pPr>
        <w:pStyle w:val="HeadingL2"/>
        <w:spacing w:after="260" w:line="280" w:lineRule="exact"/>
        <w:ind w:right="0"/>
        <w:jc w:val="both"/>
        <w:rPr>
          <w:rFonts w:ascii="Times New Roman" w:hAnsi="Times New Roman"/>
        </w:rPr>
      </w:pPr>
      <w:r w:rsidRPr="007406B5">
        <w:rPr>
          <w:rFonts w:ascii="Times New Roman" w:hAnsi="Times New Roman"/>
        </w:rPr>
        <w:t>The text</w:t>
      </w:r>
      <w:r w:rsidR="0086759C" w:rsidRPr="007406B5">
        <w:rPr>
          <w:rFonts w:ascii="Times New Roman" w:hAnsi="Times New Roman"/>
        </w:rPr>
        <w:t>, context and purpose</w:t>
      </w:r>
      <w:r w:rsidRPr="007406B5">
        <w:rPr>
          <w:rFonts w:ascii="Times New Roman" w:hAnsi="Times New Roman"/>
        </w:rPr>
        <w:t xml:space="preserve"> of s 4.15(1)</w:t>
      </w:r>
      <w:r w:rsidR="008F2E2A" w:rsidRPr="007406B5">
        <w:rPr>
          <w:rFonts w:ascii="Times New Roman" w:hAnsi="Times New Roman"/>
        </w:rPr>
        <w:t>(a)(i)</w:t>
      </w:r>
      <w:r w:rsidRPr="007406B5">
        <w:rPr>
          <w:rFonts w:ascii="Times New Roman" w:hAnsi="Times New Roman"/>
        </w:rPr>
        <w:t xml:space="preserve"> of the EPA Act</w:t>
      </w:r>
    </w:p>
    <w:p w14:paraId="1766EA79" w14:textId="0EE843AA" w:rsidR="00206536" w:rsidRPr="007406B5" w:rsidRDefault="00BB5A07" w:rsidP="007406B5">
      <w:pPr>
        <w:pStyle w:val="FixListStyle"/>
        <w:spacing w:after="260" w:line="280" w:lineRule="exact"/>
        <w:ind w:right="0"/>
        <w:jc w:val="both"/>
        <w:rPr>
          <w:rFonts w:ascii="Times New Roman" w:hAnsi="Times New Roman"/>
        </w:rPr>
      </w:pPr>
      <w:r w:rsidRPr="007406B5">
        <w:rPr>
          <w:rFonts w:ascii="Times New Roman" w:hAnsi="Times New Roman"/>
        </w:rPr>
        <w:tab/>
      </w:r>
      <w:r w:rsidR="003F70C8" w:rsidRPr="007406B5">
        <w:rPr>
          <w:rFonts w:ascii="Times New Roman" w:hAnsi="Times New Roman"/>
        </w:rPr>
        <w:t>T</w:t>
      </w:r>
      <w:r w:rsidR="00071B14" w:rsidRPr="007406B5">
        <w:rPr>
          <w:rFonts w:ascii="Times New Roman" w:hAnsi="Times New Roman"/>
        </w:rPr>
        <w:t xml:space="preserve">he language of </w:t>
      </w:r>
      <w:r w:rsidR="006B11C6" w:rsidRPr="007406B5">
        <w:rPr>
          <w:rFonts w:ascii="Times New Roman" w:hAnsi="Times New Roman"/>
        </w:rPr>
        <w:t xml:space="preserve">s 4.15(1), in requiring the consent authority to consider </w:t>
      </w:r>
      <w:r w:rsidR="004739DD" w:rsidRPr="007406B5">
        <w:rPr>
          <w:rFonts w:ascii="Times New Roman" w:hAnsi="Times New Roman"/>
        </w:rPr>
        <w:t xml:space="preserve">such of </w:t>
      </w:r>
      <w:r w:rsidR="003F70C8" w:rsidRPr="007406B5">
        <w:rPr>
          <w:rFonts w:ascii="Times New Roman" w:hAnsi="Times New Roman"/>
        </w:rPr>
        <w:t xml:space="preserve">the </w:t>
      </w:r>
      <w:r w:rsidR="009B4811" w:rsidRPr="007406B5">
        <w:rPr>
          <w:rFonts w:ascii="Times New Roman" w:hAnsi="Times New Roman"/>
        </w:rPr>
        <w:t xml:space="preserve">specified </w:t>
      </w:r>
      <w:r w:rsidR="006B11C6" w:rsidRPr="007406B5">
        <w:rPr>
          <w:rFonts w:ascii="Times New Roman" w:hAnsi="Times New Roman"/>
        </w:rPr>
        <w:t xml:space="preserve">matters "as are of relevance to" the development, </w:t>
      </w:r>
      <w:r w:rsidR="00D02530" w:rsidRPr="007406B5">
        <w:rPr>
          <w:rFonts w:ascii="Times New Roman" w:hAnsi="Times New Roman"/>
        </w:rPr>
        <w:t xml:space="preserve">does not </w:t>
      </w:r>
      <w:r w:rsidR="00E077ED" w:rsidRPr="007406B5">
        <w:rPr>
          <w:rFonts w:ascii="Times New Roman" w:hAnsi="Times New Roman"/>
        </w:rPr>
        <w:t xml:space="preserve">consign </w:t>
      </w:r>
      <w:r w:rsidR="00D02530" w:rsidRPr="007406B5">
        <w:rPr>
          <w:rFonts w:ascii="Times New Roman" w:hAnsi="Times New Roman"/>
        </w:rPr>
        <w:t>the question of</w:t>
      </w:r>
      <w:r w:rsidR="009B4811" w:rsidRPr="007406B5">
        <w:rPr>
          <w:rFonts w:ascii="Times New Roman" w:hAnsi="Times New Roman"/>
        </w:rPr>
        <w:t xml:space="preserve"> the </w:t>
      </w:r>
      <w:r w:rsidR="00D02530" w:rsidRPr="007406B5">
        <w:rPr>
          <w:rFonts w:ascii="Times New Roman" w:hAnsi="Times New Roman"/>
        </w:rPr>
        <w:t xml:space="preserve">relevance </w:t>
      </w:r>
      <w:r w:rsidR="00350CEE" w:rsidRPr="007406B5">
        <w:rPr>
          <w:rFonts w:ascii="Times New Roman" w:hAnsi="Times New Roman"/>
        </w:rPr>
        <w:t xml:space="preserve">of those matters </w:t>
      </w:r>
      <w:r w:rsidR="00351080" w:rsidRPr="007406B5">
        <w:rPr>
          <w:rFonts w:ascii="Times New Roman" w:hAnsi="Times New Roman"/>
        </w:rPr>
        <w:t xml:space="preserve">as specified </w:t>
      </w:r>
      <w:r w:rsidR="00D02530" w:rsidRPr="007406B5">
        <w:rPr>
          <w:rFonts w:ascii="Times New Roman" w:hAnsi="Times New Roman"/>
        </w:rPr>
        <w:t>to the consent authority's "</w:t>
      </w:r>
      <w:r w:rsidR="006B11C6" w:rsidRPr="007406B5">
        <w:rPr>
          <w:rFonts w:ascii="Times New Roman" w:hAnsi="Times New Roman"/>
        </w:rPr>
        <w:t>own classification of the relevant circumstances</w:t>
      </w:r>
      <w:r w:rsidR="00D02530" w:rsidRPr="007406B5">
        <w:rPr>
          <w:rFonts w:ascii="Times New Roman" w:hAnsi="Times New Roman"/>
        </w:rPr>
        <w:t>".</w:t>
      </w:r>
      <w:r w:rsidR="00D02530" w:rsidRPr="007406B5">
        <w:rPr>
          <w:rStyle w:val="FootnoteReference"/>
          <w:rFonts w:ascii="Times New Roman" w:hAnsi="Times New Roman"/>
          <w:sz w:val="24"/>
        </w:rPr>
        <w:footnoteReference w:id="21"/>
      </w:r>
      <w:r w:rsidR="009B4811" w:rsidRPr="007406B5">
        <w:rPr>
          <w:rFonts w:ascii="Times New Roman" w:hAnsi="Times New Roman"/>
        </w:rPr>
        <w:t xml:space="preserve"> </w:t>
      </w:r>
      <w:r w:rsidR="00AF3FD1" w:rsidRPr="007406B5">
        <w:rPr>
          <w:rFonts w:ascii="Times New Roman" w:hAnsi="Times New Roman"/>
        </w:rPr>
        <w:t xml:space="preserve">That is, </w:t>
      </w:r>
      <w:r w:rsidR="009B4811" w:rsidRPr="007406B5">
        <w:rPr>
          <w:rFonts w:ascii="Times New Roman" w:hAnsi="Times New Roman"/>
        </w:rPr>
        <w:t>the terms of s 4.15(1)(a)-</w:t>
      </w:r>
      <w:r w:rsidR="00AF3FD1" w:rsidRPr="007406B5">
        <w:rPr>
          <w:rFonts w:ascii="Times New Roman" w:hAnsi="Times New Roman"/>
        </w:rPr>
        <w:t xml:space="preserve">(e) </w:t>
      </w:r>
      <w:r w:rsidR="00B42213" w:rsidRPr="007406B5">
        <w:rPr>
          <w:rFonts w:ascii="Times New Roman" w:hAnsi="Times New Roman"/>
        </w:rPr>
        <w:t xml:space="preserve">impose on the consent authority a duty to consider </w:t>
      </w:r>
      <w:r w:rsidR="009B0995" w:rsidRPr="007406B5">
        <w:rPr>
          <w:rFonts w:ascii="Times New Roman" w:hAnsi="Times New Roman"/>
        </w:rPr>
        <w:t xml:space="preserve">such of the </w:t>
      </w:r>
      <w:r w:rsidR="0082068A" w:rsidRPr="007406B5">
        <w:rPr>
          <w:rFonts w:ascii="Times New Roman" w:hAnsi="Times New Roman"/>
        </w:rPr>
        <w:t>specified matter</w:t>
      </w:r>
      <w:r w:rsidR="009B0995" w:rsidRPr="007406B5">
        <w:rPr>
          <w:rFonts w:ascii="Times New Roman" w:hAnsi="Times New Roman"/>
        </w:rPr>
        <w:t>s</w:t>
      </w:r>
      <w:r w:rsidR="0082068A" w:rsidRPr="007406B5">
        <w:rPr>
          <w:rFonts w:ascii="Times New Roman" w:hAnsi="Times New Roman"/>
        </w:rPr>
        <w:t xml:space="preserve"> </w:t>
      </w:r>
      <w:r w:rsidR="000C0EB0" w:rsidRPr="007406B5">
        <w:rPr>
          <w:rFonts w:ascii="Times New Roman" w:hAnsi="Times New Roman"/>
        </w:rPr>
        <w:t xml:space="preserve">as are objectively </w:t>
      </w:r>
      <w:r w:rsidR="0082068A" w:rsidRPr="007406B5">
        <w:rPr>
          <w:rFonts w:ascii="Times New Roman" w:hAnsi="Times New Roman"/>
        </w:rPr>
        <w:t>"of relevance" to the development the subject of the development application.</w:t>
      </w:r>
    </w:p>
    <w:p w14:paraId="0DBA6357" w14:textId="4D5E7A2A" w:rsidR="00706D8B" w:rsidRPr="007406B5" w:rsidRDefault="00027E39" w:rsidP="007406B5">
      <w:pPr>
        <w:pStyle w:val="FixListStyle"/>
        <w:spacing w:after="260" w:line="280" w:lineRule="exact"/>
        <w:ind w:right="0"/>
        <w:jc w:val="both"/>
        <w:rPr>
          <w:rFonts w:ascii="Times New Roman" w:hAnsi="Times New Roman"/>
        </w:rPr>
      </w:pPr>
      <w:r w:rsidRPr="007406B5">
        <w:rPr>
          <w:rFonts w:ascii="Times New Roman" w:hAnsi="Times New Roman"/>
        </w:rPr>
        <w:tab/>
      </w:r>
      <w:r w:rsidR="006F1B6B" w:rsidRPr="007406B5">
        <w:rPr>
          <w:rFonts w:ascii="Times New Roman" w:hAnsi="Times New Roman"/>
        </w:rPr>
        <w:t xml:space="preserve">Insofar as </w:t>
      </w:r>
      <w:r w:rsidR="002F6A62" w:rsidRPr="007406B5">
        <w:rPr>
          <w:rFonts w:ascii="Times New Roman" w:hAnsi="Times New Roman"/>
        </w:rPr>
        <w:t>s 4.15(1)(a)</w:t>
      </w:r>
      <w:r w:rsidR="00B70B71" w:rsidRPr="007406B5">
        <w:rPr>
          <w:rFonts w:ascii="Times New Roman" w:hAnsi="Times New Roman"/>
        </w:rPr>
        <w:t>(i</w:t>
      </w:r>
      <w:r w:rsidR="002F6A62" w:rsidRPr="007406B5">
        <w:rPr>
          <w:rFonts w:ascii="Times New Roman" w:hAnsi="Times New Roman"/>
        </w:rPr>
        <w:t xml:space="preserve">) </w:t>
      </w:r>
      <w:r w:rsidR="006F1B6B" w:rsidRPr="007406B5">
        <w:rPr>
          <w:rFonts w:ascii="Times New Roman" w:hAnsi="Times New Roman"/>
        </w:rPr>
        <w:t xml:space="preserve">is concerned, </w:t>
      </w:r>
      <w:r w:rsidR="001B4C43" w:rsidRPr="007406B5">
        <w:rPr>
          <w:rFonts w:ascii="Times New Roman" w:hAnsi="Times New Roman"/>
        </w:rPr>
        <w:t xml:space="preserve">a consent authority cannot consider </w:t>
      </w:r>
      <w:r w:rsidR="00273394" w:rsidRPr="007406B5">
        <w:rPr>
          <w:rFonts w:ascii="Times New Roman" w:hAnsi="Times New Roman"/>
        </w:rPr>
        <w:t xml:space="preserve">such of </w:t>
      </w:r>
      <w:r w:rsidR="001B4C43" w:rsidRPr="007406B5">
        <w:rPr>
          <w:rFonts w:ascii="Times New Roman" w:hAnsi="Times New Roman"/>
        </w:rPr>
        <w:t>the provisions of an environmental planning instrument</w:t>
      </w:r>
      <w:r w:rsidR="006D4D68" w:rsidRPr="007406B5">
        <w:rPr>
          <w:rFonts w:ascii="Times New Roman" w:hAnsi="Times New Roman"/>
        </w:rPr>
        <w:t xml:space="preserve"> </w:t>
      </w:r>
      <w:r w:rsidR="00604659" w:rsidRPr="007406B5">
        <w:rPr>
          <w:rFonts w:ascii="Times New Roman" w:hAnsi="Times New Roman"/>
        </w:rPr>
        <w:t>that appl</w:t>
      </w:r>
      <w:r w:rsidR="00E608BA" w:rsidRPr="007406B5">
        <w:rPr>
          <w:rFonts w:ascii="Times New Roman" w:hAnsi="Times New Roman"/>
        </w:rPr>
        <w:t>y</w:t>
      </w:r>
      <w:r w:rsidR="00604659" w:rsidRPr="007406B5">
        <w:rPr>
          <w:rFonts w:ascii="Times New Roman" w:hAnsi="Times New Roman"/>
        </w:rPr>
        <w:t xml:space="preserve"> to the land to which the development application relates </w:t>
      </w:r>
      <w:r w:rsidR="006D4D68" w:rsidRPr="007406B5">
        <w:rPr>
          <w:rFonts w:ascii="Times New Roman" w:hAnsi="Times New Roman"/>
        </w:rPr>
        <w:t>as are of relevance to the development</w:t>
      </w:r>
      <w:r w:rsidR="00ED749B" w:rsidRPr="007406B5">
        <w:rPr>
          <w:rFonts w:ascii="Times New Roman" w:hAnsi="Times New Roman"/>
        </w:rPr>
        <w:t>,</w:t>
      </w:r>
      <w:r w:rsidR="006D4D68" w:rsidRPr="007406B5">
        <w:rPr>
          <w:rFonts w:ascii="Times New Roman" w:hAnsi="Times New Roman"/>
        </w:rPr>
        <w:t xml:space="preserve"> unless and until the </w:t>
      </w:r>
      <w:r w:rsidR="004A6BA0" w:rsidRPr="007406B5">
        <w:rPr>
          <w:rFonts w:ascii="Times New Roman" w:hAnsi="Times New Roman"/>
        </w:rPr>
        <w:t xml:space="preserve">consent authority </w:t>
      </w:r>
      <w:r w:rsidR="002F6A62" w:rsidRPr="007406B5">
        <w:rPr>
          <w:rFonts w:ascii="Times New Roman" w:hAnsi="Times New Roman"/>
        </w:rPr>
        <w:t>correctly identif</w:t>
      </w:r>
      <w:r w:rsidR="006D4D68" w:rsidRPr="007406B5">
        <w:rPr>
          <w:rFonts w:ascii="Times New Roman" w:hAnsi="Times New Roman"/>
        </w:rPr>
        <w:t>ies</w:t>
      </w:r>
      <w:r w:rsidR="002F6A62" w:rsidRPr="007406B5">
        <w:rPr>
          <w:rFonts w:ascii="Times New Roman" w:hAnsi="Times New Roman"/>
        </w:rPr>
        <w:t xml:space="preserve"> and construe</w:t>
      </w:r>
      <w:r w:rsidR="00B95103" w:rsidRPr="007406B5">
        <w:rPr>
          <w:rFonts w:ascii="Times New Roman" w:hAnsi="Times New Roman"/>
        </w:rPr>
        <w:t>s</w:t>
      </w:r>
      <w:r w:rsidR="002F6A62" w:rsidRPr="007406B5">
        <w:rPr>
          <w:rFonts w:ascii="Times New Roman" w:hAnsi="Times New Roman"/>
        </w:rPr>
        <w:t xml:space="preserve"> the provisions of </w:t>
      </w:r>
      <w:r w:rsidR="00AE3A69" w:rsidRPr="007406B5">
        <w:rPr>
          <w:rFonts w:ascii="Times New Roman" w:hAnsi="Times New Roman"/>
        </w:rPr>
        <w:t xml:space="preserve">the </w:t>
      </w:r>
      <w:r w:rsidR="002F6A62" w:rsidRPr="007406B5">
        <w:rPr>
          <w:rFonts w:ascii="Times New Roman" w:hAnsi="Times New Roman"/>
        </w:rPr>
        <w:t xml:space="preserve">environmental planning instruments which </w:t>
      </w:r>
      <w:r w:rsidR="00AE3A69" w:rsidRPr="007406B5">
        <w:rPr>
          <w:rFonts w:ascii="Times New Roman" w:hAnsi="Times New Roman"/>
        </w:rPr>
        <w:t xml:space="preserve">may so </w:t>
      </w:r>
      <w:r w:rsidR="002F6A62" w:rsidRPr="007406B5">
        <w:rPr>
          <w:rFonts w:ascii="Times New Roman" w:hAnsi="Times New Roman"/>
        </w:rPr>
        <w:t xml:space="preserve">apply. </w:t>
      </w:r>
      <w:r w:rsidR="004C644F" w:rsidRPr="007406B5">
        <w:rPr>
          <w:rFonts w:ascii="Times New Roman" w:hAnsi="Times New Roman"/>
        </w:rPr>
        <w:t xml:space="preserve">That a consent authority must correctly identify and construe the provisions of environmental planning instruments which may apply </w:t>
      </w:r>
      <w:r w:rsidR="00AE519F" w:rsidRPr="007406B5">
        <w:rPr>
          <w:rFonts w:ascii="Times New Roman" w:hAnsi="Times New Roman"/>
        </w:rPr>
        <w:t xml:space="preserve">(so that the court and not </w:t>
      </w:r>
      <w:r w:rsidR="00AE519F" w:rsidRPr="007406B5">
        <w:rPr>
          <w:rFonts w:ascii="Times New Roman" w:hAnsi="Times New Roman"/>
        </w:rPr>
        <w:lastRenderedPageBreak/>
        <w:t>the consent authority is the final arbiter of that question</w:t>
      </w:r>
      <w:r w:rsidR="003E6F6C" w:rsidRPr="007406B5">
        <w:rPr>
          <w:rFonts w:ascii="Times New Roman" w:hAnsi="Times New Roman"/>
        </w:rPr>
        <w:t xml:space="preserve">) is </w:t>
      </w:r>
      <w:r w:rsidR="002F6A62" w:rsidRPr="007406B5">
        <w:rPr>
          <w:rFonts w:ascii="Times New Roman" w:hAnsi="Times New Roman"/>
        </w:rPr>
        <w:t>fundamental to the operation of the EPA Act</w:t>
      </w:r>
      <w:r w:rsidR="00F17A57" w:rsidRPr="007406B5">
        <w:rPr>
          <w:rFonts w:ascii="Times New Roman" w:hAnsi="Times New Roman"/>
        </w:rPr>
        <w:t xml:space="preserve"> in respect of </w:t>
      </w:r>
      <w:r w:rsidR="00D60088" w:rsidRPr="007406B5">
        <w:rPr>
          <w:rFonts w:ascii="Times New Roman" w:hAnsi="Times New Roman"/>
        </w:rPr>
        <w:t xml:space="preserve">regulating </w:t>
      </w:r>
      <w:r w:rsidR="00F17A57" w:rsidRPr="007406B5">
        <w:rPr>
          <w:rFonts w:ascii="Times New Roman" w:hAnsi="Times New Roman"/>
        </w:rPr>
        <w:t>"development"</w:t>
      </w:r>
      <w:r w:rsidR="002F6A62" w:rsidRPr="007406B5">
        <w:rPr>
          <w:rFonts w:ascii="Times New Roman" w:hAnsi="Times New Roman"/>
        </w:rPr>
        <w:t>.</w:t>
      </w:r>
      <w:r w:rsidR="00AE77AF" w:rsidRPr="007406B5">
        <w:rPr>
          <w:rStyle w:val="FootnoteReference"/>
          <w:rFonts w:ascii="Times New Roman" w:hAnsi="Times New Roman"/>
          <w:sz w:val="24"/>
        </w:rPr>
        <w:footnoteReference w:id="22"/>
      </w:r>
      <w:r w:rsidR="002F6A62" w:rsidRPr="007406B5">
        <w:rPr>
          <w:rFonts w:ascii="Times New Roman" w:hAnsi="Times New Roman"/>
        </w:rPr>
        <w:t xml:space="preserve"> </w:t>
      </w:r>
    </w:p>
    <w:p w14:paraId="3B050594" w14:textId="2BE08645" w:rsidR="00972A93" w:rsidRPr="007406B5" w:rsidRDefault="00706D8B" w:rsidP="007406B5">
      <w:pPr>
        <w:pStyle w:val="FixListStyle"/>
        <w:spacing w:after="260" w:line="280" w:lineRule="exact"/>
        <w:ind w:right="0"/>
        <w:jc w:val="both"/>
        <w:rPr>
          <w:rFonts w:ascii="Times New Roman" w:hAnsi="Times New Roman"/>
        </w:rPr>
      </w:pPr>
      <w:r w:rsidRPr="007406B5">
        <w:rPr>
          <w:rFonts w:ascii="Times New Roman" w:hAnsi="Times New Roman"/>
        </w:rPr>
        <w:tab/>
      </w:r>
      <w:r w:rsidR="003E6F6C" w:rsidRPr="007406B5">
        <w:rPr>
          <w:rFonts w:ascii="Times New Roman" w:hAnsi="Times New Roman"/>
        </w:rPr>
        <w:t>T</w:t>
      </w:r>
      <w:r w:rsidR="001C7AF0" w:rsidRPr="007406B5">
        <w:rPr>
          <w:rFonts w:ascii="Times New Roman" w:hAnsi="Times New Roman"/>
        </w:rPr>
        <w:t xml:space="preserve">he EPA Act </w:t>
      </w:r>
      <w:r w:rsidR="003E6F6C" w:rsidRPr="007406B5">
        <w:rPr>
          <w:rFonts w:ascii="Times New Roman" w:hAnsi="Times New Roman"/>
        </w:rPr>
        <w:t xml:space="preserve">distinguishes </w:t>
      </w:r>
      <w:r w:rsidR="001C7AF0" w:rsidRPr="007406B5">
        <w:rPr>
          <w:rFonts w:ascii="Times New Roman" w:hAnsi="Times New Roman"/>
        </w:rPr>
        <w:t xml:space="preserve">between </w:t>
      </w:r>
      <w:r w:rsidR="001832C3" w:rsidRPr="007406B5">
        <w:rPr>
          <w:rFonts w:ascii="Times New Roman" w:hAnsi="Times New Roman"/>
        </w:rPr>
        <w:t>development that does not need consent, development that needs consent, and development that is prohibited</w:t>
      </w:r>
      <w:r w:rsidR="00FD2862" w:rsidRPr="007406B5">
        <w:rPr>
          <w:rFonts w:ascii="Times New Roman" w:hAnsi="Times New Roman"/>
        </w:rPr>
        <w:t xml:space="preserve"> (or cannot be carried out on land with or without development consent)</w:t>
      </w:r>
      <w:r w:rsidR="001832C3" w:rsidRPr="007406B5">
        <w:rPr>
          <w:rFonts w:ascii="Times New Roman" w:hAnsi="Times New Roman"/>
        </w:rPr>
        <w:t xml:space="preserve">. </w:t>
      </w:r>
      <w:r w:rsidR="008D083C" w:rsidRPr="007406B5">
        <w:rPr>
          <w:rFonts w:ascii="Times New Roman" w:hAnsi="Times New Roman"/>
        </w:rPr>
        <w:t>In each case</w:t>
      </w:r>
      <w:r w:rsidR="00E138A6" w:rsidRPr="007406B5">
        <w:rPr>
          <w:rFonts w:ascii="Times New Roman" w:hAnsi="Times New Roman"/>
        </w:rPr>
        <w:t>,</w:t>
      </w:r>
      <w:r w:rsidR="008D083C" w:rsidRPr="007406B5">
        <w:rPr>
          <w:rFonts w:ascii="Times New Roman" w:hAnsi="Times New Roman"/>
        </w:rPr>
        <w:t xml:space="preserve"> it is an </w:t>
      </w:r>
      <w:r w:rsidR="004F5EA3" w:rsidRPr="007406B5">
        <w:rPr>
          <w:rFonts w:ascii="Times New Roman" w:hAnsi="Times New Roman"/>
        </w:rPr>
        <w:t xml:space="preserve">environmental planning instrument </w:t>
      </w:r>
      <w:r w:rsidR="0036176E" w:rsidRPr="007406B5">
        <w:rPr>
          <w:rFonts w:ascii="Times New Roman" w:hAnsi="Times New Roman"/>
        </w:rPr>
        <w:t xml:space="preserve">(or </w:t>
      </w:r>
      <w:r w:rsidR="004B5706" w:rsidRPr="007406B5">
        <w:rPr>
          <w:rFonts w:ascii="Times New Roman" w:hAnsi="Times New Roman"/>
        </w:rPr>
        <w:t xml:space="preserve">a combination of such instruments) </w:t>
      </w:r>
      <w:r w:rsidR="004F5EA3" w:rsidRPr="007406B5">
        <w:rPr>
          <w:rFonts w:ascii="Times New Roman" w:hAnsi="Times New Roman"/>
        </w:rPr>
        <w:t>that provides whether the development does not need consent, needs consent</w:t>
      </w:r>
      <w:r w:rsidR="00A253F4" w:rsidRPr="007406B5">
        <w:rPr>
          <w:rFonts w:ascii="Times New Roman" w:hAnsi="Times New Roman"/>
        </w:rPr>
        <w:t>,</w:t>
      </w:r>
      <w:r w:rsidR="004F5EA3" w:rsidRPr="007406B5">
        <w:rPr>
          <w:rFonts w:ascii="Times New Roman" w:hAnsi="Times New Roman"/>
        </w:rPr>
        <w:t xml:space="preserve"> or is prohibited</w:t>
      </w:r>
      <w:r w:rsidR="00FD2862" w:rsidRPr="007406B5">
        <w:rPr>
          <w:rFonts w:ascii="Times New Roman" w:hAnsi="Times New Roman"/>
        </w:rPr>
        <w:t xml:space="preserve"> (or cannot be carried out on land with or without development consent)</w:t>
      </w:r>
      <w:r w:rsidR="00A43F30" w:rsidRPr="007406B5">
        <w:rPr>
          <w:rFonts w:ascii="Times New Roman" w:hAnsi="Times New Roman"/>
        </w:rPr>
        <w:t>.</w:t>
      </w:r>
      <w:r w:rsidR="00AA098A" w:rsidRPr="007406B5">
        <w:rPr>
          <w:rStyle w:val="FootnoteReference"/>
          <w:rFonts w:ascii="Times New Roman" w:hAnsi="Times New Roman"/>
          <w:sz w:val="24"/>
        </w:rPr>
        <w:footnoteReference w:id="23"/>
      </w:r>
      <w:r w:rsidR="00972A93" w:rsidRPr="007406B5">
        <w:rPr>
          <w:rFonts w:ascii="Times New Roman" w:hAnsi="Times New Roman"/>
        </w:rPr>
        <w:t xml:space="preserve"> </w:t>
      </w:r>
      <w:r w:rsidR="00E63DE9" w:rsidRPr="007406B5">
        <w:rPr>
          <w:rFonts w:ascii="Times New Roman" w:hAnsi="Times New Roman"/>
        </w:rPr>
        <w:t>By s 9.51</w:t>
      </w:r>
      <w:r w:rsidR="008247E9" w:rsidRPr="007406B5">
        <w:rPr>
          <w:rFonts w:ascii="Times New Roman" w:hAnsi="Times New Roman"/>
        </w:rPr>
        <w:t>,</w:t>
      </w:r>
      <w:r w:rsidR="00E63DE9" w:rsidRPr="007406B5">
        <w:rPr>
          <w:rFonts w:ascii="Times New Roman" w:hAnsi="Times New Roman"/>
        </w:rPr>
        <w:t xml:space="preserve"> contraventions of s </w:t>
      </w:r>
      <w:r w:rsidR="005B2859" w:rsidRPr="007406B5">
        <w:rPr>
          <w:rFonts w:ascii="Times New Roman" w:hAnsi="Times New Roman"/>
        </w:rPr>
        <w:t>4.2</w:t>
      </w:r>
      <w:r w:rsidR="0041605C" w:rsidRPr="007406B5">
        <w:rPr>
          <w:rFonts w:ascii="Times New Roman" w:hAnsi="Times New Roman"/>
        </w:rPr>
        <w:t>(1) (the carrying out of development that requires development consent)</w:t>
      </w:r>
      <w:r w:rsidR="005B2859" w:rsidRPr="007406B5">
        <w:rPr>
          <w:rFonts w:ascii="Times New Roman" w:hAnsi="Times New Roman"/>
        </w:rPr>
        <w:t xml:space="preserve"> </w:t>
      </w:r>
      <w:r w:rsidR="008247E9" w:rsidRPr="007406B5">
        <w:rPr>
          <w:rFonts w:ascii="Times New Roman" w:hAnsi="Times New Roman"/>
        </w:rPr>
        <w:t>or s </w:t>
      </w:r>
      <w:r w:rsidR="00972A93" w:rsidRPr="007406B5">
        <w:rPr>
          <w:rFonts w:ascii="Times New Roman" w:hAnsi="Times New Roman"/>
        </w:rPr>
        <w:t xml:space="preserve">4.3 </w:t>
      </w:r>
      <w:r w:rsidR="008247E9" w:rsidRPr="007406B5">
        <w:rPr>
          <w:rFonts w:ascii="Times New Roman" w:hAnsi="Times New Roman"/>
        </w:rPr>
        <w:t xml:space="preserve">(development that is prohibited or cannot be carried out on land with or without development consent) </w:t>
      </w:r>
      <w:r w:rsidR="00D60088" w:rsidRPr="007406B5">
        <w:rPr>
          <w:rFonts w:ascii="Times New Roman" w:hAnsi="Times New Roman"/>
        </w:rPr>
        <w:t>are</w:t>
      </w:r>
      <w:r w:rsidR="008247E9" w:rsidRPr="007406B5">
        <w:rPr>
          <w:rFonts w:ascii="Times New Roman" w:hAnsi="Times New Roman"/>
        </w:rPr>
        <w:t xml:space="preserve"> a </w:t>
      </w:r>
      <w:r w:rsidR="00A61E94" w:rsidRPr="007406B5">
        <w:rPr>
          <w:rFonts w:ascii="Times New Roman" w:hAnsi="Times New Roman"/>
        </w:rPr>
        <w:t>criminal</w:t>
      </w:r>
      <w:r w:rsidR="008247E9" w:rsidRPr="007406B5">
        <w:rPr>
          <w:rFonts w:ascii="Times New Roman" w:hAnsi="Times New Roman"/>
        </w:rPr>
        <w:t xml:space="preserve"> offence</w:t>
      </w:r>
      <w:r w:rsidR="00E206BE" w:rsidRPr="007406B5">
        <w:rPr>
          <w:rFonts w:ascii="Times New Roman" w:hAnsi="Times New Roman"/>
        </w:rPr>
        <w:t>.</w:t>
      </w:r>
    </w:p>
    <w:p w14:paraId="40EF1225" w14:textId="6A7E536F" w:rsidR="007A7357" w:rsidRPr="007406B5" w:rsidRDefault="00E206BE" w:rsidP="007406B5">
      <w:pPr>
        <w:pStyle w:val="FixListStyle"/>
        <w:spacing w:after="260" w:line="280" w:lineRule="exact"/>
        <w:ind w:right="0"/>
        <w:jc w:val="both"/>
        <w:rPr>
          <w:rFonts w:ascii="Times New Roman" w:hAnsi="Times New Roman"/>
        </w:rPr>
      </w:pPr>
      <w:r w:rsidRPr="007406B5">
        <w:rPr>
          <w:rFonts w:ascii="Times New Roman" w:hAnsi="Times New Roman"/>
        </w:rPr>
        <w:tab/>
      </w:r>
      <w:r w:rsidR="00A42760" w:rsidRPr="007406B5">
        <w:rPr>
          <w:rFonts w:ascii="Times New Roman" w:hAnsi="Times New Roman"/>
        </w:rPr>
        <w:t xml:space="preserve">By s 3.13(1) </w:t>
      </w:r>
      <w:r w:rsidR="004B5706" w:rsidRPr="007406B5">
        <w:rPr>
          <w:rFonts w:ascii="Times New Roman" w:hAnsi="Times New Roman"/>
        </w:rPr>
        <w:t xml:space="preserve">of the EPA Act, </w:t>
      </w:r>
      <w:r w:rsidR="0097459F" w:rsidRPr="007406B5">
        <w:rPr>
          <w:rFonts w:ascii="Times New Roman" w:hAnsi="Times New Roman"/>
        </w:rPr>
        <w:t>"an environmental planning instrument may be made in accordance with [Pt 3]</w:t>
      </w:r>
      <w:r w:rsidR="00FF0003" w:rsidRPr="007406B5">
        <w:rPr>
          <w:rFonts w:ascii="Times New Roman" w:hAnsi="Times New Roman"/>
        </w:rPr>
        <w:t xml:space="preserve"> for the purposes of achieving any of the objects of" the EPA Act. By s 3.14(1)(b)</w:t>
      </w:r>
      <w:r w:rsidR="004B5706" w:rsidRPr="007406B5">
        <w:rPr>
          <w:rFonts w:ascii="Times New Roman" w:hAnsi="Times New Roman"/>
        </w:rPr>
        <w:t>,</w:t>
      </w:r>
      <w:r w:rsidR="00FF0003" w:rsidRPr="007406B5">
        <w:rPr>
          <w:rFonts w:ascii="Times New Roman" w:hAnsi="Times New Roman"/>
        </w:rPr>
        <w:t xml:space="preserve"> </w:t>
      </w:r>
      <w:r w:rsidR="00261E1B" w:rsidRPr="007406B5">
        <w:rPr>
          <w:rFonts w:ascii="Times New Roman" w:hAnsi="Times New Roman"/>
        </w:rPr>
        <w:t>an environmental planning instrument may make provision for or with respect to "controlling (whether by the imposing of development standards</w:t>
      </w:r>
      <w:r w:rsidR="00C054E7" w:rsidRPr="007406B5">
        <w:rPr>
          <w:rFonts w:ascii="Times New Roman" w:hAnsi="Times New Roman"/>
          <w:sz w:val="24"/>
          <w:vertAlign w:val="superscript"/>
        </w:rPr>
        <w:t>[</w:t>
      </w:r>
      <w:r w:rsidR="00261E1B" w:rsidRPr="007406B5">
        <w:rPr>
          <w:rStyle w:val="FootnoteReference"/>
          <w:rFonts w:ascii="Times New Roman" w:hAnsi="Times New Roman"/>
          <w:sz w:val="24"/>
        </w:rPr>
        <w:footnoteReference w:id="24"/>
      </w:r>
      <w:r w:rsidR="00C054E7" w:rsidRPr="007406B5">
        <w:rPr>
          <w:rFonts w:ascii="Times New Roman" w:hAnsi="Times New Roman"/>
          <w:sz w:val="24"/>
          <w:vertAlign w:val="superscript"/>
        </w:rPr>
        <w:t>]</w:t>
      </w:r>
      <w:r w:rsidR="00261E1B" w:rsidRPr="007406B5">
        <w:rPr>
          <w:rFonts w:ascii="Times New Roman" w:hAnsi="Times New Roman"/>
        </w:rPr>
        <w:t xml:space="preserve"> or otherwise) development".</w:t>
      </w:r>
      <w:r w:rsidR="00F40D7B" w:rsidRPr="007406B5">
        <w:rPr>
          <w:rFonts w:ascii="Times New Roman" w:hAnsi="Times New Roman"/>
        </w:rPr>
        <w:t xml:space="preserve"> By s 3.18(1)</w:t>
      </w:r>
      <w:r w:rsidR="00A56FE8" w:rsidRPr="007406B5">
        <w:rPr>
          <w:rFonts w:ascii="Times New Roman" w:hAnsi="Times New Roman"/>
        </w:rPr>
        <w:t>,</w:t>
      </w:r>
      <w:r w:rsidR="00F40D7B" w:rsidRPr="007406B5">
        <w:rPr>
          <w:rFonts w:ascii="Times New Roman" w:hAnsi="Times New Roman"/>
        </w:rPr>
        <w:t xml:space="preserve"> </w:t>
      </w:r>
      <w:r w:rsidR="000A3EA9" w:rsidRPr="007406B5">
        <w:rPr>
          <w:rFonts w:ascii="Times New Roman" w:hAnsi="Times New Roman"/>
        </w:rPr>
        <w:t>"[w]ithout limiting the generality of section</w:t>
      </w:r>
      <w:r w:rsidR="0025547D" w:rsidRPr="007406B5">
        <w:rPr>
          <w:rFonts w:ascii="Times New Roman" w:hAnsi="Times New Roman"/>
        </w:rPr>
        <w:t> </w:t>
      </w:r>
      <w:r w:rsidR="000A3EA9" w:rsidRPr="007406B5">
        <w:rPr>
          <w:rFonts w:ascii="Times New Roman" w:hAnsi="Times New Roman"/>
        </w:rPr>
        <w:t xml:space="preserve">3.14(1)(b), an environmental planning instrument may provide that development specified therein </w:t>
      </w:r>
      <w:r w:rsidR="003B65FC" w:rsidRPr="007406B5">
        <w:rPr>
          <w:rFonts w:ascii="Times New Roman" w:hAnsi="Times New Roman"/>
        </w:rPr>
        <w:t xml:space="preserve">... </w:t>
      </w:r>
      <w:r w:rsidR="000A3EA9" w:rsidRPr="007406B5">
        <w:rPr>
          <w:rFonts w:ascii="Times New Roman" w:hAnsi="Times New Roman"/>
        </w:rPr>
        <w:t>(a)</w:t>
      </w:r>
      <w:r w:rsidR="003B65FC" w:rsidRPr="007406B5">
        <w:rPr>
          <w:rFonts w:ascii="Times New Roman" w:hAnsi="Times New Roman"/>
        </w:rPr>
        <w:t> </w:t>
      </w:r>
      <w:r w:rsidR="000A3EA9" w:rsidRPr="007406B5">
        <w:rPr>
          <w:rFonts w:ascii="Times New Roman" w:hAnsi="Times New Roman"/>
        </w:rPr>
        <w:t xml:space="preserve">may be carried out without the necessity for consent under this Act being obtained therefor, or </w:t>
      </w:r>
      <w:r w:rsidR="00E52941" w:rsidRPr="007406B5">
        <w:rPr>
          <w:rFonts w:ascii="Times New Roman" w:hAnsi="Times New Roman"/>
        </w:rPr>
        <w:t>(b)</w:t>
      </w:r>
      <w:r w:rsidR="003B65FC" w:rsidRPr="007406B5">
        <w:rPr>
          <w:rFonts w:ascii="Times New Roman" w:hAnsi="Times New Roman"/>
        </w:rPr>
        <w:t> </w:t>
      </w:r>
      <w:r w:rsidR="00E52941" w:rsidRPr="007406B5">
        <w:rPr>
          <w:rFonts w:ascii="Times New Roman" w:hAnsi="Times New Roman"/>
        </w:rPr>
        <w:t>may not be carried out except with consent under this Act being obtained therefor"</w:t>
      </w:r>
      <w:r w:rsidR="0044716D" w:rsidRPr="007406B5">
        <w:rPr>
          <w:rFonts w:ascii="Times New Roman" w:hAnsi="Times New Roman"/>
        </w:rPr>
        <w:t>.</w:t>
      </w:r>
      <w:r w:rsidR="00E52941" w:rsidRPr="007406B5">
        <w:rPr>
          <w:rFonts w:ascii="Times New Roman" w:hAnsi="Times New Roman"/>
        </w:rPr>
        <w:t xml:space="preserve"> By s 3.19</w:t>
      </w:r>
      <w:r w:rsidR="003B65FC" w:rsidRPr="007406B5">
        <w:rPr>
          <w:rFonts w:ascii="Times New Roman" w:hAnsi="Times New Roman"/>
        </w:rPr>
        <w:t>,</w:t>
      </w:r>
      <w:r w:rsidR="00E52941" w:rsidRPr="007406B5">
        <w:rPr>
          <w:rFonts w:ascii="Times New Roman" w:hAnsi="Times New Roman"/>
        </w:rPr>
        <w:t xml:space="preserve"> "[w]ithout limiting the generality of section 3.14(1)(b), an environmental planning instrument may provide that development specified therein is prohibited"</w:t>
      </w:r>
      <w:r w:rsidR="0044716D" w:rsidRPr="007406B5">
        <w:rPr>
          <w:rFonts w:ascii="Times New Roman" w:hAnsi="Times New Roman"/>
        </w:rPr>
        <w:t>.</w:t>
      </w:r>
      <w:r w:rsidR="007B20FA" w:rsidRPr="007406B5">
        <w:rPr>
          <w:rFonts w:ascii="Times New Roman" w:hAnsi="Times New Roman"/>
        </w:rPr>
        <w:t xml:space="preserve"> </w:t>
      </w:r>
      <w:r w:rsidR="00D525EE" w:rsidRPr="007406B5">
        <w:rPr>
          <w:rFonts w:ascii="Times New Roman" w:hAnsi="Times New Roman"/>
        </w:rPr>
        <w:t xml:space="preserve">As </w:t>
      </w:r>
      <w:r w:rsidR="007A439B" w:rsidRPr="007406B5">
        <w:rPr>
          <w:rFonts w:ascii="Times New Roman" w:hAnsi="Times New Roman"/>
        </w:rPr>
        <w:t>environmental</w:t>
      </w:r>
      <w:r w:rsidR="00A05B69" w:rsidRPr="007406B5">
        <w:rPr>
          <w:rFonts w:ascii="Times New Roman" w:hAnsi="Times New Roman"/>
        </w:rPr>
        <w:t xml:space="preserve"> planning instruments </w:t>
      </w:r>
      <w:r w:rsidR="007A439B" w:rsidRPr="007406B5">
        <w:rPr>
          <w:rFonts w:ascii="Times New Roman" w:hAnsi="Times New Roman"/>
        </w:rPr>
        <w:t xml:space="preserve">may overlap with one another, s 3.28 </w:t>
      </w:r>
      <w:r w:rsidR="00B801E8" w:rsidRPr="007406B5">
        <w:rPr>
          <w:rFonts w:ascii="Times New Roman" w:hAnsi="Times New Roman"/>
        </w:rPr>
        <w:t xml:space="preserve">regulates the resolution of inconsistency between such instruments. Such potential </w:t>
      </w:r>
      <w:r w:rsidR="00160514" w:rsidRPr="007406B5">
        <w:rPr>
          <w:rFonts w:ascii="Times New Roman" w:hAnsi="Times New Roman"/>
        </w:rPr>
        <w:t>inconsistency</w:t>
      </w:r>
      <w:r w:rsidR="00B801E8" w:rsidRPr="007406B5">
        <w:rPr>
          <w:rFonts w:ascii="Times New Roman" w:hAnsi="Times New Roman"/>
        </w:rPr>
        <w:t>, to be resolved in accordance with s </w:t>
      </w:r>
      <w:r w:rsidR="00160514" w:rsidRPr="007406B5">
        <w:rPr>
          <w:rFonts w:ascii="Times New Roman" w:hAnsi="Times New Roman"/>
        </w:rPr>
        <w:t xml:space="preserve">3.28(1), can extend to the permissibility or prohibition of a development and the designation of the relevant consent authority for a development. </w:t>
      </w:r>
    </w:p>
    <w:p w14:paraId="3DABE9E3" w14:textId="0B9EFF5C" w:rsidR="00E46524" w:rsidRPr="007406B5" w:rsidRDefault="007A7357" w:rsidP="007406B5">
      <w:pPr>
        <w:pStyle w:val="FixListStyle"/>
        <w:spacing w:after="260" w:line="280" w:lineRule="exact"/>
        <w:ind w:right="0"/>
        <w:jc w:val="both"/>
        <w:rPr>
          <w:rFonts w:ascii="Times New Roman" w:hAnsi="Times New Roman"/>
        </w:rPr>
      </w:pPr>
      <w:r w:rsidRPr="007406B5">
        <w:rPr>
          <w:rFonts w:ascii="Times New Roman" w:hAnsi="Times New Roman"/>
        </w:rPr>
        <w:lastRenderedPageBreak/>
        <w:tab/>
      </w:r>
      <w:r w:rsidR="00764CA1" w:rsidRPr="007406B5">
        <w:rPr>
          <w:rFonts w:ascii="Times New Roman" w:hAnsi="Times New Roman"/>
        </w:rPr>
        <w:t xml:space="preserve">In </w:t>
      </w:r>
      <w:r w:rsidR="00BB320D" w:rsidRPr="007406B5">
        <w:rPr>
          <w:rFonts w:ascii="Times New Roman" w:hAnsi="Times New Roman"/>
        </w:rPr>
        <w:t xml:space="preserve">this context, s 4.15(1)(a)(i), in </w:t>
      </w:r>
      <w:r w:rsidR="00764CA1" w:rsidRPr="007406B5">
        <w:rPr>
          <w:rFonts w:ascii="Times New Roman" w:hAnsi="Times New Roman"/>
        </w:rPr>
        <w:t xml:space="preserve">requiring the </w:t>
      </w:r>
      <w:r w:rsidR="00D87DDF" w:rsidRPr="007406B5">
        <w:rPr>
          <w:rFonts w:ascii="Times New Roman" w:hAnsi="Times New Roman"/>
        </w:rPr>
        <w:t xml:space="preserve">consent authority to </w:t>
      </w:r>
      <w:r w:rsidR="001B766E" w:rsidRPr="007406B5">
        <w:rPr>
          <w:rFonts w:ascii="Times New Roman" w:hAnsi="Times New Roman"/>
        </w:rPr>
        <w:t>"</w:t>
      </w:r>
      <w:r w:rsidR="00D87DDF" w:rsidRPr="007406B5">
        <w:rPr>
          <w:rFonts w:ascii="Times New Roman" w:hAnsi="Times New Roman"/>
        </w:rPr>
        <w:t>consider</w:t>
      </w:r>
      <w:r w:rsidR="001B766E" w:rsidRPr="007406B5">
        <w:rPr>
          <w:rFonts w:ascii="Times New Roman" w:hAnsi="Times New Roman"/>
        </w:rPr>
        <w:t>"</w:t>
      </w:r>
      <w:r w:rsidR="00D87DDF" w:rsidRPr="007406B5">
        <w:rPr>
          <w:rFonts w:ascii="Times New Roman" w:hAnsi="Times New Roman"/>
        </w:rPr>
        <w:t xml:space="preserve"> the provisions of any environmental planning instrument that </w:t>
      </w:r>
      <w:r w:rsidR="00D900A8" w:rsidRPr="007406B5">
        <w:rPr>
          <w:rFonts w:ascii="Times New Roman" w:hAnsi="Times New Roman"/>
        </w:rPr>
        <w:t xml:space="preserve">are </w:t>
      </w:r>
      <w:r w:rsidR="00D87DDF" w:rsidRPr="007406B5">
        <w:rPr>
          <w:rFonts w:ascii="Times New Roman" w:hAnsi="Times New Roman"/>
        </w:rPr>
        <w:t xml:space="preserve">of </w:t>
      </w:r>
      <w:r w:rsidR="009A75B2" w:rsidRPr="007406B5">
        <w:rPr>
          <w:rFonts w:ascii="Times New Roman" w:hAnsi="Times New Roman"/>
        </w:rPr>
        <w:t xml:space="preserve">relevance to the development the subject of the development application, recognises that </w:t>
      </w:r>
      <w:r w:rsidR="00E72509" w:rsidRPr="007406B5">
        <w:rPr>
          <w:rFonts w:ascii="Times New Roman" w:hAnsi="Times New Roman"/>
        </w:rPr>
        <w:t xml:space="preserve">the </w:t>
      </w:r>
      <w:r w:rsidR="00894AA0" w:rsidRPr="007406B5">
        <w:rPr>
          <w:rFonts w:ascii="Times New Roman" w:hAnsi="Times New Roman"/>
        </w:rPr>
        <w:t xml:space="preserve">development </w:t>
      </w:r>
      <w:r w:rsidR="00B036E3" w:rsidRPr="007406B5">
        <w:rPr>
          <w:rFonts w:ascii="Times New Roman" w:hAnsi="Times New Roman"/>
        </w:rPr>
        <w:t xml:space="preserve">may be for </w:t>
      </w:r>
      <w:r w:rsidR="00894AA0" w:rsidRPr="007406B5">
        <w:rPr>
          <w:rFonts w:ascii="Times New Roman" w:hAnsi="Times New Roman"/>
        </w:rPr>
        <w:t xml:space="preserve">a purpose permissible </w:t>
      </w:r>
      <w:r w:rsidR="00B036E3" w:rsidRPr="007406B5">
        <w:rPr>
          <w:rFonts w:ascii="Times New Roman" w:hAnsi="Times New Roman"/>
        </w:rPr>
        <w:t xml:space="preserve">with consent </w:t>
      </w:r>
      <w:r w:rsidR="00894AA0" w:rsidRPr="007406B5">
        <w:rPr>
          <w:rFonts w:ascii="Times New Roman" w:hAnsi="Times New Roman"/>
        </w:rPr>
        <w:t xml:space="preserve">under </w:t>
      </w:r>
      <w:r w:rsidR="00EC57A3" w:rsidRPr="007406B5">
        <w:rPr>
          <w:rFonts w:ascii="Times New Roman" w:hAnsi="Times New Roman"/>
        </w:rPr>
        <w:t xml:space="preserve">one </w:t>
      </w:r>
      <w:r w:rsidR="00894AA0" w:rsidRPr="007406B5">
        <w:rPr>
          <w:rFonts w:ascii="Times New Roman" w:hAnsi="Times New Roman"/>
        </w:rPr>
        <w:t xml:space="preserve">provision of an environmental planning instrument </w:t>
      </w:r>
      <w:r w:rsidR="00B036E3" w:rsidRPr="007406B5">
        <w:rPr>
          <w:rFonts w:ascii="Times New Roman" w:hAnsi="Times New Roman"/>
        </w:rPr>
        <w:t xml:space="preserve">but prohibited from being carried out under another provision of the same </w:t>
      </w:r>
      <w:r w:rsidR="00E46524" w:rsidRPr="007406B5">
        <w:rPr>
          <w:rFonts w:ascii="Times New Roman" w:hAnsi="Times New Roman"/>
        </w:rPr>
        <w:t xml:space="preserve">instrument </w:t>
      </w:r>
      <w:r w:rsidR="00B036E3" w:rsidRPr="007406B5">
        <w:rPr>
          <w:rFonts w:ascii="Times New Roman" w:hAnsi="Times New Roman"/>
        </w:rPr>
        <w:t xml:space="preserve">or </w:t>
      </w:r>
      <w:r w:rsidR="0071010F" w:rsidRPr="007406B5">
        <w:rPr>
          <w:rFonts w:ascii="Times New Roman" w:hAnsi="Times New Roman"/>
        </w:rPr>
        <w:t xml:space="preserve">a provision </w:t>
      </w:r>
      <w:r w:rsidR="00B036E3" w:rsidRPr="007406B5">
        <w:rPr>
          <w:rFonts w:ascii="Times New Roman" w:hAnsi="Times New Roman"/>
        </w:rPr>
        <w:t>of a different instrument</w:t>
      </w:r>
      <w:r w:rsidR="00F65C72" w:rsidRPr="007406B5">
        <w:rPr>
          <w:rFonts w:ascii="Times New Roman" w:hAnsi="Times New Roman"/>
        </w:rPr>
        <w:t>,</w:t>
      </w:r>
      <w:r w:rsidR="009A1FF1" w:rsidRPr="007406B5">
        <w:rPr>
          <w:rFonts w:ascii="Times New Roman" w:hAnsi="Times New Roman"/>
        </w:rPr>
        <w:t xml:space="preserve"> whether by reference to the purpose of the development</w:t>
      </w:r>
      <w:r w:rsidR="00F65C72" w:rsidRPr="007406B5">
        <w:rPr>
          <w:rFonts w:ascii="Times New Roman" w:hAnsi="Times New Roman"/>
        </w:rPr>
        <w:t xml:space="preserve">, </w:t>
      </w:r>
      <w:r w:rsidR="009A1FF1" w:rsidRPr="007406B5">
        <w:rPr>
          <w:rFonts w:ascii="Times New Roman" w:hAnsi="Times New Roman"/>
        </w:rPr>
        <w:t>by reference to a development standard</w:t>
      </w:r>
      <w:r w:rsidR="00CF3B6D" w:rsidRPr="007406B5">
        <w:rPr>
          <w:rFonts w:ascii="Times New Roman" w:hAnsi="Times New Roman"/>
        </w:rPr>
        <w:t>,</w:t>
      </w:r>
      <w:r w:rsidR="009A1FF1" w:rsidRPr="007406B5">
        <w:rPr>
          <w:rFonts w:ascii="Times New Roman" w:hAnsi="Times New Roman"/>
        </w:rPr>
        <w:t xml:space="preserve"> or otherwise.</w:t>
      </w:r>
    </w:p>
    <w:p w14:paraId="4398A16D" w14:textId="4923F35C" w:rsidR="00BA3F30" w:rsidRPr="007406B5" w:rsidRDefault="00E46524" w:rsidP="007406B5">
      <w:pPr>
        <w:pStyle w:val="FixListStyle"/>
        <w:spacing w:after="260" w:line="280" w:lineRule="exact"/>
        <w:ind w:right="0"/>
        <w:jc w:val="both"/>
        <w:rPr>
          <w:rFonts w:ascii="Times New Roman" w:hAnsi="Times New Roman"/>
        </w:rPr>
      </w:pPr>
      <w:r w:rsidRPr="007406B5">
        <w:rPr>
          <w:rFonts w:ascii="Times New Roman" w:hAnsi="Times New Roman"/>
        </w:rPr>
        <w:tab/>
      </w:r>
      <w:r w:rsidR="009A358F" w:rsidRPr="007406B5">
        <w:rPr>
          <w:rFonts w:ascii="Times New Roman" w:hAnsi="Times New Roman"/>
        </w:rPr>
        <w:t xml:space="preserve">The consequence is that, contrary to the reasoning </w:t>
      </w:r>
      <w:r w:rsidR="00D6446A" w:rsidRPr="007406B5">
        <w:rPr>
          <w:rFonts w:ascii="Times New Roman" w:hAnsi="Times New Roman"/>
        </w:rPr>
        <w:t xml:space="preserve">of </w:t>
      </w:r>
      <w:r w:rsidR="005F52D7" w:rsidRPr="007406B5">
        <w:rPr>
          <w:rFonts w:ascii="Times New Roman" w:hAnsi="Times New Roman"/>
        </w:rPr>
        <w:t>Basten </w:t>
      </w:r>
      <w:r w:rsidR="00073B2B" w:rsidRPr="007406B5">
        <w:rPr>
          <w:rFonts w:ascii="Times New Roman" w:hAnsi="Times New Roman"/>
        </w:rPr>
        <w:t>A-</w:t>
      </w:r>
      <w:r w:rsidR="005F52D7" w:rsidRPr="007406B5">
        <w:rPr>
          <w:rFonts w:ascii="Times New Roman" w:hAnsi="Times New Roman"/>
        </w:rPr>
        <w:t>JA</w:t>
      </w:r>
      <w:r w:rsidR="00D6446A" w:rsidRPr="007406B5">
        <w:rPr>
          <w:rFonts w:ascii="Times New Roman" w:hAnsi="Times New Roman"/>
        </w:rPr>
        <w:t xml:space="preserve"> </w:t>
      </w:r>
      <w:r w:rsidR="009A358F" w:rsidRPr="007406B5">
        <w:rPr>
          <w:rFonts w:ascii="Times New Roman" w:hAnsi="Times New Roman"/>
        </w:rPr>
        <w:t xml:space="preserve">in </w:t>
      </w:r>
      <w:r w:rsidR="009A358F" w:rsidRPr="007406B5">
        <w:rPr>
          <w:rFonts w:ascii="Times New Roman" w:hAnsi="Times New Roman"/>
          <w:i/>
          <w:iCs/>
        </w:rPr>
        <w:t>Ross v Lane</w:t>
      </w:r>
      <w:r w:rsidR="009A358F" w:rsidRPr="007406B5">
        <w:rPr>
          <w:rFonts w:ascii="Times New Roman" w:hAnsi="Times New Roman"/>
        </w:rPr>
        <w:t xml:space="preserve">, </w:t>
      </w:r>
      <w:r w:rsidR="00F82129" w:rsidRPr="007406B5">
        <w:rPr>
          <w:rFonts w:ascii="Times New Roman" w:hAnsi="Times New Roman"/>
        </w:rPr>
        <w:t xml:space="preserve">unless and until the consent authority </w:t>
      </w:r>
      <w:r w:rsidR="000F338F" w:rsidRPr="007406B5">
        <w:rPr>
          <w:rFonts w:ascii="Times New Roman" w:hAnsi="Times New Roman"/>
        </w:rPr>
        <w:t>correctly</w:t>
      </w:r>
      <w:r w:rsidR="00F82129" w:rsidRPr="007406B5">
        <w:rPr>
          <w:rFonts w:ascii="Times New Roman" w:hAnsi="Times New Roman"/>
        </w:rPr>
        <w:t xml:space="preserve"> identifies the environmental planning instruments and </w:t>
      </w:r>
      <w:r w:rsidR="000F338F" w:rsidRPr="007406B5">
        <w:rPr>
          <w:rFonts w:ascii="Times New Roman" w:hAnsi="Times New Roman"/>
        </w:rPr>
        <w:t xml:space="preserve">the provisions of those instruments </w:t>
      </w:r>
      <w:r w:rsidR="00565786" w:rsidRPr="007406B5">
        <w:rPr>
          <w:rFonts w:ascii="Times New Roman" w:hAnsi="Times New Roman"/>
        </w:rPr>
        <w:t xml:space="preserve">applicable </w:t>
      </w:r>
      <w:r w:rsidR="000F338F" w:rsidRPr="007406B5">
        <w:rPr>
          <w:rFonts w:ascii="Times New Roman" w:hAnsi="Times New Roman"/>
        </w:rPr>
        <w:t xml:space="preserve">to the development, the consent authority </w:t>
      </w:r>
      <w:r w:rsidR="00476C02" w:rsidRPr="007406B5">
        <w:rPr>
          <w:rFonts w:ascii="Times New Roman" w:hAnsi="Times New Roman"/>
        </w:rPr>
        <w:t xml:space="preserve">cannot </w:t>
      </w:r>
      <w:r w:rsidR="002144FF" w:rsidRPr="007406B5">
        <w:rPr>
          <w:rFonts w:ascii="Times New Roman" w:hAnsi="Times New Roman"/>
        </w:rPr>
        <w:t>decide</w:t>
      </w:r>
      <w:r w:rsidR="00A13FBC" w:rsidRPr="007406B5">
        <w:rPr>
          <w:rFonts w:ascii="Times New Roman" w:hAnsi="Times New Roman"/>
        </w:rPr>
        <w:t>: (i) </w:t>
      </w:r>
      <w:r w:rsidR="002144FF" w:rsidRPr="007406B5">
        <w:rPr>
          <w:rFonts w:ascii="Times New Roman" w:hAnsi="Times New Roman"/>
        </w:rPr>
        <w:t>if the development the subject of the development application is permissible with consent or prohibited from being carried out</w:t>
      </w:r>
      <w:r w:rsidR="00A13FBC" w:rsidRPr="007406B5">
        <w:rPr>
          <w:rFonts w:ascii="Times New Roman" w:hAnsi="Times New Roman"/>
        </w:rPr>
        <w:t xml:space="preserve">; </w:t>
      </w:r>
      <w:r w:rsidR="00476C02" w:rsidRPr="007406B5">
        <w:rPr>
          <w:rFonts w:ascii="Times New Roman" w:hAnsi="Times New Roman"/>
        </w:rPr>
        <w:t xml:space="preserve">or </w:t>
      </w:r>
      <w:r w:rsidR="00A13FBC" w:rsidRPr="007406B5">
        <w:rPr>
          <w:rFonts w:ascii="Times New Roman" w:hAnsi="Times New Roman"/>
        </w:rPr>
        <w:t>(ii) </w:t>
      </w:r>
      <w:r w:rsidR="00B07186" w:rsidRPr="007406B5">
        <w:rPr>
          <w:rFonts w:ascii="Times New Roman" w:hAnsi="Times New Roman"/>
        </w:rPr>
        <w:t xml:space="preserve">if the development is permissible with consent, </w:t>
      </w:r>
      <w:r w:rsidR="00261BB9" w:rsidRPr="007406B5">
        <w:rPr>
          <w:rFonts w:ascii="Times New Roman" w:hAnsi="Times New Roman"/>
        </w:rPr>
        <w:t xml:space="preserve">the relevant </w:t>
      </w:r>
      <w:r w:rsidR="00A13FBC" w:rsidRPr="007406B5">
        <w:rPr>
          <w:rFonts w:ascii="Times New Roman" w:hAnsi="Times New Roman"/>
        </w:rPr>
        <w:t xml:space="preserve">consent authority for the development the subject of the development application. </w:t>
      </w:r>
      <w:r w:rsidR="00466398" w:rsidRPr="007406B5">
        <w:rPr>
          <w:rFonts w:ascii="Times New Roman" w:hAnsi="Times New Roman"/>
        </w:rPr>
        <w:t>The critical proviso</w:t>
      </w:r>
      <w:r w:rsidR="00514DA8" w:rsidRPr="007406B5">
        <w:rPr>
          <w:rFonts w:ascii="Times New Roman" w:hAnsi="Times New Roman"/>
        </w:rPr>
        <w:t>s</w:t>
      </w:r>
      <w:r w:rsidR="00466398" w:rsidRPr="007406B5">
        <w:rPr>
          <w:rFonts w:ascii="Times New Roman" w:hAnsi="Times New Roman"/>
        </w:rPr>
        <w:t xml:space="preserve"> on which the reasoning in </w:t>
      </w:r>
      <w:r w:rsidR="00466398" w:rsidRPr="007406B5">
        <w:rPr>
          <w:rFonts w:ascii="Times New Roman" w:hAnsi="Times New Roman"/>
          <w:i/>
          <w:iCs/>
        </w:rPr>
        <w:t>Ross v Lane</w:t>
      </w:r>
      <w:r w:rsidR="007405A8" w:rsidRPr="007406B5">
        <w:rPr>
          <w:rFonts w:ascii="Times New Roman" w:hAnsi="Times New Roman"/>
        </w:rPr>
        <w:t xml:space="preserve"> relies</w:t>
      </w:r>
      <w:r w:rsidR="00466398" w:rsidRPr="007406B5">
        <w:rPr>
          <w:rFonts w:ascii="Times New Roman" w:hAnsi="Times New Roman"/>
        </w:rPr>
        <w:t>, that the development "is not prohibited"</w:t>
      </w:r>
      <w:r w:rsidR="00514DA8" w:rsidRPr="007406B5">
        <w:rPr>
          <w:rFonts w:ascii="Times New Roman" w:hAnsi="Times New Roman"/>
        </w:rPr>
        <w:t xml:space="preserve"> and is "permissible with consent"</w:t>
      </w:r>
      <w:r w:rsidR="00466398" w:rsidRPr="007406B5">
        <w:rPr>
          <w:rFonts w:ascii="Times New Roman" w:hAnsi="Times New Roman"/>
        </w:rPr>
        <w:t>, do not exist apart from the correct identification and construction of the provisions of environmental planning instruments relevant to the development.</w:t>
      </w:r>
      <w:r w:rsidR="00795AEE" w:rsidRPr="007406B5">
        <w:rPr>
          <w:rFonts w:ascii="Times New Roman" w:hAnsi="Times New Roman"/>
        </w:rPr>
        <w:t xml:space="preserve"> </w:t>
      </w:r>
    </w:p>
    <w:p w14:paraId="690008D4" w14:textId="1144ABCD" w:rsidR="00466398" w:rsidRPr="007406B5" w:rsidRDefault="00BA3F30" w:rsidP="007406B5">
      <w:pPr>
        <w:pStyle w:val="FixListStyle"/>
        <w:spacing w:after="260" w:line="280" w:lineRule="exact"/>
        <w:ind w:right="0"/>
        <w:jc w:val="both"/>
        <w:rPr>
          <w:rFonts w:ascii="Times New Roman" w:hAnsi="Times New Roman"/>
        </w:rPr>
      </w:pPr>
      <w:r w:rsidRPr="007406B5">
        <w:rPr>
          <w:rFonts w:ascii="Times New Roman" w:hAnsi="Times New Roman"/>
        </w:rPr>
        <w:tab/>
      </w:r>
      <w:r w:rsidR="00101A6E" w:rsidRPr="007406B5">
        <w:rPr>
          <w:rFonts w:ascii="Times New Roman" w:hAnsi="Times New Roman"/>
        </w:rPr>
        <w:t>T</w:t>
      </w:r>
      <w:r w:rsidR="004402C4" w:rsidRPr="007406B5">
        <w:rPr>
          <w:rFonts w:ascii="Times New Roman" w:hAnsi="Times New Roman"/>
        </w:rPr>
        <w:t>he</w:t>
      </w:r>
      <w:r w:rsidRPr="007406B5">
        <w:rPr>
          <w:rFonts w:ascii="Times New Roman" w:hAnsi="Times New Roman"/>
        </w:rPr>
        <w:t xml:space="preserve"> </w:t>
      </w:r>
      <w:r w:rsidR="00795AEE" w:rsidRPr="007406B5">
        <w:rPr>
          <w:rFonts w:ascii="Times New Roman" w:hAnsi="Times New Roman"/>
        </w:rPr>
        <w:t xml:space="preserve">reasoning </w:t>
      </w:r>
      <w:r w:rsidR="00101A6E" w:rsidRPr="007406B5">
        <w:rPr>
          <w:rFonts w:ascii="Times New Roman" w:hAnsi="Times New Roman"/>
        </w:rPr>
        <w:t xml:space="preserve">in </w:t>
      </w:r>
      <w:r w:rsidR="00101A6E" w:rsidRPr="007406B5">
        <w:rPr>
          <w:rFonts w:ascii="Times New Roman" w:hAnsi="Times New Roman"/>
          <w:i/>
          <w:iCs/>
        </w:rPr>
        <w:t>El Khouri v Gemaveld Pty Ltd</w:t>
      </w:r>
      <w:r w:rsidR="00101A6E" w:rsidRPr="007406B5">
        <w:rPr>
          <w:rStyle w:val="FootnoteReference"/>
          <w:rFonts w:ascii="Times New Roman" w:hAnsi="Times New Roman"/>
          <w:sz w:val="24"/>
        </w:rPr>
        <w:footnoteReference w:id="25"/>
      </w:r>
      <w:r w:rsidR="00101A6E" w:rsidRPr="007406B5">
        <w:rPr>
          <w:rFonts w:ascii="Times New Roman" w:hAnsi="Times New Roman"/>
        </w:rPr>
        <w:t xml:space="preserve"> </w:t>
      </w:r>
      <w:r w:rsidR="002B0B03" w:rsidRPr="007406B5">
        <w:rPr>
          <w:rFonts w:ascii="Times New Roman" w:hAnsi="Times New Roman"/>
        </w:rPr>
        <w:t xml:space="preserve">exposes </w:t>
      </w:r>
      <w:r w:rsidRPr="007406B5">
        <w:rPr>
          <w:rFonts w:ascii="Times New Roman" w:hAnsi="Times New Roman"/>
        </w:rPr>
        <w:t xml:space="preserve">the error underlying </w:t>
      </w:r>
      <w:r w:rsidRPr="007406B5">
        <w:rPr>
          <w:rFonts w:ascii="Times New Roman" w:hAnsi="Times New Roman"/>
          <w:i/>
          <w:iCs/>
        </w:rPr>
        <w:t>Ross v Lane</w:t>
      </w:r>
      <w:r w:rsidRPr="007406B5">
        <w:rPr>
          <w:rFonts w:ascii="Times New Roman" w:hAnsi="Times New Roman"/>
        </w:rPr>
        <w:t xml:space="preserve">. </w:t>
      </w:r>
      <w:r w:rsidR="00770CCD" w:rsidRPr="007406B5">
        <w:rPr>
          <w:rFonts w:ascii="Times New Roman" w:hAnsi="Times New Roman"/>
        </w:rPr>
        <w:t xml:space="preserve">To explain, </w:t>
      </w:r>
      <w:r w:rsidR="0048112F" w:rsidRPr="007406B5">
        <w:rPr>
          <w:rFonts w:ascii="Times New Roman" w:hAnsi="Times New Roman"/>
        </w:rPr>
        <w:t xml:space="preserve">the </w:t>
      </w:r>
      <w:r w:rsidR="00193B31" w:rsidRPr="007406B5">
        <w:rPr>
          <w:rFonts w:ascii="Times New Roman" w:hAnsi="Times New Roman"/>
        </w:rPr>
        <w:t xml:space="preserve">relevant </w:t>
      </w:r>
      <w:r w:rsidR="008E328D" w:rsidRPr="007406B5">
        <w:rPr>
          <w:rFonts w:ascii="Times New Roman" w:hAnsi="Times New Roman"/>
        </w:rPr>
        <w:t xml:space="preserve">provision </w:t>
      </w:r>
      <w:r w:rsidR="0048112F" w:rsidRPr="007406B5">
        <w:rPr>
          <w:rFonts w:ascii="Times New Roman" w:hAnsi="Times New Roman"/>
        </w:rPr>
        <w:t xml:space="preserve">of the </w:t>
      </w:r>
      <w:r w:rsidR="008E328D" w:rsidRPr="007406B5">
        <w:rPr>
          <w:rFonts w:ascii="Times New Roman" w:hAnsi="Times New Roman"/>
        </w:rPr>
        <w:t xml:space="preserve">environmental planning instrument </w:t>
      </w:r>
      <w:r w:rsidR="00CA08DB" w:rsidRPr="007406B5">
        <w:rPr>
          <w:rFonts w:ascii="Times New Roman" w:hAnsi="Times New Roman"/>
        </w:rPr>
        <w:t xml:space="preserve">in that case </w:t>
      </w:r>
      <w:r w:rsidR="008E328D" w:rsidRPr="007406B5">
        <w:rPr>
          <w:rFonts w:ascii="Times New Roman" w:hAnsi="Times New Roman"/>
        </w:rPr>
        <w:t>stated that the height of a building was not to exceed the maximum height shown on a "Height of Buildings Map"</w:t>
      </w:r>
      <w:r w:rsidR="00D74628" w:rsidRPr="007406B5">
        <w:rPr>
          <w:rFonts w:ascii="Times New Roman" w:hAnsi="Times New Roman"/>
        </w:rPr>
        <w:t xml:space="preserve">. Applying </w:t>
      </w:r>
      <w:r w:rsidR="00094306" w:rsidRPr="007406B5">
        <w:rPr>
          <w:rFonts w:ascii="Times New Roman" w:hAnsi="Times New Roman"/>
          <w:i/>
          <w:iCs/>
        </w:rPr>
        <w:t>Ross v Lane</w:t>
      </w:r>
      <w:r w:rsidR="000D2928" w:rsidRPr="007406B5">
        <w:rPr>
          <w:rFonts w:ascii="Times New Roman" w:hAnsi="Times New Roman"/>
          <w:i/>
          <w:iCs/>
        </w:rPr>
        <w:t xml:space="preserve"> </w:t>
      </w:r>
      <w:r w:rsidR="000D2928" w:rsidRPr="007406B5">
        <w:rPr>
          <w:rFonts w:ascii="Times New Roman" w:hAnsi="Times New Roman"/>
        </w:rPr>
        <w:t xml:space="preserve">(the correctness of which was not challenged in </w:t>
      </w:r>
      <w:r w:rsidR="000D2928" w:rsidRPr="007406B5">
        <w:rPr>
          <w:rFonts w:ascii="Times New Roman" w:hAnsi="Times New Roman"/>
          <w:i/>
          <w:iCs/>
        </w:rPr>
        <w:t>El Khouri</w:t>
      </w:r>
      <w:r w:rsidR="000D2928" w:rsidRPr="007406B5">
        <w:rPr>
          <w:rFonts w:ascii="Times New Roman" w:hAnsi="Times New Roman"/>
        </w:rPr>
        <w:t>)</w:t>
      </w:r>
      <w:r w:rsidR="00F90020" w:rsidRPr="007406B5">
        <w:rPr>
          <w:rFonts w:ascii="Times New Roman" w:hAnsi="Times New Roman"/>
        </w:rPr>
        <w:t xml:space="preserve">, </w:t>
      </w:r>
      <w:r w:rsidR="00C01665" w:rsidRPr="007406B5">
        <w:rPr>
          <w:rFonts w:ascii="Times New Roman" w:hAnsi="Times New Roman"/>
        </w:rPr>
        <w:t xml:space="preserve">Leeming JA identified the </w:t>
      </w:r>
      <w:r w:rsidR="00AE29D9" w:rsidRPr="007406B5">
        <w:rPr>
          <w:rFonts w:ascii="Times New Roman" w:hAnsi="Times New Roman"/>
        </w:rPr>
        <w:t xml:space="preserve">permissibility of the development with </w:t>
      </w:r>
      <w:r w:rsidR="00C01665" w:rsidRPr="007406B5">
        <w:rPr>
          <w:rFonts w:ascii="Times New Roman" w:hAnsi="Times New Roman"/>
        </w:rPr>
        <w:t>development</w:t>
      </w:r>
      <w:r w:rsidR="00AE29D9" w:rsidRPr="007406B5">
        <w:rPr>
          <w:rFonts w:ascii="Times New Roman" w:hAnsi="Times New Roman"/>
        </w:rPr>
        <w:t xml:space="preserve"> </w:t>
      </w:r>
      <w:r w:rsidR="00C01665" w:rsidRPr="007406B5">
        <w:rPr>
          <w:rFonts w:ascii="Times New Roman" w:hAnsi="Times New Roman"/>
        </w:rPr>
        <w:t>consent</w:t>
      </w:r>
      <w:r w:rsidR="00AE29D9" w:rsidRPr="007406B5">
        <w:rPr>
          <w:rFonts w:ascii="Times New Roman" w:hAnsi="Times New Roman"/>
        </w:rPr>
        <w:t xml:space="preserve"> as critical to </w:t>
      </w:r>
      <w:r w:rsidR="0038771D" w:rsidRPr="007406B5">
        <w:rPr>
          <w:rFonts w:ascii="Times New Roman" w:hAnsi="Times New Roman"/>
        </w:rPr>
        <w:t xml:space="preserve">the </w:t>
      </w:r>
      <w:r w:rsidR="00C01665" w:rsidRPr="007406B5">
        <w:rPr>
          <w:rFonts w:ascii="Times New Roman" w:hAnsi="Times New Roman"/>
        </w:rPr>
        <w:t>conclusion</w:t>
      </w:r>
      <w:r w:rsidR="0038771D" w:rsidRPr="007406B5">
        <w:rPr>
          <w:rFonts w:ascii="Times New Roman" w:hAnsi="Times New Roman"/>
        </w:rPr>
        <w:t xml:space="preserve"> that the </w:t>
      </w:r>
      <w:r w:rsidR="009C0A6F" w:rsidRPr="007406B5">
        <w:rPr>
          <w:rFonts w:ascii="Times New Roman" w:hAnsi="Times New Roman"/>
        </w:rPr>
        <w:t>maximum height provision did not involve a question of jurisdictional fact</w:t>
      </w:r>
      <w:r w:rsidR="00601A05" w:rsidRPr="007406B5">
        <w:rPr>
          <w:rFonts w:ascii="Times New Roman" w:hAnsi="Times New Roman"/>
        </w:rPr>
        <w:t>, giving effect to the reasoning</w:t>
      </w:r>
      <w:r w:rsidR="00C01665" w:rsidRPr="007406B5">
        <w:rPr>
          <w:rFonts w:ascii="Times New Roman" w:hAnsi="Times New Roman"/>
        </w:rPr>
        <w:t xml:space="preserve"> </w:t>
      </w:r>
      <w:r w:rsidR="00601A05" w:rsidRPr="007406B5">
        <w:rPr>
          <w:rFonts w:ascii="Times New Roman" w:hAnsi="Times New Roman"/>
        </w:rPr>
        <w:t xml:space="preserve">in </w:t>
      </w:r>
      <w:r w:rsidR="00601A05" w:rsidRPr="007406B5">
        <w:rPr>
          <w:rFonts w:ascii="Times New Roman" w:hAnsi="Times New Roman"/>
          <w:i/>
          <w:iCs/>
        </w:rPr>
        <w:t>Ross v Lane</w:t>
      </w:r>
      <w:r w:rsidR="00601A05" w:rsidRPr="007406B5">
        <w:rPr>
          <w:rFonts w:ascii="Times New Roman" w:hAnsi="Times New Roman"/>
        </w:rPr>
        <w:t>.</w:t>
      </w:r>
      <w:r w:rsidR="00601A05" w:rsidRPr="007406B5">
        <w:rPr>
          <w:rStyle w:val="FootnoteReference"/>
          <w:rFonts w:ascii="Times New Roman" w:hAnsi="Times New Roman"/>
          <w:sz w:val="24"/>
        </w:rPr>
        <w:footnoteReference w:id="26"/>
      </w:r>
      <w:r w:rsidR="009D2C8D" w:rsidRPr="007406B5">
        <w:rPr>
          <w:rFonts w:ascii="Times New Roman" w:hAnsi="Times New Roman"/>
        </w:rPr>
        <w:t xml:space="preserve"> The problem is that</w:t>
      </w:r>
      <w:r w:rsidR="0094611C" w:rsidRPr="007406B5">
        <w:rPr>
          <w:rFonts w:ascii="Times New Roman" w:hAnsi="Times New Roman"/>
        </w:rPr>
        <w:t xml:space="preserve">, on the terms of the maximum height provision, </w:t>
      </w:r>
      <w:r w:rsidR="009D2C8D" w:rsidRPr="007406B5">
        <w:rPr>
          <w:rFonts w:ascii="Times New Roman" w:hAnsi="Times New Roman"/>
        </w:rPr>
        <w:t xml:space="preserve">the development </w:t>
      </w:r>
      <w:r w:rsidR="00EF3AB9" w:rsidRPr="007406B5">
        <w:rPr>
          <w:rFonts w:ascii="Times New Roman" w:hAnsi="Times New Roman"/>
        </w:rPr>
        <w:t xml:space="preserve">(a building) </w:t>
      </w:r>
      <w:r w:rsidR="009D2C8D" w:rsidRPr="007406B5">
        <w:rPr>
          <w:rFonts w:ascii="Times New Roman" w:hAnsi="Times New Roman"/>
        </w:rPr>
        <w:t>was not permissible with development consent</w:t>
      </w:r>
      <w:r w:rsidR="00D85AB1" w:rsidRPr="007406B5">
        <w:rPr>
          <w:rFonts w:ascii="Times New Roman" w:hAnsi="Times New Roman"/>
        </w:rPr>
        <w:t xml:space="preserve"> if </w:t>
      </w:r>
      <w:r w:rsidR="00EF3AB9" w:rsidRPr="007406B5">
        <w:rPr>
          <w:rFonts w:ascii="Times New Roman" w:hAnsi="Times New Roman"/>
        </w:rPr>
        <w:t xml:space="preserve">the building </w:t>
      </w:r>
      <w:r w:rsidR="0094611C" w:rsidRPr="007406B5">
        <w:rPr>
          <w:rFonts w:ascii="Times New Roman" w:hAnsi="Times New Roman"/>
        </w:rPr>
        <w:t xml:space="preserve">in fact </w:t>
      </w:r>
      <w:r w:rsidR="00D85AB1" w:rsidRPr="007406B5">
        <w:rPr>
          <w:rFonts w:ascii="Times New Roman" w:hAnsi="Times New Roman"/>
        </w:rPr>
        <w:t>exceeded the maximum height limit</w:t>
      </w:r>
      <w:r w:rsidR="00372974" w:rsidRPr="007406B5">
        <w:rPr>
          <w:rFonts w:ascii="Times New Roman" w:hAnsi="Times New Roman"/>
        </w:rPr>
        <w:t xml:space="preserve"> in the maximum height provision</w:t>
      </w:r>
      <w:r w:rsidR="00D85AB1" w:rsidRPr="007406B5">
        <w:rPr>
          <w:rFonts w:ascii="Times New Roman" w:hAnsi="Times New Roman"/>
        </w:rPr>
        <w:t xml:space="preserve">. </w:t>
      </w:r>
      <w:r w:rsidR="00372974" w:rsidRPr="007406B5">
        <w:rPr>
          <w:rFonts w:ascii="Times New Roman" w:hAnsi="Times New Roman"/>
        </w:rPr>
        <w:t>That is, i</w:t>
      </w:r>
      <w:r w:rsidR="00D85AB1" w:rsidRPr="007406B5">
        <w:rPr>
          <w:rFonts w:ascii="Times New Roman" w:hAnsi="Times New Roman"/>
        </w:rPr>
        <w:t>n its terms</w:t>
      </w:r>
      <w:r w:rsidR="001D5A96" w:rsidRPr="007406B5">
        <w:rPr>
          <w:rFonts w:ascii="Times New Roman" w:hAnsi="Times New Roman"/>
        </w:rPr>
        <w:t>,</w:t>
      </w:r>
      <w:r w:rsidR="00D85AB1" w:rsidRPr="007406B5">
        <w:rPr>
          <w:rFonts w:ascii="Times New Roman" w:hAnsi="Times New Roman"/>
        </w:rPr>
        <w:t xml:space="preserve"> the maximum height </w:t>
      </w:r>
      <w:r w:rsidR="0094611C" w:rsidRPr="007406B5">
        <w:rPr>
          <w:rFonts w:ascii="Times New Roman" w:hAnsi="Times New Roman"/>
        </w:rPr>
        <w:t xml:space="preserve">provision </w:t>
      </w:r>
      <w:r w:rsidR="00D85AB1" w:rsidRPr="007406B5">
        <w:rPr>
          <w:rFonts w:ascii="Times New Roman" w:hAnsi="Times New Roman"/>
        </w:rPr>
        <w:t xml:space="preserve">was a provision of an environmental planning instrument that </w:t>
      </w:r>
      <w:r w:rsidR="007F2736" w:rsidRPr="007406B5">
        <w:rPr>
          <w:rFonts w:ascii="Times New Roman" w:hAnsi="Times New Roman"/>
        </w:rPr>
        <w:t>provided that "</w:t>
      </w:r>
      <w:r w:rsidR="00D346ED" w:rsidRPr="007406B5">
        <w:rPr>
          <w:rFonts w:ascii="Times New Roman" w:hAnsi="Times New Roman"/>
        </w:rPr>
        <w:t>specified development is prohibited on land to which the provision applies"</w:t>
      </w:r>
      <w:r w:rsidR="0094611C" w:rsidRPr="007406B5">
        <w:rPr>
          <w:rFonts w:ascii="Times New Roman" w:hAnsi="Times New Roman"/>
        </w:rPr>
        <w:t xml:space="preserve"> </w:t>
      </w:r>
      <w:r w:rsidR="00372974" w:rsidRPr="007406B5">
        <w:rPr>
          <w:rFonts w:ascii="Times New Roman" w:hAnsi="Times New Roman"/>
        </w:rPr>
        <w:t xml:space="preserve">for the purpose of </w:t>
      </w:r>
      <w:r w:rsidR="0094611C" w:rsidRPr="007406B5">
        <w:rPr>
          <w:rFonts w:ascii="Times New Roman" w:hAnsi="Times New Roman"/>
        </w:rPr>
        <w:t>s 4.3(a)</w:t>
      </w:r>
      <w:r w:rsidR="00773F14" w:rsidRPr="007406B5">
        <w:rPr>
          <w:rFonts w:ascii="Times New Roman" w:hAnsi="Times New Roman"/>
        </w:rPr>
        <w:t xml:space="preserve"> of </w:t>
      </w:r>
      <w:r w:rsidR="00773F14" w:rsidRPr="007406B5">
        <w:rPr>
          <w:rFonts w:ascii="Times New Roman" w:hAnsi="Times New Roman"/>
        </w:rPr>
        <w:lastRenderedPageBreak/>
        <w:t>the EPA Act</w:t>
      </w:r>
      <w:r w:rsidR="00D346ED" w:rsidRPr="007406B5">
        <w:rPr>
          <w:rFonts w:ascii="Times New Roman" w:hAnsi="Times New Roman"/>
        </w:rPr>
        <w:t xml:space="preserve">, the specified development being a building </w:t>
      </w:r>
      <w:r w:rsidR="006010CE" w:rsidRPr="007406B5">
        <w:rPr>
          <w:rFonts w:ascii="Times New Roman" w:hAnsi="Times New Roman"/>
        </w:rPr>
        <w:t xml:space="preserve">the height of which exceeded the </w:t>
      </w:r>
      <w:r w:rsidR="00C67122" w:rsidRPr="007406B5">
        <w:rPr>
          <w:rFonts w:ascii="Times New Roman" w:hAnsi="Times New Roman"/>
        </w:rPr>
        <w:t>maximum height shown on the "Height of Buildings Map".</w:t>
      </w:r>
      <w:r w:rsidR="00773F14" w:rsidRPr="007406B5">
        <w:rPr>
          <w:rStyle w:val="FootnoteReference"/>
          <w:rFonts w:ascii="Times New Roman" w:hAnsi="Times New Roman"/>
          <w:sz w:val="24"/>
        </w:rPr>
        <w:footnoteReference w:id="27"/>
      </w:r>
      <w:r w:rsidR="00C67122" w:rsidRPr="007406B5">
        <w:rPr>
          <w:rFonts w:ascii="Times New Roman" w:hAnsi="Times New Roman"/>
        </w:rPr>
        <w:t xml:space="preserve"> </w:t>
      </w:r>
    </w:p>
    <w:p w14:paraId="31F80524" w14:textId="6732524E" w:rsidR="00B66772" w:rsidRPr="007406B5" w:rsidRDefault="00466398" w:rsidP="007406B5">
      <w:pPr>
        <w:pStyle w:val="FixListStyle"/>
        <w:spacing w:after="260" w:line="280" w:lineRule="exact"/>
        <w:ind w:right="0"/>
        <w:jc w:val="both"/>
        <w:rPr>
          <w:rFonts w:ascii="Times New Roman" w:hAnsi="Times New Roman"/>
        </w:rPr>
      </w:pPr>
      <w:r w:rsidRPr="007406B5">
        <w:rPr>
          <w:rFonts w:ascii="Times New Roman" w:hAnsi="Times New Roman"/>
        </w:rPr>
        <w:tab/>
      </w:r>
      <w:r w:rsidR="00A13FBC" w:rsidRPr="007406B5">
        <w:rPr>
          <w:rFonts w:ascii="Times New Roman" w:hAnsi="Times New Roman"/>
        </w:rPr>
        <w:t xml:space="preserve">This exposes why </w:t>
      </w:r>
      <w:r w:rsidR="007D5A95" w:rsidRPr="007406B5">
        <w:rPr>
          <w:rFonts w:ascii="Times New Roman" w:hAnsi="Times New Roman"/>
        </w:rPr>
        <w:t>part of the essential function of a consent authority</w:t>
      </w:r>
      <w:r w:rsidR="002C01F2" w:rsidRPr="007406B5">
        <w:rPr>
          <w:rFonts w:ascii="Times New Roman" w:hAnsi="Times New Roman"/>
        </w:rPr>
        <w:t>,</w:t>
      </w:r>
      <w:r w:rsidR="007D5A95" w:rsidRPr="007406B5">
        <w:rPr>
          <w:rFonts w:ascii="Times New Roman" w:hAnsi="Times New Roman"/>
        </w:rPr>
        <w:t xml:space="preserve"> which is anterior or preliminary to the consent authority's evaluation of the merits of the development, is</w:t>
      </w:r>
      <w:r w:rsidR="00B33683" w:rsidRPr="007406B5">
        <w:rPr>
          <w:rFonts w:ascii="Times New Roman" w:hAnsi="Times New Roman"/>
        </w:rPr>
        <w:t>: (i) </w:t>
      </w:r>
      <w:r w:rsidR="007D5A95" w:rsidRPr="007406B5">
        <w:rPr>
          <w:rFonts w:ascii="Times New Roman" w:hAnsi="Times New Roman"/>
        </w:rPr>
        <w:t xml:space="preserve">the </w:t>
      </w:r>
      <w:r w:rsidR="00EA35AC" w:rsidRPr="007406B5">
        <w:rPr>
          <w:rFonts w:ascii="Times New Roman" w:hAnsi="Times New Roman"/>
        </w:rPr>
        <w:t>correct identification of the permissibility of the development with or without consent</w:t>
      </w:r>
      <w:r w:rsidR="000619D2" w:rsidRPr="007406B5">
        <w:rPr>
          <w:rFonts w:ascii="Times New Roman" w:hAnsi="Times New Roman"/>
        </w:rPr>
        <w:t xml:space="preserve"> or its prohibition</w:t>
      </w:r>
      <w:r w:rsidR="00FE191B" w:rsidRPr="007406B5">
        <w:rPr>
          <w:rFonts w:ascii="Times New Roman" w:hAnsi="Times New Roman"/>
        </w:rPr>
        <w:t>,</w:t>
      </w:r>
      <w:r w:rsidR="00F53A1A" w:rsidRPr="007406B5">
        <w:rPr>
          <w:rFonts w:ascii="Times New Roman" w:hAnsi="Times New Roman"/>
        </w:rPr>
        <w:t xml:space="preserve"> including its prohibition by way of a development </w:t>
      </w:r>
      <w:r w:rsidR="00F963B4" w:rsidRPr="007406B5">
        <w:rPr>
          <w:rFonts w:ascii="Times New Roman" w:hAnsi="Times New Roman"/>
        </w:rPr>
        <w:t>standard</w:t>
      </w:r>
      <w:r w:rsidR="00F53A1A" w:rsidRPr="007406B5">
        <w:rPr>
          <w:rFonts w:ascii="Times New Roman" w:hAnsi="Times New Roman"/>
        </w:rPr>
        <w:t xml:space="preserve"> capable of </w:t>
      </w:r>
      <w:r w:rsidR="00F963B4" w:rsidRPr="007406B5">
        <w:rPr>
          <w:rFonts w:ascii="Times New Roman" w:hAnsi="Times New Roman"/>
        </w:rPr>
        <w:t>disapplication</w:t>
      </w:r>
      <w:r w:rsidR="00F53A1A" w:rsidRPr="007406B5">
        <w:rPr>
          <w:rFonts w:ascii="Times New Roman" w:hAnsi="Times New Roman"/>
        </w:rPr>
        <w:t xml:space="preserve"> </w:t>
      </w:r>
      <w:r w:rsidR="00F963B4" w:rsidRPr="007406B5">
        <w:rPr>
          <w:rFonts w:ascii="Times New Roman" w:hAnsi="Times New Roman"/>
        </w:rPr>
        <w:t>under another provision of an environmental planning instrument</w:t>
      </w:r>
      <w:r w:rsidR="00B33683" w:rsidRPr="007406B5">
        <w:rPr>
          <w:rFonts w:ascii="Times New Roman" w:hAnsi="Times New Roman"/>
        </w:rPr>
        <w:t>;</w:t>
      </w:r>
      <w:r w:rsidR="000619D2" w:rsidRPr="007406B5">
        <w:rPr>
          <w:rFonts w:ascii="Times New Roman" w:hAnsi="Times New Roman"/>
        </w:rPr>
        <w:t xml:space="preserve"> </w:t>
      </w:r>
      <w:r w:rsidR="00885B01" w:rsidRPr="007406B5">
        <w:rPr>
          <w:rFonts w:ascii="Times New Roman" w:hAnsi="Times New Roman"/>
        </w:rPr>
        <w:t xml:space="preserve">and </w:t>
      </w:r>
      <w:r w:rsidR="00B33683" w:rsidRPr="007406B5">
        <w:rPr>
          <w:rFonts w:ascii="Times New Roman" w:hAnsi="Times New Roman"/>
        </w:rPr>
        <w:t>(ii) </w:t>
      </w:r>
      <w:r w:rsidR="00885B01" w:rsidRPr="007406B5">
        <w:rPr>
          <w:rFonts w:ascii="Times New Roman" w:hAnsi="Times New Roman"/>
        </w:rPr>
        <w:t>the correct identification of the consent authority for the development the subject of the development application</w:t>
      </w:r>
      <w:r w:rsidR="00593D8D" w:rsidRPr="007406B5">
        <w:rPr>
          <w:rFonts w:ascii="Times New Roman" w:hAnsi="Times New Roman"/>
        </w:rPr>
        <w:t>. Those essential functions</w:t>
      </w:r>
      <w:r w:rsidR="00885B01" w:rsidRPr="007406B5">
        <w:rPr>
          <w:rFonts w:ascii="Times New Roman" w:hAnsi="Times New Roman"/>
        </w:rPr>
        <w:t xml:space="preserve"> </w:t>
      </w:r>
      <w:r w:rsidR="000619D2" w:rsidRPr="007406B5">
        <w:rPr>
          <w:rFonts w:ascii="Times New Roman" w:hAnsi="Times New Roman"/>
        </w:rPr>
        <w:t>depend on the consent authority</w:t>
      </w:r>
      <w:r w:rsidR="00387F73" w:rsidRPr="007406B5">
        <w:rPr>
          <w:rFonts w:ascii="Times New Roman" w:hAnsi="Times New Roman"/>
        </w:rPr>
        <w:t>, first,</w:t>
      </w:r>
      <w:r w:rsidR="000619D2" w:rsidRPr="007406B5">
        <w:rPr>
          <w:rFonts w:ascii="Times New Roman" w:hAnsi="Times New Roman"/>
        </w:rPr>
        <w:t xml:space="preserve"> correctly identifying and construing the environmental planning instruments which apply to the development</w:t>
      </w:r>
      <w:r w:rsidR="00885B01" w:rsidRPr="007406B5">
        <w:rPr>
          <w:rFonts w:ascii="Times New Roman" w:hAnsi="Times New Roman"/>
        </w:rPr>
        <w:t xml:space="preserve"> and</w:t>
      </w:r>
      <w:r w:rsidR="00387F73" w:rsidRPr="007406B5">
        <w:rPr>
          <w:rFonts w:ascii="Times New Roman" w:hAnsi="Times New Roman"/>
        </w:rPr>
        <w:t>, second,</w:t>
      </w:r>
      <w:r w:rsidR="00885B01" w:rsidRPr="007406B5">
        <w:rPr>
          <w:rFonts w:ascii="Times New Roman" w:hAnsi="Times New Roman"/>
        </w:rPr>
        <w:t xml:space="preserve"> resolving any inconsistency between </w:t>
      </w:r>
      <w:r w:rsidR="00387F73" w:rsidRPr="007406B5">
        <w:rPr>
          <w:rFonts w:ascii="Times New Roman" w:hAnsi="Times New Roman"/>
        </w:rPr>
        <w:t xml:space="preserve">those instruments </w:t>
      </w:r>
      <w:r w:rsidR="00885B01" w:rsidRPr="007406B5">
        <w:rPr>
          <w:rFonts w:ascii="Times New Roman" w:hAnsi="Times New Roman"/>
        </w:rPr>
        <w:t>in accordance with s 3.28</w:t>
      </w:r>
      <w:r w:rsidR="00387F73" w:rsidRPr="007406B5">
        <w:rPr>
          <w:rFonts w:ascii="Times New Roman" w:hAnsi="Times New Roman"/>
        </w:rPr>
        <w:t xml:space="preserve"> of the EPA Act</w:t>
      </w:r>
      <w:r w:rsidR="00885B01" w:rsidRPr="007406B5">
        <w:rPr>
          <w:rFonts w:ascii="Times New Roman" w:hAnsi="Times New Roman"/>
        </w:rPr>
        <w:t>.</w:t>
      </w:r>
      <w:r w:rsidR="000619D2" w:rsidRPr="007406B5">
        <w:rPr>
          <w:rFonts w:ascii="Times New Roman" w:hAnsi="Times New Roman"/>
        </w:rPr>
        <w:t xml:space="preserve"> </w:t>
      </w:r>
      <w:r w:rsidR="00E11F71" w:rsidRPr="007406B5">
        <w:rPr>
          <w:rFonts w:ascii="Times New Roman" w:hAnsi="Times New Roman"/>
        </w:rPr>
        <w:t xml:space="preserve">Accordingly, </w:t>
      </w:r>
      <w:r w:rsidR="008F56F5" w:rsidRPr="007406B5">
        <w:rPr>
          <w:rFonts w:ascii="Times New Roman" w:hAnsi="Times New Roman"/>
        </w:rPr>
        <w:t xml:space="preserve">a question of fact which </w:t>
      </w:r>
      <w:r w:rsidR="006A2A69" w:rsidRPr="007406B5">
        <w:rPr>
          <w:rFonts w:ascii="Times New Roman" w:hAnsi="Times New Roman"/>
        </w:rPr>
        <w:t xml:space="preserve">a </w:t>
      </w:r>
      <w:r w:rsidR="003F2D92" w:rsidRPr="007406B5">
        <w:rPr>
          <w:rFonts w:ascii="Times New Roman" w:hAnsi="Times New Roman"/>
        </w:rPr>
        <w:t xml:space="preserve">consent authority </w:t>
      </w:r>
      <w:r w:rsidR="00555C1E" w:rsidRPr="007406B5">
        <w:rPr>
          <w:rFonts w:ascii="Times New Roman" w:hAnsi="Times New Roman"/>
        </w:rPr>
        <w:t xml:space="preserve">is required to determine to </w:t>
      </w:r>
      <w:r w:rsidR="003F2D92" w:rsidRPr="007406B5">
        <w:rPr>
          <w:rFonts w:ascii="Times New Roman" w:hAnsi="Times New Roman"/>
        </w:rPr>
        <w:t>correctly identify and constru</w:t>
      </w:r>
      <w:r w:rsidR="00555C1E" w:rsidRPr="007406B5">
        <w:rPr>
          <w:rFonts w:ascii="Times New Roman" w:hAnsi="Times New Roman"/>
        </w:rPr>
        <w:t>e</w:t>
      </w:r>
      <w:r w:rsidR="003F2D92" w:rsidRPr="007406B5">
        <w:rPr>
          <w:rFonts w:ascii="Times New Roman" w:hAnsi="Times New Roman"/>
        </w:rPr>
        <w:t xml:space="preserve"> the environmental planning instruments which apply to the development </w:t>
      </w:r>
      <w:r w:rsidR="004C1EE5" w:rsidRPr="007406B5">
        <w:rPr>
          <w:rFonts w:ascii="Times New Roman" w:hAnsi="Times New Roman"/>
        </w:rPr>
        <w:t xml:space="preserve">the subject of the development application </w:t>
      </w:r>
      <w:r w:rsidR="003F2D92" w:rsidRPr="007406B5">
        <w:rPr>
          <w:rFonts w:ascii="Times New Roman" w:hAnsi="Times New Roman"/>
        </w:rPr>
        <w:t xml:space="preserve">is a question of jurisdictional fact for </w:t>
      </w:r>
      <w:r w:rsidR="004C1EE5" w:rsidRPr="007406B5">
        <w:rPr>
          <w:rFonts w:ascii="Times New Roman" w:hAnsi="Times New Roman"/>
        </w:rPr>
        <w:t xml:space="preserve">a </w:t>
      </w:r>
      <w:r w:rsidR="003F2D92" w:rsidRPr="007406B5">
        <w:rPr>
          <w:rFonts w:ascii="Times New Roman" w:hAnsi="Times New Roman"/>
        </w:rPr>
        <w:t xml:space="preserve">court </w:t>
      </w:r>
      <w:r w:rsidR="00893149" w:rsidRPr="007406B5">
        <w:rPr>
          <w:rFonts w:ascii="Times New Roman" w:hAnsi="Times New Roman"/>
        </w:rPr>
        <w:t>to decide for itself as necessary</w:t>
      </w:r>
      <w:r w:rsidR="004C1EE5" w:rsidRPr="007406B5">
        <w:rPr>
          <w:rFonts w:ascii="Times New Roman" w:hAnsi="Times New Roman"/>
        </w:rPr>
        <w:t xml:space="preserve">, as held </w:t>
      </w:r>
      <w:r w:rsidR="00A22156" w:rsidRPr="007406B5">
        <w:rPr>
          <w:rFonts w:ascii="Times New Roman" w:hAnsi="Times New Roman"/>
        </w:rPr>
        <w:t xml:space="preserve">in </w:t>
      </w:r>
      <w:r w:rsidR="00A22156" w:rsidRPr="007406B5">
        <w:rPr>
          <w:rFonts w:ascii="Times New Roman" w:hAnsi="Times New Roman"/>
          <w:i/>
          <w:iCs/>
        </w:rPr>
        <w:t>Woolworths Ltd v Pallas Newco Pty Ltd</w:t>
      </w:r>
      <w:r w:rsidR="00A22156" w:rsidRPr="007406B5">
        <w:rPr>
          <w:rFonts w:ascii="Times New Roman" w:hAnsi="Times New Roman"/>
        </w:rPr>
        <w:t>.</w:t>
      </w:r>
      <w:r w:rsidR="00A22156" w:rsidRPr="007406B5">
        <w:rPr>
          <w:rStyle w:val="FootnoteReference"/>
          <w:rFonts w:ascii="Times New Roman" w:hAnsi="Times New Roman"/>
          <w:sz w:val="24"/>
        </w:rPr>
        <w:footnoteReference w:id="28"/>
      </w:r>
    </w:p>
    <w:p w14:paraId="44C72F5E" w14:textId="55EC3DDB" w:rsidR="00F50AE3" w:rsidRPr="007406B5" w:rsidRDefault="00F50AE3" w:rsidP="007406B5">
      <w:pPr>
        <w:pStyle w:val="FixListStyle"/>
        <w:spacing w:after="260" w:line="280" w:lineRule="exact"/>
        <w:ind w:right="0"/>
        <w:jc w:val="both"/>
        <w:rPr>
          <w:rFonts w:ascii="Times New Roman" w:hAnsi="Times New Roman"/>
        </w:rPr>
      </w:pPr>
      <w:r w:rsidRPr="007406B5">
        <w:rPr>
          <w:rFonts w:ascii="Times New Roman" w:hAnsi="Times New Roman"/>
        </w:rPr>
        <w:tab/>
      </w:r>
      <w:r w:rsidR="00BA5F8D" w:rsidRPr="007406B5">
        <w:rPr>
          <w:rFonts w:ascii="Times New Roman" w:hAnsi="Times New Roman"/>
        </w:rPr>
        <w:t xml:space="preserve">For these reasons, MACH's submission that the reasoning of </w:t>
      </w:r>
      <w:r w:rsidR="009E5014" w:rsidRPr="007406B5">
        <w:rPr>
          <w:rFonts w:ascii="Times New Roman" w:hAnsi="Times New Roman"/>
        </w:rPr>
        <w:t xml:space="preserve">Basten A-JA </w:t>
      </w:r>
      <w:r w:rsidR="00BA5F8D" w:rsidRPr="007406B5">
        <w:rPr>
          <w:rFonts w:ascii="Times New Roman" w:hAnsi="Times New Roman"/>
        </w:rPr>
        <w:t xml:space="preserve">in </w:t>
      </w:r>
      <w:r w:rsidR="00BA5F8D" w:rsidRPr="007406B5">
        <w:rPr>
          <w:rFonts w:ascii="Times New Roman" w:hAnsi="Times New Roman"/>
          <w:i/>
          <w:iCs/>
        </w:rPr>
        <w:t>Ross v Lane</w:t>
      </w:r>
      <w:r w:rsidR="00BA5F8D" w:rsidRPr="007406B5">
        <w:rPr>
          <w:rFonts w:ascii="Times New Roman" w:hAnsi="Times New Roman"/>
        </w:rPr>
        <w:t xml:space="preserve"> </w:t>
      </w:r>
      <w:r w:rsidR="00705CE5" w:rsidRPr="007406B5">
        <w:rPr>
          <w:rFonts w:ascii="Times New Roman" w:hAnsi="Times New Roman"/>
        </w:rPr>
        <w:t>supports the proposition that even if the Commission had not considered the emission of greenhouse gases from the development</w:t>
      </w:r>
      <w:r w:rsidR="007A69AA" w:rsidRPr="007406B5">
        <w:rPr>
          <w:rFonts w:ascii="Times New Roman" w:hAnsi="Times New Roman"/>
        </w:rPr>
        <w:t>,</w:t>
      </w:r>
      <w:r w:rsidR="00705CE5" w:rsidRPr="007406B5">
        <w:rPr>
          <w:rFonts w:ascii="Times New Roman" w:hAnsi="Times New Roman"/>
        </w:rPr>
        <w:t xml:space="preserve"> including scope</w:t>
      </w:r>
      <w:r w:rsidR="007A69AA" w:rsidRPr="007406B5">
        <w:rPr>
          <w:rFonts w:ascii="Times New Roman" w:hAnsi="Times New Roman"/>
        </w:rPr>
        <w:t> </w:t>
      </w:r>
      <w:r w:rsidR="00705CE5" w:rsidRPr="007406B5">
        <w:rPr>
          <w:rFonts w:ascii="Times New Roman" w:hAnsi="Times New Roman"/>
        </w:rPr>
        <w:t>3 emissions</w:t>
      </w:r>
      <w:r w:rsidR="007A69AA" w:rsidRPr="007406B5">
        <w:rPr>
          <w:rFonts w:ascii="Times New Roman" w:hAnsi="Times New Roman"/>
        </w:rPr>
        <w:t>,</w:t>
      </w:r>
      <w:r w:rsidR="00705CE5" w:rsidRPr="007406B5">
        <w:rPr>
          <w:rFonts w:ascii="Times New Roman" w:hAnsi="Times New Roman"/>
        </w:rPr>
        <w:t xml:space="preserve"> as a likely impact of the development by contributing to global climate change, that would not constitute a breach of the EPA Act potentially invalidating the development consent</w:t>
      </w:r>
      <w:r w:rsidR="00850909" w:rsidRPr="007406B5">
        <w:rPr>
          <w:rFonts w:ascii="Times New Roman" w:hAnsi="Times New Roman"/>
        </w:rPr>
        <w:t>, cannot be accepted.</w:t>
      </w:r>
    </w:p>
    <w:p w14:paraId="63D942D6" w14:textId="790A4F2D" w:rsidR="000E37D6" w:rsidRPr="007406B5" w:rsidRDefault="00EF35FC" w:rsidP="007406B5">
      <w:pPr>
        <w:pStyle w:val="HeadingL1"/>
        <w:spacing w:after="260" w:line="280" w:lineRule="exact"/>
        <w:ind w:right="0"/>
        <w:jc w:val="both"/>
        <w:rPr>
          <w:rFonts w:ascii="Times New Roman" w:hAnsi="Times New Roman"/>
        </w:rPr>
      </w:pPr>
      <w:r w:rsidRPr="007406B5">
        <w:rPr>
          <w:rFonts w:ascii="Times New Roman" w:hAnsi="Times New Roman"/>
        </w:rPr>
        <w:t>Construing s </w:t>
      </w:r>
      <w:r w:rsidR="000E37D6" w:rsidRPr="007406B5">
        <w:rPr>
          <w:rFonts w:ascii="Times New Roman" w:hAnsi="Times New Roman"/>
        </w:rPr>
        <w:t xml:space="preserve">4.15(1)(b) of the EPA </w:t>
      </w:r>
      <w:r w:rsidR="00F323A1" w:rsidRPr="007406B5">
        <w:rPr>
          <w:rFonts w:ascii="Times New Roman" w:hAnsi="Times New Roman"/>
        </w:rPr>
        <w:t>A</w:t>
      </w:r>
      <w:r w:rsidR="000E37D6" w:rsidRPr="007406B5">
        <w:rPr>
          <w:rFonts w:ascii="Times New Roman" w:hAnsi="Times New Roman"/>
        </w:rPr>
        <w:t>ct</w:t>
      </w:r>
    </w:p>
    <w:p w14:paraId="6BE331BB" w14:textId="2CE959DD" w:rsidR="00134266" w:rsidRPr="007406B5" w:rsidRDefault="00E61DEE" w:rsidP="007406B5">
      <w:pPr>
        <w:pStyle w:val="HeadingL2"/>
        <w:spacing w:after="260" w:line="280" w:lineRule="exact"/>
        <w:ind w:right="0"/>
        <w:jc w:val="both"/>
        <w:rPr>
          <w:rFonts w:ascii="Times New Roman" w:hAnsi="Times New Roman"/>
        </w:rPr>
      </w:pPr>
      <w:r w:rsidRPr="007406B5">
        <w:rPr>
          <w:rFonts w:ascii="Times New Roman" w:hAnsi="Times New Roman"/>
        </w:rPr>
        <w:t xml:space="preserve">An </w:t>
      </w:r>
      <w:r w:rsidR="00CB5929" w:rsidRPr="007406B5">
        <w:rPr>
          <w:rFonts w:ascii="Times New Roman" w:hAnsi="Times New Roman"/>
        </w:rPr>
        <w:t xml:space="preserve">error in the Court of Appeal's construction </w:t>
      </w:r>
      <w:r w:rsidR="00134266" w:rsidRPr="007406B5">
        <w:rPr>
          <w:rFonts w:ascii="Times New Roman" w:hAnsi="Times New Roman"/>
        </w:rPr>
        <w:t>an</w:t>
      </w:r>
      <w:r w:rsidR="001A6BE5" w:rsidRPr="007406B5">
        <w:rPr>
          <w:rFonts w:ascii="Times New Roman" w:hAnsi="Times New Roman"/>
        </w:rPr>
        <w:t>d its consequences</w:t>
      </w:r>
    </w:p>
    <w:p w14:paraId="6D58C84F" w14:textId="6F24D1BF" w:rsidR="0018656D" w:rsidRPr="007406B5" w:rsidRDefault="001A6BE5" w:rsidP="007406B5">
      <w:pPr>
        <w:pStyle w:val="FixListStyle"/>
        <w:spacing w:after="260" w:line="280" w:lineRule="exact"/>
        <w:ind w:right="0"/>
        <w:jc w:val="both"/>
        <w:rPr>
          <w:rFonts w:ascii="Times New Roman" w:hAnsi="Times New Roman"/>
        </w:rPr>
      </w:pPr>
      <w:r w:rsidRPr="007406B5">
        <w:rPr>
          <w:rFonts w:ascii="Times New Roman" w:hAnsi="Times New Roman"/>
        </w:rPr>
        <w:tab/>
      </w:r>
      <w:r w:rsidR="0053618B" w:rsidRPr="007406B5">
        <w:rPr>
          <w:rFonts w:ascii="Times New Roman" w:hAnsi="Times New Roman"/>
        </w:rPr>
        <w:t>T</w:t>
      </w:r>
      <w:r w:rsidR="00777954" w:rsidRPr="007406B5">
        <w:rPr>
          <w:rFonts w:ascii="Times New Roman" w:hAnsi="Times New Roman"/>
        </w:rPr>
        <w:t xml:space="preserve">he Court of Appeal, in effect, construed s 4.15(1)(b) </w:t>
      </w:r>
      <w:r w:rsidR="00E04230" w:rsidRPr="007406B5">
        <w:rPr>
          <w:rFonts w:ascii="Times New Roman" w:hAnsi="Times New Roman"/>
        </w:rPr>
        <w:t xml:space="preserve">on the basis that the words after </w:t>
      </w:r>
      <w:r w:rsidR="00C4210A" w:rsidRPr="007406B5">
        <w:rPr>
          <w:rFonts w:ascii="Times New Roman" w:hAnsi="Times New Roman"/>
        </w:rPr>
        <w:t xml:space="preserve">the </w:t>
      </w:r>
      <w:r w:rsidR="000C15FD" w:rsidRPr="007406B5">
        <w:rPr>
          <w:rFonts w:ascii="Times New Roman" w:hAnsi="Times New Roman"/>
        </w:rPr>
        <w:t xml:space="preserve">first </w:t>
      </w:r>
      <w:r w:rsidR="00C4210A" w:rsidRPr="007406B5">
        <w:rPr>
          <w:rFonts w:ascii="Times New Roman" w:hAnsi="Times New Roman"/>
        </w:rPr>
        <w:t>comma</w:t>
      </w:r>
      <w:r w:rsidR="005D024D" w:rsidRPr="007406B5">
        <w:rPr>
          <w:rFonts w:ascii="Times New Roman" w:hAnsi="Times New Roman"/>
        </w:rPr>
        <w:t xml:space="preserve"> </w:t>
      </w:r>
      <w:r w:rsidR="006F4256" w:rsidRPr="007406B5">
        <w:rPr>
          <w:rFonts w:ascii="Times New Roman" w:hAnsi="Times New Roman"/>
        </w:rPr>
        <w:t>in the phrase "</w:t>
      </w:r>
      <w:r w:rsidR="00C4210A" w:rsidRPr="007406B5">
        <w:rPr>
          <w:rFonts w:ascii="Times New Roman" w:hAnsi="Times New Roman"/>
        </w:rPr>
        <w:t>the likely impacts of that development,</w:t>
      </w:r>
      <w:r w:rsidR="006F4256" w:rsidRPr="007406B5">
        <w:rPr>
          <w:rFonts w:ascii="Times New Roman" w:hAnsi="Times New Roman"/>
        </w:rPr>
        <w:t xml:space="preserve"> including environmental impacts on both the natural and built environments, and </w:t>
      </w:r>
      <w:r w:rsidR="006F4256" w:rsidRPr="007406B5">
        <w:rPr>
          <w:rFonts w:ascii="Times New Roman" w:hAnsi="Times New Roman"/>
        </w:rPr>
        <w:lastRenderedPageBreak/>
        <w:t>social and economic impacts in the locality</w:t>
      </w:r>
      <w:r w:rsidR="00C4210A" w:rsidRPr="007406B5">
        <w:rPr>
          <w:rFonts w:ascii="Times New Roman" w:hAnsi="Times New Roman"/>
        </w:rPr>
        <w:t>"</w:t>
      </w:r>
      <w:r w:rsidR="006F4256" w:rsidRPr="007406B5">
        <w:rPr>
          <w:rFonts w:ascii="Times New Roman" w:hAnsi="Times New Roman"/>
        </w:rPr>
        <w:t xml:space="preserve"> </w:t>
      </w:r>
      <w:r w:rsidR="00A6043F" w:rsidRPr="007406B5">
        <w:rPr>
          <w:rFonts w:ascii="Times New Roman" w:hAnsi="Times New Roman"/>
        </w:rPr>
        <w:t xml:space="preserve">operated separately from </w:t>
      </w:r>
      <w:r w:rsidR="00996A2E" w:rsidRPr="007406B5">
        <w:rPr>
          <w:rFonts w:ascii="Times New Roman" w:hAnsi="Times New Roman"/>
        </w:rPr>
        <w:t xml:space="preserve">and were not encompassed by </w:t>
      </w:r>
      <w:r w:rsidR="005D024D" w:rsidRPr="007406B5">
        <w:rPr>
          <w:rFonts w:ascii="Times New Roman" w:hAnsi="Times New Roman"/>
        </w:rPr>
        <w:t>the words</w:t>
      </w:r>
      <w:r w:rsidR="003B7F93" w:rsidRPr="007406B5">
        <w:rPr>
          <w:rFonts w:ascii="Times New Roman" w:hAnsi="Times New Roman"/>
        </w:rPr>
        <w:t xml:space="preserve"> before th</w:t>
      </w:r>
      <w:r w:rsidR="007C3F93" w:rsidRPr="007406B5">
        <w:rPr>
          <w:rFonts w:ascii="Times New Roman" w:hAnsi="Times New Roman"/>
        </w:rPr>
        <w:t>at</w:t>
      </w:r>
      <w:r w:rsidR="003B7F93" w:rsidRPr="007406B5">
        <w:rPr>
          <w:rFonts w:ascii="Times New Roman" w:hAnsi="Times New Roman"/>
        </w:rPr>
        <w:t xml:space="preserve"> comma</w:t>
      </w:r>
      <w:r w:rsidR="008435FB" w:rsidRPr="007406B5">
        <w:rPr>
          <w:rFonts w:ascii="Times New Roman" w:hAnsi="Times New Roman"/>
        </w:rPr>
        <w:t>. Properly construed, however,</w:t>
      </w:r>
      <w:r w:rsidR="00E1749E" w:rsidRPr="007406B5">
        <w:rPr>
          <w:rFonts w:ascii="Times New Roman" w:hAnsi="Times New Roman"/>
        </w:rPr>
        <w:t xml:space="preserve"> the latter part of the provision </w:t>
      </w:r>
      <w:r w:rsidR="00A6043F" w:rsidRPr="007406B5">
        <w:rPr>
          <w:rFonts w:ascii="Times New Roman" w:hAnsi="Times New Roman"/>
        </w:rPr>
        <w:t xml:space="preserve">is </w:t>
      </w:r>
      <w:r w:rsidR="00270AF6" w:rsidRPr="007406B5">
        <w:rPr>
          <w:rFonts w:ascii="Times New Roman" w:hAnsi="Times New Roman"/>
        </w:rPr>
        <w:t xml:space="preserve">not separate from </w:t>
      </w:r>
      <w:r w:rsidR="00E1749E" w:rsidRPr="007406B5">
        <w:rPr>
          <w:rFonts w:ascii="Times New Roman" w:hAnsi="Times New Roman"/>
        </w:rPr>
        <w:t>the former part</w:t>
      </w:r>
      <w:r w:rsidR="00E87097" w:rsidRPr="007406B5">
        <w:rPr>
          <w:rFonts w:ascii="Times New Roman" w:hAnsi="Times New Roman"/>
        </w:rPr>
        <w:t>.</w:t>
      </w:r>
      <w:r w:rsidR="00E1749E" w:rsidRPr="007406B5">
        <w:rPr>
          <w:rFonts w:ascii="Times New Roman" w:hAnsi="Times New Roman"/>
        </w:rPr>
        <w:t xml:space="preserve"> </w:t>
      </w:r>
      <w:r w:rsidR="000908C4" w:rsidRPr="007406B5">
        <w:rPr>
          <w:rFonts w:ascii="Times New Roman" w:hAnsi="Times New Roman"/>
        </w:rPr>
        <w:t>T</w:t>
      </w:r>
      <w:r w:rsidR="00E04889" w:rsidRPr="007406B5">
        <w:rPr>
          <w:rFonts w:ascii="Times New Roman" w:hAnsi="Times New Roman"/>
        </w:rPr>
        <w:t xml:space="preserve">he words after the </w:t>
      </w:r>
      <w:r w:rsidR="00DE2B32" w:rsidRPr="007406B5">
        <w:rPr>
          <w:rFonts w:ascii="Times New Roman" w:hAnsi="Times New Roman"/>
        </w:rPr>
        <w:t xml:space="preserve">first </w:t>
      </w:r>
      <w:r w:rsidR="00E04889" w:rsidRPr="007406B5">
        <w:rPr>
          <w:rFonts w:ascii="Times New Roman" w:hAnsi="Times New Roman"/>
        </w:rPr>
        <w:t xml:space="preserve">comma </w:t>
      </w:r>
      <w:r w:rsidR="00241581" w:rsidRPr="007406B5">
        <w:rPr>
          <w:rFonts w:ascii="Times New Roman" w:hAnsi="Times New Roman"/>
        </w:rPr>
        <w:t xml:space="preserve">function </w:t>
      </w:r>
      <w:r w:rsidR="00621074" w:rsidRPr="007406B5">
        <w:rPr>
          <w:rFonts w:ascii="Times New Roman" w:hAnsi="Times New Roman"/>
        </w:rPr>
        <w:t xml:space="preserve">only </w:t>
      </w:r>
      <w:r w:rsidR="00241581" w:rsidRPr="007406B5">
        <w:rPr>
          <w:rFonts w:ascii="Times New Roman" w:hAnsi="Times New Roman"/>
        </w:rPr>
        <w:t>to de</w:t>
      </w:r>
      <w:r w:rsidR="00C44BB4" w:rsidRPr="007406B5">
        <w:rPr>
          <w:rFonts w:ascii="Times New Roman" w:hAnsi="Times New Roman"/>
        </w:rPr>
        <w:t>scribe</w:t>
      </w:r>
      <w:r w:rsidR="00241581" w:rsidRPr="007406B5">
        <w:rPr>
          <w:rFonts w:ascii="Times New Roman" w:hAnsi="Times New Roman"/>
        </w:rPr>
        <w:t xml:space="preserve"> or explain </w:t>
      </w:r>
      <w:r w:rsidR="000908C4" w:rsidRPr="007406B5">
        <w:rPr>
          <w:rFonts w:ascii="Times New Roman" w:hAnsi="Times New Roman"/>
        </w:rPr>
        <w:t xml:space="preserve">aspects of </w:t>
      </w:r>
      <w:r w:rsidR="00241581" w:rsidRPr="007406B5">
        <w:rPr>
          <w:rFonts w:ascii="Times New Roman" w:hAnsi="Times New Roman"/>
        </w:rPr>
        <w:t xml:space="preserve">the scope of the words before the comma. </w:t>
      </w:r>
      <w:r w:rsidR="004564F8" w:rsidRPr="007406B5">
        <w:rPr>
          <w:rFonts w:ascii="Times New Roman" w:hAnsi="Times New Roman"/>
        </w:rPr>
        <w:t xml:space="preserve">The </w:t>
      </w:r>
      <w:r w:rsidR="00241581" w:rsidRPr="007406B5">
        <w:rPr>
          <w:rFonts w:ascii="Times New Roman" w:hAnsi="Times New Roman"/>
        </w:rPr>
        <w:t xml:space="preserve">words after the comma no doubt also </w:t>
      </w:r>
      <w:r w:rsidR="00C90CC3" w:rsidRPr="007406B5">
        <w:rPr>
          <w:rFonts w:ascii="Times New Roman" w:hAnsi="Times New Roman"/>
        </w:rPr>
        <w:t xml:space="preserve">reflect the </w:t>
      </w:r>
      <w:r w:rsidR="00A37B28" w:rsidRPr="007406B5">
        <w:rPr>
          <w:rFonts w:ascii="Times New Roman" w:hAnsi="Times New Roman"/>
        </w:rPr>
        <w:t xml:space="preserve">practical </w:t>
      </w:r>
      <w:r w:rsidR="00C90CC3" w:rsidRPr="007406B5">
        <w:rPr>
          <w:rFonts w:ascii="Times New Roman" w:hAnsi="Times New Roman"/>
        </w:rPr>
        <w:t xml:space="preserve">reality that </w:t>
      </w:r>
      <w:r w:rsidR="0018656D" w:rsidRPr="007406B5">
        <w:rPr>
          <w:rFonts w:ascii="Times New Roman" w:hAnsi="Times New Roman"/>
        </w:rPr>
        <w:t xml:space="preserve">the likely impacts of many </w:t>
      </w:r>
      <w:r w:rsidR="00A54ECC" w:rsidRPr="007406B5">
        <w:rPr>
          <w:rFonts w:ascii="Times New Roman" w:hAnsi="Times New Roman"/>
        </w:rPr>
        <w:t xml:space="preserve">(if not most) </w:t>
      </w:r>
      <w:r w:rsidR="0018656D" w:rsidRPr="007406B5">
        <w:rPr>
          <w:rFonts w:ascii="Times New Roman" w:hAnsi="Times New Roman"/>
        </w:rPr>
        <w:t xml:space="preserve">developments </w:t>
      </w:r>
      <w:r w:rsidR="00A37B28" w:rsidRPr="007406B5">
        <w:rPr>
          <w:rFonts w:ascii="Times New Roman" w:hAnsi="Times New Roman"/>
        </w:rPr>
        <w:t xml:space="preserve">will </w:t>
      </w:r>
      <w:r w:rsidR="0018656D" w:rsidRPr="007406B5">
        <w:rPr>
          <w:rFonts w:ascii="Times New Roman" w:hAnsi="Times New Roman"/>
        </w:rPr>
        <w:t>be confined to the locality of the development</w:t>
      </w:r>
      <w:r w:rsidR="00241581" w:rsidRPr="007406B5">
        <w:rPr>
          <w:rFonts w:ascii="Times New Roman" w:hAnsi="Times New Roman"/>
        </w:rPr>
        <w:t>. This practical reality, however,</w:t>
      </w:r>
      <w:r w:rsidR="00A37B28" w:rsidRPr="007406B5">
        <w:rPr>
          <w:rFonts w:ascii="Times New Roman" w:hAnsi="Times New Roman"/>
        </w:rPr>
        <w:t xml:space="preserve"> does not change the </w:t>
      </w:r>
      <w:r w:rsidR="007456B9" w:rsidRPr="007406B5">
        <w:rPr>
          <w:rFonts w:ascii="Times New Roman" w:hAnsi="Times New Roman"/>
        </w:rPr>
        <w:t>meaning of s 4.15(1)(b)</w:t>
      </w:r>
      <w:r w:rsidR="00927A77" w:rsidRPr="007406B5">
        <w:rPr>
          <w:rFonts w:ascii="Times New Roman" w:hAnsi="Times New Roman"/>
        </w:rPr>
        <w:t>,</w:t>
      </w:r>
      <w:r w:rsidR="007456B9" w:rsidRPr="007406B5">
        <w:rPr>
          <w:rFonts w:ascii="Times New Roman" w:hAnsi="Times New Roman"/>
        </w:rPr>
        <w:t xml:space="preserve"> in which the words before the comma encompass the entirety of the words after the comma. </w:t>
      </w:r>
    </w:p>
    <w:p w14:paraId="7CA5D063" w14:textId="5B1DB2E4" w:rsidR="002A1BA9" w:rsidRPr="007406B5" w:rsidRDefault="00A37B28" w:rsidP="007406B5">
      <w:pPr>
        <w:pStyle w:val="FixListStyle"/>
        <w:spacing w:after="260" w:line="280" w:lineRule="exact"/>
        <w:ind w:right="0"/>
        <w:jc w:val="both"/>
        <w:rPr>
          <w:rFonts w:ascii="Times New Roman" w:hAnsi="Times New Roman"/>
        </w:rPr>
      </w:pPr>
      <w:r w:rsidRPr="007406B5">
        <w:rPr>
          <w:rFonts w:ascii="Times New Roman" w:hAnsi="Times New Roman"/>
        </w:rPr>
        <w:tab/>
      </w:r>
      <w:r w:rsidR="00C250B9" w:rsidRPr="007406B5">
        <w:rPr>
          <w:rFonts w:ascii="Times New Roman" w:hAnsi="Times New Roman"/>
        </w:rPr>
        <w:t>T</w:t>
      </w:r>
      <w:r w:rsidR="00B45ED1" w:rsidRPr="007406B5">
        <w:rPr>
          <w:rFonts w:ascii="Times New Roman" w:hAnsi="Times New Roman"/>
        </w:rPr>
        <w:t xml:space="preserve">his </w:t>
      </w:r>
      <w:r w:rsidR="00EA466A" w:rsidRPr="007406B5">
        <w:rPr>
          <w:rFonts w:ascii="Times New Roman" w:hAnsi="Times New Roman"/>
        </w:rPr>
        <w:t xml:space="preserve">seemingly obscure </w:t>
      </w:r>
      <w:r w:rsidR="00C250B9" w:rsidRPr="007406B5">
        <w:rPr>
          <w:rFonts w:ascii="Times New Roman" w:hAnsi="Times New Roman"/>
        </w:rPr>
        <w:t xml:space="preserve">point of construction matters because </w:t>
      </w:r>
      <w:r w:rsidR="00045142" w:rsidRPr="007406B5">
        <w:rPr>
          <w:rFonts w:ascii="Times New Roman" w:hAnsi="Times New Roman"/>
        </w:rPr>
        <w:t xml:space="preserve">if it is not recognised that the words after the comma are </w:t>
      </w:r>
      <w:r w:rsidR="00537BCA" w:rsidRPr="007406B5">
        <w:rPr>
          <w:rFonts w:ascii="Times New Roman" w:hAnsi="Times New Roman"/>
        </w:rPr>
        <w:t>merely</w:t>
      </w:r>
      <w:r w:rsidR="00045142" w:rsidRPr="007406B5">
        <w:rPr>
          <w:rFonts w:ascii="Times New Roman" w:hAnsi="Times New Roman"/>
        </w:rPr>
        <w:t xml:space="preserve"> </w:t>
      </w:r>
      <w:r w:rsidR="0033254B" w:rsidRPr="007406B5">
        <w:rPr>
          <w:rFonts w:ascii="Times New Roman" w:hAnsi="Times New Roman"/>
        </w:rPr>
        <w:t xml:space="preserve">descriptive or </w:t>
      </w:r>
      <w:r w:rsidR="00537BCA" w:rsidRPr="007406B5">
        <w:rPr>
          <w:rFonts w:ascii="Times New Roman" w:hAnsi="Times New Roman"/>
        </w:rPr>
        <w:t>explanatory</w:t>
      </w:r>
      <w:r w:rsidR="00045142" w:rsidRPr="007406B5">
        <w:rPr>
          <w:rFonts w:ascii="Times New Roman" w:hAnsi="Times New Roman"/>
        </w:rPr>
        <w:t xml:space="preserve"> of </w:t>
      </w:r>
      <w:r w:rsidR="00537BCA" w:rsidRPr="007406B5">
        <w:rPr>
          <w:rFonts w:ascii="Times New Roman" w:hAnsi="Times New Roman"/>
        </w:rPr>
        <w:t xml:space="preserve">certain kinds of likely impacts which are encompassed by the words before the comma, </w:t>
      </w:r>
      <w:r w:rsidR="0033254B" w:rsidRPr="007406B5">
        <w:rPr>
          <w:rFonts w:ascii="Times New Roman" w:hAnsi="Times New Roman"/>
        </w:rPr>
        <w:t>it can more readily be</w:t>
      </w:r>
      <w:r w:rsidR="00806576" w:rsidRPr="007406B5">
        <w:rPr>
          <w:rFonts w:ascii="Times New Roman" w:hAnsi="Times New Roman"/>
        </w:rPr>
        <w:t xml:space="preserve"> concluded</w:t>
      </w:r>
      <w:r w:rsidR="0033254B" w:rsidRPr="007406B5">
        <w:rPr>
          <w:rFonts w:ascii="Times New Roman" w:hAnsi="Times New Roman"/>
        </w:rPr>
        <w:t xml:space="preserve">, </w:t>
      </w:r>
      <w:r w:rsidR="00806576" w:rsidRPr="007406B5">
        <w:rPr>
          <w:rFonts w:ascii="Times New Roman" w:hAnsi="Times New Roman"/>
        </w:rPr>
        <w:t>incorrectly</w:t>
      </w:r>
      <w:r w:rsidR="0033254B" w:rsidRPr="007406B5">
        <w:rPr>
          <w:rFonts w:ascii="Times New Roman" w:hAnsi="Times New Roman"/>
        </w:rPr>
        <w:t xml:space="preserve">, </w:t>
      </w:r>
      <w:r w:rsidR="00806576" w:rsidRPr="007406B5">
        <w:rPr>
          <w:rFonts w:ascii="Times New Roman" w:hAnsi="Times New Roman"/>
        </w:rPr>
        <w:t xml:space="preserve">that </w:t>
      </w:r>
      <w:r w:rsidR="0033254B" w:rsidRPr="007406B5">
        <w:rPr>
          <w:rFonts w:ascii="Times New Roman" w:hAnsi="Times New Roman"/>
        </w:rPr>
        <w:t xml:space="preserve">the focus of </w:t>
      </w:r>
      <w:r w:rsidR="00806576" w:rsidRPr="007406B5">
        <w:rPr>
          <w:rFonts w:ascii="Times New Roman" w:hAnsi="Times New Roman"/>
        </w:rPr>
        <w:t>s 4.15(1)(b) is the likely impacts of the development in the locality rather than the likely impacts of the development. T</w:t>
      </w:r>
      <w:r w:rsidR="00C250B9" w:rsidRPr="007406B5">
        <w:rPr>
          <w:rFonts w:ascii="Times New Roman" w:hAnsi="Times New Roman"/>
        </w:rPr>
        <w:t xml:space="preserve">he </w:t>
      </w:r>
      <w:r w:rsidR="007D6FE0" w:rsidRPr="007406B5">
        <w:rPr>
          <w:rFonts w:ascii="Times New Roman" w:hAnsi="Times New Roman"/>
        </w:rPr>
        <w:t>Court</w:t>
      </w:r>
      <w:r w:rsidR="00C250B9" w:rsidRPr="007406B5">
        <w:rPr>
          <w:rFonts w:ascii="Times New Roman" w:hAnsi="Times New Roman"/>
        </w:rPr>
        <w:t xml:space="preserve"> of Appeal </w:t>
      </w:r>
      <w:r w:rsidR="00842E4C" w:rsidRPr="007406B5">
        <w:rPr>
          <w:rFonts w:ascii="Times New Roman" w:hAnsi="Times New Roman"/>
        </w:rPr>
        <w:t xml:space="preserve">construed </w:t>
      </w:r>
      <w:r w:rsidR="008D6D60" w:rsidRPr="007406B5">
        <w:rPr>
          <w:rFonts w:ascii="Times New Roman" w:hAnsi="Times New Roman"/>
        </w:rPr>
        <w:t xml:space="preserve">s 4.15(1)(b) </w:t>
      </w:r>
      <w:r w:rsidR="00806576" w:rsidRPr="007406B5">
        <w:rPr>
          <w:rFonts w:ascii="Times New Roman" w:hAnsi="Times New Roman"/>
        </w:rPr>
        <w:t xml:space="preserve">in this way, </w:t>
      </w:r>
      <w:r w:rsidR="00842E4C" w:rsidRPr="007406B5">
        <w:rPr>
          <w:rFonts w:ascii="Times New Roman" w:hAnsi="Times New Roman"/>
        </w:rPr>
        <w:t xml:space="preserve">as </w:t>
      </w:r>
      <w:r w:rsidR="008D6D60" w:rsidRPr="007406B5">
        <w:rPr>
          <w:rFonts w:ascii="Times New Roman" w:hAnsi="Times New Roman"/>
        </w:rPr>
        <w:t>requir</w:t>
      </w:r>
      <w:r w:rsidR="00842E4C" w:rsidRPr="007406B5">
        <w:rPr>
          <w:rFonts w:ascii="Times New Roman" w:hAnsi="Times New Roman"/>
        </w:rPr>
        <w:t>ing</w:t>
      </w:r>
      <w:r w:rsidR="008D6D60" w:rsidRPr="007406B5">
        <w:rPr>
          <w:rFonts w:ascii="Times New Roman" w:hAnsi="Times New Roman"/>
        </w:rPr>
        <w:t xml:space="preserve"> a consent authority </w:t>
      </w:r>
      <w:r w:rsidR="003121D6" w:rsidRPr="007406B5">
        <w:rPr>
          <w:rFonts w:ascii="Times New Roman" w:hAnsi="Times New Roman"/>
        </w:rPr>
        <w:t>to consider the "</w:t>
      </w:r>
      <w:r w:rsidR="0074717E" w:rsidRPr="007406B5">
        <w:rPr>
          <w:rFonts w:ascii="Times New Roman" w:hAnsi="Times New Roman"/>
        </w:rPr>
        <w:t xml:space="preserve">specific impacts </w:t>
      </w:r>
      <w:r w:rsidR="002B7FB8" w:rsidRPr="007406B5">
        <w:rPr>
          <w:rFonts w:ascii="Times New Roman" w:hAnsi="Times New Roman"/>
        </w:rPr>
        <w:t xml:space="preserve">[of the development] </w:t>
      </w:r>
      <w:r w:rsidR="0074717E" w:rsidRPr="007406B5">
        <w:rPr>
          <w:rFonts w:ascii="Times New Roman" w:hAnsi="Times New Roman"/>
        </w:rPr>
        <w:t>on the locality", this being</w:t>
      </w:r>
      <w:r w:rsidR="00B82718" w:rsidRPr="007406B5">
        <w:rPr>
          <w:rFonts w:ascii="Times New Roman" w:hAnsi="Times New Roman"/>
        </w:rPr>
        <w:t xml:space="preserve">, as Ward P put it, </w:t>
      </w:r>
      <w:r w:rsidR="0074717E" w:rsidRPr="007406B5">
        <w:rPr>
          <w:rFonts w:ascii="Times New Roman" w:hAnsi="Times New Roman"/>
        </w:rPr>
        <w:t>"</w:t>
      </w:r>
      <w:r w:rsidR="00526FBE" w:rsidRPr="007406B5">
        <w:rPr>
          <w:rFonts w:ascii="Times New Roman" w:hAnsi="Times New Roman"/>
        </w:rPr>
        <w:t>the essential matter with which s</w:t>
      </w:r>
      <w:r w:rsidR="00842E4C" w:rsidRPr="007406B5">
        <w:rPr>
          <w:rFonts w:ascii="Times New Roman" w:hAnsi="Times New Roman"/>
        </w:rPr>
        <w:t> </w:t>
      </w:r>
      <w:r w:rsidR="00526FBE" w:rsidRPr="007406B5">
        <w:rPr>
          <w:rFonts w:ascii="Times New Roman" w:hAnsi="Times New Roman"/>
        </w:rPr>
        <w:t>4.15(1)(b) is centrally concerned</w:t>
      </w:r>
      <w:r w:rsidR="00974343" w:rsidRPr="007406B5">
        <w:rPr>
          <w:rFonts w:ascii="Times New Roman" w:hAnsi="Times New Roman"/>
        </w:rPr>
        <w:t> </w:t>
      </w:r>
      <w:r w:rsidR="00526FBE" w:rsidRPr="007406B5">
        <w:rPr>
          <w:rFonts w:ascii="Times New Roman" w:hAnsi="Times New Roman"/>
        </w:rPr>
        <w:t>–</w:t>
      </w:r>
      <w:r w:rsidR="00974343" w:rsidRPr="007406B5">
        <w:rPr>
          <w:rFonts w:ascii="Times New Roman" w:hAnsi="Times New Roman"/>
        </w:rPr>
        <w:t> </w:t>
      </w:r>
      <w:r w:rsidR="00526FBE" w:rsidRPr="007406B5">
        <w:rPr>
          <w:rFonts w:ascii="Times New Roman" w:hAnsi="Times New Roman"/>
        </w:rPr>
        <w:t>the impacts of the proposed development on the locality of the development</w:t>
      </w:r>
      <w:r w:rsidR="00A72612" w:rsidRPr="007406B5">
        <w:rPr>
          <w:rFonts w:ascii="Times New Roman" w:hAnsi="Times New Roman"/>
        </w:rPr>
        <w:t>"</w:t>
      </w:r>
      <w:r w:rsidR="00526FBE" w:rsidRPr="007406B5">
        <w:rPr>
          <w:rFonts w:ascii="Times New Roman" w:hAnsi="Times New Roman"/>
        </w:rPr>
        <w:t>.</w:t>
      </w:r>
      <w:r w:rsidR="0038573B" w:rsidRPr="007406B5">
        <w:rPr>
          <w:rStyle w:val="FootnoteReference"/>
          <w:rFonts w:ascii="Times New Roman" w:hAnsi="Times New Roman"/>
          <w:sz w:val="24"/>
        </w:rPr>
        <w:footnoteReference w:id="29"/>
      </w:r>
      <w:r w:rsidR="00526FBE" w:rsidRPr="007406B5">
        <w:rPr>
          <w:rFonts w:ascii="Times New Roman" w:hAnsi="Times New Roman"/>
        </w:rPr>
        <w:t xml:space="preserve"> </w:t>
      </w:r>
      <w:r w:rsidR="00842E4C" w:rsidRPr="007406B5">
        <w:rPr>
          <w:rFonts w:ascii="Times New Roman" w:hAnsi="Times New Roman"/>
        </w:rPr>
        <w:t>On this construction</w:t>
      </w:r>
      <w:r w:rsidR="001D022A" w:rsidRPr="007406B5">
        <w:rPr>
          <w:rFonts w:ascii="Times New Roman" w:hAnsi="Times New Roman"/>
        </w:rPr>
        <w:t xml:space="preserve">, </w:t>
      </w:r>
      <w:r w:rsidR="00B82718" w:rsidRPr="007406B5">
        <w:rPr>
          <w:rFonts w:ascii="Times New Roman" w:hAnsi="Times New Roman"/>
        </w:rPr>
        <w:t xml:space="preserve">Ward P concluded that </w:t>
      </w:r>
      <w:r w:rsidR="00842E4C" w:rsidRPr="007406B5">
        <w:rPr>
          <w:rFonts w:ascii="Times New Roman" w:hAnsi="Times New Roman"/>
        </w:rPr>
        <w:t xml:space="preserve">the </w:t>
      </w:r>
      <w:r w:rsidR="001B7839" w:rsidRPr="007406B5">
        <w:rPr>
          <w:rFonts w:ascii="Times New Roman" w:hAnsi="Times New Roman"/>
        </w:rPr>
        <w:t>Commission</w:t>
      </w:r>
      <w:r w:rsidR="00842E4C" w:rsidRPr="007406B5">
        <w:rPr>
          <w:rFonts w:ascii="Times New Roman" w:hAnsi="Times New Roman"/>
        </w:rPr>
        <w:t xml:space="preserve"> </w:t>
      </w:r>
      <w:r w:rsidR="00211F55" w:rsidRPr="007406B5">
        <w:rPr>
          <w:rFonts w:ascii="Times New Roman" w:hAnsi="Times New Roman"/>
        </w:rPr>
        <w:t>"failed to engage with [this] essential matter"</w:t>
      </w:r>
      <w:r w:rsidR="00330632" w:rsidRPr="007406B5">
        <w:rPr>
          <w:rFonts w:ascii="Times New Roman" w:hAnsi="Times New Roman"/>
        </w:rPr>
        <w:t xml:space="preserve">, </w:t>
      </w:r>
      <w:r w:rsidR="0064423A" w:rsidRPr="007406B5">
        <w:rPr>
          <w:rFonts w:ascii="Times New Roman" w:hAnsi="Times New Roman"/>
        </w:rPr>
        <w:t xml:space="preserve">as </w:t>
      </w:r>
      <w:r w:rsidR="00330632" w:rsidRPr="007406B5">
        <w:rPr>
          <w:rFonts w:ascii="Times New Roman" w:hAnsi="Times New Roman"/>
        </w:rPr>
        <w:t xml:space="preserve">a "causal enquiry as to the impacts on the locality was required", </w:t>
      </w:r>
      <w:r w:rsidR="007F51BB" w:rsidRPr="007406B5">
        <w:rPr>
          <w:rFonts w:ascii="Times New Roman" w:hAnsi="Times New Roman"/>
        </w:rPr>
        <w:t>and thereby</w:t>
      </w:r>
      <w:r w:rsidR="00330632" w:rsidRPr="007406B5">
        <w:rPr>
          <w:rFonts w:ascii="Times New Roman" w:hAnsi="Times New Roman"/>
        </w:rPr>
        <w:t xml:space="preserve"> the </w:t>
      </w:r>
      <w:r w:rsidR="001B7839" w:rsidRPr="007406B5">
        <w:rPr>
          <w:rFonts w:ascii="Times New Roman" w:hAnsi="Times New Roman"/>
        </w:rPr>
        <w:t>Commission</w:t>
      </w:r>
      <w:r w:rsidR="00330632" w:rsidRPr="007406B5">
        <w:rPr>
          <w:rFonts w:ascii="Times New Roman" w:hAnsi="Times New Roman"/>
        </w:rPr>
        <w:t xml:space="preserve"> had </w:t>
      </w:r>
      <w:r w:rsidR="00765A21" w:rsidRPr="007406B5">
        <w:rPr>
          <w:rFonts w:ascii="Times New Roman" w:hAnsi="Times New Roman"/>
        </w:rPr>
        <w:t>"failed to consider a mandatory consideration in this regard</w:t>
      </w:r>
      <w:r w:rsidR="00977A3A" w:rsidRPr="007406B5">
        <w:rPr>
          <w:rFonts w:ascii="Times New Roman" w:hAnsi="Times New Roman"/>
        </w:rPr>
        <w:t>"</w:t>
      </w:r>
      <w:r w:rsidR="003700F4" w:rsidRPr="007406B5">
        <w:rPr>
          <w:rFonts w:ascii="Times New Roman" w:hAnsi="Times New Roman"/>
        </w:rPr>
        <w:t>,</w:t>
      </w:r>
      <w:r w:rsidR="00765A21" w:rsidRPr="007406B5">
        <w:rPr>
          <w:rStyle w:val="FootnoteReference"/>
          <w:rFonts w:ascii="Times New Roman" w:hAnsi="Times New Roman"/>
          <w:sz w:val="24"/>
        </w:rPr>
        <w:footnoteReference w:id="30"/>
      </w:r>
      <w:r w:rsidR="001D022A" w:rsidRPr="007406B5">
        <w:rPr>
          <w:rFonts w:ascii="Times New Roman" w:hAnsi="Times New Roman"/>
        </w:rPr>
        <w:t xml:space="preserve"> </w:t>
      </w:r>
      <w:r w:rsidR="003E0B4C" w:rsidRPr="007406B5">
        <w:rPr>
          <w:rFonts w:ascii="Times New Roman" w:hAnsi="Times New Roman"/>
        </w:rPr>
        <w:t xml:space="preserve">because </w:t>
      </w:r>
      <w:r w:rsidR="000D6A32" w:rsidRPr="007406B5">
        <w:rPr>
          <w:rFonts w:ascii="Times New Roman" w:hAnsi="Times New Roman"/>
        </w:rPr>
        <w:t>"[t]here is nothing in the Commission's reasons to indicate that the Commission, having accepted that Scope</w:t>
      </w:r>
      <w:r w:rsidR="00311C7C" w:rsidRPr="007406B5">
        <w:rPr>
          <w:rFonts w:ascii="Times New Roman" w:hAnsi="Times New Roman"/>
        </w:rPr>
        <w:t> </w:t>
      </w:r>
      <w:r w:rsidR="000D6A32" w:rsidRPr="007406B5">
        <w:rPr>
          <w:rFonts w:ascii="Times New Roman" w:hAnsi="Times New Roman"/>
        </w:rPr>
        <w:t>3 emissions would make up 98% of the Project's [greenhouse gas] emissions and that those emissions would contribute to global climate change, went on to consider the impact of climate change on the locality (which was the required causal enquiry)</w:t>
      </w:r>
      <w:r w:rsidR="007D6CAB" w:rsidRPr="007406B5">
        <w:rPr>
          <w:rFonts w:ascii="Times New Roman" w:hAnsi="Times New Roman"/>
        </w:rPr>
        <w:t>"</w:t>
      </w:r>
      <w:r w:rsidR="000D6A32" w:rsidRPr="007406B5">
        <w:rPr>
          <w:rFonts w:ascii="Times New Roman" w:hAnsi="Times New Roman"/>
        </w:rPr>
        <w:t>.</w:t>
      </w:r>
      <w:r w:rsidR="000D6A32" w:rsidRPr="007406B5">
        <w:rPr>
          <w:rStyle w:val="FootnoteReference"/>
          <w:rFonts w:ascii="Times New Roman" w:hAnsi="Times New Roman"/>
          <w:sz w:val="24"/>
        </w:rPr>
        <w:footnoteReference w:id="31"/>
      </w:r>
      <w:r w:rsidR="000D6A32" w:rsidRPr="007406B5">
        <w:rPr>
          <w:rFonts w:ascii="Times New Roman" w:hAnsi="Times New Roman"/>
        </w:rPr>
        <w:t xml:space="preserve"> </w:t>
      </w:r>
    </w:p>
    <w:p w14:paraId="638F476C" w14:textId="063559C3" w:rsidR="00EA01D6" w:rsidRPr="007406B5" w:rsidRDefault="002A1BA9" w:rsidP="007406B5">
      <w:pPr>
        <w:pStyle w:val="FixListStyle"/>
        <w:spacing w:after="260" w:line="280" w:lineRule="exact"/>
        <w:ind w:right="0"/>
        <w:jc w:val="both"/>
        <w:rPr>
          <w:rFonts w:ascii="Times New Roman" w:hAnsi="Times New Roman"/>
        </w:rPr>
      </w:pPr>
      <w:r w:rsidRPr="007406B5">
        <w:rPr>
          <w:rFonts w:ascii="Times New Roman" w:hAnsi="Times New Roman"/>
        </w:rPr>
        <w:tab/>
      </w:r>
      <w:r w:rsidR="00D07B50" w:rsidRPr="007406B5">
        <w:rPr>
          <w:rFonts w:ascii="Times New Roman" w:hAnsi="Times New Roman"/>
        </w:rPr>
        <w:t xml:space="preserve">To </w:t>
      </w:r>
      <w:r w:rsidR="00000417" w:rsidRPr="007406B5">
        <w:rPr>
          <w:rFonts w:ascii="Times New Roman" w:hAnsi="Times New Roman"/>
        </w:rPr>
        <w:t xml:space="preserve">similar effect, </w:t>
      </w:r>
      <w:r w:rsidR="00B57A61" w:rsidRPr="007406B5">
        <w:rPr>
          <w:rFonts w:ascii="Times New Roman" w:hAnsi="Times New Roman"/>
        </w:rPr>
        <w:t>Adamson JA</w:t>
      </w:r>
      <w:r w:rsidR="00000417" w:rsidRPr="007406B5">
        <w:rPr>
          <w:rFonts w:ascii="Times New Roman" w:hAnsi="Times New Roman"/>
        </w:rPr>
        <w:t xml:space="preserve"> said that</w:t>
      </w:r>
      <w:r w:rsidR="00B57A61" w:rsidRPr="007406B5">
        <w:rPr>
          <w:rFonts w:ascii="Times New Roman" w:hAnsi="Times New Roman"/>
        </w:rPr>
        <w:t xml:space="preserve"> the "evident legislative intention of the provisions</w:t>
      </w:r>
      <w:r w:rsidR="00612049" w:rsidRPr="007406B5">
        <w:rPr>
          <w:rFonts w:ascii="Times New Roman" w:hAnsi="Times New Roman"/>
        </w:rPr>
        <w:t> </w:t>
      </w:r>
      <w:r w:rsidR="004A6631" w:rsidRPr="007406B5">
        <w:rPr>
          <w:rFonts w:ascii="Times New Roman" w:hAnsi="Times New Roman"/>
        </w:rPr>
        <w:t>...</w:t>
      </w:r>
      <w:r w:rsidR="00612049" w:rsidRPr="007406B5">
        <w:rPr>
          <w:rFonts w:ascii="Times New Roman" w:hAnsi="Times New Roman"/>
        </w:rPr>
        <w:t> </w:t>
      </w:r>
      <w:r w:rsidR="00B57A61" w:rsidRPr="007406B5">
        <w:rPr>
          <w:rFonts w:ascii="Times New Roman" w:hAnsi="Times New Roman"/>
        </w:rPr>
        <w:t xml:space="preserve">is that a planning authority such as the </w:t>
      </w:r>
      <w:r w:rsidR="001B7839" w:rsidRPr="007406B5">
        <w:rPr>
          <w:rFonts w:ascii="Times New Roman" w:hAnsi="Times New Roman"/>
        </w:rPr>
        <w:t>Commission</w:t>
      </w:r>
      <w:r w:rsidR="00B57A61" w:rsidRPr="007406B5">
        <w:rPr>
          <w:rFonts w:ascii="Times New Roman" w:hAnsi="Times New Roman"/>
        </w:rPr>
        <w:t xml:space="preserve"> is obliged to take into account the likely environmental impact of the development in the locality</w:t>
      </w:r>
      <w:r w:rsidR="0036296F" w:rsidRPr="007406B5">
        <w:rPr>
          <w:rFonts w:ascii="Times New Roman" w:hAnsi="Times New Roman"/>
        </w:rPr>
        <w:t xml:space="preserve">" and "the purpose of these provisions is to indicate to those most affected by the development (being those in the locality) that their views and the likely impact on their surrounds have been taken into account by the decision-maker and </w:t>
      </w:r>
      <w:r w:rsidR="0036296F" w:rsidRPr="007406B5">
        <w:rPr>
          <w:rFonts w:ascii="Times New Roman" w:hAnsi="Times New Roman"/>
        </w:rPr>
        <w:lastRenderedPageBreak/>
        <w:t>to explain why the decision has been made</w:t>
      </w:r>
      <w:r w:rsidR="002F1C95" w:rsidRPr="007406B5">
        <w:rPr>
          <w:rFonts w:ascii="Times New Roman" w:hAnsi="Times New Roman"/>
        </w:rPr>
        <w:t>"</w:t>
      </w:r>
      <w:r w:rsidR="0036296F" w:rsidRPr="007406B5">
        <w:rPr>
          <w:rFonts w:ascii="Times New Roman" w:hAnsi="Times New Roman"/>
        </w:rPr>
        <w:t>.</w:t>
      </w:r>
      <w:r w:rsidR="0036296F" w:rsidRPr="007406B5">
        <w:rPr>
          <w:rStyle w:val="FootnoteReference"/>
          <w:rFonts w:ascii="Times New Roman" w:hAnsi="Times New Roman"/>
          <w:sz w:val="24"/>
        </w:rPr>
        <w:footnoteReference w:id="32"/>
      </w:r>
      <w:r w:rsidR="000B7A0D" w:rsidRPr="007406B5">
        <w:rPr>
          <w:rFonts w:ascii="Times New Roman" w:hAnsi="Times New Roman"/>
        </w:rPr>
        <w:t xml:space="preserve"> </w:t>
      </w:r>
      <w:r w:rsidR="00985813" w:rsidRPr="007406B5">
        <w:rPr>
          <w:rFonts w:ascii="Times New Roman" w:hAnsi="Times New Roman"/>
        </w:rPr>
        <w:t xml:space="preserve">On this construction, according to Adamson JA, the </w:t>
      </w:r>
      <w:r w:rsidR="001B7839" w:rsidRPr="007406B5">
        <w:rPr>
          <w:rFonts w:ascii="Times New Roman" w:hAnsi="Times New Roman"/>
        </w:rPr>
        <w:t>Commission</w:t>
      </w:r>
      <w:r w:rsidR="00985813" w:rsidRPr="007406B5">
        <w:rPr>
          <w:rFonts w:ascii="Times New Roman" w:hAnsi="Times New Roman"/>
        </w:rPr>
        <w:t>'s "</w:t>
      </w:r>
      <w:r w:rsidR="00CA46CB" w:rsidRPr="007406B5">
        <w:rPr>
          <w:rFonts w:ascii="Times New Roman" w:hAnsi="Times New Roman"/>
        </w:rPr>
        <w:t>obligation to consider the likely impacts of the development on the natural and built environment in the locality of the mine, as required by s</w:t>
      </w:r>
      <w:r w:rsidR="00842DF4" w:rsidRPr="007406B5">
        <w:rPr>
          <w:rFonts w:ascii="Times New Roman" w:hAnsi="Times New Roman"/>
        </w:rPr>
        <w:t> </w:t>
      </w:r>
      <w:r w:rsidR="00CA46CB" w:rsidRPr="007406B5">
        <w:rPr>
          <w:rFonts w:ascii="Times New Roman" w:hAnsi="Times New Roman"/>
        </w:rPr>
        <w:t>4.15(1)(b), required it to address these potentially adverse effects in the locality</w:t>
      </w:r>
      <w:r w:rsidR="00002875" w:rsidRPr="007406B5">
        <w:rPr>
          <w:rFonts w:ascii="Times New Roman" w:hAnsi="Times New Roman"/>
        </w:rPr>
        <w:t>"</w:t>
      </w:r>
      <w:r w:rsidR="00693D59" w:rsidRPr="007406B5">
        <w:rPr>
          <w:rFonts w:ascii="Times New Roman" w:hAnsi="Times New Roman"/>
        </w:rPr>
        <w:t>.</w:t>
      </w:r>
      <w:r w:rsidR="00CA46CB" w:rsidRPr="007406B5">
        <w:rPr>
          <w:rStyle w:val="FootnoteReference"/>
          <w:rFonts w:ascii="Times New Roman" w:hAnsi="Times New Roman"/>
          <w:sz w:val="24"/>
        </w:rPr>
        <w:footnoteReference w:id="33"/>
      </w:r>
      <w:r w:rsidR="000C2BF2" w:rsidRPr="007406B5">
        <w:rPr>
          <w:rFonts w:ascii="Times New Roman" w:hAnsi="Times New Roman"/>
        </w:rPr>
        <w:t xml:space="preserve"> </w:t>
      </w:r>
      <w:r w:rsidR="00693D59" w:rsidRPr="007406B5">
        <w:rPr>
          <w:rFonts w:ascii="Times New Roman" w:hAnsi="Times New Roman"/>
        </w:rPr>
        <w:t>T</w:t>
      </w:r>
      <w:r w:rsidR="00E25464" w:rsidRPr="007406B5">
        <w:rPr>
          <w:rFonts w:ascii="Times New Roman" w:hAnsi="Times New Roman"/>
        </w:rPr>
        <w:t xml:space="preserve">he </w:t>
      </w:r>
      <w:r w:rsidR="002A758A" w:rsidRPr="007406B5">
        <w:rPr>
          <w:rFonts w:ascii="Times New Roman" w:hAnsi="Times New Roman"/>
        </w:rPr>
        <w:t>Commission's report</w:t>
      </w:r>
      <w:r w:rsidR="00693D59" w:rsidRPr="007406B5">
        <w:rPr>
          <w:rFonts w:ascii="Times New Roman" w:hAnsi="Times New Roman"/>
        </w:rPr>
        <w:t>, however,</w:t>
      </w:r>
      <w:r w:rsidR="002A758A" w:rsidRPr="007406B5">
        <w:rPr>
          <w:rFonts w:ascii="Times New Roman" w:hAnsi="Times New Roman"/>
        </w:rPr>
        <w:t xml:space="preserve"> did not "distinguish between the effects of global warming generally and the effects of climate change in the locality of the project</w:t>
      </w:r>
      <w:r w:rsidR="00420F5B" w:rsidRPr="007406B5">
        <w:rPr>
          <w:rFonts w:ascii="Times New Roman" w:hAnsi="Times New Roman"/>
        </w:rPr>
        <w:t>"</w:t>
      </w:r>
      <w:r w:rsidR="00796F72" w:rsidRPr="007406B5">
        <w:rPr>
          <w:rFonts w:ascii="Times New Roman" w:hAnsi="Times New Roman"/>
        </w:rPr>
        <w:t>,</w:t>
      </w:r>
      <w:r w:rsidR="00420F5B" w:rsidRPr="007406B5">
        <w:rPr>
          <w:rFonts w:ascii="Times New Roman" w:hAnsi="Times New Roman"/>
        </w:rPr>
        <w:t xml:space="preserve"> when "</w:t>
      </w:r>
      <w:r w:rsidR="006C33F8" w:rsidRPr="007406B5">
        <w:rPr>
          <w:rFonts w:ascii="Times New Roman" w:hAnsi="Times New Roman"/>
        </w:rPr>
        <w:t xml:space="preserve">the evidence indicated that </w:t>
      </w:r>
      <w:r w:rsidR="00311C7C" w:rsidRPr="007406B5">
        <w:rPr>
          <w:rFonts w:ascii="Times New Roman" w:hAnsi="Times New Roman"/>
        </w:rPr>
        <w:t>[the]</w:t>
      </w:r>
      <w:r w:rsidR="006C33F8" w:rsidRPr="007406B5">
        <w:rPr>
          <w:rFonts w:ascii="Times New Roman" w:hAnsi="Times New Roman"/>
        </w:rPr>
        <w:t xml:space="preserve"> impact </w:t>
      </w:r>
      <w:r w:rsidR="00311C7C" w:rsidRPr="007406B5">
        <w:rPr>
          <w:rFonts w:ascii="Times New Roman" w:hAnsi="Times New Roman"/>
        </w:rPr>
        <w:t xml:space="preserve">[of scope 3 emissions] </w:t>
      </w:r>
      <w:r w:rsidR="006C33F8" w:rsidRPr="007406B5">
        <w:rPr>
          <w:rFonts w:ascii="Times New Roman" w:hAnsi="Times New Roman"/>
        </w:rPr>
        <w:t>would be disproportionately felt in the locality of the project</w:t>
      </w:r>
      <w:r w:rsidR="00A43E72" w:rsidRPr="007406B5">
        <w:rPr>
          <w:rFonts w:ascii="Times New Roman" w:hAnsi="Times New Roman"/>
        </w:rPr>
        <w:t>"</w:t>
      </w:r>
      <w:r w:rsidR="006C33F8" w:rsidRPr="007406B5">
        <w:rPr>
          <w:rFonts w:ascii="Times New Roman" w:hAnsi="Times New Roman"/>
        </w:rPr>
        <w:t>.</w:t>
      </w:r>
      <w:r w:rsidR="006C33F8" w:rsidRPr="007406B5">
        <w:rPr>
          <w:rStyle w:val="FootnoteReference"/>
          <w:rFonts w:ascii="Times New Roman" w:hAnsi="Times New Roman"/>
          <w:sz w:val="24"/>
        </w:rPr>
        <w:footnoteReference w:id="34"/>
      </w:r>
      <w:r w:rsidR="002A0657" w:rsidRPr="007406B5">
        <w:rPr>
          <w:rFonts w:ascii="Times New Roman" w:hAnsi="Times New Roman"/>
        </w:rPr>
        <w:t xml:space="preserve"> </w:t>
      </w:r>
    </w:p>
    <w:p w14:paraId="480BA9E1" w14:textId="5DB10722" w:rsidR="00510F6F" w:rsidRPr="007406B5" w:rsidRDefault="00EA01D6" w:rsidP="007406B5">
      <w:pPr>
        <w:pStyle w:val="FixListStyle"/>
        <w:spacing w:after="260" w:line="280" w:lineRule="exact"/>
        <w:ind w:right="0"/>
        <w:jc w:val="both"/>
        <w:rPr>
          <w:rFonts w:ascii="Times New Roman" w:hAnsi="Times New Roman"/>
        </w:rPr>
      </w:pPr>
      <w:r w:rsidRPr="007406B5">
        <w:rPr>
          <w:rFonts w:ascii="Times New Roman" w:hAnsi="Times New Roman"/>
        </w:rPr>
        <w:tab/>
      </w:r>
      <w:r w:rsidR="003B70A2" w:rsidRPr="007406B5">
        <w:rPr>
          <w:rFonts w:ascii="Times New Roman" w:hAnsi="Times New Roman"/>
        </w:rPr>
        <w:t xml:space="preserve">In </w:t>
      </w:r>
      <w:r w:rsidR="00A10732" w:rsidRPr="007406B5">
        <w:rPr>
          <w:rFonts w:ascii="Times New Roman" w:hAnsi="Times New Roman"/>
        </w:rPr>
        <w:t xml:space="preserve">treating </w:t>
      </w:r>
      <w:r w:rsidR="003B70A2" w:rsidRPr="007406B5">
        <w:rPr>
          <w:rFonts w:ascii="Times New Roman" w:hAnsi="Times New Roman"/>
        </w:rPr>
        <w:t xml:space="preserve">the </w:t>
      </w:r>
      <w:r w:rsidR="00A10732" w:rsidRPr="007406B5">
        <w:rPr>
          <w:rFonts w:ascii="Times New Roman" w:hAnsi="Times New Roman"/>
        </w:rPr>
        <w:t xml:space="preserve">likely </w:t>
      </w:r>
      <w:r w:rsidR="000E3B3F" w:rsidRPr="007406B5">
        <w:rPr>
          <w:rFonts w:ascii="Times New Roman" w:hAnsi="Times New Roman"/>
        </w:rPr>
        <w:t>impact</w:t>
      </w:r>
      <w:r w:rsidR="00873F69" w:rsidRPr="007406B5">
        <w:rPr>
          <w:rFonts w:ascii="Times New Roman" w:hAnsi="Times New Roman"/>
        </w:rPr>
        <w:t>s</w:t>
      </w:r>
      <w:r w:rsidR="000E3B3F" w:rsidRPr="007406B5">
        <w:rPr>
          <w:rFonts w:ascii="Times New Roman" w:hAnsi="Times New Roman"/>
        </w:rPr>
        <w:t xml:space="preserve"> </w:t>
      </w:r>
      <w:r w:rsidR="00873F69" w:rsidRPr="007406B5">
        <w:rPr>
          <w:rFonts w:ascii="Times New Roman" w:hAnsi="Times New Roman"/>
        </w:rPr>
        <w:t xml:space="preserve">of the development </w:t>
      </w:r>
      <w:r w:rsidR="000E3B3F" w:rsidRPr="007406B5">
        <w:rPr>
          <w:rFonts w:ascii="Times New Roman" w:hAnsi="Times New Roman"/>
        </w:rPr>
        <w:t xml:space="preserve">in the </w:t>
      </w:r>
      <w:r w:rsidR="003B70A2" w:rsidRPr="007406B5">
        <w:rPr>
          <w:rFonts w:ascii="Times New Roman" w:hAnsi="Times New Roman"/>
        </w:rPr>
        <w:t xml:space="preserve">locality as </w:t>
      </w:r>
      <w:r w:rsidR="00000417" w:rsidRPr="007406B5">
        <w:rPr>
          <w:rFonts w:ascii="Times New Roman" w:hAnsi="Times New Roman"/>
        </w:rPr>
        <w:t xml:space="preserve">that with which </w:t>
      </w:r>
      <w:r w:rsidR="0002098C" w:rsidRPr="007406B5">
        <w:rPr>
          <w:rFonts w:ascii="Times New Roman" w:hAnsi="Times New Roman"/>
        </w:rPr>
        <w:t>s 4.15(1)(b)</w:t>
      </w:r>
      <w:r w:rsidR="00000417" w:rsidRPr="007406B5">
        <w:rPr>
          <w:rFonts w:ascii="Times New Roman" w:hAnsi="Times New Roman"/>
        </w:rPr>
        <w:t xml:space="preserve"> is centrally concerned</w:t>
      </w:r>
      <w:r w:rsidR="0002098C" w:rsidRPr="007406B5">
        <w:rPr>
          <w:rFonts w:ascii="Times New Roman" w:hAnsi="Times New Roman"/>
        </w:rPr>
        <w:t xml:space="preserve">, the Court of Appeal was </w:t>
      </w:r>
      <w:r w:rsidR="00784A9D" w:rsidRPr="007406B5">
        <w:rPr>
          <w:rFonts w:ascii="Times New Roman" w:hAnsi="Times New Roman"/>
        </w:rPr>
        <w:t xml:space="preserve">treating that concept as </w:t>
      </w:r>
      <w:r w:rsidR="00B93684" w:rsidRPr="007406B5">
        <w:rPr>
          <w:rFonts w:ascii="Times New Roman" w:hAnsi="Times New Roman"/>
        </w:rPr>
        <w:t xml:space="preserve">a "fundamental element" in and "focal point" of the required consideration </w:t>
      </w:r>
      <w:r w:rsidR="000B624A" w:rsidRPr="007406B5">
        <w:rPr>
          <w:rFonts w:ascii="Times New Roman" w:hAnsi="Times New Roman"/>
        </w:rPr>
        <w:t>in the sense discussed in</w:t>
      </w:r>
      <w:r w:rsidR="000B624A" w:rsidRPr="007406B5">
        <w:rPr>
          <w:rFonts w:ascii="Times New Roman" w:hAnsi="Times New Roman"/>
          <w:i/>
          <w:iCs/>
        </w:rPr>
        <w:t xml:space="preserve"> Zhang v Canterbury City Council</w:t>
      </w:r>
      <w:r w:rsidR="00867270" w:rsidRPr="007406B5">
        <w:rPr>
          <w:rStyle w:val="FootnoteReference"/>
          <w:rFonts w:ascii="Times New Roman" w:hAnsi="Times New Roman"/>
          <w:sz w:val="24"/>
        </w:rPr>
        <w:footnoteReference w:id="35"/>
      </w:r>
      <w:r w:rsidR="00F366FE" w:rsidRPr="007406B5">
        <w:rPr>
          <w:rFonts w:ascii="Times New Roman" w:hAnsi="Times New Roman"/>
        </w:rPr>
        <w:t xml:space="preserve"> </w:t>
      </w:r>
      <w:r w:rsidR="000B624A" w:rsidRPr="007406B5">
        <w:rPr>
          <w:rFonts w:ascii="Times New Roman" w:hAnsi="Times New Roman"/>
        </w:rPr>
        <w:t xml:space="preserve">(referring to </w:t>
      </w:r>
      <w:r w:rsidR="000B624A" w:rsidRPr="007406B5">
        <w:rPr>
          <w:rFonts w:ascii="Times New Roman" w:hAnsi="Times New Roman"/>
          <w:i/>
          <w:iCs/>
        </w:rPr>
        <w:t>R v Hunt; Ex parte Sean Investments Pty Ltd</w:t>
      </w:r>
      <w:r w:rsidR="000B624A" w:rsidRPr="007406B5">
        <w:rPr>
          <w:rStyle w:val="FootnoteReference"/>
          <w:rFonts w:ascii="Times New Roman" w:hAnsi="Times New Roman"/>
          <w:sz w:val="24"/>
        </w:rPr>
        <w:footnoteReference w:id="36"/>
      </w:r>
      <w:r w:rsidR="000B624A" w:rsidRPr="007406B5">
        <w:rPr>
          <w:rFonts w:ascii="Times New Roman" w:hAnsi="Times New Roman"/>
        </w:rPr>
        <w:t xml:space="preserve"> and </w:t>
      </w:r>
      <w:r w:rsidR="000B624A" w:rsidRPr="007406B5">
        <w:rPr>
          <w:rFonts w:ascii="Times New Roman" w:hAnsi="Times New Roman"/>
          <w:i/>
          <w:iCs/>
        </w:rPr>
        <w:t>Evans v Marmont</w:t>
      </w:r>
      <w:r w:rsidR="00A86C5F" w:rsidRPr="007406B5">
        <w:rPr>
          <w:rStyle w:val="FootnoteReference"/>
          <w:rFonts w:ascii="Times New Roman" w:hAnsi="Times New Roman"/>
          <w:sz w:val="24"/>
        </w:rPr>
        <w:footnoteReference w:id="37"/>
      </w:r>
      <w:r w:rsidR="000B624A" w:rsidRPr="007406B5">
        <w:rPr>
          <w:rFonts w:ascii="Times New Roman" w:hAnsi="Times New Roman"/>
        </w:rPr>
        <w:t xml:space="preserve">). </w:t>
      </w:r>
      <w:r w:rsidR="00C869BC" w:rsidRPr="007406B5">
        <w:rPr>
          <w:rFonts w:ascii="Times New Roman" w:hAnsi="Times New Roman"/>
        </w:rPr>
        <w:t xml:space="preserve">However, </w:t>
      </w:r>
      <w:r w:rsidR="00F200C7" w:rsidRPr="007406B5">
        <w:rPr>
          <w:rFonts w:ascii="Times New Roman" w:hAnsi="Times New Roman"/>
        </w:rPr>
        <w:t xml:space="preserve">as explained, </w:t>
      </w:r>
      <w:r w:rsidR="00622FD0" w:rsidRPr="007406B5">
        <w:rPr>
          <w:rFonts w:ascii="Times New Roman" w:hAnsi="Times New Roman"/>
        </w:rPr>
        <w:t xml:space="preserve">s 4.15(1)(b) constitutes as </w:t>
      </w:r>
      <w:r w:rsidR="00F200C7" w:rsidRPr="007406B5">
        <w:rPr>
          <w:rFonts w:ascii="Times New Roman" w:hAnsi="Times New Roman"/>
        </w:rPr>
        <w:t xml:space="preserve">its </w:t>
      </w:r>
      <w:r w:rsidR="00622FD0" w:rsidRPr="007406B5">
        <w:rPr>
          <w:rFonts w:ascii="Times New Roman" w:hAnsi="Times New Roman"/>
        </w:rPr>
        <w:t>fundamental element or focal point the likely impacts of the development</w:t>
      </w:r>
      <w:r w:rsidR="007D5785" w:rsidRPr="007406B5">
        <w:rPr>
          <w:rFonts w:ascii="Times New Roman" w:hAnsi="Times New Roman"/>
        </w:rPr>
        <w:t xml:space="preserve">. </w:t>
      </w:r>
      <w:r w:rsidR="00B77DB1" w:rsidRPr="007406B5">
        <w:rPr>
          <w:rFonts w:ascii="Times New Roman" w:hAnsi="Times New Roman"/>
        </w:rPr>
        <w:t xml:space="preserve">Under </w:t>
      </w:r>
      <w:r w:rsidR="007D5785" w:rsidRPr="007406B5">
        <w:rPr>
          <w:rFonts w:ascii="Times New Roman" w:hAnsi="Times New Roman"/>
        </w:rPr>
        <w:t xml:space="preserve">s 4.15(1)(b), accordingly, </w:t>
      </w:r>
      <w:r w:rsidR="003465A8" w:rsidRPr="007406B5">
        <w:rPr>
          <w:rFonts w:ascii="Times New Roman" w:hAnsi="Times New Roman"/>
        </w:rPr>
        <w:t xml:space="preserve">if </w:t>
      </w:r>
      <w:r w:rsidR="00CB2B21" w:rsidRPr="007406B5">
        <w:rPr>
          <w:rFonts w:ascii="Times New Roman" w:hAnsi="Times New Roman"/>
        </w:rPr>
        <w:t xml:space="preserve">a </w:t>
      </w:r>
      <w:r w:rsidR="007D5785" w:rsidRPr="007406B5">
        <w:rPr>
          <w:rFonts w:ascii="Times New Roman" w:hAnsi="Times New Roman"/>
        </w:rPr>
        <w:t xml:space="preserve">likely impact of the development </w:t>
      </w:r>
      <w:r w:rsidR="00CB2B21" w:rsidRPr="007406B5">
        <w:rPr>
          <w:rFonts w:ascii="Times New Roman" w:hAnsi="Times New Roman"/>
        </w:rPr>
        <w:t xml:space="preserve">is </w:t>
      </w:r>
      <w:r w:rsidR="00F478AC" w:rsidRPr="007406B5">
        <w:rPr>
          <w:rFonts w:ascii="Times New Roman" w:hAnsi="Times New Roman"/>
        </w:rPr>
        <w:t>confined to the locality</w:t>
      </w:r>
      <w:r w:rsidR="00212CA0" w:rsidRPr="007406B5">
        <w:rPr>
          <w:rFonts w:ascii="Times New Roman" w:hAnsi="Times New Roman"/>
        </w:rPr>
        <w:t xml:space="preserve"> of the development</w:t>
      </w:r>
      <w:r w:rsidR="00F928F0" w:rsidRPr="007406B5">
        <w:rPr>
          <w:rFonts w:ascii="Times New Roman" w:hAnsi="Times New Roman"/>
        </w:rPr>
        <w:t>,</w:t>
      </w:r>
      <w:r w:rsidR="00F478AC" w:rsidRPr="007406B5">
        <w:rPr>
          <w:rFonts w:ascii="Times New Roman" w:hAnsi="Times New Roman"/>
        </w:rPr>
        <w:t xml:space="preserve"> it is that </w:t>
      </w:r>
      <w:r w:rsidR="00F426D2" w:rsidRPr="007406B5">
        <w:rPr>
          <w:rFonts w:ascii="Times New Roman" w:hAnsi="Times New Roman"/>
        </w:rPr>
        <w:t>likely</w:t>
      </w:r>
      <w:r w:rsidR="00F478AC" w:rsidRPr="007406B5">
        <w:rPr>
          <w:rFonts w:ascii="Times New Roman" w:hAnsi="Times New Roman"/>
        </w:rPr>
        <w:t xml:space="preserve"> impact </w:t>
      </w:r>
      <w:r w:rsidR="003B33AF" w:rsidRPr="007406B5">
        <w:rPr>
          <w:rFonts w:ascii="Times New Roman" w:hAnsi="Times New Roman"/>
        </w:rPr>
        <w:t xml:space="preserve">in the locality </w:t>
      </w:r>
      <w:r w:rsidR="00F478AC" w:rsidRPr="007406B5">
        <w:rPr>
          <w:rFonts w:ascii="Times New Roman" w:hAnsi="Times New Roman"/>
        </w:rPr>
        <w:t xml:space="preserve">which must be </w:t>
      </w:r>
      <w:r w:rsidR="00F426D2" w:rsidRPr="007406B5">
        <w:rPr>
          <w:rFonts w:ascii="Times New Roman" w:hAnsi="Times New Roman"/>
        </w:rPr>
        <w:t>considered</w:t>
      </w:r>
      <w:r w:rsidR="00F478AC" w:rsidRPr="007406B5">
        <w:rPr>
          <w:rFonts w:ascii="Times New Roman" w:hAnsi="Times New Roman"/>
        </w:rPr>
        <w:t xml:space="preserve">. If, however, a likely </w:t>
      </w:r>
      <w:r w:rsidR="00F426D2" w:rsidRPr="007406B5">
        <w:rPr>
          <w:rFonts w:ascii="Times New Roman" w:hAnsi="Times New Roman"/>
        </w:rPr>
        <w:t xml:space="preserve">impact of the development is </w:t>
      </w:r>
      <w:r w:rsidR="003465A8" w:rsidRPr="007406B5">
        <w:rPr>
          <w:rFonts w:ascii="Times New Roman" w:hAnsi="Times New Roman"/>
        </w:rPr>
        <w:t xml:space="preserve">not confined to </w:t>
      </w:r>
      <w:r w:rsidR="007D5785" w:rsidRPr="007406B5">
        <w:rPr>
          <w:rFonts w:ascii="Times New Roman" w:hAnsi="Times New Roman"/>
        </w:rPr>
        <w:t xml:space="preserve">the locality </w:t>
      </w:r>
      <w:r w:rsidR="003465A8" w:rsidRPr="007406B5">
        <w:rPr>
          <w:rFonts w:ascii="Times New Roman" w:hAnsi="Times New Roman"/>
        </w:rPr>
        <w:t xml:space="preserve">of the development, </w:t>
      </w:r>
      <w:r w:rsidR="00F426D2" w:rsidRPr="007406B5">
        <w:rPr>
          <w:rFonts w:ascii="Times New Roman" w:hAnsi="Times New Roman"/>
        </w:rPr>
        <w:t xml:space="preserve">s 4.15(1)(b) does not elevate </w:t>
      </w:r>
      <w:r w:rsidR="008147F4" w:rsidRPr="007406B5">
        <w:rPr>
          <w:rFonts w:ascii="Times New Roman" w:hAnsi="Times New Roman"/>
        </w:rPr>
        <w:t>to a fundamental element</w:t>
      </w:r>
      <w:r w:rsidR="00501197" w:rsidRPr="007406B5">
        <w:rPr>
          <w:rFonts w:ascii="Times New Roman" w:hAnsi="Times New Roman"/>
        </w:rPr>
        <w:t xml:space="preserve"> in</w:t>
      </w:r>
      <w:r w:rsidR="008147F4" w:rsidRPr="007406B5">
        <w:rPr>
          <w:rFonts w:ascii="Times New Roman" w:hAnsi="Times New Roman"/>
        </w:rPr>
        <w:t xml:space="preserve"> or focal point </w:t>
      </w:r>
      <w:r w:rsidR="00520FEE" w:rsidRPr="007406B5">
        <w:rPr>
          <w:rFonts w:ascii="Times New Roman" w:hAnsi="Times New Roman"/>
        </w:rPr>
        <w:t xml:space="preserve">of the required consideration </w:t>
      </w:r>
      <w:r w:rsidR="00F426D2" w:rsidRPr="007406B5">
        <w:rPr>
          <w:rFonts w:ascii="Times New Roman" w:hAnsi="Times New Roman"/>
        </w:rPr>
        <w:t>th</w:t>
      </w:r>
      <w:r w:rsidR="008147F4" w:rsidRPr="007406B5">
        <w:rPr>
          <w:rFonts w:ascii="Times New Roman" w:hAnsi="Times New Roman"/>
        </w:rPr>
        <w:t>at</w:t>
      </w:r>
      <w:r w:rsidR="00F426D2" w:rsidRPr="007406B5">
        <w:rPr>
          <w:rFonts w:ascii="Times New Roman" w:hAnsi="Times New Roman"/>
        </w:rPr>
        <w:t xml:space="preserve"> </w:t>
      </w:r>
      <w:r w:rsidR="003465A8" w:rsidRPr="007406B5">
        <w:rPr>
          <w:rFonts w:ascii="Times New Roman" w:hAnsi="Times New Roman"/>
        </w:rPr>
        <w:t xml:space="preserve">likely impact in the locality </w:t>
      </w:r>
      <w:r w:rsidR="006E5BAE" w:rsidRPr="007406B5">
        <w:rPr>
          <w:rFonts w:ascii="Times New Roman" w:hAnsi="Times New Roman"/>
        </w:rPr>
        <w:t xml:space="preserve">over and </w:t>
      </w:r>
      <w:r w:rsidR="007D5785" w:rsidRPr="007406B5">
        <w:rPr>
          <w:rFonts w:ascii="Times New Roman" w:hAnsi="Times New Roman"/>
        </w:rPr>
        <w:t xml:space="preserve">above </w:t>
      </w:r>
      <w:r w:rsidR="00E631BE" w:rsidRPr="007406B5">
        <w:rPr>
          <w:rFonts w:ascii="Times New Roman" w:hAnsi="Times New Roman"/>
        </w:rPr>
        <w:t xml:space="preserve">that </w:t>
      </w:r>
      <w:r w:rsidR="009F2126" w:rsidRPr="007406B5">
        <w:rPr>
          <w:rFonts w:ascii="Times New Roman" w:hAnsi="Times New Roman"/>
        </w:rPr>
        <w:t xml:space="preserve">likely impact </w:t>
      </w:r>
      <w:r w:rsidR="00CB2B21" w:rsidRPr="007406B5">
        <w:rPr>
          <w:rFonts w:ascii="Times New Roman" w:hAnsi="Times New Roman"/>
        </w:rPr>
        <w:t xml:space="preserve">elsewhere. </w:t>
      </w:r>
    </w:p>
    <w:p w14:paraId="538BE02C" w14:textId="61436BCA" w:rsidR="009F2126" w:rsidRPr="007406B5" w:rsidRDefault="00A30D48" w:rsidP="007406B5">
      <w:pPr>
        <w:pStyle w:val="FixListStyle"/>
        <w:spacing w:after="260" w:line="280" w:lineRule="exact"/>
        <w:ind w:right="0"/>
        <w:jc w:val="both"/>
        <w:rPr>
          <w:rFonts w:ascii="Times New Roman" w:hAnsi="Times New Roman"/>
        </w:rPr>
      </w:pPr>
      <w:r w:rsidRPr="007406B5">
        <w:rPr>
          <w:rFonts w:ascii="Times New Roman" w:hAnsi="Times New Roman"/>
        </w:rPr>
        <w:tab/>
      </w:r>
      <w:r w:rsidR="009F2126" w:rsidRPr="007406B5">
        <w:rPr>
          <w:rFonts w:ascii="Times New Roman" w:hAnsi="Times New Roman"/>
        </w:rPr>
        <w:t>This does not mean</w:t>
      </w:r>
      <w:r w:rsidR="001D7F6E" w:rsidRPr="007406B5">
        <w:rPr>
          <w:rFonts w:ascii="Times New Roman" w:hAnsi="Times New Roman"/>
        </w:rPr>
        <w:t xml:space="preserve"> </w:t>
      </w:r>
      <w:r w:rsidR="009F2126" w:rsidRPr="007406B5">
        <w:rPr>
          <w:rFonts w:ascii="Times New Roman" w:hAnsi="Times New Roman"/>
        </w:rPr>
        <w:t xml:space="preserve">that the locality in which the development is located is irrelevant. It </w:t>
      </w:r>
      <w:r w:rsidR="00076F06" w:rsidRPr="007406B5">
        <w:rPr>
          <w:rFonts w:ascii="Times New Roman" w:hAnsi="Times New Roman"/>
        </w:rPr>
        <w:t xml:space="preserve">may be relevant to the application of s 4.15(1)(b) as explained above. </w:t>
      </w:r>
      <w:r w:rsidR="00A1477B" w:rsidRPr="007406B5">
        <w:rPr>
          <w:rFonts w:ascii="Times New Roman" w:hAnsi="Times New Roman"/>
        </w:rPr>
        <w:t>But i</w:t>
      </w:r>
      <w:r w:rsidR="00C7719E" w:rsidRPr="007406B5">
        <w:rPr>
          <w:rFonts w:ascii="Times New Roman" w:hAnsi="Times New Roman"/>
        </w:rPr>
        <w:t>f</w:t>
      </w:r>
      <w:r w:rsidR="00A1477B" w:rsidRPr="007406B5">
        <w:rPr>
          <w:rFonts w:ascii="Times New Roman" w:hAnsi="Times New Roman"/>
        </w:rPr>
        <w:t xml:space="preserve"> a development has a likely impact which is not limited to the locality, nothing in the text of s 4.15(1)(b) elevates the likely impact in the locality above the likely impact elsewhere. </w:t>
      </w:r>
      <w:r w:rsidR="008D3B6F" w:rsidRPr="007406B5">
        <w:rPr>
          <w:rFonts w:ascii="Times New Roman" w:hAnsi="Times New Roman"/>
        </w:rPr>
        <w:t>In this way</w:t>
      </w:r>
      <w:r w:rsidR="001C5DBD" w:rsidRPr="007406B5">
        <w:rPr>
          <w:rFonts w:ascii="Times New Roman" w:hAnsi="Times New Roman"/>
        </w:rPr>
        <w:t>,</w:t>
      </w:r>
      <w:r w:rsidR="008D3B6F" w:rsidRPr="007406B5">
        <w:rPr>
          <w:rFonts w:ascii="Times New Roman" w:hAnsi="Times New Roman"/>
        </w:rPr>
        <w:t xml:space="preserve"> the proper construction of s 4.15(1)(b) </w:t>
      </w:r>
      <w:r w:rsidR="008D3B6F" w:rsidRPr="007406B5">
        <w:rPr>
          <w:rFonts w:ascii="Times New Roman" w:hAnsi="Times New Roman"/>
        </w:rPr>
        <w:lastRenderedPageBreak/>
        <w:t>alters the framing of the issue</w:t>
      </w:r>
      <w:r w:rsidR="001C5DBD" w:rsidRPr="007406B5">
        <w:rPr>
          <w:rFonts w:ascii="Times New Roman" w:hAnsi="Times New Roman"/>
        </w:rPr>
        <w:t xml:space="preserve"> concerning that provision </w:t>
      </w:r>
      <w:r w:rsidR="008D3B6F" w:rsidRPr="007406B5">
        <w:rPr>
          <w:rFonts w:ascii="Times New Roman" w:hAnsi="Times New Roman"/>
        </w:rPr>
        <w:t xml:space="preserve">as </w:t>
      </w:r>
      <w:r w:rsidR="00442B11" w:rsidRPr="007406B5">
        <w:rPr>
          <w:rFonts w:ascii="Times New Roman" w:hAnsi="Times New Roman"/>
        </w:rPr>
        <w:t xml:space="preserve">determined by the Court of Appeal. </w:t>
      </w:r>
    </w:p>
    <w:p w14:paraId="44A86759" w14:textId="287881D6" w:rsidR="00A870D4" w:rsidRPr="007406B5" w:rsidRDefault="00A46EF9" w:rsidP="007406B5">
      <w:pPr>
        <w:pStyle w:val="FixListStyle"/>
        <w:spacing w:after="260" w:line="280" w:lineRule="exact"/>
        <w:ind w:right="0"/>
        <w:jc w:val="both"/>
        <w:rPr>
          <w:rFonts w:ascii="Times New Roman" w:hAnsi="Times New Roman"/>
        </w:rPr>
      </w:pPr>
      <w:r w:rsidRPr="007406B5">
        <w:rPr>
          <w:rFonts w:ascii="Times New Roman" w:hAnsi="Times New Roman"/>
        </w:rPr>
        <w:tab/>
      </w:r>
      <w:r w:rsidR="00E74ADF" w:rsidRPr="007406B5">
        <w:rPr>
          <w:rFonts w:ascii="Times New Roman" w:hAnsi="Times New Roman"/>
        </w:rPr>
        <w:t xml:space="preserve">Three </w:t>
      </w:r>
      <w:r w:rsidR="00442B11" w:rsidRPr="007406B5">
        <w:rPr>
          <w:rFonts w:ascii="Times New Roman" w:hAnsi="Times New Roman"/>
        </w:rPr>
        <w:t xml:space="preserve">other matters should now be </w:t>
      </w:r>
      <w:r w:rsidR="001A2FA2" w:rsidRPr="007406B5">
        <w:rPr>
          <w:rFonts w:ascii="Times New Roman" w:hAnsi="Times New Roman"/>
        </w:rPr>
        <w:t>noted.</w:t>
      </w:r>
    </w:p>
    <w:p w14:paraId="57DA9085" w14:textId="30AE1A44" w:rsidR="00A870D4" w:rsidRPr="007406B5" w:rsidRDefault="00A870D4" w:rsidP="007406B5">
      <w:pPr>
        <w:pStyle w:val="FixListStyle"/>
        <w:spacing w:after="260" w:line="280" w:lineRule="exact"/>
        <w:ind w:right="0"/>
        <w:jc w:val="both"/>
        <w:rPr>
          <w:rFonts w:ascii="Times New Roman" w:hAnsi="Times New Roman"/>
        </w:rPr>
      </w:pPr>
      <w:r w:rsidRPr="007406B5">
        <w:rPr>
          <w:rFonts w:ascii="Times New Roman" w:hAnsi="Times New Roman"/>
        </w:rPr>
        <w:tab/>
      </w:r>
      <w:r w:rsidR="0080495A" w:rsidRPr="007406B5">
        <w:rPr>
          <w:rFonts w:ascii="Times New Roman" w:hAnsi="Times New Roman"/>
        </w:rPr>
        <w:t xml:space="preserve">First, </w:t>
      </w:r>
      <w:r w:rsidR="001A2FA2" w:rsidRPr="007406B5">
        <w:rPr>
          <w:rFonts w:ascii="Times New Roman" w:hAnsi="Times New Roman"/>
        </w:rPr>
        <w:t>on the proper construction of s 4.15(1)(b)</w:t>
      </w:r>
      <w:r w:rsidR="0041426D" w:rsidRPr="007406B5">
        <w:rPr>
          <w:rFonts w:ascii="Times New Roman" w:hAnsi="Times New Roman"/>
        </w:rPr>
        <w:t>,</w:t>
      </w:r>
      <w:r w:rsidR="00B137A8" w:rsidRPr="007406B5">
        <w:rPr>
          <w:rFonts w:ascii="Times New Roman" w:hAnsi="Times New Roman"/>
        </w:rPr>
        <w:t xml:space="preserve"> in which the words before the </w:t>
      </w:r>
      <w:r w:rsidR="00033508" w:rsidRPr="007406B5">
        <w:rPr>
          <w:rFonts w:ascii="Times New Roman" w:hAnsi="Times New Roman"/>
        </w:rPr>
        <w:t xml:space="preserve">first </w:t>
      </w:r>
      <w:r w:rsidR="00B137A8" w:rsidRPr="007406B5">
        <w:rPr>
          <w:rFonts w:ascii="Times New Roman" w:hAnsi="Times New Roman"/>
        </w:rPr>
        <w:t xml:space="preserve">comma encompass the words after </w:t>
      </w:r>
      <w:r w:rsidR="00AF6D9C" w:rsidRPr="007406B5">
        <w:rPr>
          <w:rFonts w:ascii="Times New Roman" w:hAnsi="Times New Roman"/>
        </w:rPr>
        <w:t xml:space="preserve">that </w:t>
      </w:r>
      <w:r w:rsidR="00B137A8" w:rsidRPr="007406B5">
        <w:rPr>
          <w:rFonts w:ascii="Times New Roman" w:hAnsi="Times New Roman"/>
        </w:rPr>
        <w:t>comma</w:t>
      </w:r>
      <w:r w:rsidR="001A2FA2" w:rsidRPr="007406B5">
        <w:rPr>
          <w:rFonts w:ascii="Times New Roman" w:hAnsi="Times New Roman"/>
        </w:rPr>
        <w:t xml:space="preserve">, </w:t>
      </w:r>
      <w:r w:rsidR="006C5943" w:rsidRPr="007406B5">
        <w:rPr>
          <w:rFonts w:ascii="Times New Roman" w:hAnsi="Times New Roman"/>
        </w:rPr>
        <w:t xml:space="preserve">it is </w:t>
      </w:r>
      <w:r w:rsidR="00F94CEA" w:rsidRPr="007406B5">
        <w:rPr>
          <w:rFonts w:ascii="Times New Roman" w:hAnsi="Times New Roman"/>
        </w:rPr>
        <w:t xml:space="preserve">an immaterial </w:t>
      </w:r>
      <w:r w:rsidR="00641CE3" w:rsidRPr="007406B5">
        <w:rPr>
          <w:rFonts w:ascii="Times New Roman" w:hAnsi="Times New Roman"/>
        </w:rPr>
        <w:t>distraction</w:t>
      </w:r>
      <w:r w:rsidR="00F94CEA" w:rsidRPr="007406B5">
        <w:rPr>
          <w:rFonts w:ascii="Times New Roman" w:hAnsi="Times New Roman"/>
        </w:rPr>
        <w:t xml:space="preserve"> to </w:t>
      </w:r>
      <w:r w:rsidR="00641CE3" w:rsidRPr="007406B5">
        <w:rPr>
          <w:rFonts w:ascii="Times New Roman" w:hAnsi="Times New Roman"/>
        </w:rPr>
        <w:t xml:space="preserve">ask </w:t>
      </w:r>
      <w:r w:rsidR="00F94CEA" w:rsidRPr="007406B5">
        <w:rPr>
          <w:rFonts w:ascii="Times New Roman" w:hAnsi="Times New Roman"/>
        </w:rPr>
        <w:t xml:space="preserve">whether the words "in the locality" qualify only the </w:t>
      </w:r>
      <w:r w:rsidR="005547F2" w:rsidRPr="007406B5">
        <w:rPr>
          <w:rFonts w:ascii="Times New Roman" w:hAnsi="Times New Roman"/>
        </w:rPr>
        <w:t>"</w:t>
      </w:r>
      <w:r w:rsidR="00641CE3" w:rsidRPr="007406B5">
        <w:rPr>
          <w:rFonts w:ascii="Times New Roman" w:hAnsi="Times New Roman"/>
        </w:rPr>
        <w:t xml:space="preserve">social and economic impacts" of the development or both </w:t>
      </w:r>
      <w:r w:rsidR="008F6D25" w:rsidRPr="007406B5">
        <w:rPr>
          <w:rFonts w:ascii="Times New Roman" w:hAnsi="Times New Roman"/>
        </w:rPr>
        <w:t xml:space="preserve">the "environmental impacts on both the natural and built environments" and </w:t>
      </w:r>
      <w:r w:rsidR="00577014" w:rsidRPr="007406B5">
        <w:rPr>
          <w:rFonts w:ascii="Times New Roman" w:hAnsi="Times New Roman"/>
        </w:rPr>
        <w:t xml:space="preserve">the </w:t>
      </w:r>
      <w:r w:rsidR="008F6D25" w:rsidRPr="007406B5">
        <w:rPr>
          <w:rFonts w:ascii="Times New Roman" w:hAnsi="Times New Roman"/>
        </w:rPr>
        <w:t>"social and economic impacts" of the development.</w:t>
      </w:r>
      <w:r w:rsidRPr="007406B5">
        <w:rPr>
          <w:rFonts w:ascii="Times New Roman" w:hAnsi="Times New Roman"/>
        </w:rPr>
        <w:t xml:space="preserve"> To the extent the arguments in the appeal </w:t>
      </w:r>
      <w:r w:rsidR="001277FC" w:rsidRPr="007406B5">
        <w:rPr>
          <w:rFonts w:ascii="Times New Roman" w:hAnsi="Times New Roman"/>
        </w:rPr>
        <w:t>concerned that issue, they may be put to one side.</w:t>
      </w:r>
    </w:p>
    <w:p w14:paraId="1CDF98ED" w14:textId="37476547" w:rsidR="000F7FAD" w:rsidRPr="007406B5" w:rsidRDefault="00A870D4" w:rsidP="007406B5">
      <w:pPr>
        <w:pStyle w:val="FixListStyle"/>
        <w:spacing w:after="260" w:line="280" w:lineRule="exact"/>
        <w:ind w:right="0"/>
        <w:jc w:val="both"/>
        <w:rPr>
          <w:rFonts w:ascii="Times New Roman" w:hAnsi="Times New Roman"/>
        </w:rPr>
      </w:pPr>
      <w:r w:rsidRPr="007406B5">
        <w:rPr>
          <w:rFonts w:ascii="Times New Roman" w:hAnsi="Times New Roman"/>
        </w:rPr>
        <w:tab/>
      </w:r>
      <w:r w:rsidR="0080495A" w:rsidRPr="007406B5">
        <w:rPr>
          <w:rFonts w:ascii="Times New Roman" w:hAnsi="Times New Roman"/>
        </w:rPr>
        <w:t xml:space="preserve">Second, </w:t>
      </w:r>
      <w:r w:rsidR="000A5C87" w:rsidRPr="007406B5">
        <w:rPr>
          <w:rFonts w:ascii="Times New Roman" w:hAnsi="Times New Roman"/>
        </w:rPr>
        <w:t xml:space="preserve">in </w:t>
      </w:r>
      <w:r w:rsidR="004520AB" w:rsidRPr="007406B5">
        <w:rPr>
          <w:rFonts w:ascii="Times New Roman" w:hAnsi="Times New Roman"/>
        </w:rPr>
        <w:t>requiring</w:t>
      </w:r>
      <w:r w:rsidR="000A5C87" w:rsidRPr="007406B5">
        <w:rPr>
          <w:rFonts w:ascii="Times New Roman" w:hAnsi="Times New Roman"/>
        </w:rPr>
        <w:t xml:space="preserve"> the consent authority to take into </w:t>
      </w:r>
      <w:r w:rsidR="004520AB" w:rsidRPr="007406B5">
        <w:rPr>
          <w:rFonts w:ascii="Times New Roman" w:hAnsi="Times New Roman"/>
        </w:rPr>
        <w:t>consideration</w:t>
      </w:r>
      <w:r w:rsidR="000A5C87" w:rsidRPr="007406B5">
        <w:rPr>
          <w:rFonts w:ascii="Times New Roman" w:hAnsi="Times New Roman"/>
        </w:rPr>
        <w:t xml:space="preserve"> </w:t>
      </w:r>
      <w:r w:rsidR="00FB5708" w:rsidRPr="007406B5">
        <w:rPr>
          <w:rFonts w:ascii="Times New Roman" w:hAnsi="Times New Roman"/>
        </w:rPr>
        <w:t xml:space="preserve">such of </w:t>
      </w:r>
      <w:r w:rsidR="004520AB" w:rsidRPr="007406B5">
        <w:rPr>
          <w:rFonts w:ascii="Times New Roman" w:hAnsi="Times New Roman"/>
        </w:rPr>
        <w:t>the matter</w:t>
      </w:r>
      <w:r w:rsidR="00FB5708" w:rsidRPr="007406B5">
        <w:rPr>
          <w:rFonts w:ascii="Times New Roman" w:hAnsi="Times New Roman"/>
        </w:rPr>
        <w:t>s</w:t>
      </w:r>
      <w:r w:rsidR="004520AB" w:rsidRPr="007406B5">
        <w:rPr>
          <w:rFonts w:ascii="Times New Roman" w:hAnsi="Times New Roman"/>
        </w:rPr>
        <w:t xml:space="preserve"> specified in s </w:t>
      </w:r>
      <w:r w:rsidR="00FB5708" w:rsidRPr="007406B5">
        <w:rPr>
          <w:rFonts w:ascii="Times New Roman" w:hAnsi="Times New Roman"/>
        </w:rPr>
        <w:t>4</w:t>
      </w:r>
      <w:r w:rsidR="004520AB" w:rsidRPr="007406B5">
        <w:rPr>
          <w:rFonts w:ascii="Times New Roman" w:hAnsi="Times New Roman"/>
        </w:rPr>
        <w:t xml:space="preserve">.15(1)(b) "as </w:t>
      </w:r>
      <w:r w:rsidR="000F7FAD" w:rsidRPr="007406B5">
        <w:rPr>
          <w:rFonts w:ascii="Times New Roman" w:hAnsi="Times New Roman"/>
        </w:rPr>
        <w:t xml:space="preserve">are </w:t>
      </w:r>
      <w:r w:rsidR="004520AB" w:rsidRPr="007406B5">
        <w:rPr>
          <w:rFonts w:ascii="Times New Roman" w:hAnsi="Times New Roman"/>
        </w:rPr>
        <w:t xml:space="preserve">of relevance to the </w:t>
      </w:r>
      <w:r w:rsidR="00183780" w:rsidRPr="007406B5">
        <w:rPr>
          <w:rFonts w:ascii="Times New Roman" w:hAnsi="Times New Roman"/>
        </w:rPr>
        <w:t>development the subject of the development application</w:t>
      </w:r>
      <w:r w:rsidR="009B4769" w:rsidRPr="007406B5">
        <w:rPr>
          <w:rFonts w:ascii="Times New Roman" w:hAnsi="Times New Roman"/>
        </w:rPr>
        <w:t>"</w:t>
      </w:r>
      <w:r w:rsidR="00DC1AA6" w:rsidRPr="007406B5">
        <w:rPr>
          <w:rFonts w:ascii="Times New Roman" w:hAnsi="Times New Roman"/>
        </w:rPr>
        <w:t xml:space="preserve">, </w:t>
      </w:r>
      <w:r w:rsidR="009F33DF" w:rsidRPr="007406B5">
        <w:rPr>
          <w:rFonts w:ascii="Times New Roman" w:hAnsi="Times New Roman"/>
        </w:rPr>
        <w:t>the required focus is the</w:t>
      </w:r>
      <w:r w:rsidR="0064044E" w:rsidRPr="007406B5">
        <w:rPr>
          <w:rFonts w:ascii="Times New Roman" w:hAnsi="Times New Roman"/>
        </w:rPr>
        <w:t xml:space="preserve"> development</w:t>
      </w:r>
      <w:r w:rsidR="00D57C5C" w:rsidRPr="007406B5">
        <w:rPr>
          <w:rFonts w:ascii="Times New Roman" w:hAnsi="Times New Roman"/>
        </w:rPr>
        <w:t xml:space="preserve"> itself</w:t>
      </w:r>
      <w:r w:rsidR="00040769" w:rsidRPr="007406B5">
        <w:rPr>
          <w:rFonts w:ascii="Times New Roman" w:hAnsi="Times New Roman"/>
        </w:rPr>
        <w:t xml:space="preserve"> and its likely impacts</w:t>
      </w:r>
      <w:r w:rsidR="00EE13D6" w:rsidRPr="007406B5">
        <w:rPr>
          <w:rFonts w:ascii="Times New Roman" w:hAnsi="Times New Roman"/>
        </w:rPr>
        <w:t xml:space="preserve">. </w:t>
      </w:r>
      <w:r w:rsidR="002A1CA0" w:rsidRPr="007406B5">
        <w:rPr>
          <w:rFonts w:ascii="Times New Roman" w:hAnsi="Times New Roman"/>
        </w:rPr>
        <w:t xml:space="preserve">In </w:t>
      </w:r>
      <w:r w:rsidR="00B979D5" w:rsidRPr="007406B5">
        <w:rPr>
          <w:rFonts w:ascii="Times New Roman" w:hAnsi="Times New Roman"/>
        </w:rPr>
        <w:t xml:space="preserve">all </w:t>
      </w:r>
      <w:r w:rsidR="002A1CA0" w:rsidRPr="007406B5">
        <w:rPr>
          <w:rFonts w:ascii="Times New Roman" w:hAnsi="Times New Roman"/>
        </w:rPr>
        <w:t xml:space="preserve">cases, the impact must be "likely", meaning that the impact must </w:t>
      </w:r>
      <w:r w:rsidR="00B61689" w:rsidRPr="007406B5">
        <w:rPr>
          <w:rFonts w:ascii="Times New Roman" w:hAnsi="Times New Roman"/>
        </w:rPr>
        <w:t>have a real, not far-fetched, fanciful or trivial</w:t>
      </w:r>
      <w:r w:rsidR="00114E18" w:rsidRPr="007406B5">
        <w:rPr>
          <w:rFonts w:ascii="Times New Roman" w:hAnsi="Times New Roman"/>
        </w:rPr>
        <w:t>,</w:t>
      </w:r>
      <w:r w:rsidR="00B61689" w:rsidRPr="007406B5">
        <w:rPr>
          <w:rFonts w:ascii="Times New Roman" w:hAnsi="Times New Roman"/>
        </w:rPr>
        <w:t xml:space="preserve"> chance </w:t>
      </w:r>
      <w:r w:rsidR="00E82363" w:rsidRPr="007406B5">
        <w:rPr>
          <w:rFonts w:ascii="Times New Roman" w:hAnsi="Times New Roman"/>
        </w:rPr>
        <w:t xml:space="preserve">or possibility </w:t>
      </w:r>
      <w:r w:rsidR="00B61689" w:rsidRPr="007406B5">
        <w:rPr>
          <w:rFonts w:ascii="Times New Roman" w:hAnsi="Times New Roman"/>
        </w:rPr>
        <w:t>of occurring as a result of the development</w:t>
      </w:r>
      <w:r w:rsidR="00A62A0A" w:rsidRPr="007406B5">
        <w:rPr>
          <w:rFonts w:ascii="Times New Roman" w:hAnsi="Times New Roman"/>
        </w:rPr>
        <w:t>.</w:t>
      </w:r>
      <w:r w:rsidR="0069295F" w:rsidRPr="007406B5">
        <w:rPr>
          <w:rStyle w:val="FootnoteReference"/>
          <w:rFonts w:ascii="Times New Roman" w:hAnsi="Times New Roman"/>
          <w:sz w:val="24"/>
        </w:rPr>
        <w:footnoteReference w:id="38"/>
      </w:r>
      <w:r w:rsidR="00A62A0A" w:rsidRPr="007406B5">
        <w:rPr>
          <w:rFonts w:ascii="Times New Roman" w:hAnsi="Times New Roman"/>
        </w:rPr>
        <w:t xml:space="preserve"> </w:t>
      </w:r>
    </w:p>
    <w:p w14:paraId="14457465" w14:textId="7CCEF082" w:rsidR="00C4618A" w:rsidRPr="007406B5" w:rsidRDefault="000F7FAD" w:rsidP="007406B5">
      <w:pPr>
        <w:pStyle w:val="FixListStyle"/>
        <w:spacing w:after="260" w:line="280" w:lineRule="exact"/>
        <w:ind w:right="0"/>
        <w:jc w:val="both"/>
        <w:rPr>
          <w:rFonts w:ascii="Times New Roman" w:hAnsi="Times New Roman"/>
        </w:rPr>
      </w:pPr>
      <w:r w:rsidRPr="007406B5">
        <w:rPr>
          <w:rFonts w:ascii="Times New Roman" w:hAnsi="Times New Roman"/>
        </w:rPr>
        <w:tab/>
      </w:r>
      <w:r w:rsidR="00DC7F8B" w:rsidRPr="007406B5">
        <w:rPr>
          <w:rFonts w:ascii="Times New Roman" w:hAnsi="Times New Roman"/>
        </w:rPr>
        <w:t>Third</w:t>
      </w:r>
      <w:r w:rsidR="00D17FF4" w:rsidRPr="007406B5">
        <w:rPr>
          <w:rFonts w:ascii="Times New Roman" w:hAnsi="Times New Roman"/>
        </w:rPr>
        <w:t xml:space="preserve">, by reason of these matters, </w:t>
      </w:r>
      <w:r w:rsidR="003B2382" w:rsidRPr="007406B5">
        <w:rPr>
          <w:rFonts w:ascii="Times New Roman" w:hAnsi="Times New Roman"/>
        </w:rPr>
        <w:t xml:space="preserve">in taking into consideration a "likely impact" which </w:t>
      </w:r>
      <w:r w:rsidR="00041798" w:rsidRPr="007406B5">
        <w:rPr>
          <w:rFonts w:ascii="Times New Roman" w:hAnsi="Times New Roman"/>
        </w:rPr>
        <w:t xml:space="preserve">the consent authority </w:t>
      </w:r>
      <w:r w:rsidR="00A15877" w:rsidRPr="007406B5">
        <w:rPr>
          <w:rFonts w:ascii="Times New Roman" w:hAnsi="Times New Roman"/>
        </w:rPr>
        <w:t xml:space="preserve">has </w:t>
      </w:r>
      <w:r w:rsidR="00C961DF" w:rsidRPr="007406B5">
        <w:rPr>
          <w:rFonts w:ascii="Times New Roman" w:hAnsi="Times New Roman"/>
        </w:rPr>
        <w:t>correctly i</w:t>
      </w:r>
      <w:r w:rsidR="003B2382" w:rsidRPr="007406B5">
        <w:rPr>
          <w:rFonts w:ascii="Times New Roman" w:hAnsi="Times New Roman"/>
        </w:rPr>
        <w:t xml:space="preserve">dentified as of relevance to the development, the level of specificity at which </w:t>
      </w:r>
      <w:r w:rsidR="00A15877" w:rsidRPr="007406B5">
        <w:rPr>
          <w:rFonts w:ascii="Times New Roman" w:hAnsi="Times New Roman"/>
        </w:rPr>
        <w:t xml:space="preserve">the consent authority </w:t>
      </w:r>
      <w:r w:rsidR="00044EE7" w:rsidRPr="007406B5">
        <w:rPr>
          <w:rFonts w:ascii="Times New Roman" w:hAnsi="Times New Roman"/>
        </w:rPr>
        <w:t xml:space="preserve">takes that likely impact into consideration is </w:t>
      </w:r>
      <w:r w:rsidR="001E284E" w:rsidRPr="007406B5">
        <w:rPr>
          <w:rFonts w:ascii="Times New Roman" w:hAnsi="Times New Roman"/>
        </w:rPr>
        <w:t xml:space="preserve">ordinarily </w:t>
      </w:r>
      <w:r w:rsidR="00044EE7" w:rsidRPr="007406B5">
        <w:rPr>
          <w:rFonts w:ascii="Times New Roman" w:hAnsi="Times New Roman"/>
        </w:rPr>
        <w:t>a matter for the consent authority</w:t>
      </w:r>
      <w:r w:rsidR="00930AA2" w:rsidRPr="007406B5">
        <w:rPr>
          <w:rFonts w:ascii="Times New Roman" w:hAnsi="Times New Roman"/>
        </w:rPr>
        <w:t>.</w:t>
      </w:r>
      <w:r w:rsidR="00F60417" w:rsidRPr="007406B5">
        <w:rPr>
          <w:rStyle w:val="FootnoteReference"/>
          <w:rFonts w:ascii="Times New Roman" w:hAnsi="Times New Roman"/>
          <w:sz w:val="24"/>
        </w:rPr>
        <w:footnoteReference w:id="39"/>
      </w:r>
      <w:r w:rsidR="00930AA2" w:rsidRPr="007406B5">
        <w:rPr>
          <w:rFonts w:ascii="Times New Roman" w:hAnsi="Times New Roman"/>
        </w:rPr>
        <w:t xml:space="preserve"> </w:t>
      </w:r>
    </w:p>
    <w:p w14:paraId="5E641941" w14:textId="548F292F" w:rsidR="00785464" w:rsidRPr="007406B5" w:rsidRDefault="00871AC1" w:rsidP="007406B5">
      <w:pPr>
        <w:pStyle w:val="HeadingL2"/>
        <w:spacing w:after="260" w:line="280" w:lineRule="exact"/>
        <w:ind w:right="0"/>
        <w:jc w:val="both"/>
        <w:rPr>
          <w:rFonts w:ascii="Times New Roman" w:hAnsi="Times New Roman"/>
        </w:rPr>
      </w:pPr>
      <w:r w:rsidRPr="007406B5">
        <w:rPr>
          <w:rFonts w:ascii="Times New Roman" w:hAnsi="Times New Roman"/>
        </w:rPr>
        <w:t xml:space="preserve">The material before the </w:t>
      </w:r>
      <w:r w:rsidR="001B7839" w:rsidRPr="007406B5">
        <w:rPr>
          <w:rFonts w:ascii="Times New Roman" w:hAnsi="Times New Roman"/>
        </w:rPr>
        <w:t>Commission</w:t>
      </w:r>
    </w:p>
    <w:p w14:paraId="0C3CCC31" w14:textId="0D11FF63" w:rsidR="005E2A17" w:rsidRPr="007406B5" w:rsidRDefault="00871AC1" w:rsidP="007406B5">
      <w:pPr>
        <w:pStyle w:val="FixListStyle"/>
        <w:spacing w:after="260" w:line="280" w:lineRule="exact"/>
        <w:ind w:right="0"/>
        <w:jc w:val="both"/>
        <w:rPr>
          <w:rFonts w:ascii="Times New Roman" w:hAnsi="Times New Roman"/>
        </w:rPr>
      </w:pPr>
      <w:r w:rsidRPr="007406B5">
        <w:rPr>
          <w:rFonts w:ascii="Times New Roman" w:hAnsi="Times New Roman"/>
        </w:rPr>
        <w:tab/>
      </w:r>
      <w:r w:rsidR="008E2F2C" w:rsidRPr="007406B5">
        <w:rPr>
          <w:rFonts w:ascii="Times New Roman" w:hAnsi="Times New Roman"/>
        </w:rPr>
        <w:t xml:space="preserve">To the extent that DAMSHEG's </w:t>
      </w:r>
      <w:r w:rsidR="003F52CF" w:rsidRPr="007406B5">
        <w:rPr>
          <w:rFonts w:ascii="Times New Roman" w:hAnsi="Times New Roman"/>
        </w:rPr>
        <w:t xml:space="preserve">additional </w:t>
      </w:r>
      <w:r w:rsidR="006331BF" w:rsidRPr="007406B5">
        <w:rPr>
          <w:rFonts w:ascii="Times New Roman" w:hAnsi="Times New Roman"/>
        </w:rPr>
        <w:t xml:space="preserve">ground in its </w:t>
      </w:r>
      <w:r w:rsidR="003F52CF" w:rsidRPr="007406B5">
        <w:rPr>
          <w:rFonts w:ascii="Times New Roman" w:hAnsi="Times New Roman"/>
        </w:rPr>
        <w:t xml:space="preserve">amended </w:t>
      </w:r>
      <w:r w:rsidR="006331BF" w:rsidRPr="007406B5">
        <w:rPr>
          <w:rFonts w:ascii="Times New Roman" w:hAnsi="Times New Roman"/>
        </w:rPr>
        <w:t xml:space="preserve">notice of contention depended on the </w:t>
      </w:r>
      <w:r w:rsidR="008138BC" w:rsidRPr="007406B5">
        <w:rPr>
          <w:rFonts w:ascii="Times New Roman" w:hAnsi="Times New Roman"/>
        </w:rPr>
        <w:t xml:space="preserve">proposition </w:t>
      </w:r>
      <w:r w:rsidR="006331BF" w:rsidRPr="007406B5">
        <w:rPr>
          <w:rFonts w:ascii="Times New Roman" w:hAnsi="Times New Roman"/>
        </w:rPr>
        <w:t xml:space="preserve">that the mere making of a submission about a development application </w:t>
      </w:r>
      <w:r w:rsidR="001C3DE0" w:rsidRPr="007406B5">
        <w:rPr>
          <w:rFonts w:ascii="Times New Roman" w:hAnsi="Times New Roman"/>
        </w:rPr>
        <w:t xml:space="preserve">which raises </w:t>
      </w:r>
      <w:r w:rsidR="00154D5B" w:rsidRPr="007406B5">
        <w:rPr>
          <w:rFonts w:ascii="Times New Roman" w:hAnsi="Times New Roman"/>
        </w:rPr>
        <w:t xml:space="preserve">a particular likely impact of the development </w:t>
      </w:r>
      <w:r w:rsidR="006331BF" w:rsidRPr="007406B5">
        <w:rPr>
          <w:rFonts w:ascii="Times New Roman" w:hAnsi="Times New Roman"/>
        </w:rPr>
        <w:t xml:space="preserve">means that the consent authority </w:t>
      </w:r>
      <w:r w:rsidR="00154D5B" w:rsidRPr="007406B5">
        <w:rPr>
          <w:rFonts w:ascii="Times New Roman" w:hAnsi="Times New Roman"/>
        </w:rPr>
        <w:t xml:space="preserve">must consider that </w:t>
      </w:r>
      <w:r w:rsidR="004009BF" w:rsidRPr="007406B5">
        <w:rPr>
          <w:rFonts w:ascii="Times New Roman" w:hAnsi="Times New Roman"/>
        </w:rPr>
        <w:t xml:space="preserve">likely </w:t>
      </w:r>
      <w:r w:rsidR="00154D5B" w:rsidRPr="007406B5">
        <w:rPr>
          <w:rFonts w:ascii="Times New Roman" w:hAnsi="Times New Roman"/>
        </w:rPr>
        <w:t xml:space="preserve">impact at the same level of </w:t>
      </w:r>
      <w:r w:rsidR="00EB0DC7" w:rsidRPr="007406B5">
        <w:rPr>
          <w:rFonts w:ascii="Times New Roman" w:hAnsi="Times New Roman"/>
        </w:rPr>
        <w:t>particularity as the submission in order to discharge its duty under s 4.15(1)(b) of the EPA Act</w:t>
      </w:r>
      <w:r w:rsidR="0077699C" w:rsidRPr="007406B5">
        <w:rPr>
          <w:rFonts w:ascii="Times New Roman" w:hAnsi="Times New Roman"/>
        </w:rPr>
        <w:t>, that additional ground</w:t>
      </w:r>
      <w:r w:rsidR="00EB0DC7" w:rsidRPr="007406B5">
        <w:rPr>
          <w:rFonts w:ascii="Times New Roman" w:hAnsi="Times New Roman"/>
        </w:rPr>
        <w:t xml:space="preserve"> must </w:t>
      </w:r>
      <w:r w:rsidR="00A50ACE" w:rsidRPr="007406B5">
        <w:rPr>
          <w:rFonts w:ascii="Times New Roman" w:hAnsi="Times New Roman"/>
        </w:rPr>
        <w:t>be rejected.</w:t>
      </w:r>
      <w:r w:rsidR="004E3126" w:rsidRPr="007406B5">
        <w:rPr>
          <w:rStyle w:val="FootnoteReference"/>
          <w:rFonts w:ascii="Times New Roman" w:hAnsi="Times New Roman"/>
          <w:sz w:val="24"/>
        </w:rPr>
        <w:footnoteReference w:id="40"/>
      </w:r>
      <w:r w:rsidR="00EB0DC7" w:rsidRPr="007406B5">
        <w:rPr>
          <w:rFonts w:ascii="Times New Roman" w:hAnsi="Times New Roman"/>
        </w:rPr>
        <w:t xml:space="preserve"> </w:t>
      </w:r>
      <w:r w:rsidR="00154D5B" w:rsidRPr="007406B5">
        <w:rPr>
          <w:rFonts w:ascii="Times New Roman" w:hAnsi="Times New Roman"/>
        </w:rPr>
        <w:t>Nor is any such obligation imposed on a consent authority</w:t>
      </w:r>
      <w:r w:rsidR="00A50ACE" w:rsidRPr="007406B5">
        <w:rPr>
          <w:rFonts w:ascii="Times New Roman" w:hAnsi="Times New Roman"/>
        </w:rPr>
        <w:t xml:space="preserve"> by</w:t>
      </w:r>
      <w:r w:rsidR="00154D5B" w:rsidRPr="007406B5">
        <w:rPr>
          <w:rFonts w:ascii="Times New Roman" w:hAnsi="Times New Roman"/>
        </w:rPr>
        <w:t xml:space="preserve"> </w:t>
      </w:r>
      <w:r w:rsidR="00A50ACE" w:rsidRPr="007406B5">
        <w:rPr>
          <w:rFonts w:ascii="Times New Roman" w:hAnsi="Times New Roman"/>
        </w:rPr>
        <w:t xml:space="preserve">s 4.15(1)(b) </w:t>
      </w:r>
      <w:r w:rsidR="00154D5B" w:rsidRPr="007406B5">
        <w:rPr>
          <w:rFonts w:ascii="Times New Roman" w:hAnsi="Times New Roman"/>
        </w:rPr>
        <w:t>merely because the material accompanying a development application</w:t>
      </w:r>
      <w:r w:rsidR="000E6DC8" w:rsidRPr="007406B5">
        <w:rPr>
          <w:rFonts w:ascii="Times New Roman" w:hAnsi="Times New Roman"/>
        </w:rPr>
        <w:t xml:space="preserve"> </w:t>
      </w:r>
      <w:r w:rsidR="00F91031" w:rsidRPr="007406B5">
        <w:rPr>
          <w:rFonts w:ascii="Times New Roman" w:hAnsi="Times New Roman"/>
        </w:rPr>
        <w:t xml:space="preserve">refers to </w:t>
      </w:r>
      <w:r w:rsidR="000E6DC8" w:rsidRPr="007406B5">
        <w:rPr>
          <w:rFonts w:ascii="Times New Roman" w:hAnsi="Times New Roman"/>
        </w:rPr>
        <w:t xml:space="preserve">a matter </w:t>
      </w:r>
      <w:r w:rsidR="00154D5B" w:rsidRPr="007406B5">
        <w:rPr>
          <w:rFonts w:ascii="Times New Roman" w:hAnsi="Times New Roman"/>
        </w:rPr>
        <w:t xml:space="preserve">that the authors of </w:t>
      </w:r>
      <w:r w:rsidR="005D285F" w:rsidRPr="007406B5">
        <w:rPr>
          <w:rFonts w:ascii="Times New Roman" w:hAnsi="Times New Roman"/>
        </w:rPr>
        <w:t xml:space="preserve">that material </w:t>
      </w:r>
      <w:r w:rsidR="00154D5B" w:rsidRPr="007406B5">
        <w:rPr>
          <w:rFonts w:ascii="Times New Roman" w:hAnsi="Times New Roman"/>
        </w:rPr>
        <w:t>consider</w:t>
      </w:r>
      <w:r w:rsidR="0077699C" w:rsidRPr="007406B5">
        <w:rPr>
          <w:rFonts w:ascii="Times New Roman" w:hAnsi="Times New Roman"/>
        </w:rPr>
        <w:t>ed</w:t>
      </w:r>
      <w:r w:rsidR="00154D5B" w:rsidRPr="007406B5">
        <w:rPr>
          <w:rFonts w:ascii="Times New Roman" w:hAnsi="Times New Roman"/>
        </w:rPr>
        <w:t xml:space="preserve"> to be a "likely impact[] of [the] development"</w:t>
      </w:r>
      <w:r w:rsidR="005C385D" w:rsidRPr="007406B5">
        <w:rPr>
          <w:rFonts w:ascii="Times New Roman" w:hAnsi="Times New Roman"/>
        </w:rPr>
        <w:t>,</w:t>
      </w:r>
      <w:r w:rsidR="00154D5B" w:rsidRPr="007406B5">
        <w:rPr>
          <w:rFonts w:ascii="Times New Roman" w:hAnsi="Times New Roman"/>
        </w:rPr>
        <w:t xml:space="preserve"> </w:t>
      </w:r>
      <w:r w:rsidR="00D202F1" w:rsidRPr="007406B5">
        <w:rPr>
          <w:rFonts w:ascii="Times New Roman" w:hAnsi="Times New Roman"/>
        </w:rPr>
        <w:lastRenderedPageBreak/>
        <w:t xml:space="preserve">including in an EIS prepared </w:t>
      </w:r>
      <w:r w:rsidR="00154D5B" w:rsidRPr="007406B5">
        <w:rPr>
          <w:rFonts w:ascii="Times New Roman" w:hAnsi="Times New Roman"/>
        </w:rPr>
        <w:t>in accordance with the legislative requirements relating to the content of the EIS.</w:t>
      </w:r>
      <w:r w:rsidR="00154D5B" w:rsidRPr="007406B5">
        <w:rPr>
          <w:rStyle w:val="FootnoteReference"/>
          <w:rFonts w:ascii="Times New Roman" w:hAnsi="Times New Roman"/>
          <w:sz w:val="24"/>
        </w:rPr>
        <w:footnoteReference w:id="41"/>
      </w:r>
      <w:r w:rsidR="00154D5B" w:rsidRPr="007406B5">
        <w:rPr>
          <w:rFonts w:ascii="Times New Roman" w:hAnsi="Times New Roman"/>
        </w:rPr>
        <w:t xml:space="preserve"> </w:t>
      </w:r>
    </w:p>
    <w:p w14:paraId="7606DCC8" w14:textId="3582B034" w:rsidR="00871AC1" w:rsidRPr="007406B5" w:rsidRDefault="005D49BE" w:rsidP="007406B5">
      <w:pPr>
        <w:pStyle w:val="FixListStyle"/>
        <w:spacing w:after="260" w:line="280" w:lineRule="exact"/>
        <w:ind w:right="0"/>
        <w:jc w:val="both"/>
        <w:rPr>
          <w:rFonts w:ascii="Times New Roman" w:hAnsi="Times New Roman"/>
        </w:rPr>
      </w:pPr>
      <w:r w:rsidRPr="007406B5">
        <w:rPr>
          <w:rFonts w:ascii="Times New Roman" w:hAnsi="Times New Roman"/>
        </w:rPr>
        <w:tab/>
      </w:r>
      <w:r w:rsidR="00663C4D" w:rsidRPr="007406B5">
        <w:rPr>
          <w:rFonts w:ascii="Times New Roman" w:hAnsi="Times New Roman"/>
        </w:rPr>
        <w:t>Th</w:t>
      </w:r>
      <w:r w:rsidRPr="007406B5">
        <w:rPr>
          <w:rFonts w:ascii="Times New Roman" w:hAnsi="Times New Roman"/>
        </w:rPr>
        <w:t>is</w:t>
      </w:r>
      <w:r w:rsidR="00663C4D" w:rsidRPr="007406B5">
        <w:rPr>
          <w:rFonts w:ascii="Times New Roman" w:hAnsi="Times New Roman"/>
        </w:rPr>
        <w:t xml:space="preserve"> said, </w:t>
      </w:r>
      <w:r w:rsidR="006726CC" w:rsidRPr="007406B5">
        <w:rPr>
          <w:rFonts w:ascii="Times New Roman" w:hAnsi="Times New Roman"/>
        </w:rPr>
        <w:t xml:space="preserve">in the present case </w:t>
      </w:r>
      <w:r w:rsidR="000A1584" w:rsidRPr="007406B5">
        <w:rPr>
          <w:rFonts w:ascii="Times New Roman" w:hAnsi="Times New Roman"/>
        </w:rPr>
        <w:t xml:space="preserve">it was common ground </w:t>
      </w:r>
      <w:r w:rsidR="00E434C2" w:rsidRPr="007406B5">
        <w:rPr>
          <w:rFonts w:ascii="Times New Roman" w:hAnsi="Times New Roman"/>
        </w:rPr>
        <w:t xml:space="preserve">in the material before the Commission that </w:t>
      </w:r>
      <w:r w:rsidR="00663C4D" w:rsidRPr="007406B5">
        <w:rPr>
          <w:rFonts w:ascii="Times New Roman" w:hAnsi="Times New Roman"/>
        </w:rPr>
        <w:t xml:space="preserve">the </w:t>
      </w:r>
      <w:r w:rsidR="0083244C" w:rsidRPr="007406B5">
        <w:rPr>
          <w:rFonts w:ascii="Times New Roman" w:hAnsi="Times New Roman"/>
        </w:rPr>
        <w:t xml:space="preserve">development's contribution to </w:t>
      </w:r>
      <w:r w:rsidR="000C100F" w:rsidRPr="007406B5">
        <w:rPr>
          <w:rFonts w:ascii="Times New Roman" w:hAnsi="Times New Roman"/>
        </w:rPr>
        <w:t xml:space="preserve">global </w:t>
      </w:r>
      <w:r w:rsidR="005561A1" w:rsidRPr="007406B5">
        <w:rPr>
          <w:rFonts w:ascii="Times New Roman" w:hAnsi="Times New Roman"/>
        </w:rPr>
        <w:t xml:space="preserve">greenhouse gas emissions </w:t>
      </w:r>
      <w:r w:rsidR="000F69A4" w:rsidRPr="007406B5">
        <w:rPr>
          <w:rFonts w:ascii="Times New Roman" w:hAnsi="Times New Roman"/>
        </w:rPr>
        <w:t xml:space="preserve">and the </w:t>
      </w:r>
      <w:r w:rsidR="0089076B" w:rsidRPr="007406B5">
        <w:rPr>
          <w:rFonts w:ascii="Times New Roman" w:hAnsi="Times New Roman"/>
        </w:rPr>
        <w:t xml:space="preserve">development's </w:t>
      </w:r>
      <w:r w:rsidR="000F69A4" w:rsidRPr="007406B5">
        <w:rPr>
          <w:rFonts w:ascii="Times New Roman" w:hAnsi="Times New Roman"/>
        </w:rPr>
        <w:t xml:space="preserve">consequential </w:t>
      </w:r>
      <w:r w:rsidR="0089076B" w:rsidRPr="007406B5">
        <w:rPr>
          <w:rFonts w:ascii="Times New Roman" w:hAnsi="Times New Roman"/>
        </w:rPr>
        <w:t xml:space="preserve">contribution to </w:t>
      </w:r>
      <w:r w:rsidR="000C100F" w:rsidRPr="007406B5">
        <w:rPr>
          <w:rFonts w:ascii="Times New Roman" w:hAnsi="Times New Roman"/>
        </w:rPr>
        <w:t xml:space="preserve">global </w:t>
      </w:r>
      <w:r w:rsidR="0083244C" w:rsidRPr="007406B5">
        <w:rPr>
          <w:rFonts w:ascii="Times New Roman" w:hAnsi="Times New Roman"/>
        </w:rPr>
        <w:t xml:space="preserve">climate change </w:t>
      </w:r>
      <w:r w:rsidR="0089076B" w:rsidRPr="007406B5">
        <w:rPr>
          <w:rFonts w:ascii="Times New Roman" w:hAnsi="Times New Roman"/>
        </w:rPr>
        <w:t xml:space="preserve">impacts </w:t>
      </w:r>
      <w:r w:rsidR="008A69CF" w:rsidRPr="007406B5">
        <w:rPr>
          <w:rFonts w:ascii="Times New Roman" w:hAnsi="Times New Roman"/>
        </w:rPr>
        <w:t>constituted</w:t>
      </w:r>
      <w:r w:rsidR="006726CC" w:rsidRPr="007406B5">
        <w:rPr>
          <w:rFonts w:ascii="Times New Roman" w:hAnsi="Times New Roman"/>
        </w:rPr>
        <w:t xml:space="preserve"> </w:t>
      </w:r>
      <w:r w:rsidR="008A69CF" w:rsidRPr="007406B5">
        <w:rPr>
          <w:rFonts w:ascii="Times New Roman" w:hAnsi="Times New Roman"/>
        </w:rPr>
        <w:t>likely</w:t>
      </w:r>
      <w:r w:rsidR="006726CC" w:rsidRPr="007406B5">
        <w:rPr>
          <w:rFonts w:ascii="Times New Roman" w:hAnsi="Times New Roman"/>
        </w:rPr>
        <w:t xml:space="preserve"> impacts </w:t>
      </w:r>
      <w:r w:rsidR="008A69CF" w:rsidRPr="007406B5">
        <w:rPr>
          <w:rFonts w:ascii="Times New Roman" w:hAnsi="Times New Roman"/>
        </w:rPr>
        <w:t xml:space="preserve">of </w:t>
      </w:r>
      <w:r w:rsidR="0089076B" w:rsidRPr="007406B5">
        <w:rPr>
          <w:rFonts w:ascii="Times New Roman" w:hAnsi="Times New Roman"/>
        </w:rPr>
        <w:t xml:space="preserve">the development. </w:t>
      </w:r>
      <w:r w:rsidR="000C4E17" w:rsidRPr="007406B5">
        <w:rPr>
          <w:rFonts w:ascii="Times New Roman" w:hAnsi="Times New Roman"/>
        </w:rPr>
        <w:t>To perform its duty under s 4.15(1)(b) t</w:t>
      </w:r>
      <w:r w:rsidR="003D7674" w:rsidRPr="007406B5">
        <w:rPr>
          <w:rFonts w:ascii="Times New Roman" w:hAnsi="Times New Roman"/>
        </w:rPr>
        <w:t xml:space="preserve">he </w:t>
      </w:r>
      <w:r w:rsidR="001B7839" w:rsidRPr="007406B5">
        <w:rPr>
          <w:rFonts w:ascii="Times New Roman" w:hAnsi="Times New Roman"/>
        </w:rPr>
        <w:t>Commission</w:t>
      </w:r>
      <w:r w:rsidR="003D7674" w:rsidRPr="007406B5">
        <w:rPr>
          <w:rFonts w:ascii="Times New Roman" w:hAnsi="Times New Roman"/>
        </w:rPr>
        <w:t xml:space="preserve"> </w:t>
      </w:r>
      <w:r w:rsidR="004A222E" w:rsidRPr="007406B5">
        <w:rPr>
          <w:rFonts w:ascii="Times New Roman" w:hAnsi="Times New Roman"/>
        </w:rPr>
        <w:t>did not have to</w:t>
      </w:r>
      <w:r w:rsidR="0075440C" w:rsidRPr="007406B5">
        <w:rPr>
          <w:rFonts w:ascii="Times New Roman" w:hAnsi="Times New Roman"/>
        </w:rPr>
        <w:t>: (i) </w:t>
      </w:r>
      <w:r w:rsidR="001C484D" w:rsidRPr="007406B5">
        <w:rPr>
          <w:rFonts w:ascii="Times New Roman" w:hAnsi="Times New Roman"/>
        </w:rPr>
        <w:t xml:space="preserve">allocate its consideration of </w:t>
      </w:r>
      <w:r w:rsidR="00E8054B" w:rsidRPr="007406B5">
        <w:rPr>
          <w:rFonts w:ascii="Times New Roman" w:hAnsi="Times New Roman"/>
        </w:rPr>
        <w:t xml:space="preserve">climate change impacts </w:t>
      </w:r>
      <w:r w:rsidR="000C4E17" w:rsidRPr="007406B5">
        <w:rPr>
          <w:rFonts w:ascii="Times New Roman" w:hAnsi="Times New Roman"/>
        </w:rPr>
        <w:t xml:space="preserve">separately </w:t>
      </w:r>
      <w:r w:rsidR="00E8054B" w:rsidRPr="007406B5">
        <w:rPr>
          <w:rFonts w:ascii="Times New Roman" w:hAnsi="Times New Roman"/>
        </w:rPr>
        <w:t xml:space="preserve">to each </w:t>
      </w:r>
      <w:r w:rsidR="00A220D5" w:rsidRPr="007406B5">
        <w:rPr>
          <w:rFonts w:ascii="Times New Roman" w:hAnsi="Times New Roman"/>
        </w:rPr>
        <w:t>of s 4.15(1)(b) (</w:t>
      </w:r>
      <w:r w:rsidR="00EC10FE" w:rsidRPr="007406B5">
        <w:rPr>
          <w:rFonts w:ascii="Times New Roman" w:hAnsi="Times New Roman"/>
        </w:rPr>
        <w:t>"</w:t>
      </w:r>
      <w:r w:rsidR="00A220D5" w:rsidRPr="007406B5">
        <w:rPr>
          <w:rFonts w:ascii="Times New Roman" w:hAnsi="Times New Roman"/>
        </w:rPr>
        <w:t xml:space="preserve">the </w:t>
      </w:r>
      <w:r w:rsidR="00D83316" w:rsidRPr="007406B5">
        <w:rPr>
          <w:rFonts w:ascii="Times New Roman" w:hAnsi="Times New Roman"/>
        </w:rPr>
        <w:t>likely</w:t>
      </w:r>
      <w:r w:rsidR="00A220D5" w:rsidRPr="007406B5">
        <w:rPr>
          <w:rFonts w:ascii="Times New Roman" w:hAnsi="Times New Roman"/>
        </w:rPr>
        <w:t xml:space="preserve"> impacts of </w:t>
      </w:r>
      <w:r w:rsidR="00EC10FE" w:rsidRPr="007406B5">
        <w:rPr>
          <w:rFonts w:ascii="Times New Roman" w:hAnsi="Times New Roman"/>
        </w:rPr>
        <w:t>[</w:t>
      </w:r>
      <w:r w:rsidR="00A220D5" w:rsidRPr="007406B5">
        <w:rPr>
          <w:rFonts w:ascii="Times New Roman" w:hAnsi="Times New Roman"/>
        </w:rPr>
        <w:t>the</w:t>
      </w:r>
      <w:r w:rsidR="00EC10FE" w:rsidRPr="007406B5">
        <w:rPr>
          <w:rFonts w:ascii="Times New Roman" w:hAnsi="Times New Roman"/>
        </w:rPr>
        <w:t>]</w:t>
      </w:r>
      <w:r w:rsidR="00A220D5" w:rsidRPr="007406B5">
        <w:rPr>
          <w:rFonts w:ascii="Times New Roman" w:hAnsi="Times New Roman"/>
        </w:rPr>
        <w:t xml:space="preserve"> development</w:t>
      </w:r>
      <w:r w:rsidR="00EC10FE" w:rsidRPr="007406B5">
        <w:rPr>
          <w:rFonts w:ascii="Times New Roman" w:hAnsi="Times New Roman"/>
        </w:rPr>
        <w:t>"</w:t>
      </w:r>
      <w:r w:rsidR="00A220D5" w:rsidRPr="007406B5">
        <w:rPr>
          <w:rFonts w:ascii="Times New Roman" w:hAnsi="Times New Roman"/>
        </w:rPr>
        <w:t>), s 4.15(1)</w:t>
      </w:r>
      <w:r w:rsidR="00D83316" w:rsidRPr="007406B5">
        <w:rPr>
          <w:rFonts w:ascii="Times New Roman" w:hAnsi="Times New Roman"/>
        </w:rPr>
        <w:t>(d) (</w:t>
      </w:r>
      <w:r w:rsidR="00EC10FE" w:rsidRPr="007406B5">
        <w:rPr>
          <w:rFonts w:ascii="Times New Roman" w:hAnsi="Times New Roman"/>
        </w:rPr>
        <w:t>"</w:t>
      </w:r>
      <w:r w:rsidR="00D83316" w:rsidRPr="007406B5">
        <w:rPr>
          <w:rFonts w:ascii="Times New Roman" w:hAnsi="Times New Roman"/>
        </w:rPr>
        <w:t xml:space="preserve">any </w:t>
      </w:r>
      <w:r w:rsidR="00CF5F28" w:rsidRPr="007406B5">
        <w:rPr>
          <w:rFonts w:ascii="Times New Roman" w:hAnsi="Times New Roman"/>
        </w:rPr>
        <w:t>submissions</w:t>
      </w:r>
      <w:r w:rsidR="00D83316" w:rsidRPr="007406B5">
        <w:rPr>
          <w:rFonts w:ascii="Times New Roman" w:hAnsi="Times New Roman"/>
        </w:rPr>
        <w:t xml:space="preserve"> made</w:t>
      </w:r>
      <w:r w:rsidR="00EC10FE" w:rsidRPr="007406B5">
        <w:rPr>
          <w:rFonts w:ascii="Times New Roman" w:hAnsi="Times New Roman"/>
        </w:rPr>
        <w:t>"</w:t>
      </w:r>
      <w:r w:rsidR="00CF5F28" w:rsidRPr="007406B5">
        <w:rPr>
          <w:rFonts w:ascii="Times New Roman" w:hAnsi="Times New Roman"/>
        </w:rPr>
        <w:t>), and s </w:t>
      </w:r>
      <w:r w:rsidR="00FD2B3B" w:rsidRPr="007406B5">
        <w:rPr>
          <w:rFonts w:ascii="Times New Roman" w:hAnsi="Times New Roman"/>
        </w:rPr>
        <w:t>4.15(1)(e) (</w:t>
      </w:r>
      <w:r w:rsidR="00EC10FE" w:rsidRPr="007406B5">
        <w:rPr>
          <w:rFonts w:ascii="Times New Roman" w:hAnsi="Times New Roman"/>
        </w:rPr>
        <w:t>"</w:t>
      </w:r>
      <w:r w:rsidR="00FD2B3B" w:rsidRPr="007406B5">
        <w:rPr>
          <w:rFonts w:ascii="Times New Roman" w:hAnsi="Times New Roman"/>
        </w:rPr>
        <w:t>the public interest</w:t>
      </w:r>
      <w:r w:rsidR="00EC10FE" w:rsidRPr="007406B5">
        <w:rPr>
          <w:rFonts w:ascii="Times New Roman" w:hAnsi="Times New Roman"/>
        </w:rPr>
        <w:t>"</w:t>
      </w:r>
      <w:r w:rsidR="00FD2B3B" w:rsidRPr="007406B5">
        <w:rPr>
          <w:rFonts w:ascii="Times New Roman" w:hAnsi="Times New Roman"/>
        </w:rPr>
        <w:t>)</w:t>
      </w:r>
      <w:r w:rsidR="00497B00" w:rsidRPr="007406B5">
        <w:rPr>
          <w:rFonts w:ascii="Times New Roman" w:hAnsi="Times New Roman"/>
        </w:rPr>
        <w:t xml:space="preserve">; </w:t>
      </w:r>
      <w:r w:rsidR="00AF1414" w:rsidRPr="007406B5">
        <w:rPr>
          <w:rFonts w:ascii="Times New Roman" w:hAnsi="Times New Roman"/>
        </w:rPr>
        <w:t xml:space="preserve">or </w:t>
      </w:r>
      <w:r w:rsidR="00497B00" w:rsidRPr="007406B5">
        <w:rPr>
          <w:rFonts w:ascii="Times New Roman" w:hAnsi="Times New Roman"/>
        </w:rPr>
        <w:t xml:space="preserve">(ii) advert to </w:t>
      </w:r>
      <w:r w:rsidR="00F9143A" w:rsidRPr="007406B5">
        <w:rPr>
          <w:rFonts w:ascii="Times New Roman" w:hAnsi="Times New Roman"/>
        </w:rPr>
        <w:t xml:space="preserve">each and every climate change impact </w:t>
      </w:r>
      <w:r w:rsidR="009D2269" w:rsidRPr="007406B5">
        <w:rPr>
          <w:rFonts w:ascii="Times New Roman" w:hAnsi="Times New Roman"/>
        </w:rPr>
        <w:t xml:space="preserve">across the globe as </w:t>
      </w:r>
      <w:r w:rsidR="003B48DB" w:rsidRPr="007406B5">
        <w:rPr>
          <w:rFonts w:ascii="Times New Roman" w:hAnsi="Times New Roman"/>
        </w:rPr>
        <w:t>identified</w:t>
      </w:r>
      <w:r w:rsidR="00F9143A" w:rsidRPr="007406B5">
        <w:rPr>
          <w:rFonts w:ascii="Times New Roman" w:hAnsi="Times New Roman"/>
        </w:rPr>
        <w:t xml:space="preserve"> in the EIS</w:t>
      </w:r>
      <w:r w:rsidR="003A2AAB" w:rsidRPr="007406B5">
        <w:rPr>
          <w:rFonts w:ascii="Times New Roman" w:hAnsi="Times New Roman"/>
        </w:rPr>
        <w:t xml:space="preserve">, </w:t>
      </w:r>
      <w:r w:rsidR="003B48DB" w:rsidRPr="007406B5">
        <w:rPr>
          <w:rFonts w:ascii="Times New Roman" w:hAnsi="Times New Roman"/>
        </w:rPr>
        <w:t>submissions</w:t>
      </w:r>
      <w:r w:rsidR="003A2AAB" w:rsidRPr="007406B5">
        <w:rPr>
          <w:rFonts w:ascii="Times New Roman" w:hAnsi="Times New Roman"/>
        </w:rPr>
        <w:t xml:space="preserve"> or other material before the Commission</w:t>
      </w:r>
      <w:r w:rsidR="00D5046F" w:rsidRPr="007406B5">
        <w:rPr>
          <w:rFonts w:ascii="Times New Roman" w:hAnsi="Times New Roman"/>
        </w:rPr>
        <w:t xml:space="preserve">. </w:t>
      </w:r>
      <w:r w:rsidR="0020015E" w:rsidRPr="007406B5">
        <w:rPr>
          <w:rFonts w:ascii="Times New Roman" w:hAnsi="Times New Roman"/>
        </w:rPr>
        <w:t>For these reasons</w:t>
      </w:r>
      <w:r w:rsidR="003A2AAB" w:rsidRPr="007406B5">
        <w:rPr>
          <w:rFonts w:ascii="Times New Roman" w:hAnsi="Times New Roman"/>
        </w:rPr>
        <w:t>,</w:t>
      </w:r>
      <w:r w:rsidR="0020015E" w:rsidRPr="007406B5">
        <w:rPr>
          <w:rFonts w:ascii="Times New Roman" w:hAnsi="Times New Roman"/>
        </w:rPr>
        <w:t xml:space="preserve"> DAMSHEG's </w:t>
      </w:r>
      <w:r w:rsidR="003A2AAB" w:rsidRPr="007406B5">
        <w:rPr>
          <w:rFonts w:ascii="Times New Roman" w:hAnsi="Times New Roman"/>
        </w:rPr>
        <w:t xml:space="preserve">second </w:t>
      </w:r>
      <w:r w:rsidR="0020015E" w:rsidRPr="007406B5">
        <w:rPr>
          <w:rFonts w:ascii="Times New Roman" w:hAnsi="Times New Roman"/>
        </w:rPr>
        <w:t>ground of contention</w:t>
      </w:r>
      <w:r w:rsidR="00D012AB" w:rsidRPr="007406B5">
        <w:rPr>
          <w:rFonts w:ascii="Times New Roman" w:hAnsi="Times New Roman"/>
        </w:rPr>
        <w:t xml:space="preserve">, referring to the material before the </w:t>
      </w:r>
      <w:r w:rsidR="001B7839" w:rsidRPr="007406B5">
        <w:rPr>
          <w:rFonts w:ascii="Times New Roman" w:hAnsi="Times New Roman"/>
        </w:rPr>
        <w:t>Commission</w:t>
      </w:r>
      <w:r w:rsidR="00177C4B" w:rsidRPr="007406B5">
        <w:rPr>
          <w:rFonts w:ascii="Times New Roman" w:hAnsi="Times New Roman"/>
        </w:rPr>
        <w:t>,</w:t>
      </w:r>
      <w:r w:rsidR="00D012AB" w:rsidRPr="007406B5">
        <w:rPr>
          <w:rFonts w:ascii="Times New Roman" w:hAnsi="Times New Roman"/>
        </w:rPr>
        <w:t xml:space="preserve"> including the EIS, collapses into the contention upheld by the </w:t>
      </w:r>
      <w:r w:rsidR="00AB5C3A" w:rsidRPr="007406B5">
        <w:rPr>
          <w:rFonts w:ascii="Times New Roman" w:hAnsi="Times New Roman"/>
        </w:rPr>
        <w:t>Court</w:t>
      </w:r>
      <w:r w:rsidR="00D012AB" w:rsidRPr="007406B5">
        <w:rPr>
          <w:rFonts w:ascii="Times New Roman" w:hAnsi="Times New Roman"/>
        </w:rPr>
        <w:t xml:space="preserve"> of Appeal </w:t>
      </w:r>
      <w:r w:rsidR="00AB5C3A" w:rsidRPr="007406B5">
        <w:rPr>
          <w:rFonts w:ascii="Times New Roman" w:hAnsi="Times New Roman"/>
        </w:rPr>
        <w:t xml:space="preserve">that the </w:t>
      </w:r>
      <w:r w:rsidR="001B7839" w:rsidRPr="007406B5">
        <w:rPr>
          <w:rFonts w:ascii="Times New Roman" w:hAnsi="Times New Roman"/>
        </w:rPr>
        <w:t>Commission</w:t>
      </w:r>
      <w:r w:rsidR="00AB5C3A" w:rsidRPr="007406B5">
        <w:rPr>
          <w:rFonts w:ascii="Times New Roman" w:hAnsi="Times New Roman"/>
        </w:rPr>
        <w:t xml:space="preserve"> breached s 4.15(1)(b) of the EPA Act.</w:t>
      </w:r>
      <w:r w:rsidR="00995F97" w:rsidRPr="007406B5">
        <w:rPr>
          <w:rFonts w:ascii="Times New Roman" w:hAnsi="Times New Roman"/>
        </w:rPr>
        <w:t xml:space="preserve"> </w:t>
      </w:r>
    </w:p>
    <w:p w14:paraId="390E4299" w14:textId="594C28E3" w:rsidR="000E3FFA" w:rsidRPr="007406B5" w:rsidRDefault="00CB0F21" w:rsidP="007406B5">
      <w:pPr>
        <w:pStyle w:val="HeadingL2"/>
        <w:spacing w:after="260" w:line="280" w:lineRule="exact"/>
        <w:ind w:right="0"/>
        <w:jc w:val="both"/>
        <w:rPr>
          <w:rFonts w:ascii="Times New Roman" w:hAnsi="Times New Roman"/>
        </w:rPr>
      </w:pPr>
      <w:r w:rsidRPr="007406B5">
        <w:rPr>
          <w:rFonts w:ascii="Times New Roman" w:hAnsi="Times New Roman"/>
        </w:rPr>
        <w:t xml:space="preserve">Did the </w:t>
      </w:r>
      <w:r w:rsidR="001B7839" w:rsidRPr="007406B5">
        <w:rPr>
          <w:rFonts w:ascii="Times New Roman" w:hAnsi="Times New Roman"/>
        </w:rPr>
        <w:t>Commission</w:t>
      </w:r>
      <w:r w:rsidRPr="007406B5">
        <w:rPr>
          <w:rFonts w:ascii="Times New Roman" w:hAnsi="Times New Roman"/>
        </w:rPr>
        <w:t xml:space="preserve"> breach s 4.15(1)(b)</w:t>
      </w:r>
      <w:r w:rsidR="00013AD9" w:rsidRPr="007406B5">
        <w:rPr>
          <w:rFonts w:ascii="Times New Roman" w:hAnsi="Times New Roman"/>
        </w:rPr>
        <w:t xml:space="preserve"> of the EPA Act</w:t>
      </w:r>
      <w:r w:rsidR="00915A63" w:rsidRPr="007406B5">
        <w:rPr>
          <w:rFonts w:ascii="Times New Roman" w:hAnsi="Times New Roman"/>
        </w:rPr>
        <w:t>?</w:t>
      </w:r>
    </w:p>
    <w:p w14:paraId="55BCA27E" w14:textId="06903F49" w:rsidR="00E96B60" w:rsidRPr="007406B5" w:rsidRDefault="00CB0F21" w:rsidP="007406B5">
      <w:pPr>
        <w:pStyle w:val="FixListStyle"/>
        <w:spacing w:after="260" w:line="280" w:lineRule="exact"/>
        <w:ind w:right="0"/>
        <w:jc w:val="both"/>
        <w:rPr>
          <w:rFonts w:ascii="Times New Roman" w:hAnsi="Times New Roman"/>
        </w:rPr>
      </w:pPr>
      <w:r w:rsidRPr="007406B5">
        <w:rPr>
          <w:rFonts w:ascii="Times New Roman" w:hAnsi="Times New Roman"/>
        </w:rPr>
        <w:tab/>
      </w:r>
      <w:r w:rsidR="006653B6" w:rsidRPr="007406B5">
        <w:rPr>
          <w:rFonts w:ascii="Times New Roman" w:hAnsi="Times New Roman"/>
        </w:rPr>
        <w:t xml:space="preserve">DAMSHEG's </w:t>
      </w:r>
      <w:r w:rsidR="004E4857" w:rsidRPr="007406B5">
        <w:rPr>
          <w:rFonts w:ascii="Times New Roman" w:hAnsi="Times New Roman"/>
        </w:rPr>
        <w:t xml:space="preserve">contention before the Commission </w:t>
      </w:r>
      <w:r w:rsidR="00EB10E0" w:rsidRPr="007406B5">
        <w:rPr>
          <w:rFonts w:ascii="Times New Roman" w:hAnsi="Times New Roman"/>
        </w:rPr>
        <w:t xml:space="preserve">and its claim </w:t>
      </w:r>
      <w:r w:rsidR="00B63299" w:rsidRPr="007406B5">
        <w:rPr>
          <w:rFonts w:ascii="Times New Roman" w:hAnsi="Times New Roman"/>
        </w:rPr>
        <w:t xml:space="preserve">in the proceedings </w:t>
      </w:r>
      <w:r w:rsidR="006653B6" w:rsidRPr="007406B5">
        <w:rPr>
          <w:rFonts w:ascii="Times New Roman" w:hAnsi="Times New Roman"/>
        </w:rPr>
        <w:t xml:space="preserve">in respect of s 4.15(1)(b) related solely to the likely impact of the development's scope 3 emissions and the contribution of those emissions to climate change. </w:t>
      </w:r>
      <w:r w:rsidR="00E51B75" w:rsidRPr="007406B5">
        <w:rPr>
          <w:rFonts w:ascii="Times New Roman" w:hAnsi="Times New Roman"/>
        </w:rPr>
        <w:t>As noted, t</w:t>
      </w:r>
      <w:r w:rsidR="004538AE" w:rsidRPr="007406B5">
        <w:rPr>
          <w:rFonts w:ascii="Times New Roman" w:hAnsi="Times New Roman"/>
        </w:rPr>
        <w:t xml:space="preserve">he Court of Appeal inferred that the </w:t>
      </w:r>
      <w:r w:rsidR="001B7839" w:rsidRPr="007406B5">
        <w:rPr>
          <w:rFonts w:ascii="Times New Roman" w:hAnsi="Times New Roman"/>
        </w:rPr>
        <w:t>Commission</w:t>
      </w:r>
      <w:r w:rsidR="004538AE" w:rsidRPr="007406B5">
        <w:rPr>
          <w:rFonts w:ascii="Times New Roman" w:hAnsi="Times New Roman"/>
        </w:rPr>
        <w:t xml:space="preserve"> had breached s</w:t>
      </w:r>
      <w:r w:rsidR="00F31DC2" w:rsidRPr="007406B5">
        <w:rPr>
          <w:rFonts w:ascii="Times New Roman" w:hAnsi="Times New Roman"/>
        </w:rPr>
        <w:t> </w:t>
      </w:r>
      <w:r w:rsidR="004538AE" w:rsidRPr="007406B5">
        <w:rPr>
          <w:rFonts w:ascii="Times New Roman" w:hAnsi="Times New Roman"/>
        </w:rPr>
        <w:t>4.15(1)(b) because</w:t>
      </w:r>
      <w:r w:rsidR="00E51B75" w:rsidRPr="007406B5">
        <w:rPr>
          <w:rFonts w:ascii="Times New Roman" w:hAnsi="Times New Roman"/>
        </w:rPr>
        <w:t xml:space="preserve"> the </w:t>
      </w:r>
      <w:r w:rsidR="001B7839" w:rsidRPr="007406B5">
        <w:rPr>
          <w:rFonts w:ascii="Times New Roman" w:hAnsi="Times New Roman"/>
        </w:rPr>
        <w:t>Commission</w:t>
      </w:r>
      <w:r w:rsidR="00E51B75" w:rsidRPr="007406B5">
        <w:rPr>
          <w:rFonts w:ascii="Times New Roman" w:hAnsi="Times New Roman"/>
        </w:rPr>
        <w:t xml:space="preserve"> had not considered the specific impacts of the development in terms of its contribution to the </w:t>
      </w:r>
      <w:r w:rsidR="0077699C" w:rsidRPr="007406B5">
        <w:rPr>
          <w:rFonts w:ascii="Times New Roman" w:hAnsi="Times New Roman"/>
        </w:rPr>
        <w:t xml:space="preserve">cumulative </w:t>
      </w:r>
      <w:r w:rsidR="00E51B75" w:rsidRPr="007406B5">
        <w:rPr>
          <w:rFonts w:ascii="Times New Roman" w:hAnsi="Times New Roman"/>
        </w:rPr>
        <w:t>effects of climate change in the locality</w:t>
      </w:r>
      <w:r w:rsidR="00E2020E" w:rsidRPr="007406B5">
        <w:rPr>
          <w:rFonts w:ascii="Times New Roman" w:hAnsi="Times New Roman"/>
        </w:rPr>
        <w:t>, but had confined its consideration to the development's contribution by its greenhouse gas emissions (including scope</w:t>
      </w:r>
      <w:r w:rsidR="00844228" w:rsidRPr="007406B5">
        <w:rPr>
          <w:rFonts w:ascii="Times New Roman" w:hAnsi="Times New Roman"/>
        </w:rPr>
        <w:t> </w:t>
      </w:r>
      <w:r w:rsidR="00E2020E" w:rsidRPr="007406B5">
        <w:rPr>
          <w:rFonts w:ascii="Times New Roman" w:hAnsi="Times New Roman"/>
        </w:rPr>
        <w:t>3 emissions) to the global impacts of climate change</w:t>
      </w:r>
      <w:r w:rsidR="005800B0" w:rsidRPr="007406B5">
        <w:rPr>
          <w:rFonts w:ascii="Times New Roman" w:hAnsi="Times New Roman"/>
        </w:rPr>
        <w:t>.</w:t>
      </w:r>
      <w:r w:rsidR="00A908CD" w:rsidRPr="007406B5">
        <w:rPr>
          <w:rFonts w:ascii="Times New Roman" w:hAnsi="Times New Roman"/>
        </w:rPr>
        <w:t xml:space="preserve"> </w:t>
      </w:r>
      <w:r w:rsidR="005800B0" w:rsidRPr="007406B5">
        <w:rPr>
          <w:rFonts w:ascii="Times New Roman" w:hAnsi="Times New Roman"/>
        </w:rPr>
        <w:t>T</w:t>
      </w:r>
      <w:r w:rsidR="00A908CD" w:rsidRPr="007406B5">
        <w:rPr>
          <w:rFonts w:ascii="Times New Roman" w:hAnsi="Times New Roman"/>
        </w:rPr>
        <w:t xml:space="preserve">he </w:t>
      </w:r>
      <w:r w:rsidR="00633B77" w:rsidRPr="007406B5">
        <w:rPr>
          <w:rFonts w:ascii="Times New Roman" w:hAnsi="Times New Roman"/>
        </w:rPr>
        <w:t xml:space="preserve">specific </w:t>
      </w:r>
      <w:r w:rsidR="00A908CD" w:rsidRPr="007406B5">
        <w:rPr>
          <w:rFonts w:ascii="Times New Roman" w:hAnsi="Times New Roman"/>
        </w:rPr>
        <w:t xml:space="preserve">impacts </w:t>
      </w:r>
      <w:r w:rsidR="0019562B" w:rsidRPr="007406B5">
        <w:rPr>
          <w:rFonts w:ascii="Times New Roman" w:hAnsi="Times New Roman"/>
        </w:rPr>
        <w:t xml:space="preserve">which the Court of Appeal concluded that the Commission had to consider </w:t>
      </w:r>
      <w:r w:rsidR="005800B0" w:rsidRPr="007406B5">
        <w:rPr>
          <w:rFonts w:ascii="Times New Roman" w:hAnsi="Times New Roman"/>
        </w:rPr>
        <w:t xml:space="preserve">involved </w:t>
      </w:r>
      <w:r w:rsidR="00E96B60" w:rsidRPr="007406B5">
        <w:rPr>
          <w:rFonts w:ascii="Times New Roman" w:hAnsi="Times New Roman"/>
        </w:rPr>
        <w:t xml:space="preserve">a likely rise in average temperatures in the </w:t>
      </w:r>
      <w:r w:rsidR="00915A63" w:rsidRPr="007406B5">
        <w:rPr>
          <w:rFonts w:ascii="Times New Roman" w:hAnsi="Times New Roman"/>
        </w:rPr>
        <w:t xml:space="preserve">Hunter </w:t>
      </w:r>
      <w:r w:rsidR="00E96B60" w:rsidRPr="007406B5">
        <w:rPr>
          <w:rFonts w:ascii="Times New Roman" w:hAnsi="Times New Roman"/>
        </w:rPr>
        <w:t xml:space="preserve">region </w:t>
      </w:r>
      <w:r w:rsidR="00A94CFF" w:rsidRPr="007406B5">
        <w:rPr>
          <w:rFonts w:ascii="Times New Roman" w:hAnsi="Times New Roman"/>
        </w:rPr>
        <w:t xml:space="preserve">so that </w:t>
      </w:r>
      <w:r w:rsidR="00E96B60" w:rsidRPr="007406B5">
        <w:rPr>
          <w:rFonts w:ascii="Times New Roman" w:hAnsi="Times New Roman"/>
        </w:rPr>
        <w:t xml:space="preserve">bushfires may become more prevalent in that area and that rainfall has the potential to both increase and decrease, particularly seasonally, with heavier rainfall events likely to become more frequent. </w:t>
      </w:r>
      <w:r w:rsidR="00F46954" w:rsidRPr="007406B5">
        <w:rPr>
          <w:rFonts w:ascii="Times New Roman" w:hAnsi="Times New Roman"/>
        </w:rPr>
        <w:t>T</w:t>
      </w:r>
      <w:r w:rsidR="00534190" w:rsidRPr="007406B5">
        <w:rPr>
          <w:rFonts w:ascii="Times New Roman" w:hAnsi="Times New Roman"/>
        </w:rPr>
        <w:t>his conclusion, however, followed from the erroneous construction of s 4.15(1)(b) as discussed above.</w:t>
      </w:r>
    </w:p>
    <w:p w14:paraId="47CDCBD6" w14:textId="66D8851F" w:rsidR="00C9452C" w:rsidRPr="007406B5" w:rsidRDefault="000D367B" w:rsidP="007406B5">
      <w:pPr>
        <w:pStyle w:val="FixListStyle"/>
        <w:spacing w:after="260" w:line="280" w:lineRule="exact"/>
        <w:ind w:right="0"/>
        <w:jc w:val="both"/>
        <w:rPr>
          <w:rFonts w:ascii="Times New Roman" w:hAnsi="Times New Roman"/>
        </w:rPr>
      </w:pPr>
      <w:r w:rsidRPr="007406B5">
        <w:rPr>
          <w:rFonts w:ascii="Times New Roman" w:hAnsi="Times New Roman"/>
        </w:rPr>
        <w:tab/>
      </w:r>
      <w:r w:rsidR="007E0BBF" w:rsidRPr="007406B5">
        <w:rPr>
          <w:rFonts w:ascii="Times New Roman" w:hAnsi="Times New Roman"/>
        </w:rPr>
        <w:t>To explain, i</w:t>
      </w:r>
      <w:r w:rsidR="004538AE" w:rsidRPr="007406B5">
        <w:rPr>
          <w:rFonts w:ascii="Times New Roman" w:hAnsi="Times New Roman"/>
        </w:rPr>
        <w:t xml:space="preserve">n its reasons </w:t>
      </w:r>
      <w:r w:rsidR="00454D19" w:rsidRPr="007406B5">
        <w:rPr>
          <w:rFonts w:ascii="Times New Roman" w:hAnsi="Times New Roman"/>
        </w:rPr>
        <w:t xml:space="preserve">for decision </w:t>
      </w:r>
      <w:r w:rsidRPr="007406B5">
        <w:rPr>
          <w:rFonts w:ascii="Times New Roman" w:hAnsi="Times New Roman"/>
        </w:rPr>
        <w:t xml:space="preserve">the </w:t>
      </w:r>
      <w:r w:rsidR="001B7839" w:rsidRPr="007406B5">
        <w:rPr>
          <w:rFonts w:ascii="Times New Roman" w:hAnsi="Times New Roman"/>
        </w:rPr>
        <w:t>Commission</w:t>
      </w:r>
      <w:r w:rsidR="00B313DD" w:rsidRPr="007406B5">
        <w:rPr>
          <w:rFonts w:ascii="Times New Roman" w:hAnsi="Times New Roman"/>
        </w:rPr>
        <w:t xml:space="preserve"> expressly stated </w:t>
      </w:r>
      <w:r w:rsidR="004538AE" w:rsidRPr="007406B5">
        <w:rPr>
          <w:rFonts w:ascii="Times New Roman" w:hAnsi="Times New Roman"/>
        </w:rPr>
        <w:t>that</w:t>
      </w:r>
      <w:r w:rsidR="009E7C72" w:rsidRPr="007406B5">
        <w:rPr>
          <w:rFonts w:ascii="Times New Roman" w:hAnsi="Times New Roman"/>
        </w:rPr>
        <w:t>: (i) </w:t>
      </w:r>
      <w:r w:rsidR="009A4C52" w:rsidRPr="007406B5">
        <w:rPr>
          <w:rFonts w:ascii="Times New Roman" w:hAnsi="Times New Roman"/>
        </w:rPr>
        <w:t>it had "carefully considered", amongst other things, the EIS and "</w:t>
      </w:r>
      <w:r w:rsidR="00FD3E8D" w:rsidRPr="007406B5">
        <w:rPr>
          <w:rFonts w:ascii="Times New Roman" w:hAnsi="Times New Roman"/>
        </w:rPr>
        <w:t xml:space="preserve">all public submissions on the EIS made to the </w:t>
      </w:r>
      <w:r w:rsidR="00AE08AE" w:rsidRPr="007406B5">
        <w:rPr>
          <w:rFonts w:ascii="Times New Roman" w:hAnsi="Times New Roman"/>
        </w:rPr>
        <w:t>[</w:t>
      </w:r>
      <w:r w:rsidR="00C9452C" w:rsidRPr="007406B5">
        <w:rPr>
          <w:rFonts w:ascii="Times New Roman" w:hAnsi="Times New Roman"/>
        </w:rPr>
        <w:t>Department</w:t>
      </w:r>
      <w:r w:rsidR="00FD3E8D" w:rsidRPr="007406B5">
        <w:rPr>
          <w:rFonts w:ascii="Times New Roman" w:hAnsi="Times New Roman"/>
        </w:rPr>
        <w:t xml:space="preserve"> </w:t>
      </w:r>
      <w:r w:rsidR="00AE08AE" w:rsidRPr="007406B5">
        <w:rPr>
          <w:rFonts w:ascii="Times New Roman" w:hAnsi="Times New Roman"/>
        </w:rPr>
        <w:t xml:space="preserve">of Planning and Environment] </w:t>
      </w:r>
      <w:r w:rsidR="00FD3E8D" w:rsidRPr="007406B5">
        <w:rPr>
          <w:rFonts w:ascii="Times New Roman" w:hAnsi="Times New Roman"/>
        </w:rPr>
        <w:t>during pu</w:t>
      </w:r>
      <w:r w:rsidR="00C9452C" w:rsidRPr="007406B5">
        <w:rPr>
          <w:rFonts w:ascii="Times New Roman" w:hAnsi="Times New Roman"/>
        </w:rPr>
        <w:t>blic exhibition";</w:t>
      </w:r>
      <w:r w:rsidR="00107011" w:rsidRPr="007406B5">
        <w:rPr>
          <w:rFonts w:ascii="Times New Roman" w:hAnsi="Times New Roman"/>
        </w:rPr>
        <w:t xml:space="preserve"> (ii) </w:t>
      </w:r>
      <w:r w:rsidR="00BF62F0" w:rsidRPr="007406B5">
        <w:rPr>
          <w:rFonts w:ascii="Times New Roman" w:hAnsi="Times New Roman"/>
        </w:rPr>
        <w:t>the "key issues" that em</w:t>
      </w:r>
      <w:r w:rsidR="00556840" w:rsidRPr="007406B5">
        <w:rPr>
          <w:rFonts w:ascii="Times New Roman" w:hAnsi="Times New Roman"/>
        </w:rPr>
        <w:t>e</w:t>
      </w:r>
      <w:r w:rsidR="00BF62F0" w:rsidRPr="007406B5">
        <w:rPr>
          <w:rFonts w:ascii="Times New Roman" w:hAnsi="Times New Roman"/>
        </w:rPr>
        <w:t>rged from the submissions included greenhouse gas emissions and</w:t>
      </w:r>
      <w:r w:rsidR="00556840" w:rsidRPr="007406B5">
        <w:rPr>
          <w:rFonts w:ascii="Times New Roman" w:hAnsi="Times New Roman"/>
        </w:rPr>
        <w:t xml:space="preserve"> the cumulative impact of greenhouse gas emissions on climate change</w:t>
      </w:r>
      <w:r w:rsidR="00FE7AA4" w:rsidRPr="007406B5">
        <w:rPr>
          <w:rFonts w:ascii="Times New Roman" w:hAnsi="Times New Roman"/>
        </w:rPr>
        <w:t>,</w:t>
      </w:r>
      <w:r w:rsidR="00FE7219" w:rsidRPr="007406B5">
        <w:rPr>
          <w:rFonts w:ascii="Times New Roman" w:hAnsi="Times New Roman"/>
        </w:rPr>
        <w:t xml:space="preserve"> the impact of which (including scope</w:t>
      </w:r>
      <w:r w:rsidR="00AA1506" w:rsidRPr="007406B5">
        <w:rPr>
          <w:rFonts w:ascii="Times New Roman" w:hAnsi="Times New Roman"/>
        </w:rPr>
        <w:t> </w:t>
      </w:r>
      <w:r w:rsidR="00FE7219" w:rsidRPr="007406B5">
        <w:rPr>
          <w:rFonts w:ascii="Times New Roman" w:hAnsi="Times New Roman"/>
        </w:rPr>
        <w:t>3 emissions</w:t>
      </w:r>
      <w:r w:rsidR="00A90B6C" w:rsidRPr="007406B5">
        <w:rPr>
          <w:rFonts w:ascii="Times New Roman" w:hAnsi="Times New Roman"/>
        </w:rPr>
        <w:t>)</w:t>
      </w:r>
      <w:r w:rsidR="00D440E9" w:rsidRPr="007406B5">
        <w:rPr>
          <w:rFonts w:ascii="Times New Roman" w:hAnsi="Times New Roman"/>
        </w:rPr>
        <w:t xml:space="preserve"> </w:t>
      </w:r>
      <w:r w:rsidR="00D440E9" w:rsidRPr="007406B5">
        <w:rPr>
          <w:rFonts w:ascii="Times New Roman" w:hAnsi="Times New Roman"/>
        </w:rPr>
        <w:lastRenderedPageBreak/>
        <w:t>"is ... felt globally"</w:t>
      </w:r>
      <w:r w:rsidR="00DF184C" w:rsidRPr="007406B5">
        <w:rPr>
          <w:rFonts w:ascii="Times New Roman" w:hAnsi="Times New Roman"/>
        </w:rPr>
        <w:t xml:space="preserve">; </w:t>
      </w:r>
      <w:r w:rsidR="00B03F92" w:rsidRPr="007406B5">
        <w:rPr>
          <w:rFonts w:ascii="Times New Roman" w:hAnsi="Times New Roman"/>
        </w:rPr>
        <w:t>(iii) the Commission ha</w:t>
      </w:r>
      <w:r w:rsidR="00991E3C" w:rsidRPr="007406B5">
        <w:rPr>
          <w:rFonts w:ascii="Times New Roman" w:hAnsi="Times New Roman"/>
        </w:rPr>
        <w:t>d</w:t>
      </w:r>
      <w:r w:rsidR="00B03F92" w:rsidRPr="007406B5">
        <w:rPr>
          <w:rFonts w:ascii="Times New Roman" w:hAnsi="Times New Roman"/>
        </w:rPr>
        <w:t xml:space="preserve"> </w:t>
      </w:r>
      <w:r w:rsidR="00991E3C" w:rsidRPr="007406B5">
        <w:rPr>
          <w:rFonts w:ascii="Times New Roman" w:hAnsi="Times New Roman"/>
        </w:rPr>
        <w:t>"</w:t>
      </w:r>
      <w:r w:rsidR="00B03F92" w:rsidRPr="007406B5">
        <w:rPr>
          <w:rFonts w:ascii="Times New Roman" w:hAnsi="Times New Roman"/>
        </w:rPr>
        <w:t>considered all emissions associated with the Project (including Scope</w:t>
      </w:r>
      <w:r w:rsidR="00AA1506" w:rsidRPr="007406B5">
        <w:rPr>
          <w:rFonts w:ascii="Times New Roman" w:hAnsi="Times New Roman"/>
        </w:rPr>
        <w:t> </w:t>
      </w:r>
      <w:r w:rsidR="00B03F92" w:rsidRPr="007406B5">
        <w:rPr>
          <w:rFonts w:ascii="Times New Roman" w:hAnsi="Times New Roman"/>
        </w:rPr>
        <w:t xml:space="preserve">3 emissions) in its assessment and determination"; </w:t>
      </w:r>
      <w:r w:rsidR="00DF184C" w:rsidRPr="007406B5">
        <w:rPr>
          <w:rFonts w:ascii="Times New Roman" w:hAnsi="Times New Roman"/>
        </w:rPr>
        <w:t>(i</w:t>
      </w:r>
      <w:r w:rsidR="00B03F92" w:rsidRPr="007406B5">
        <w:rPr>
          <w:rFonts w:ascii="Times New Roman" w:hAnsi="Times New Roman"/>
        </w:rPr>
        <w:t>v</w:t>
      </w:r>
      <w:r w:rsidR="00DF184C" w:rsidRPr="007406B5">
        <w:rPr>
          <w:rFonts w:ascii="Times New Roman" w:hAnsi="Times New Roman"/>
        </w:rPr>
        <w:t xml:space="preserve">) the </w:t>
      </w:r>
      <w:r w:rsidR="00884D86" w:rsidRPr="007406B5">
        <w:rPr>
          <w:rFonts w:ascii="Times New Roman" w:hAnsi="Times New Roman"/>
        </w:rPr>
        <w:t xml:space="preserve">EIS had been accompanied by a </w:t>
      </w:r>
      <w:r w:rsidR="007558D4" w:rsidRPr="007406B5">
        <w:rPr>
          <w:rFonts w:ascii="Times New Roman" w:hAnsi="Times New Roman"/>
        </w:rPr>
        <w:t>"Greenhouse Gas Assessment"</w:t>
      </w:r>
      <w:r w:rsidR="00C31254" w:rsidRPr="007406B5">
        <w:rPr>
          <w:rFonts w:ascii="Times New Roman" w:hAnsi="Times New Roman"/>
        </w:rPr>
        <w:t>,</w:t>
      </w:r>
      <w:r w:rsidR="007558D4" w:rsidRPr="007406B5">
        <w:rPr>
          <w:rFonts w:ascii="Times New Roman" w:hAnsi="Times New Roman"/>
        </w:rPr>
        <w:t xml:space="preserve"> which included a "Greenhouse Gas </w:t>
      </w:r>
      <w:r w:rsidR="00884D86" w:rsidRPr="007406B5">
        <w:rPr>
          <w:rFonts w:ascii="Times New Roman" w:hAnsi="Times New Roman"/>
        </w:rPr>
        <w:t>Calculations Report, dated 11</w:t>
      </w:r>
      <w:r w:rsidR="009B61CE" w:rsidRPr="007406B5">
        <w:rPr>
          <w:rFonts w:ascii="Times New Roman" w:hAnsi="Times New Roman"/>
        </w:rPr>
        <w:t> </w:t>
      </w:r>
      <w:r w:rsidR="00884D86" w:rsidRPr="007406B5">
        <w:rPr>
          <w:rFonts w:ascii="Times New Roman" w:hAnsi="Times New Roman"/>
        </w:rPr>
        <w:t>January 2021"</w:t>
      </w:r>
      <w:r w:rsidR="00246D75" w:rsidRPr="007406B5">
        <w:rPr>
          <w:rFonts w:ascii="Times New Roman" w:hAnsi="Times New Roman"/>
        </w:rPr>
        <w:t xml:space="preserve">; </w:t>
      </w:r>
      <w:r w:rsidR="00153A28" w:rsidRPr="007406B5">
        <w:rPr>
          <w:rFonts w:ascii="Times New Roman" w:hAnsi="Times New Roman"/>
        </w:rPr>
        <w:t xml:space="preserve">(v) 98% of the </w:t>
      </w:r>
      <w:r w:rsidR="00EC0960" w:rsidRPr="007406B5">
        <w:rPr>
          <w:rFonts w:ascii="Times New Roman" w:hAnsi="Times New Roman"/>
        </w:rPr>
        <w:t>greenhouse</w:t>
      </w:r>
      <w:r w:rsidR="00153A28" w:rsidRPr="007406B5">
        <w:rPr>
          <w:rFonts w:ascii="Times New Roman" w:hAnsi="Times New Roman"/>
        </w:rPr>
        <w:t xml:space="preserve"> gas emissions </w:t>
      </w:r>
      <w:r w:rsidR="00EC0960" w:rsidRPr="007406B5">
        <w:rPr>
          <w:rFonts w:ascii="Times New Roman" w:hAnsi="Times New Roman"/>
        </w:rPr>
        <w:t>associated with the development are scope</w:t>
      </w:r>
      <w:r w:rsidR="00AA1506" w:rsidRPr="007406B5">
        <w:rPr>
          <w:rFonts w:ascii="Times New Roman" w:hAnsi="Times New Roman"/>
        </w:rPr>
        <w:t> </w:t>
      </w:r>
      <w:r w:rsidR="00EC0960" w:rsidRPr="007406B5">
        <w:rPr>
          <w:rFonts w:ascii="Times New Roman" w:hAnsi="Times New Roman"/>
        </w:rPr>
        <w:t>3 emissions; (v</w:t>
      </w:r>
      <w:r w:rsidR="00B03F92" w:rsidRPr="007406B5">
        <w:rPr>
          <w:rFonts w:ascii="Times New Roman" w:hAnsi="Times New Roman"/>
        </w:rPr>
        <w:t>i</w:t>
      </w:r>
      <w:r w:rsidR="00EC0960" w:rsidRPr="007406B5">
        <w:rPr>
          <w:rFonts w:ascii="Times New Roman" w:hAnsi="Times New Roman"/>
        </w:rPr>
        <w:t>) </w:t>
      </w:r>
      <w:r w:rsidR="00405ACB" w:rsidRPr="007406B5">
        <w:rPr>
          <w:rFonts w:ascii="Times New Roman" w:hAnsi="Times New Roman"/>
        </w:rPr>
        <w:t>the development's scope</w:t>
      </w:r>
      <w:r w:rsidR="00AA1506" w:rsidRPr="007406B5">
        <w:rPr>
          <w:rFonts w:ascii="Times New Roman" w:hAnsi="Times New Roman"/>
        </w:rPr>
        <w:t> </w:t>
      </w:r>
      <w:r w:rsidR="00405ACB" w:rsidRPr="007406B5">
        <w:rPr>
          <w:rFonts w:ascii="Times New Roman" w:hAnsi="Times New Roman"/>
        </w:rPr>
        <w:t>3 emissions "would contribute to anthropogenic climate change</w:t>
      </w:r>
      <w:r w:rsidR="007606C3" w:rsidRPr="007406B5">
        <w:rPr>
          <w:rFonts w:ascii="Times New Roman" w:hAnsi="Times New Roman"/>
        </w:rPr>
        <w:t xml:space="preserve">"; </w:t>
      </w:r>
      <w:r w:rsidR="001D1B09" w:rsidRPr="007406B5">
        <w:rPr>
          <w:rFonts w:ascii="Times New Roman" w:hAnsi="Times New Roman"/>
        </w:rPr>
        <w:t xml:space="preserve">and </w:t>
      </w:r>
      <w:r w:rsidR="007606C3" w:rsidRPr="007406B5">
        <w:rPr>
          <w:rFonts w:ascii="Times New Roman" w:hAnsi="Times New Roman"/>
        </w:rPr>
        <w:t>(v</w:t>
      </w:r>
      <w:r w:rsidR="00B03F92" w:rsidRPr="007406B5">
        <w:rPr>
          <w:rFonts w:ascii="Times New Roman" w:hAnsi="Times New Roman"/>
        </w:rPr>
        <w:t>i</w:t>
      </w:r>
      <w:r w:rsidR="007606C3" w:rsidRPr="007406B5">
        <w:rPr>
          <w:rFonts w:ascii="Times New Roman" w:hAnsi="Times New Roman"/>
        </w:rPr>
        <w:t xml:space="preserve">i) while </w:t>
      </w:r>
      <w:r w:rsidR="009B0FB4" w:rsidRPr="007406B5">
        <w:rPr>
          <w:rFonts w:ascii="Times New Roman" w:hAnsi="Times New Roman"/>
        </w:rPr>
        <w:t>those</w:t>
      </w:r>
      <w:r w:rsidR="007606C3" w:rsidRPr="007406B5">
        <w:rPr>
          <w:rFonts w:ascii="Times New Roman" w:hAnsi="Times New Roman"/>
        </w:rPr>
        <w:t xml:space="preserve"> scope</w:t>
      </w:r>
      <w:r w:rsidR="00AA1506" w:rsidRPr="007406B5">
        <w:rPr>
          <w:rFonts w:ascii="Times New Roman" w:hAnsi="Times New Roman"/>
        </w:rPr>
        <w:t> </w:t>
      </w:r>
      <w:r w:rsidR="007606C3" w:rsidRPr="007406B5">
        <w:rPr>
          <w:rFonts w:ascii="Times New Roman" w:hAnsi="Times New Roman"/>
        </w:rPr>
        <w:t xml:space="preserve">3 emissions did not form part of </w:t>
      </w:r>
      <w:r w:rsidR="009B0FB4" w:rsidRPr="007406B5">
        <w:rPr>
          <w:rFonts w:ascii="Times New Roman" w:hAnsi="Times New Roman"/>
        </w:rPr>
        <w:t xml:space="preserve">the accounting of the development's greenhouse gas emissions under the </w:t>
      </w:r>
      <w:r w:rsidR="00D12522" w:rsidRPr="007406B5">
        <w:rPr>
          <w:rFonts w:ascii="Times New Roman" w:hAnsi="Times New Roman"/>
        </w:rPr>
        <w:t xml:space="preserve">United Nations Framework Convention on Climate Change </w:t>
      </w:r>
      <w:r w:rsidR="001E3C98" w:rsidRPr="007406B5">
        <w:rPr>
          <w:rFonts w:ascii="Times New Roman" w:hAnsi="Times New Roman"/>
        </w:rPr>
        <w:t xml:space="preserve">Paris Agreement </w:t>
      </w:r>
      <w:r w:rsidR="00AD1D79" w:rsidRPr="007406B5">
        <w:rPr>
          <w:rFonts w:ascii="Times New Roman" w:hAnsi="Times New Roman"/>
        </w:rPr>
        <w:t xml:space="preserve">(2015) </w:t>
      </w:r>
      <w:r w:rsidR="00D12522" w:rsidRPr="007406B5">
        <w:rPr>
          <w:rFonts w:ascii="Times New Roman" w:hAnsi="Times New Roman"/>
        </w:rPr>
        <w:t>("the Paris Agreement")</w:t>
      </w:r>
      <w:r w:rsidR="00B44DB1" w:rsidRPr="007406B5">
        <w:rPr>
          <w:rFonts w:ascii="Times New Roman" w:hAnsi="Times New Roman"/>
        </w:rPr>
        <w:t xml:space="preserve">, as they would be accounted for in the country in which combustion of the coal occurred, </w:t>
      </w:r>
      <w:r w:rsidR="00E62B0C" w:rsidRPr="007406B5">
        <w:rPr>
          <w:rFonts w:ascii="Times New Roman" w:hAnsi="Times New Roman"/>
        </w:rPr>
        <w:t xml:space="preserve">"the </w:t>
      </w:r>
      <w:r w:rsidR="00A43EB9" w:rsidRPr="007406B5">
        <w:rPr>
          <w:rFonts w:ascii="Times New Roman" w:hAnsi="Times New Roman"/>
        </w:rPr>
        <w:t>cumulative impact of [greenhouse gas] emissions is still felt globally"</w:t>
      </w:r>
      <w:r w:rsidR="00B313DD" w:rsidRPr="007406B5">
        <w:rPr>
          <w:rFonts w:ascii="Times New Roman" w:hAnsi="Times New Roman"/>
        </w:rPr>
        <w:t>.</w:t>
      </w:r>
      <w:r w:rsidR="00B72E52" w:rsidRPr="007406B5">
        <w:rPr>
          <w:rFonts w:ascii="Times New Roman" w:hAnsi="Times New Roman"/>
        </w:rPr>
        <w:t xml:space="preserve"> </w:t>
      </w:r>
    </w:p>
    <w:p w14:paraId="536073F9" w14:textId="0BA11D34" w:rsidR="0083165D" w:rsidRPr="007406B5" w:rsidRDefault="00B313DD" w:rsidP="007406B5">
      <w:pPr>
        <w:pStyle w:val="FixListStyle"/>
        <w:spacing w:after="260" w:line="280" w:lineRule="exact"/>
        <w:ind w:right="0"/>
        <w:jc w:val="both"/>
        <w:rPr>
          <w:rFonts w:ascii="Times New Roman" w:hAnsi="Times New Roman"/>
        </w:rPr>
      </w:pPr>
      <w:r w:rsidRPr="007406B5">
        <w:rPr>
          <w:rFonts w:ascii="Times New Roman" w:hAnsi="Times New Roman"/>
        </w:rPr>
        <w:tab/>
      </w:r>
      <w:r w:rsidR="004A53A3" w:rsidRPr="007406B5">
        <w:rPr>
          <w:rFonts w:ascii="Times New Roman" w:hAnsi="Times New Roman"/>
        </w:rPr>
        <w:t xml:space="preserve">In this context, it cannot be said that the </w:t>
      </w:r>
      <w:r w:rsidR="001B7839" w:rsidRPr="007406B5">
        <w:rPr>
          <w:rFonts w:ascii="Times New Roman" w:hAnsi="Times New Roman"/>
        </w:rPr>
        <w:t>Commission</w:t>
      </w:r>
      <w:r w:rsidR="004A53A3" w:rsidRPr="007406B5">
        <w:rPr>
          <w:rFonts w:ascii="Times New Roman" w:hAnsi="Times New Roman"/>
        </w:rPr>
        <w:t xml:space="preserve"> did not </w:t>
      </w:r>
      <w:r w:rsidR="00FF494E" w:rsidRPr="007406B5">
        <w:rPr>
          <w:rFonts w:ascii="Times New Roman" w:hAnsi="Times New Roman"/>
        </w:rPr>
        <w:t xml:space="preserve">consider </w:t>
      </w:r>
      <w:r w:rsidR="00C45405" w:rsidRPr="007406B5">
        <w:rPr>
          <w:rFonts w:ascii="Times New Roman" w:hAnsi="Times New Roman"/>
        </w:rPr>
        <w:t>"</w:t>
      </w:r>
      <w:r w:rsidR="004A53A3" w:rsidRPr="007406B5">
        <w:rPr>
          <w:rFonts w:ascii="Times New Roman" w:hAnsi="Times New Roman"/>
        </w:rPr>
        <w:t xml:space="preserve">the likely impacts of [the] development" as s 4.15(1)(b) required. </w:t>
      </w:r>
      <w:r w:rsidR="0065334E" w:rsidRPr="007406B5">
        <w:rPr>
          <w:rFonts w:ascii="Times New Roman" w:hAnsi="Times New Roman"/>
        </w:rPr>
        <w:t>A</w:t>
      </w:r>
      <w:r w:rsidR="00FF494E" w:rsidRPr="007406B5">
        <w:rPr>
          <w:rFonts w:ascii="Times New Roman" w:hAnsi="Times New Roman"/>
        </w:rPr>
        <w:t xml:space="preserve"> </w:t>
      </w:r>
      <w:r w:rsidR="0065334E" w:rsidRPr="007406B5">
        <w:rPr>
          <w:rFonts w:ascii="Times New Roman" w:hAnsi="Times New Roman"/>
        </w:rPr>
        <w:t xml:space="preserve">likely impact of the development was its contribution to </w:t>
      </w:r>
      <w:r w:rsidR="00FF66F8" w:rsidRPr="007406B5">
        <w:rPr>
          <w:rFonts w:ascii="Times New Roman" w:hAnsi="Times New Roman"/>
        </w:rPr>
        <w:t xml:space="preserve">global </w:t>
      </w:r>
      <w:r w:rsidR="0065334E" w:rsidRPr="007406B5">
        <w:rPr>
          <w:rFonts w:ascii="Times New Roman" w:hAnsi="Times New Roman"/>
        </w:rPr>
        <w:t>greenhouse gas emissions including scope</w:t>
      </w:r>
      <w:r w:rsidR="00AA1506" w:rsidRPr="007406B5">
        <w:rPr>
          <w:rFonts w:ascii="Times New Roman" w:hAnsi="Times New Roman"/>
        </w:rPr>
        <w:t> </w:t>
      </w:r>
      <w:r w:rsidR="0065334E" w:rsidRPr="007406B5">
        <w:rPr>
          <w:rFonts w:ascii="Times New Roman" w:hAnsi="Times New Roman"/>
        </w:rPr>
        <w:t>3 emissions</w:t>
      </w:r>
      <w:r w:rsidR="008D73E4" w:rsidRPr="007406B5">
        <w:rPr>
          <w:rFonts w:ascii="Times New Roman" w:hAnsi="Times New Roman"/>
        </w:rPr>
        <w:t xml:space="preserve"> and associated </w:t>
      </w:r>
      <w:r w:rsidR="00FF66F8" w:rsidRPr="007406B5">
        <w:rPr>
          <w:rFonts w:ascii="Times New Roman" w:hAnsi="Times New Roman"/>
        </w:rPr>
        <w:t xml:space="preserve">global </w:t>
      </w:r>
      <w:r w:rsidR="008D73E4" w:rsidRPr="007406B5">
        <w:rPr>
          <w:rFonts w:ascii="Times New Roman" w:hAnsi="Times New Roman"/>
        </w:rPr>
        <w:t>anthropogenic climate change impacts</w:t>
      </w:r>
      <w:r w:rsidR="00877963" w:rsidRPr="007406B5">
        <w:rPr>
          <w:rFonts w:ascii="Times New Roman" w:hAnsi="Times New Roman"/>
        </w:rPr>
        <w:t>,</w:t>
      </w:r>
      <w:r w:rsidR="00262CB5" w:rsidRPr="007406B5">
        <w:rPr>
          <w:rFonts w:ascii="Times New Roman" w:hAnsi="Times New Roman"/>
        </w:rPr>
        <w:t xml:space="preserve"> which would be experienced globally</w:t>
      </w:r>
      <w:r w:rsidR="0065334E" w:rsidRPr="007406B5">
        <w:rPr>
          <w:rFonts w:ascii="Times New Roman" w:hAnsi="Times New Roman"/>
        </w:rPr>
        <w:t xml:space="preserve">. </w:t>
      </w:r>
    </w:p>
    <w:p w14:paraId="43E134AA" w14:textId="3B01D6B0" w:rsidR="00B205BF" w:rsidRPr="007406B5" w:rsidRDefault="005955BA" w:rsidP="007406B5">
      <w:pPr>
        <w:pStyle w:val="FixListStyle"/>
        <w:spacing w:after="260" w:line="280" w:lineRule="exact"/>
        <w:ind w:right="0"/>
        <w:jc w:val="both"/>
        <w:rPr>
          <w:rFonts w:ascii="Times New Roman" w:hAnsi="Times New Roman"/>
        </w:rPr>
      </w:pPr>
      <w:r w:rsidRPr="007406B5">
        <w:rPr>
          <w:rFonts w:ascii="Times New Roman" w:hAnsi="Times New Roman"/>
        </w:rPr>
        <w:tab/>
      </w:r>
      <w:r w:rsidR="006740D3" w:rsidRPr="007406B5">
        <w:rPr>
          <w:rFonts w:ascii="Times New Roman" w:hAnsi="Times New Roman"/>
        </w:rPr>
        <w:t xml:space="preserve">The </w:t>
      </w:r>
      <w:r w:rsidR="001B7839" w:rsidRPr="007406B5">
        <w:rPr>
          <w:rFonts w:ascii="Times New Roman" w:hAnsi="Times New Roman"/>
        </w:rPr>
        <w:t>Commission</w:t>
      </w:r>
      <w:r w:rsidR="006740D3" w:rsidRPr="007406B5">
        <w:rPr>
          <w:rFonts w:ascii="Times New Roman" w:hAnsi="Times New Roman"/>
        </w:rPr>
        <w:t xml:space="preserve"> </w:t>
      </w:r>
      <w:r w:rsidR="008A74E0" w:rsidRPr="007406B5">
        <w:rPr>
          <w:rFonts w:ascii="Times New Roman" w:hAnsi="Times New Roman"/>
        </w:rPr>
        <w:t>recognise</w:t>
      </w:r>
      <w:r w:rsidR="00B75B06" w:rsidRPr="007406B5">
        <w:rPr>
          <w:rFonts w:ascii="Times New Roman" w:hAnsi="Times New Roman"/>
        </w:rPr>
        <w:t>d</w:t>
      </w:r>
      <w:r w:rsidR="008A74E0" w:rsidRPr="007406B5">
        <w:rPr>
          <w:rFonts w:ascii="Times New Roman" w:hAnsi="Times New Roman"/>
        </w:rPr>
        <w:t xml:space="preserve"> that the Paris Agreement, to which </w:t>
      </w:r>
      <w:r w:rsidR="00562935" w:rsidRPr="007406B5">
        <w:rPr>
          <w:rFonts w:ascii="Times New Roman" w:hAnsi="Times New Roman"/>
        </w:rPr>
        <w:t>Australia is a party,</w:t>
      </w:r>
      <w:r w:rsidR="00562935" w:rsidRPr="007406B5">
        <w:rPr>
          <w:rStyle w:val="FootnoteReference"/>
          <w:rFonts w:ascii="Times New Roman" w:hAnsi="Times New Roman"/>
          <w:sz w:val="24"/>
        </w:rPr>
        <w:footnoteReference w:id="42"/>
      </w:r>
      <w:r w:rsidR="00562935" w:rsidRPr="007406B5">
        <w:rPr>
          <w:rFonts w:ascii="Times New Roman" w:hAnsi="Times New Roman"/>
        </w:rPr>
        <w:t xml:space="preserve"> provided for </w:t>
      </w:r>
      <w:r w:rsidR="00972046" w:rsidRPr="007406B5">
        <w:rPr>
          <w:rFonts w:ascii="Times New Roman" w:hAnsi="Times New Roman"/>
        </w:rPr>
        <w:t>the development's scope</w:t>
      </w:r>
      <w:r w:rsidR="00AA1506" w:rsidRPr="007406B5">
        <w:rPr>
          <w:rFonts w:ascii="Times New Roman" w:hAnsi="Times New Roman"/>
        </w:rPr>
        <w:t> </w:t>
      </w:r>
      <w:r w:rsidR="00972046" w:rsidRPr="007406B5">
        <w:rPr>
          <w:rFonts w:ascii="Times New Roman" w:hAnsi="Times New Roman"/>
        </w:rPr>
        <w:t xml:space="preserve">3 </w:t>
      </w:r>
      <w:r w:rsidR="00562935" w:rsidRPr="007406B5">
        <w:rPr>
          <w:rFonts w:ascii="Times New Roman" w:hAnsi="Times New Roman"/>
        </w:rPr>
        <w:t xml:space="preserve">emissions to be included as part of the </w:t>
      </w:r>
      <w:r w:rsidR="00FE121E" w:rsidRPr="007406B5">
        <w:rPr>
          <w:rFonts w:ascii="Times New Roman" w:hAnsi="Times New Roman"/>
        </w:rPr>
        <w:t xml:space="preserve">emissions of the countries in which the coal was to be combusted. In saying, in effect, that </w:t>
      </w:r>
      <w:r w:rsidR="00D36700" w:rsidRPr="007406B5">
        <w:rPr>
          <w:rFonts w:ascii="Times New Roman" w:hAnsi="Times New Roman"/>
        </w:rPr>
        <w:t>despite</w:t>
      </w:r>
      <w:r w:rsidR="00FE121E" w:rsidRPr="007406B5">
        <w:rPr>
          <w:rFonts w:ascii="Times New Roman" w:hAnsi="Times New Roman"/>
        </w:rPr>
        <w:t xml:space="preserve"> this</w:t>
      </w:r>
      <w:r w:rsidR="0070520A" w:rsidRPr="007406B5">
        <w:rPr>
          <w:rFonts w:ascii="Times New Roman" w:hAnsi="Times New Roman"/>
        </w:rPr>
        <w:t>,</w:t>
      </w:r>
      <w:r w:rsidR="00FE121E" w:rsidRPr="007406B5">
        <w:rPr>
          <w:rFonts w:ascii="Times New Roman" w:hAnsi="Times New Roman"/>
        </w:rPr>
        <w:t xml:space="preserve"> the impacts of climate change are </w:t>
      </w:r>
      <w:r w:rsidR="00D36700" w:rsidRPr="007406B5">
        <w:rPr>
          <w:rFonts w:ascii="Times New Roman" w:hAnsi="Times New Roman"/>
        </w:rPr>
        <w:t xml:space="preserve">global </w:t>
      </w:r>
      <w:r w:rsidR="006740D3" w:rsidRPr="007406B5">
        <w:rPr>
          <w:rFonts w:ascii="Times New Roman" w:hAnsi="Times New Roman"/>
        </w:rPr>
        <w:t xml:space="preserve">and would be felt globally, </w:t>
      </w:r>
      <w:r w:rsidR="00D36700" w:rsidRPr="007406B5">
        <w:rPr>
          <w:rFonts w:ascii="Times New Roman" w:hAnsi="Times New Roman"/>
        </w:rPr>
        <w:t xml:space="preserve">the </w:t>
      </w:r>
      <w:r w:rsidR="001B7839" w:rsidRPr="007406B5">
        <w:rPr>
          <w:rFonts w:ascii="Times New Roman" w:hAnsi="Times New Roman"/>
        </w:rPr>
        <w:t>Commission</w:t>
      </w:r>
      <w:r w:rsidR="00D36700" w:rsidRPr="007406B5">
        <w:rPr>
          <w:rFonts w:ascii="Times New Roman" w:hAnsi="Times New Roman"/>
        </w:rPr>
        <w:t xml:space="preserve"> was recognising that, irrespective of the internationally agreed accounting treatment for </w:t>
      </w:r>
      <w:r w:rsidR="0070520A" w:rsidRPr="007406B5">
        <w:rPr>
          <w:rFonts w:ascii="Times New Roman" w:hAnsi="Times New Roman"/>
        </w:rPr>
        <w:t>scope</w:t>
      </w:r>
      <w:r w:rsidR="00AA1506" w:rsidRPr="007406B5">
        <w:rPr>
          <w:rFonts w:ascii="Times New Roman" w:hAnsi="Times New Roman"/>
        </w:rPr>
        <w:t> </w:t>
      </w:r>
      <w:r w:rsidR="0070520A" w:rsidRPr="007406B5">
        <w:rPr>
          <w:rFonts w:ascii="Times New Roman" w:hAnsi="Times New Roman"/>
        </w:rPr>
        <w:t xml:space="preserve">3 </w:t>
      </w:r>
      <w:r w:rsidR="00D36700" w:rsidRPr="007406B5">
        <w:rPr>
          <w:rFonts w:ascii="Times New Roman" w:hAnsi="Times New Roman"/>
        </w:rPr>
        <w:t xml:space="preserve">emissions, </w:t>
      </w:r>
      <w:r w:rsidR="006740D3" w:rsidRPr="007406B5">
        <w:rPr>
          <w:rFonts w:ascii="Times New Roman" w:hAnsi="Times New Roman"/>
        </w:rPr>
        <w:t xml:space="preserve">such emissions were a likely impact of the development required to be considered. </w:t>
      </w:r>
      <w:r w:rsidR="000C7F82" w:rsidRPr="007406B5">
        <w:rPr>
          <w:rFonts w:ascii="Times New Roman" w:hAnsi="Times New Roman"/>
        </w:rPr>
        <w:t xml:space="preserve">While the Court of Appeal concluded that the </w:t>
      </w:r>
      <w:r w:rsidR="001B7839" w:rsidRPr="007406B5">
        <w:rPr>
          <w:rFonts w:ascii="Times New Roman" w:hAnsi="Times New Roman"/>
        </w:rPr>
        <w:t>Commission</w:t>
      </w:r>
      <w:r w:rsidR="007B7934" w:rsidRPr="007406B5">
        <w:rPr>
          <w:rFonts w:ascii="Times New Roman" w:hAnsi="Times New Roman"/>
        </w:rPr>
        <w:t>'s recognition of the global impact of climate change was insuffic</w:t>
      </w:r>
      <w:r w:rsidR="00A56BC6" w:rsidRPr="007406B5">
        <w:rPr>
          <w:rFonts w:ascii="Times New Roman" w:hAnsi="Times New Roman"/>
        </w:rPr>
        <w:t xml:space="preserve">ient to discharge the duty of the </w:t>
      </w:r>
      <w:r w:rsidR="001B7839" w:rsidRPr="007406B5">
        <w:rPr>
          <w:rFonts w:ascii="Times New Roman" w:hAnsi="Times New Roman"/>
        </w:rPr>
        <w:t>Commission</w:t>
      </w:r>
      <w:r w:rsidR="00A56BC6" w:rsidRPr="007406B5">
        <w:rPr>
          <w:rFonts w:ascii="Times New Roman" w:hAnsi="Times New Roman"/>
        </w:rPr>
        <w:t xml:space="preserve"> as the consent authority under s 4.15(1)(b), that </w:t>
      </w:r>
      <w:r w:rsidR="0070520A" w:rsidRPr="007406B5">
        <w:rPr>
          <w:rFonts w:ascii="Times New Roman" w:hAnsi="Times New Roman"/>
        </w:rPr>
        <w:t xml:space="preserve">conclusion </w:t>
      </w:r>
      <w:r w:rsidR="00861BC1" w:rsidRPr="007406B5">
        <w:rPr>
          <w:rFonts w:ascii="Times New Roman" w:hAnsi="Times New Roman"/>
        </w:rPr>
        <w:t>assume</w:t>
      </w:r>
      <w:r w:rsidR="0070520A" w:rsidRPr="007406B5">
        <w:rPr>
          <w:rFonts w:ascii="Times New Roman" w:hAnsi="Times New Roman"/>
        </w:rPr>
        <w:t>d</w:t>
      </w:r>
      <w:r w:rsidR="00861BC1" w:rsidRPr="007406B5">
        <w:rPr>
          <w:rFonts w:ascii="Times New Roman" w:hAnsi="Times New Roman"/>
        </w:rPr>
        <w:t xml:space="preserve"> that the </w:t>
      </w:r>
      <w:r w:rsidR="002D2834" w:rsidRPr="007406B5">
        <w:rPr>
          <w:rFonts w:ascii="Times New Roman" w:hAnsi="Times New Roman"/>
        </w:rPr>
        <w:t xml:space="preserve">development's contribution to </w:t>
      </w:r>
      <w:r w:rsidR="00861BC1" w:rsidRPr="007406B5">
        <w:rPr>
          <w:rFonts w:ascii="Times New Roman" w:hAnsi="Times New Roman"/>
        </w:rPr>
        <w:t xml:space="preserve">climate change </w:t>
      </w:r>
      <w:r w:rsidR="002D2834" w:rsidRPr="007406B5">
        <w:rPr>
          <w:rFonts w:ascii="Times New Roman" w:hAnsi="Times New Roman"/>
        </w:rPr>
        <w:t xml:space="preserve">in the </w:t>
      </w:r>
      <w:r w:rsidR="00CE3D04" w:rsidRPr="007406B5">
        <w:rPr>
          <w:rFonts w:ascii="Times New Roman" w:hAnsi="Times New Roman"/>
        </w:rPr>
        <w:t xml:space="preserve">locality </w:t>
      </w:r>
      <w:r w:rsidR="002D2834" w:rsidRPr="007406B5">
        <w:rPr>
          <w:rFonts w:ascii="Times New Roman" w:hAnsi="Times New Roman"/>
        </w:rPr>
        <w:t xml:space="preserve">in the form of an average rise in temperature </w:t>
      </w:r>
      <w:r w:rsidR="001F05FA" w:rsidRPr="007406B5">
        <w:rPr>
          <w:rFonts w:ascii="Times New Roman" w:hAnsi="Times New Roman"/>
        </w:rPr>
        <w:t xml:space="preserve">and the </w:t>
      </w:r>
      <w:r w:rsidR="002B0EB8" w:rsidRPr="007406B5">
        <w:rPr>
          <w:rFonts w:ascii="Times New Roman" w:hAnsi="Times New Roman"/>
        </w:rPr>
        <w:t xml:space="preserve">increased risk of bushfires and heavy rainfall in </w:t>
      </w:r>
      <w:r w:rsidR="003C72C8" w:rsidRPr="007406B5">
        <w:rPr>
          <w:rFonts w:ascii="Times New Roman" w:hAnsi="Times New Roman"/>
        </w:rPr>
        <w:t xml:space="preserve">the Hunter region (as the locality of the development) </w:t>
      </w:r>
      <w:r w:rsidR="00EC6978" w:rsidRPr="007406B5">
        <w:rPr>
          <w:rFonts w:ascii="Times New Roman" w:hAnsi="Times New Roman"/>
        </w:rPr>
        <w:t xml:space="preserve">was </w:t>
      </w:r>
      <w:r w:rsidR="00113B87" w:rsidRPr="007406B5">
        <w:rPr>
          <w:rFonts w:ascii="Times New Roman" w:hAnsi="Times New Roman"/>
        </w:rPr>
        <w:t xml:space="preserve">required to be the </w:t>
      </w:r>
      <w:r w:rsidR="00C76A64" w:rsidRPr="007406B5">
        <w:rPr>
          <w:rFonts w:ascii="Times New Roman" w:hAnsi="Times New Roman"/>
        </w:rPr>
        <w:t xml:space="preserve">fundamental element </w:t>
      </w:r>
      <w:r w:rsidR="00057D41" w:rsidRPr="007406B5">
        <w:rPr>
          <w:rFonts w:ascii="Times New Roman" w:hAnsi="Times New Roman"/>
        </w:rPr>
        <w:t xml:space="preserve">in or </w:t>
      </w:r>
      <w:r w:rsidR="00113B87" w:rsidRPr="007406B5">
        <w:rPr>
          <w:rFonts w:ascii="Times New Roman" w:hAnsi="Times New Roman"/>
        </w:rPr>
        <w:t xml:space="preserve">focal </w:t>
      </w:r>
      <w:r w:rsidR="00165118" w:rsidRPr="007406B5">
        <w:rPr>
          <w:rFonts w:ascii="Times New Roman" w:hAnsi="Times New Roman"/>
        </w:rPr>
        <w:t xml:space="preserve">point </w:t>
      </w:r>
      <w:r w:rsidR="00316C21" w:rsidRPr="007406B5">
        <w:rPr>
          <w:rFonts w:ascii="Times New Roman" w:hAnsi="Times New Roman"/>
        </w:rPr>
        <w:t xml:space="preserve">of </w:t>
      </w:r>
      <w:r w:rsidR="00113B87" w:rsidRPr="007406B5">
        <w:rPr>
          <w:rFonts w:ascii="Times New Roman" w:hAnsi="Times New Roman"/>
        </w:rPr>
        <w:t xml:space="preserve">the </w:t>
      </w:r>
      <w:r w:rsidR="001B7839" w:rsidRPr="007406B5">
        <w:rPr>
          <w:rFonts w:ascii="Times New Roman" w:hAnsi="Times New Roman"/>
        </w:rPr>
        <w:t>Commission</w:t>
      </w:r>
      <w:r w:rsidR="00113B87" w:rsidRPr="007406B5">
        <w:rPr>
          <w:rFonts w:ascii="Times New Roman" w:hAnsi="Times New Roman"/>
        </w:rPr>
        <w:t xml:space="preserve">'s consideration. </w:t>
      </w:r>
    </w:p>
    <w:p w14:paraId="61923039" w14:textId="703DF176" w:rsidR="004A53A3" w:rsidRPr="007406B5" w:rsidRDefault="00B205BF" w:rsidP="007406B5">
      <w:pPr>
        <w:pStyle w:val="FixListStyle"/>
        <w:spacing w:after="260" w:line="280" w:lineRule="exact"/>
        <w:ind w:right="0"/>
        <w:jc w:val="both"/>
        <w:rPr>
          <w:rFonts w:ascii="Times New Roman" w:hAnsi="Times New Roman"/>
        </w:rPr>
      </w:pPr>
      <w:r w:rsidRPr="007406B5">
        <w:rPr>
          <w:rFonts w:ascii="Times New Roman" w:hAnsi="Times New Roman"/>
        </w:rPr>
        <w:tab/>
      </w:r>
      <w:r w:rsidR="00786EB4" w:rsidRPr="007406B5">
        <w:rPr>
          <w:rFonts w:ascii="Times New Roman" w:hAnsi="Times New Roman"/>
        </w:rPr>
        <w:t>Given th</w:t>
      </w:r>
      <w:r w:rsidR="003C0FF9" w:rsidRPr="007406B5">
        <w:rPr>
          <w:rFonts w:ascii="Times New Roman" w:hAnsi="Times New Roman"/>
        </w:rPr>
        <w:t xml:space="preserve">at the </w:t>
      </w:r>
      <w:r w:rsidR="003651F1" w:rsidRPr="007406B5">
        <w:rPr>
          <w:rFonts w:ascii="Times New Roman" w:hAnsi="Times New Roman"/>
        </w:rPr>
        <w:t>development would contribute to global greenhouse gas emissions and thereby contribute to the global effects of climate change, the Commission</w:t>
      </w:r>
      <w:r w:rsidR="00B24846" w:rsidRPr="007406B5">
        <w:rPr>
          <w:rFonts w:ascii="Times New Roman" w:hAnsi="Times New Roman"/>
        </w:rPr>
        <w:t xml:space="preserve">'s consideration of the </w:t>
      </w:r>
      <w:r w:rsidR="000024FD" w:rsidRPr="007406B5">
        <w:rPr>
          <w:rFonts w:ascii="Times New Roman" w:hAnsi="Times New Roman"/>
        </w:rPr>
        <w:t xml:space="preserve">impacts </w:t>
      </w:r>
      <w:r w:rsidR="00B24846" w:rsidRPr="007406B5">
        <w:rPr>
          <w:rFonts w:ascii="Times New Roman" w:hAnsi="Times New Roman"/>
        </w:rPr>
        <w:t xml:space="preserve">of climate change </w:t>
      </w:r>
      <w:r w:rsidR="000A296F" w:rsidRPr="007406B5">
        <w:rPr>
          <w:rFonts w:ascii="Times New Roman" w:hAnsi="Times New Roman"/>
        </w:rPr>
        <w:t xml:space="preserve">globally </w:t>
      </w:r>
      <w:r w:rsidR="0007415F" w:rsidRPr="007406B5">
        <w:rPr>
          <w:rFonts w:ascii="Times New Roman" w:hAnsi="Times New Roman"/>
        </w:rPr>
        <w:t xml:space="preserve">necessarily encompassed </w:t>
      </w:r>
      <w:r w:rsidR="00E156A4" w:rsidRPr="007406B5">
        <w:rPr>
          <w:rFonts w:ascii="Times New Roman" w:hAnsi="Times New Roman"/>
        </w:rPr>
        <w:t>the required consideration of the</w:t>
      </w:r>
      <w:r w:rsidR="000A296F" w:rsidRPr="007406B5">
        <w:rPr>
          <w:rFonts w:ascii="Times New Roman" w:hAnsi="Times New Roman"/>
        </w:rPr>
        <w:t xml:space="preserve"> impacts of climate change locally</w:t>
      </w:r>
      <w:r w:rsidR="00E156A4" w:rsidRPr="007406B5">
        <w:rPr>
          <w:rFonts w:ascii="Times New Roman" w:hAnsi="Times New Roman"/>
        </w:rPr>
        <w:t xml:space="preserve">. </w:t>
      </w:r>
      <w:r w:rsidR="00B75B06" w:rsidRPr="007406B5">
        <w:rPr>
          <w:rFonts w:ascii="Times New Roman" w:hAnsi="Times New Roman"/>
        </w:rPr>
        <w:t xml:space="preserve">If </w:t>
      </w:r>
      <w:r w:rsidR="0009066F" w:rsidRPr="007406B5">
        <w:rPr>
          <w:rFonts w:ascii="Times New Roman" w:hAnsi="Times New Roman"/>
        </w:rPr>
        <w:t xml:space="preserve">the </w:t>
      </w:r>
      <w:r w:rsidR="00A328E2" w:rsidRPr="007406B5">
        <w:rPr>
          <w:rFonts w:ascii="Times New Roman" w:hAnsi="Times New Roman"/>
        </w:rPr>
        <w:t xml:space="preserve">Commission had </w:t>
      </w:r>
      <w:r w:rsidR="007B49F7" w:rsidRPr="007406B5">
        <w:rPr>
          <w:rFonts w:ascii="Times New Roman" w:hAnsi="Times New Roman"/>
        </w:rPr>
        <w:t>concluded</w:t>
      </w:r>
      <w:r w:rsidR="00412B3D" w:rsidRPr="007406B5">
        <w:rPr>
          <w:rFonts w:ascii="Times New Roman" w:hAnsi="Times New Roman"/>
        </w:rPr>
        <w:t xml:space="preserve">, based on the material before it or otherwise, </w:t>
      </w:r>
      <w:r w:rsidR="000A01EF" w:rsidRPr="007406B5">
        <w:rPr>
          <w:rFonts w:ascii="Times New Roman" w:hAnsi="Times New Roman"/>
        </w:rPr>
        <w:t xml:space="preserve">that </w:t>
      </w:r>
      <w:r w:rsidR="00696254" w:rsidRPr="007406B5">
        <w:rPr>
          <w:rFonts w:ascii="Times New Roman" w:hAnsi="Times New Roman"/>
        </w:rPr>
        <w:t xml:space="preserve">the </w:t>
      </w:r>
      <w:r w:rsidR="000A01EF" w:rsidRPr="007406B5">
        <w:rPr>
          <w:rFonts w:ascii="Times New Roman" w:hAnsi="Times New Roman"/>
        </w:rPr>
        <w:t xml:space="preserve">local </w:t>
      </w:r>
      <w:r w:rsidR="00696254" w:rsidRPr="007406B5">
        <w:rPr>
          <w:rFonts w:ascii="Times New Roman" w:hAnsi="Times New Roman"/>
        </w:rPr>
        <w:t xml:space="preserve">impacts of climate change </w:t>
      </w:r>
      <w:r w:rsidR="000A01EF" w:rsidRPr="007406B5">
        <w:rPr>
          <w:rFonts w:ascii="Times New Roman" w:hAnsi="Times New Roman"/>
        </w:rPr>
        <w:t xml:space="preserve">to which the development would contribute would be of a materially </w:t>
      </w:r>
      <w:r w:rsidR="00696254" w:rsidRPr="007406B5">
        <w:rPr>
          <w:rFonts w:ascii="Times New Roman" w:hAnsi="Times New Roman"/>
        </w:rPr>
        <w:t xml:space="preserve">different magnitude, nature, extent or </w:t>
      </w:r>
      <w:r w:rsidR="00696254" w:rsidRPr="007406B5">
        <w:rPr>
          <w:rFonts w:ascii="Times New Roman" w:hAnsi="Times New Roman"/>
        </w:rPr>
        <w:lastRenderedPageBreak/>
        <w:t xml:space="preserve">immediacy from </w:t>
      </w:r>
      <w:r w:rsidR="007B49F7" w:rsidRPr="007406B5">
        <w:rPr>
          <w:rFonts w:ascii="Times New Roman" w:hAnsi="Times New Roman"/>
        </w:rPr>
        <w:t xml:space="preserve">climate change's </w:t>
      </w:r>
      <w:r w:rsidR="00696254" w:rsidRPr="007406B5">
        <w:rPr>
          <w:rFonts w:ascii="Times New Roman" w:hAnsi="Times New Roman"/>
        </w:rPr>
        <w:t xml:space="preserve">impacts globally, </w:t>
      </w:r>
      <w:r w:rsidR="00306FF8" w:rsidRPr="007406B5">
        <w:rPr>
          <w:rFonts w:ascii="Times New Roman" w:hAnsi="Times New Roman"/>
        </w:rPr>
        <w:t>the position might have been different</w:t>
      </w:r>
      <w:r w:rsidR="00412B3D" w:rsidRPr="007406B5">
        <w:rPr>
          <w:rFonts w:ascii="Times New Roman" w:hAnsi="Times New Roman"/>
        </w:rPr>
        <w:t xml:space="preserve">. </w:t>
      </w:r>
      <w:r w:rsidR="009D142A" w:rsidRPr="007406B5">
        <w:rPr>
          <w:rFonts w:ascii="Times New Roman" w:hAnsi="Times New Roman"/>
        </w:rPr>
        <w:t>It must be inferred, however, that the Commission did not so conclude.</w:t>
      </w:r>
    </w:p>
    <w:p w14:paraId="73B00D34" w14:textId="54441B6A" w:rsidR="00A22DD0" w:rsidRPr="007406B5" w:rsidRDefault="00A83124" w:rsidP="007406B5">
      <w:pPr>
        <w:pStyle w:val="FixListStyle"/>
        <w:spacing w:after="260" w:line="280" w:lineRule="exact"/>
        <w:ind w:right="0"/>
        <w:jc w:val="both"/>
        <w:rPr>
          <w:rFonts w:ascii="Times New Roman" w:hAnsi="Times New Roman"/>
        </w:rPr>
      </w:pPr>
      <w:r w:rsidRPr="007406B5">
        <w:rPr>
          <w:rFonts w:ascii="Times New Roman" w:hAnsi="Times New Roman"/>
        </w:rPr>
        <w:tab/>
      </w:r>
      <w:r w:rsidR="00D82E21" w:rsidRPr="007406B5">
        <w:rPr>
          <w:rFonts w:ascii="Times New Roman" w:hAnsi="Times New Roman"/>
        </w:rPr>
        <w:t>Adamson J</w:t>
      </w:r>
      <w:r w:rsidR="00666832" w:rsidRPr="007406B5">
        <w:rPr>
          <w:rFonts w:ascii="Times New Roman" w:hAnsi="Times New Roman"/>
        </w:rPr>
        <w:t>A</w:t>
      </w:r>
      <w:r w:rsidR="001840B1" w:rsidRPr="007406B5">
        <w:rPr>
          <w:rFonts w:ascii="Times New Roman" w:hAnsi="Times New Roman"/>
        </w:rPr>
        <w:t xml:space="preserve">, as noted, referred </w:t>
      </w:r>
      <w:r w:rsidR="00D57B4F" w:rsidRPr="007406B5">
        <w:rPr>
          <w:rFonts w:ascii="Times New Roman" w:hAnsi="Times New Roman"/>
        </w:rPr>
        <w:t xml:space="preserve">to </w:t>
      </w:r>
      <w:r w:rsidR="00FF460E" w:rsidRPr="007406B5">
        <w:rPr>
          <w:rFonts w:ascii="Times New Roman" w:hAnsi="Times New Roman"/>
        </w:rPr>
        <w:t>climate change impacts being "disproportionately felt in the locality of the project"</w:t>
      </w:r>
      <w:r w:rsidR="00154308" w:rsidRPr="007406B5">
        <w:rPr>
          <w:rFonts w:ascii="Times New Roman" w:hAnsi="Times New Roman"/>
        </w:rPr>
        <w:t>.</w:t>
      </w:r>
      <w:r w:rsidR="00FF460E" w:rsidRPr="007406B5">
        <w:rPr>
          <w:rStyle w:val="FootnoteReference"/>
          <w:rFonts w:ascii="Times New Roman" w:hAnsi="Times New Roman"/>
          <w:sz w:val="24"/>
        </w:rPr>
        <w:footnoteReference w:id="43"/>
      </w:r>
      <w:r w:rsidR="00FF460E" w:rsidRPr="007406B5">
        <w:rPr>
          <w:rFonts w:ascii="Times New Roman" w:hAnsi="Times New Roman"/>
        </w:rPr>
        <w:t xml:space="preserve"> </w:t>
      </w:r>
      <w:r w:rsidR="00F24A75" w:rsidRPr="007406B5">
        <w:rPr>
          <w:rFonts w:ascii="Times New Roman" w:hAnsi="Times New Roman"/>
        </w:rPr>
        <w:t>H</w:t>
      </w:r>
      <w:r w:rsidR="00864522" w:rsidRPr="007406B5">
        <w:rPr>
          <w:rFonts w:ascii="Times New Roman" w:hAnsi="Times New Roman"/>
        </w:rPr>
        <w:t xml:space="preserve">er </w:t>
      </w:r>
      <w:r w:rsidR="001B195F" w:rsidRPr="007406B5">
        <w:rPr>
          <w:rFonts w:ascii="Times New Roman" w:hAnsi="Times New Roman"/>
        </w:rPr>
        <w:t>Honour</w:t>
      </w:r>
      <w:r w:rsidR="00864522" w:rsidRPr="007406B5">
        <w:rPr>
          <w:rFonts w:ascii="Times New Roman" w:hAnsi="Times New Roman"/>
        </w:rPr>
        <w:t xml:space="preserve"> </w:t>
      </w:r>
      <w:r w:rsidR="00CE7CF0" w:rsidRPr="007406B5">
        <w:rPr>
          <w:rFonts w:ascii="Times New Roman" w:hAnsi="Times New Roman"/>
        </w:rPr>
        <w:t>explained this perceived "disproportionate" impact in the locality in these terms</w:t>
      </w:r>
      <w:r w:rsidR="00A22DD0" w:rsidRPr="007406B5">
        <w:rPr>
          <w:rFonts w:ascii="Times New Roman" w:hAnsi="Times New Roman"/>
        </w:rPr>
        <w:t>:</w:t>
      </w:r>
      <w:r w:rsidR="00A22DD0" w:rsidRPr="007406B5">
        <w:rPr>
          <w:rStyle w:val="FootnoteReference"/>
          <w:rFonts w:ascii="Times New Roman" w:hAnsi="Times New Roman"/>
          <w:sz w:val="24"/>
        </w:rPr>
        <w:footnoteReference w:id="44"/>
      </w:r>
    </w:p>
    <w:p w14:paraId="4BFB290F" w14:textId="77777777" w:rsidR="007406B5" w:rsidRDefault="00A22DD0" w:rsidP="007406B5">
      <w:pPr>
        <w:pStyle w:val="LRIndentafterHC"/>
        <w:spacing w:before="0" w:after="260" w:line="280" w:lineRule="exact"/>
        <w:ind w:right="0"/>
        <w:jc w:val="both"/>
        <w:rPr>
          <w:rFonts w:ascii="Times New Roman" w:hAnsi="Times New Roman"/>
        </w:rPr>
      </w:pPr>
      <w:r w:rsidRPr="007406B5">
        <w:rPr>
          <w:rFonts w:ascii="Times New Roman" w:hAnsi="Times New Roman"/>
        </w:rPr>
        <w:t>"The evidence indicated that there were features of the locality which made the locality particularly susceptible to the effects of global warming. These features included the greater than average temperature increases in the locality as a result of global warming, as compared with average increases for the planet; the lack of altitude of coastal areas, with the consequence that any increase in sea level would have an immediate impact on the land in the vicinity; and the increased susceptibility of the locality to extreme weather events as a consequence of global warming."</w:t>
      </w:r>
    </w:p>
    <w:p w14:paraId="0E65970C" w14:textId="57AABC00" w:rsidR="00AE205E" w:rsidRPr="007406B5" w:rsidRDefault="008D0D4C" w:rsidP="007406B5">
      <w:pPr>
        <w:pStyle w:val="FixListStyle"/>
        <w:spacing w:after="260" w:line="280" w:lineRule="exact"/>
        <w:ind w:right="0"/>
        <w:jc w:val="both"/>
        <w:rPr>
          <w:rFonts w:ascii="Times New Roman" w:hAnsi="Times New Roman"/>
        </w:rPr>
      </w:pPr>
      <w:r w:rsidRPr="007406B5">
        <w:rPr>
          <w:rFonts w:ascii="Times New Roman" w:hAnsi="Times New Roman"/>
        </w:rPr>
        <w:tab/>
      </w:r>
      <w:r w:rsidR="008B1290" w:rsidRPr="007406B5">
        <w:rPr>
          <w:rFonts w:ascii="Times New Roman" w:hAnsi="Times New Roman"/>
        </w:rPr>
        <w:t>T</w:t>
      </w:r>
      <w:r w:rsidR="003070EB" w:rsidRPr="007406B5">
        <w:rPr>
          <w:rFonts w:ascii="Times New Roman" w:hAnsi="Times New Roman"/>
        </w:rPr>
        <w:t>he material before the Commission</w:t>
      </w:r>
      <w:r w:rsidR="002604D5" w:rsidRPr="007406B5">
        <w:rPr>
          <w:rFonts w:ascii="Times New Roman" w:hAnsi="Times New Roman"/>
        </w:rPr>
        <w:t>, however,</w:t>
      </w:r>
      <w:r w:rsidR="003070EB" w:rsidRPr="007406B5">
        <w:rPr>
          <w:rFonts w:ascii="Times New Roman" w:hAnsi="Times New Roman"/>
        </w:rPr>
        <w:t xml:space="preserve"> identified that the impacts of climate change are global and </w:t>
      </w:r>
      <w:r w:rsidR="008606B3" w:rsidRPr="007406B5">
        <w:rPr>
          <w:rFonts w:ascii="Times New Roman" w:hAnsi="Times New Roman"/>
        </w:rPr>
        <w:t xml:space="preserve">would </w:t>
      </w:r>
      <w:r w:rsidR="003070EB" w:rsidRPr="007406B5">
        <w:rPr>
          <w:rFonts w:ascii="Times New Roman" w:hAnsi="Times New Roman"/>
        </w:rPr>
        <w:t>be experienced in every location across the planet in one form or another</w:t>
      </w:r>
      <w:r w:rsidR="004B2F3E" w:rsidRPr="007406B5">
        <w:rPr>
          <w:rFonts w:ascii="Times New Roman" w:hAnsi="Times New Roman"/>
        </w:rPr>
        <w:t>,</w:t>
      </w:r>
      <w:r w:rsidR="002604D5" w:rsidRPr="007406B5">
        <w:rPr>
          <w:rFonts w:ascii="Times New Roman" w:hAnsi="Times New Roman"/>
        </w:rPr>
        <w:t xml:space="preserve"> including in the locality of the development.</w:t>
      </w:r>
      <w:r w:rsidR="00FF4D32" w:rsidRPr="007406B5">
        <w:rPr>
          <w:rFonts w:ascii="Times New Roman" w:hAnsi="Times New Roman"/>
        </w:rPr>
        <w:t xml:space="preserve"> </w:t>
      </w:r>
      <w:r w:rsidR="00EA75D1" w:rsidRPr="007406B5">
        <w:rPr>
          <w:rFonts w:ascii="Times New Roman" w:hAnsi="Times New Roman"/>
        </w:rPr>
        <w:t xml:space="preserve">That material included, for example, a report of </w:t>
      </w:r>
      <w:r w:rsidR="00154363" w:rsidRPr="007406B5">
        <w:rPr>
          <w:rFonts w:ascii="Times New Roman" w:hAnsi="Times New Roman"/>
        </w:rPr>
        <w:t>Professor Penny Sackett</w:t>
      </w:r>
      <w:r w:rsidR="009A2965" w:rsidRPr="007406B5">
        <w:rPr>
          <w:rFonts w:ascii="Times New Roman" w:hAnsi="Times New Roman"/>
        </w:rPr>
        <w:t xml:space="preserve"> which was lodged on behalf of DAMSHEG. This report </w:t>
      </w:r>
      <w:r w:rsidR="001A0D2D" w:rsidRPr="007406B5">
        <w:rPr>
          <w:rFonts w:ascii="Times New Roman" w:hAnsi="Times New Roman"/>
        </w:rPr>
        <w:t>identified</w:t>
      </w:r>
      <w:r w:rsidR="00CA1520" w:rsidRPr="007406B5">
        <w:rPr>
          <w:rFonts w:ascii="Times New Roman" w:hAnsi="Times New Roman"/>
        </w:rPr>
        <w:t xml:space="preserve"> that climate change was having </w:t>
      </w:r>
      <w:r w:rsidR="001A0D2D" w:rsidRPr="007406B5">
        <w:rPr>
          <w:rFonts w:ascii="Times New Roman" w:hAnsi="Times New Roman"/>
        </w:rPr>
        <w:t>irreversible</w:t>
      </w:r>
      <w:r w:rsidR="00CA1520" w:rsidRPr="007406B5">
        <w:rPr>
          <w:rFonts w:ascii="Times New Roman" w:hAnsi="Times New Roman"/>
        </w:rPr>
        <w:t xml:space="preserve"> effects on the </w:t>
      </w:r>
      <w:r w:rsidR="001A0D2D" w:rsidRPr="007406B5">
        <w:rPr>
          <w:rFonts w:ascii="Times New Roman" w:hAnsi="Times New Roman"/>
        </w:rPr>
        <w:t>earth's systems</w:t>
      </w:r>
      <w:r w:rsidR="00E616DB" w:rsidRPr="007406B5">
        <w:rPr>
          <w:rFonts w:ascii="Times New Roman" w:hAnsi="Times New Roman"/>
        </w:rPr>
        <w:t xml:space="preserve"> </w:t>
      </w:r>
      <w:r w:rsidR="00666DBC" w:rsidRPr="007406B5">
        <w:rPr>
          <w:rFonts w:ascii="Times New Roman" w:hAnsi="Times New Roman"/>
        </w:rPr>
        <w:t>as a whole</w:t>
      </w:r>
      <w:r w:rsidR="0018198A" w:rsidRPr="007406B5">
        <w:rPr>
          <w:rFonts w:ascii="Times New Roman" w:hAnsi="Times New Roman"/>
        </w:rPr>
        <w:t xml:space="preserve">. Specific climate change impacts Professor Sackett identified </w:t>
      </w:r>
      <w:r w:rsidR="00F3075C" w:rsidRPr="007406B5">
        <w:rPr>
          <w:rFonts w:ascii="Times New Roman" w:hAnsi="Times New Roman"/>
        </w:rPr>
        <w:t xml:space="preserve">across the globe </w:t>
      </w:r>
      <w:r w:rsidR="0018198A" w:rsidRPr="007406B5">
        <w:rPr>
          <w:rFonts w:ascii="Times New Roman" w:hAnsi="Times New Roman"/>
        </w:rPr>
        <w:t xml:space="preserve">included </w:t>
      </w:r>
      <w:r w:rsidR="003256DC" w:rsidRPr="007406B5">
        <w:rPr>
          <w:rFonts w:ascii="Times New Roman" w:hAnsi="Times New Roman"/>
        </w:rPr>
        <w:t>soaring temperatures in Death Valley in the U</w:t>
      </w:r>
      <w:r w:rsidR="006A0E43" w:rsidRPr="007406B5">
        <w:rPr>
          <w:rFonts w:ascii="Times New Roman" w:hAnsi="Times New Roman"/>
        </w:rPr>
        <w:t xml:space="preserve">nited </w:t>
      </w:r>
      <w:r w:rsidR="003256DC" w:rsidRPr="007406B5">
        <w:rPr>
          <w:rFonts w:ascii="Times New Roman" w:hAnsi="Times New Roman"/>
        </w:rPr>
        <w:t>S</w:t>
      </w:r>
      <w:r w:rsidR="006A0E43" w:rsidRPr="007406B5">
        <w:rPr>
          <w:rFonts w:ascii="Times New Roman" w:hAnsi="Times New Roman"/>
        </w:rPr>
        <w:t xml:space="preserve">tates of </w:t>
      </w:r>
      <w:r w:rsidR="003256DC" w:rsidRPr="007406B5">
        <w:rPr>
          <w:rFonts w:ascii="Times New Roman" w:hAnsi="Times New Roman"/>
        </w:rPr>
        <w:t>A</w:t>
      </w:r>
      <w:r w:rsidR="006A0E43" w:rsidRPr="007406B5">
        <w:rPr>
          <w:rFonts w:ascii="Times New Roman" w:hAnsi="Times New Roman"/>
        </w:rPr>
        <w:t>merica</w:t>
      </w:r>
      <w:r w:rsidR="003256DC" w:rsidRPr="007406B5">
        <w:rPr>
          <w:rFonts w:ascii="Times New Roman" w:hAnsi="Times New Roman"/>
        </w:rPr>
        <w:t xml:space="preserve">, record fires in South America, </w:t>
      </w:r>
      <w:r w:rsidR="003E7C22" w:rsidRPr="007406B5">
        <w:rPr>
          <w:rFonts w:ascii="Times New Roman" w:hAnsi="Times New Roman"/>
        </w:rPr>
        <w:t xml:space="preserve">the highest temperature yet recorded in Antarctica, </w:t>
      </w:r>
      <w:r w:rsidR="00CD3470" w:rsidRPr="007406B5">
        <w:rPr>
          <w:rFonts w:ascii="Times New Roman" w:hAnsi="Times New Roman"/>
        </w:rPr>
        <w:t xml:space="preserve">heatwaves in Canada, </w:t>
      </w:r>
      <w:r w:rsidR="00D77D7F" w:rsidRPr="007406B5">
        <w:rPr>
          <w:rFonts w:ascii="Times New Roman" w:hAnsi="Times New Roman"/>
        </w:rPr>
        <w:t xml:space="preserve">the strongest recorded landfall </w:t>
      </w:r>
      <w:r w:rsidR="00CD3470" w:rsidRPr="007406B5">
        <w:rPr>
          <w:rFonts w:ascii="Times New Roman" w:hAnsi="Times New Roman"/>
        </w:rPr>
        <w:t xml:space="preserve">cyclone in Somalia, </w:t>
      </w:r>
      <w:r w:rsidR="00D77D7F" w:rsidRPr="007406B5">
        <w:rPr>
          <w:rFonts w:ascii="Times New Roman" w:hAnsi="Times New Roman"/>
        </w:rPr>
        <w:t xml:space="preserve">record wildfires in California, </w:t>
      </w:r>
      <w:r w:rsidR="00991F8E" w:rsidRPr="007406B5">
        <w:rPr>
          <w:rFonts w:ascii="Times New Roman" w:hAnsi="Times New Roman"/>
        </w:rPr>
        <w:t xml:space="preserve">the strongest recorded super typhoon in the </w:t>
      </w:r>
      <w:r w:rsidR="00555103" w:rsidRPr="007406B5">
        <w:rPr>
          <w:rFonts w:ascii="Times New Roman" w:hAnsi="Times New Roman"/>
        </w:rPr>
        <w:t>Philippines</w:t>
      </w:r>
      <w:r w:rsidR="00991F8E" w:rsidRPr="007406B5">
        <w:rPr>
          <w:rFonts w:ascii="Times New Roman" w:hAnsi="Times New Roman"/>
        </w:rPr>
        <w:t xml:space="preserve">, </w:t>
      </w:r>
      <w:r w:rsidR="00555103" w:rsidRPr="007406B5">
        <w:rPr>
          <w:rFonts w:ascii="Times New Roman" w:hAnsi="Times New Roman"/>
        </w:rPr>
        <w:t xml:space="preserve">heatwaves and thawing permafrost in Siberia and </w:t>
      </w:r>
      <w:r w:rsidR="0088665C" w:rsidRPr="007406B5">
        <w:rPr>
          <w:rFonts w:ascii="Times New Roman" w:hAnsi="Times New Roman"/>
        </w:rPr>
        <w:t xml:space="preserve">likely </w:t>
      </w:r>
      <w:r w:rsidR="00555103" w:rsidRPr="007406B5">
        <w:rPr>
          <w:rFonts w:ascii="Times New Roman" w:hAnsi="Times New Roman"/>
        </w:rPr>
        <w:t>the highest temperature yet recorded in</w:t>
      </w:r>
      <w:r w:rsidR="00B838C3" w:rsidRPr="007406B5">
        <w:rPr>
          <w:rFonts w:ascii="Times New Roman" w:hAnsi="Times New Roman"/>
        </w:rPr>
        <w:t xml:space="preserve"> </w:t>
      </w:r>
      <w:r w:rsidR="00555103" w:rsidRPr="007406B5">
        <w:rPr>
          <w:rFonts w:ascii="Times New Roman" w:hAnsi="Times New Roman"/>
        </w:rPr>
        <w:t xml:space="preserve">the Arctic, </w:t>
      </w:r>
      <w:r w:rsidR="00214AA1" w:rsidRPr="007406B5">
        <w:rPr>
          <w:rFonts w:ascii="Times New Roman" w:hAnsi="Times New Roman"/>
        </w:rPr>
        <w:t xml:space="preserve">extreme rainfall in China, a megadrought in </w:t>
      </w:r>
      <w:r w:rsidR="00B838C3" w:rsidRPr="007406B5">
        <w:rPr>
          <w:rFonts w:ascii="Times New Roman" w:hAnsi="Times New Roman"/>
        </w:rPr>
        <w:t>North</w:t>
      </w:r>
      <w:r w:rsidR="00214AA1" w:rsidRPr="007406B5">
        <w:rPr>
          <w:rFonts w:ascii="Times New Roman" w:hAnsi="Times New Roman"/>
        </w:rPr>
        <w:t xml:space="preserve"> America, involving the </w:t>
      </w:r>
      <w:r w:rsidR="00FF4D32" w:rsidRPr="007406B5">
        <w:rPr>
          <w:rFonts w:ascii="Times New Roman" w:hAnsi="Times New Roman"/>
        </w:rPr>
        <w:t xml:space="preserve">driest </w:t>
      </w:r>
      <w:r w:rsidR="00214AA1" w:rsidRPr="007406B5">
        <w:rPr>
          <w:rFonts w:ascii="Times New Roman" w:hAnsi="Times New Roman"/>
        </w:rPr>
        <w:t xml:space="preserve">period in the southwestern region for </w:t>
      </w:r>
      <w:r w:rsidR="00B838C3" w:rsidRPr="007406B5">
        <w:rPr>
          <w:rFonts w:ascii="Times New Roman" w:hAnsi="Times New Roman"/>
        </w:rPr>
        <w:t xml:space="preserve">more than 1,200 years, and simultaneous heatwaves in 2022 </w:t>
      </w:r>
      <w:r w:rsidR="00EA219A" w:rsidRPr="007406B5">
        <w:rPr>
          <w:rFonts w:ascii="Times New Roman" w:hAnsi="Times New Roman"/>
        </w:rPr>
        <w:t xml:space="preserve">at both poles. </w:t>
      </w:r>
      <w:r w:rsidR="009B2C90" w:rsidRPr="007406B5">
        <w:rPr>
          <w:rFonts w:ascii="Times New Roman" w:hAnsi="Times New Roman"/>
        </w:rPr>
        <w:t xml:space="preserve">Professor Sackett also identified </w:t>
      </w:r>
      <w:r w:rsidR="00FF4D32" w:rsidRPr="007406B5">
        <w:rPr>
          <w:rFonts w:ascii="Times New Roman" w:hAnsi="Times New Roman"/>
        </w:rPr>
        <w:t xml:space="preserve">that </w:t>
      </w:r>
      <w:r w:rsidR="009B2C90" w:rsidRPr="007406B5">
        <w:rPr>
          <w:rFonts w:ascii="Times New Roman" w:hAnsi="Times New Roman"/>
        </w:rPr>
        <w:t xml:space="preserve">Australia as a whole is experiencing serious climate </w:t>
      </w:r>
      <w:r w:rsidR="001E7978" w:rsidRPr="007406B5">
        <w:rPr>
          <w:rFonts w:ascii="Times New Roman" w:hAnsi="Times New Roman"/>
        </w:rPr>
        <w:t>related</w:t>
      </w:r>
      <w:r w:rsidR="009B2C90" w:rsidRPr="007406B5">
        <w:rPr>
          <w:rFonts w:ascii="Times New Roman" w:hAnsi="Times New Roman"/>
        </w:rPr>
        <w:t xml:space="preserve"> impacts</w:t>
      </w:r>
      <w:r w:rsidR="00E13F13" w:rsidRPr="007406B5">
        <w:rPr>
          <w:rFonts w:ascii="Times New Roman" w:hAnsi="Times New Roman"/>
        </w:rPr>
        <w:t>,</w:t>
      </w:r>
      <w:r w:rsidR="009B2C90" w:rsidRPr="007406B5">
        <w:rPr>
          <w:rFonts w:ascii="Times New Roman" w:hAnsi="Times New Roman"/>
        </w:rPr>
        <w:t xml:space="preserve"> </w:t>
      </w:r>
      <w:r w:rsidR="001E7978" w:rsidRPr="007406B5">
        <w:rPr>
          <w:rFonts w:ascii="Times New Roman" w:hAnsi="Times New Roman"/>
        </w:rPr>
        <w:t>including</w:t>
      </w:r>
      <w:r w:rsidR="00362680" w:rsidRPr="007406B5">
        <w:rPr>
          <w:rFonts w:ascii="Times New Roman" w:hAnsi="Times New Roman"/>
        </w:rPr>
        <w:t xml:space="preserve"> substantially </w:t>
      </w:r>
      <w:r w:rsidR="001E7978" w:rsidRPr="007406B5">
        <w:rPr>
          <w:rFonts w:ascii="Times New Roman" w:hAnsi="Times New Roman"/>
        </w:rPr>
        <w:t>increased</w:t>
      </w:r>
      <w:r w:rsidR="00362680" w:rsidRPr="007406B5">
        <w:rPr>
          <w:rFonts w:ascii="Times New Roman" w:hAnsi="Times New Roman"/>
        </w:rPr>
        <w:t xml:space="preserve"> temperatures, </w:t>
      </w:r>
      <w:r w:rsidR="001E7978" w:rsidRPr="007406B5">
        <w:rPr>
          <w:rFonts w:ascii="Times New Roman" w:hAnsi="Times New Roman"/>
        </w:rPr>
        <w:t>extreme</w:t>
      </w:r>
      <w:r w:rsidR="009D1444" w:rsidRPr="007406B5">
        <w:rPr>
          <w:rFonts w:ascii="Times New Roman" w:hAnsi="Times New Roman"/>
        </w:rPr>
        <w:t xml:space="preserve"> fire events, heavier </w:t>
      </w:r>
      <w:r w:rsidR="001E7978" w:rsidRPr="007406B5">
        <w:rPr>
          <w:rFonts w:ascii="Times New Roman" w:hAnsi="Times New Roman"/>
        </w:rPr>
        <w:t>rainfall</w:t>
      </w:r>
      <w:r w:rsidR="009D1444" w:rsidRPr="007406B5">
        <w:rPr>
          <w:rFonts w:ascii="Times New Roman" w:hAnsi="Times New Roman"/>
        </w:rPr>
        <w:t xml:space="preserve"> and unprecedented flooding</w:t>
      </w:r>
      <w:r w:rsidR="000E676C" w:rsidRPr="007406B5">
        <w:rPr>
          <w:rFonts w:ascii="Times New Roman" w:hAnsi="Times New Roman"/>
        </w:rPr>
        <w:t xml:space="preserve">, ocean warming, ocean acidity, </w:t>
      </w:r>
      <w:r w:rsidR="001E7978" w:rsidRPr="007406B5">
        <w:rPr>
          <w:rFonts w:ascii="Times New Roman" w:hAnsi="Times New Roman"/>
        </w:rPr>
        <w:t>f</w:t>
      </w:r>
      <w:r w:rsidR="000E676C" w:rsidRPr="007406B5">
        <w:rPr>
          <w:rFonts w:ascii="Times New Roman" w:hAnsi="Times New Roman"/>
        </w:rPr>
        <w:t xml:space="preserve">lash droughts, </w:t>
      </w:r>
      <w:r w:rsidR="001E7978" w:rsidRPr="007406B5">
        <w:rPr>
          <w:rFonts w:ascii="Times New Roman" w:hAnsi="Times New Roman"/>
        </w:rPr>
        <w:t>and extreme</w:t>
      </w:r>
      <w:r w:rsidR="000E676C" w:rsidRPr="007406B5">
        <w:rPr>
          <w:rFonts w:ascii="Times New Roman" w:hAnsi="Times New Roman"/>
        </w:rPr>
        <w:t xml:space="preserve"> weather disasters</w:t>
      </w:r>
      <w:r w:rsidR="001E7978" w:rsidRPr="007406B5">
        <w:rPr>
          <w:rFonts w:ascii="Times New Roman" w:hAnsi="Times New Roman"/>
        </w:rPr>
        <w:t xml:space="preserve">. </w:t>
      </w:r>
      <w:r w:rsidR="00722E3C" w:rsidRPr="007406B5">
        <w:rPr>
          <w:rFonts w:ascii="Times New Roman" w:hAnsi="Times New Roman"/>
        </w:rPr>
        <w:t xml:space="preserve">Professor Sackett said that New </w:t>
      </w:r>
      <w:r w:rsidR="00F420CF" w:rsidRPr="007406B5">
        <w:rPr>
          <w:rFonts w:ascii="Times New Roman" w:hAnsi="Times New Roman"/>
        </w:rPr>
        <w:t>S</w:t>
      </w:r>
      <w:r w:rsidR="00722E3C" w:rsidRPr="007406B5">
        <w:rPr>
          <w:rFonts w:ascii="Times New Roman" w:hAnsi="Times New Roman"/>
        </w:rPr>
        <w:t>outh Wales</w:t>
      </w:r>
      <w:r w:rsidR="001F3573" w:rsidRPr="007406B5">
        <w:rPr>
          <w:rFonts w:ascii="Times New Roman" w:hAnsi="Times New Roman"/>
        </w:rPr>
        <w:t xml:space="preserve"> </w:t>
      </w:r>
      <w:r w:rsidR="00F420CF" w:rsidRPr="007406B5">
        <w:rPr>
          <w:rFonts w:ascii="Times New Roman" w:hAnsi="Times New Roman"/>
        </w:rPr>
        <w:t xml:space="preserve">had experienced </w:t>
      </w:r>
      <w:r w:rsidR="00C16EEB" w:rsidRPr="007406B5">
        <w:rPr>
          <w:rFonts w:ascii="Times New Roman" w:hAnsi="Times New Roman"/>
        </w:rPr>
        <w:t xml:space="preserve">most of </w:t>
      </w:r>
      <w:r w:rsidR="00F420CF" w:rsidRPr="007406B5">
        <w:rPr>
          <w:rFonts w:ascii="Times New Roman" w:hAnsi="Times New Roman"/>
        </w:rPr>
        <w:t>the phenomena described</w:t>
      </w:r>
      <w:r w:rsidR="00AE2EC4" w:rsidRPr="007406B5">
        <w:rPr>
          <w:rFonts w:ascii="Times New Roman" w:hAnsi="Times New Roman"/>
        </w:rPr>
        <w:t xml:space="preserve"> in respect of Australia.</w:t>
      </w:r>
      <w:r w:rsidR="00F420CF" w:rsidRPr="007406B5">
        <w:rPr>
          <w:rFonts w:ascii="Times New Roman" w:hAnsi="Times New Roman"/>
        </w:rPr>
        <w:t xml:space="preserve"> </w:t>
      </w:r>
      <w:r w:rsidR="00EA6551" w:rsidRPr="007406B5">
        <w:rPr>
          <w:rFonts w:ascii="Times New Roman" w:hAnsi="Times New Roman"/>
        </w:rPr>
        <w:t>In respect of the Hunter region</w:t>
      </w:r>
      <w:r w:rsidR="00EF22D4" w:rsidRPr="007406B5">
        <w:rPr>
          <w:rFonts w:ascii="Times New Roman" w:hAnsi="Times New Roman"/>
        </w:rPr>
        <w:t>,</w:t>
      </w:r>
      <w:r w:rsidR="00EA6551" w:rsidRPr="007406B5">
        <w:rPr>
          <w:rFonts w:ascii="Times New Roman" w:hAnsi="Times New Roman"/>
        </w:rPr>
        <w:t xml:space="preserve"> in which the development is located, </w:t>
      </w:r>
      <w:r w:rsidR="002E28E4" w:rsidRPr="007406B5">
        <w:rPr>
          <w:rFonts w:ascii="Times New Roman" w:hAnsi="Times New Roman"/>
        </w:rPr>
        <w:t xml:space="preserve">Professor Sackett said that harsher fire </w:t>
      </w:r>
      <w:r w:rsidR="002E28E4" w:rsidRPr="007406B5">
        <w:rPr>
          <w:rFonts w:ascii="Times New Roman" w:hAnsi="Times New Roman"/>
        </w:rPr>
        <w:lastRenderedPageBreak/>
        <w:t>weather</w:t>
      </w:r>
      <w:r w:rsidR="004D4B15" w:rsidRPr="007406B5">
        <w:rPr>
          <w:rFonts w:ascii="Times New Roman" w:hAnsi="Times New Roman"/>
        </w:rPr>
        <w:t>,</w:t>
      </w:r>
      <w:r w:rsidR="0012586F" w:rsidRPr="007406B5">
        <w:rPr>
          <w:rFonts w:ascii="Times New Roman" w:hAnsi="Times New Roman"/>
        </w:rPr>
        <w:t xml:space="preserve"> </w:t>
      </w:r>
      <w:r w:rsidR="00C55913" w:rsidRPr="007406B5">
        <w:rPr>
          <w:rFonts w:ascii="Times New Roman" w:hAnsi="Times New Roman"/>
        </w:rPr>
        <w:t xml:space="preserve">increased intensity of </w:t>
      </w:r>
      <w:r w:rsidR="00F62E72" w:rsidRPr="007406B5">
        <w:rPr>
          <w:rFonts w:ascii="Times New Roman" w:hAnsi="Times New Roman"/>
        </w:rPr>
        <w:t>extreme</w:t>
      </w:r>
      <w:r w:rsidR="00C55913" w:rsidRPr="007406B5">
        <w:rPr>
          <w:rFonts w:ascii="Times New Roman" w:hAnsi="Times New Roman"/>
        </w:rPr>
        <w:t xml:space="preserve"> </w:t>
      </w:r>
      <w:r w:rsidR="00F62E72" w:rsidRPr="007406B5">
        <w:rPr>
          <w:rFonts w:ascii="Times New Roman" w:hAnsi="Times New Roman"/>
        </w:rPr>
        <w:t>r</w:t>
      </w:r>
      <w:r w:rsidR="00C55913" w:rsidRPr="007406B5">
        <w:rPr>
          <w:rFonts w:ascii="Times New Roman" w:hAnsi="Times New Roman"/>
        </w:rPr>
        <w:t xml:space="preserve">ainfall events and </w:t>
      </w:r>
      <w:r w:rsidR="00F62E72" w:rsidRPr="007406B5">
        <w:rPr>
          <w:rFonts w:ascii="Times New Roman" w:hAnsi="Times New Roman"/>
        </w:rPr>
        <w:t xml:space="preserve">extreme sea level events could be expected. </w:t>
      </w:r>
    </w:p>
    <w:p w14:paraId="6DD772E4" w14:textId="330ACDE9" w:rsidR="00F62E72" w:rsidRPr="007406B5" w:rsidRDefault="00F62E72" w:rsidP="007406B5">
      <w:pPr>
        <w:pStyle w:val="FixListStyle"/>
        <w:spacing w:after="260" w:line="280" w:lineRule="exact"/>
        <w:ind w:right="0"/>
        <w:jc w:val="both"/>
        <w:rPr>
          <w:rFonts w:ascii="Times New Roman" w:hAnsi="Times New Roman"/>
        </w:rPr>
      </w:pPr>
      <w:r w:rsidRPr="007406B5">
        <w:rPr>
          <w:rFonts w:ascii="Times New Roman" w:hAnsi="Times New Roman"/>
        </w:rPr>
        <w:tab/>
      </w:r>
      <w:r w:rsidR="008A003D" w:rsidRPr="007406B5">
        <w:rPr>
          <w:rFonts w:ascii="Times New Roman" w:hAnsi="Times New Roman"/>
        </w:rPr>
        <w:t xml:space="preserve">On </w:t>
      </w:r>
      <w:r w:rsidR="00985AFE" w:rsidRPr="007406B5">
        <w:rPr>
          <w:rFonts w:ascii="Times New Roman" w:hAnsi="Times New Roman"/>
        </w:rPr>
        <w:t>the proper construction of s 4.15(</w:t>
      </w:r>
      <w:r w:rsidR="005D6F06" w:rsidRPr="007406B5">
        <w:rPr>
          <w:rFonts w:ascii="Times New Roman" w:hAnsi="Times New Roman"/>
        </w:rPr>
        <w:t>1</w:t>
      </w:r>
      <w:r w:rsidR="00985AFE" w:rsidRPr="007406B5">
        <w:rPr>
          <w:rFonts w:ascii="Times New Roman" w:hAnsi="Times New Roman"/>
        </w:rPr>
        <w:t xml:space="preserve">)(b), </w:t>
      </w:r>
      <w:r w:rsidR="00C92E7E" w:rsidRPr="007406B5">
        <w:rPr>
          <w:rFonts w:ascii="Times New Roman" w:hAnsi="Times New Roman"/>
        </w:rPr>
        <w:t xml:space="preserve">the </w:t>
      </w:r>
      <w:r w:rsidR="004B6914" w:rsidRPr="007406B5">
        <w:rPr>
          <w:rFonts w:ascii="Times New Roman" w:hAnsi="Times New Roman"/>
        </w:rPr>
        <w:t xml:space="preserve">question </w:t>
      </w:r>
      <w:r w:rsidR="00F12512" w:rsidRPr="007406B5">
        <w:rPr>
          <w:rFonts w:ascii="Times New Roman" w:hAnsi="Times New Roman"/>
        </w:rPr>
        <w:t>of</w:t>
      </w:r>
      <w:r w:rsidR="002A6F53" w:rsidRPr="007406B5">
        <w:rPr>
          <w:rFonts w:ascii="Times New Roman" w:hAnsi="Times New Roman"/>
        </w:rPr>
        <w:t xml:space="preserve"> </w:t>
      </w:r>
      <w:r w:rsidR="00F12512" w:rsidRPr="007406B5">
        <w:rPr>
          <w:rFonts w:ascii="Times New Roman" w:hAnsi="Times New Roman"/>
        </w:rPr>
        <w:t xml:space="preserve">fact </w:t>
      </w:r>
      <w:r w:rsidR="004B6914" w:rsidRPr="007406B5">
        <w:rPr>
          <w:rFonts w:ascii="Times New Roman" w:hAnsi="Times New Roman"/>
        </w:rPr>
        <w:t xml:space="preserve">whether the </w:t>
      </w:r>
      <w:r w:rsidR="002F7513" w:rsidRPr="007406B5">
        <w:rPr>
          <w:rFonts w:ascii="Times New Roman" w:hAnsi="Times New Roman"/>
        </w:rPr>
        <w:t xml:space="preserve">development's contribution to the likely global impact of climate change would be </w:t>
      </w:r>
      <w:r w:rsidR="004B6914" w:rsidRPr="007406B5">
        <w:rPr>
          <w:rFonts w:ascii="Times New Roman" w:hAnsi="Times New Roman"/>
        </w:rPr>
        <w:t>"disproportionately felt in the locality of the project"</w:t>
      </w:r>
      <w:r w:rsidR="002F7513" w:rsidRPr="007406B5">
        <w:rPr>
          <w:rFonts w:ascii="Times New Roman" w:hAnsi="Times New Roman"/>
        </w:rPr>
        <w:t xml:space="preserve"> </w:t>
      </w:r>
      <w:r w:rsidR="00D56B4E" w:rsidRPr="007406B5">
        <w:rPr>
          <w:rFonts w:ascii="Times New Roman" w:hAnsi="Times New Roman"/>
        </w:rPr>
        <w:t xml:space="preserve">was </w:t>
      </w:r>
      <w:r w:rsidR="00454C00" w:rsidRPr="007406B5">
        <w:rPr>
          <w:rFonts w:ascii="Times New Roman" w:hAnsi="Times New Roman"/>
        </w:rPr>
        <w:t>not a matter for a court to decide</w:t>
      </w:r>
      <w:r w:rsidR="00F12512" w:rsidRPr="007406B5">
        <w:rPr>
          <w:rFonts w:ascii="Times New Roman" w:hAnsi="Times New Roman"/>
        </w:rPr>
        <w:t>.</w:t>
      </w:r>
      <w:r w:rsidR="00454C00" w:rsidRPr="007406B5">
        <w:rPr>
          <w:rFonts w:ascii="Times New Roman" w:hAnsi="Times New Roman"/>
        </w:rPr>
        <w:t xml:space="preserve"> </w:t>
      </w:r>
      <w:r w:rsidR="00635EC8" w:rsidRPr="007406B5">
        <w:rPr>
          <w:rFonts w:ascii="Times New Roman" w:hAnsi="Times New Roman"/>
        </w:rPr>
        <w:t>That question of fact was not</w:t>
      </w:r>
      <w:r w:rsidR="00992430" w:rsidRPr="007406B5">
        <w:rPr>
          <w:rFonts w:ascii="Times New Roman" w:hAnsi="Times New Roman"/>
        </w:rPr>
        <w:t xml:space="preserve">, in and of itself, a mandatory relevant consideration by reason of s 4.15(1)(b). </w:t>
      </w:r>
      <w:r w:rsidR="00866303" w:rsidRPr="007406B5">
        <w:rPr>
          <w:rFonts w:ascii="Times New Roman" w:hAnsi="Times New Roman"/>
        </w:rPr>
        <w:t>And if it had been a mandatory relevant consideration under s 4.15(1)(a)-(e)</w:t>
      </w:r>
      <w:r w:rsidR="00AA4FCE" w:rsidRPr="007406B5">
        <w:rPr>
          <w:rFonts w:ascii="Times New Roman" w:hAnsi="Times New Roman"/>
        </w:rPr>
        <w:t xml:space="preserve">, the answer to that question would have been for the </w:t>
      </w:r>
      <w:r w:rsidR="00C92E7E" w:rsidRPr="007406B5">
        <w:rPr>
          <w:rFonts w:ascii="Times New Roman" w:hAnsi="Times New Roman"/>
        </w:rPr>
        <w:t xml:space="preserve">Commission </w:t>
      </w:r>
      <w:r w:rsidR="00AA4FCE" w:rsidRPr="007406B5">
        <w:rPr>
          <w:rFonts w:ascii="Times New Roman" w:hAnsi="Times New Roman"/>
        </w:rPr>
        <w:t xml:space="preserve">to decide </w:t>
      </w:r>
      <w:r w:rsidR="008E0F91" w:rsidRPr="007406B5">
        <w:rPr>
          <w:rFonts w:ascii="Times New Roman" w:hAnsi="Times New Roman"/>
        </w:rPr>
        <w:t>for itself</w:t>
      </w:r>
      <w:r w:rsidR="00665183" w:rsidRPr="007406B5">
        <w:rPr>
          <w:rFonts w:ascii="Times New Roman" w:hAnsi="Times New Roman"/>
        </w:rPr>
        <w:t xml:space="preserve"> (reasonably and rationally having regard to the material before it).</w:t>
      </w:r>
      <w:r w:rsidR="008E0F91" w:rsidRPr="007406B5">
        <w:rPr>
          <w:rFonts w:ascii="Times New Roman" w:hAnsi="Times New Roman"/>
        </w:rPr>
        <w:t xml:space="preserve"> </w:t>
      </w:r>
    </w:p>
    <w:p w14:paraId="57BC6C2E" w14:textId="25636AEE" w:rsidR="00FD21F9" w:rsidRPr="007406B5" w:rsidRDefault="00FD21F9" w:rsidP="007406B5">
      <w:pPr>
        <w:pStyle w:val="FixListStyle"/>
        <w:spacing w:after="260" w:line="280" w:lineRule="exact"/>
        <w:ind w:right="0"/>
        <w:jc w:val="both"/>
        <w:rPr>
          <w:rFonts w:ascii="Times New Roman" w:hAnsi="Times New Roman"/>
        </w:rPr>
      </w:pPr>
      <w:r w:rsidRPr="007406B5">
        <w:rPr>
          <w:rFonts w:ascii="Times New Roman" w:hAnsi="Times New Roman"/>
        </w:rPr>
        <w:tab/>
      </w:r>
      <w:r w:rsidR="00A4528E" w:rsidRPr="007406B5">
        <w:rPr>
          <w:rFonts w:ascii="Times New Roman" w:hAnsi="Times New Roman"/>
        </w:rPr>
        <w:t xml:space="preserve">The </w:t>
      </w:r>
      <w:r w:rsidR="00AC546B" w:rsidRPr="007406B5">
        <w:rPr>
          <w:rFonts w:ascii="Times New Roman" w:hAnsi="Times New Roman"/>
        </w:rPr>
        <w:t xml:space="preserve">proper construction of s 4.15(1)(b) also </w:t>
      </w:r>
      <w:r w:rsidR="004A4E7A" w:rsidRPr="007406B5">
        <w:rPr>
          <w:rFonts w:ascii="Times New Roman" w:hAnsi="Times New Roman"/>
        </w:rPr>
        <w:t xml:space="preserve">determines </w:t>
      </w:r>
      <w:r w:rsidR="001A0A27" w:rsidRPr="007406B5">
        <w:rPr>
          <w:rFonts w:ascii="Times New Roman" w:hAnsi="Times New Roman"/>
        </w:rPr>
        <w:t xml:space="preserve">that </w:t>
      </w:r>
      <w:r w:rsidR="004A4E7A" w:rsidRPr="007406B5">
        <w:rPr>
          <w:rFonts w:ascii="Times New Roman" w:hAnsi="Times New Roman"/>
        </w:rPr>
        <w:t xml:space="preserve">the </w:t>
      </w:r>
      <w:r w:rsidR="00C52D26" w:rsidRPr="007406B5">
        <w:rPr>
          <w:rFonts w:ascii="Times New Roman" w:hAnsi="Times New Roman"/>
        </w:rPr>
        <w:t xml:space="preserve">true </w:t>
      </w:r>
      <w:r w:rsidR="004A4E7A" w:rsidRPr="007406B5">
        <w:rPr>
          <w:rFonts w:ascii="Times New Roman" w:hAnsi="Times New Roman"/>
        </w:rPr>
        <w:t xml:space="preserve">question of fact </w:t>
      </w:r>
      <w:r w:rsidR="00093D83" w:rsidRPr="007406B5">
        <w:rPr>
          <w:rFonts w:ascii="Times New Roman" w:hAnsi="Times New Roman"/>
        </w:rPr>
        <w:t>for decision by a court</w:t>
      </w:r>
      <w:r w:rsidR="001B168E" w:rsidRPr="007406B5">
        <w:rPr>
          <w:rFonts w:ascii="Times New Roman" w:hAnsi="Times New Roman"/>
        </w:rPr>
        <w:t> – </w:t>
      </w:r>
      <w:r w:rsidR="00A4528E" w:rsidRPr="007406B5">
        <w:rPr>
          <w:rFonts w:ascii="Times New Roman" w:hAnsi="Times New Roman"/>
        </w:rPr>
        <w:t xml:space="preserve">did the </w:t>
      </w:r>
      <w:r w:rsidR="001B7839" w:rsidRPr="007406B5">
        <w:rPr>
          <w:rFonts w:ascii="Times New Roman" w:hAnsi="Times New Roman"/>
        </w:rPr>
        <w:t>Commission</w:t>
      </w:r>
      <w:r w:rsidR="00A4528E" w:rsidRPr="007406B5">
        <w:rPr>
          <w:rFonts w:ascii="Times New Roman" w:hAnsi="Times New Roman"/>
        </w:rPr>
        <w:t xml:space="preserve"> </w:t>
      </w:r>
      <w:r w:rsidR="004A4E7A" w:rsidRPr="007406B5">
        <w:rPr>
          <w:rFonts w:ascii="Times New Roman" w:hAnsi="Times New Roman"/>
        </w:rPr>
        <w:t xml:space="preserve">consider </w:t>
      </w:r>
      <w:r w:rsidR="00A4528E" w:rsidRPr="007406B5">
        <w:rPr>
          <w:rFonts w:ascii="Times New Roman" w:hAnsi="Times New Roman"/>
        </w:rPr>
        <w:t xml:space="preserve">the </w:t>
      </w:r>
      <w:r w:rsidR="00C05EE8" w:rsidRPr="007406B5">
        <w:rPr>
          <w:rFonts w:ascii="Times New Roman" w:hAnsi="Times New Roman"/>
        </w:rPr>
        <w:t>likely impacts of the development</w:t>
      </w:r>
      <w:r w:rsidR="00DB1B1F" w:rsidRPr="007406B5">
        <w:rPr>
          <w:rFonts w:ascii="Times New Roman" w:hAnsi="Times New Roman"/>
        </w:rPr>
        <w:t xml:space="preserve"> in the form of climate change impacts in</w:t>
      </w:r>
      <w:r w:rsidR="00AC5A34" w:rsidRPr="007406B5">
        <w:rPr>
          <w:rFonts w:ascii="Times New Roman" w:hAnsi="Times New Roman"/>
        </w:rPr>
        <w:t>cluding in</w:t>
      </w:r>
      <w:r w:rsidR="00DB1B1F" w:rsidRPr="007406B5">
        <w:rPr>
          <w:rFonts w:ascii="Times New Roman" w:hAnsi="Times New Roman"/>
        </w:rPr>
        <w:t xml:space="preserve"> the locality of the development</w:t>
      </w:r>
      <w:r w:rsidR="00C873B8" w:rsidRPr="007406B5">
        <w:rPr>
          <w:rFonts w:ascii="Times New Roman" w:hAnsi="Times New Roman"/>
        </w:rPr>
        <w:t> – </w:t>
      </w:r>
      <w:r w:rsidR="001A0A27" w:rsidRPr="007406B5">
        <w:rPr>
          <w:rFonts w:ascii="Times New Roman" w:hAnsi="Times New Roman"/>
        </w:rPr>
        <w:t xml:space="preserve">must be answered in the affirmative. </w:t>
      </w:r>
      <w:r w:rsidR="00A77EE7" w:rsidRPr="007406B5">
        <w:rPr>
          <w:rFonts w:ascii="Times New Roman" w:hAnsi="Times New Roman"/>
        </w:rPr>
        <w:t xml:space="preserve">On </w:t>
      </w:r>
      <w:r w:rsidR="00E0084E" w:rsidRPr="007406B5">
        <w:rPr>
          <w:rFonts w:ascii="Times New Roman" w:hAnsi="Times New Roman"/>
        </w:rPr>
        <w:t xml:space="preserve">the Court of Appeal's </w:t>
      </w:r>
      <w:r w:rsidR="00A77EE7" w:rsidRPr="007406B5">
        <w:rPr>
          <w:rFonts w:ascii="Times New Roman" w:hAnsi="Times New Roman"/>
        </w:rPr>
        <w:t>construction</w:t>
      </w:r>
      <w:r w:rsidR="00FC37F6" w:rsidRPr="007406B5">
        <w:rPr>
          <w:rFonts w:ascii="Times New Roman" w:hAnsi="Times New Roman"/>
        </w:rPr>
        <w:t>,</w:t>
      </w:r>
      <w:r w:rsidR="00E0084E" w:rsidRPr="007406B5">
        <w:rPr>
          <w:rFonts w:ascii="Times New Roman" w:hAnsi="Times New Roman"/>
        </w:rPr>
        <w:t xml:space="preserve"> </w:t>
      </w:r>
      <w:r w:rsidR="008124EA" w:rsidRPr="007406B5">
        <w:rPr>
          <w:rFonts w:ascii="Times New Roman" w:hAnsi="Times New Roman"/>
        </w:rPr>
        <w:t>in which</w:t>
      </w:r>
      <w:r w:rsidR="00A77EE7" w:rsidRPr="007406B5">
        <w:rPr>
          <w:rFonts w:ascii="Times New Roman" w:hAnsi="Times New Roman"/>
        </w:rPr>
        <w:t xml:space="preserve"> </w:t>
      </w:r>
      <w:r w:rsidR="008124EA" w:rsidRPr="007406B5">
        <w:rPr>
          <w:rFonts w:ascii="Times New Roman" w:hAnsi="Times New Roman"/>
        </w:rPr>
        <w:t xml:space="preserve">the locality was held to be central or essential to </w:t>
      </w:r>
      <w:r w:rsidR="006F4214" w:rsidRPr="007406B5">
        <w:rPr>
          <w:rFonts w:ascii="Times New Roman" w:hAnsi="Times New Roman"/>
        </w:rPr>
        <w:t xml:space="preserve">s 4.15(1)(b), </w:t>
      </w:r>
      <w:r w:rsidR="008124EA" w:rsidRPr="007406B5">
        <w:rPr>
          <w:rFonts w:ascii="Times New Roman" w:hAnsi="Times New Roman"/>
        </w:rPr>
        <w:t xml:space="preserve">the </w:t>
      </w:r>
      <w:r w:rsidR="006F4214" w:rsidRPr="007406B5">
        <w:rPr>
          <w:rFonts w:ascii="Times New Roman" w:hAnsi="Times New Roman"/>
        </w:rPr>
        <w:t xml:space="preserve">Court of Appeal inferred that the Commission had not considered those likely </w:t>
      </w:r>
      <w:r w:rsidR="006F2BA6" w:rsidRPr="007406B5">
        <w:rPr>
          <w:rFonts w:ascii="Times New Roman" w:hAnsi="Times New Roman"/>
        </w:rPr>
        <w:t xml:space="preserve">local </w:t>
      </w:r>
      <w:r w:rsidR="006F4214" w:rsidRPr="007406B5">
        <w:rPr>
          <w:rFonts w:ascii="Times New Roman" w:hAnsi="Times New Roman"/>
        </w:rPr>
        <w:t xml:space="preserve">impacts </w:t>
      </w:r>
      <w:r w:rsidR="00A77EE7" w:rsidRPr="007406B5">
        <w:rPr>
          <w:rFonts w:ascii="Times New Roman" w:hAnsi="Times New Roman"/>
        </w:rPr>
        <w:t xml:space="preserve">as </w:t>
      </w:r>
      <w:r w:rsidR="00DB1B1F" w:rsidRPr="007406B5">
        <w:rPr>
          <w:rFonts w:ascii="Times New Roman" w:hAnsi="Times New Roman"/>
        </w:rPr>
        <w:t xml:space="preserve">the </w:t>
      </w:r>
      <w:r w:rsidR="001B7839" w:rsidRPr="007406B5">
        <w:rPr>
          <w:rFonts w:ascii="Times New Roman" w:hAnsi="Times New Roman"/>
        </w:rPr>
        <w:t>Commission</w:t>
      </w:r>
      <w:r w:rsidR="00DB1B1F" w:rsidRPr="007406B5">
        <w:rPr>
          <w:rFonts w:ascii="Times New Roman" w:hAnsi="Times New Roman"/>
        </w:rPr>
        <w:t xml:space="preserve"> </w:t>
      </w:r>
      <w:r w:rsidR="00EB58F7" w:rsidRPr="007406B5">
        <w:rPr>
          <w:rFonts w:ascii="Times New Roman" w:hAnsi="Times New Roman"/>
        </w:rPr>
        <w:t xml:space="preserve">did not </w:t>
      </w:r>
      <w:r w:rsidR="006F2BA6" w:rsidRPr="007406B5">
        <w:rPr>
          <w:rFonts w:ascii="Times New Roman" w:hAnsi="Times New Roman"/>
        </w:rPr>
        <w:t xml:space="preserve">expressly </w:t>
      </w:r>
      <w:r w:rsidR="00EB58F7" w:rsidRPr="007406B5">
        <w:rPr>
          <w:rFonts w:ascii="Times New Roman" w:hAnsi="Times New Roman"/>
        </w:rPr>
        <w:t xml:space="preserve">refer to </w:t>
      </w:r>
      <w:r w:rsidR="006F2BA6" w:rsidRPr="007406B5">
        <w:rPr>
          <w:rFonts w:ascii="Times New Roman" w:hAnsi="Times New Roman"/>
        </w:rPr>
        <w:t xml:space="preserve">them. </w:t>
      </w:r>
      <w:r w:rsidR="00BE7864" w:rsidRPr="007406B5">
        <w:rPr>
          <w:rFonts w:ascii="Times New Roman" w:hAnsi="Times New Roman"/>
        </w:rPr>
        <w:t>However, o</w:t>
      </w:r>
      <w:r w:rsidR="00A77EE7" w:rsidRPr="007406B5">
        <w:rPr>
          <w:rFonts w:ascii="Times New Roman" w:hAnsi="Times New Roman"/>
        </w:rPr>
        <w:t>n the proper construction of s 4.15(1)(b), n</w:t>
      </w:r>
      <w:r w:rsidR="00735B8C" w:rsidRPr="007406B5">
        <w:rPr>
          <w:rFonts w:ascii="Times New Roman" w:hAnsi="Times New Roman"/>
        </w:rPr>
        <w:t xml:space="preserve">o such inference is open. </w:t>
      </w:r>
      <w:r w:rsidR="008929FD" w:rsidRPr="007406B5">
        <w:rPr>
          <w:rFonts w:ascii="Times New Roman" w:hAnsi="Times New Roman"/>
        </w:rPr>
        <w:t xml:space="preserve">Nor did the fact that some material before the </w:t>
      </w:r>
      <w:r w:rsidR="001B7839" w:rsidRPr="007406B5">
        <w:rPr>
          <w:rFonts w:ascii="Times New Roman" w:hAnsi="Times New Roman"/>
        </w:rPr>
        <w:t>Commission</w:t>
      </w:r>
      <w:r w:rsidR="008929FD" w:rsidRPr="007406B5">
        <w:rPr>
          <w:rFonts w:ascii="Times New Roman" w:hAnsi="Times New Roman"/>
        </w:rPr>
        <w:t xml:space="preserve"> said that New South Wales and the Hunter region were particularly vulnerable to the impacts of increased bushfire risks and heavy rainfall events </w:t>
      </w:r>
      <w:r w:rsidR="00CF43C7" w:rsidRPr="007406B5">
        <w:rPr>
          <w:rFonts w:ascii="Times New Roman" w:hAnsi="Times New Roman"/>
        </w:rPr>
        <w:t xml:space="preserve">resulting from climate change </w:t>
      </w:r>
      <w:r w:rsidR="00850BA9" w:rsidRPr="007406B5">
        <w:rPr>
          <w:rFonts w:ascii="Times New Roman" w:hAnsi="Times New Roman"/>
        </w:rPr>
        <w:t xml:space="preserve">compared to other parts of Australia </w:t>
      </w:r>
      <w:r w:rsidR="004410DF" w:rsidRPr="007406B5">
        <w:rPr>
          <w:rFonts w:ascii="Times New Roman" w:hAnsi="Times New Roman"/>
        </w:rPr>
        <w:t>mean</w:t>
      </w:r>
      <w:r w:rsidR="00CF43C7" w:rsidRPr="007406B5">
        <w:rPr>
          <w:rFonts w:ascii="Times New Roman" w:hAnsi="Times New Roman"/>
        </w:rPr>
        <w:t xml:space="preserve"> that the </w:t>
      </w:r>
      <w:r w:rsidR="001B7839" w:rsidRPr="007406B5">
        <w:rPr>
          <w:rFonts w:ascii="Times New Roman" w:hAnsi="Times New Roman"/>
        </w:rPr>
        <w:t>Commission</w:t>
      </w:r>
      <w:r w:rsidR="00CF43C7" w:rsidRPr="007406B5">
        <w:rPr>
          <w:rFonts w:ascii="Times New Roman" w:hAnsi="Times New Roman"/>
        </w:rPr>
        <w:t xml:space="preserve"> was required </w:t>
      </w:r>
      <w:r w:rsidR="00EC62E4" w:rsidRPr="007406B5">
        <w:rPr>
          <w:rFonts w:ascii="Times New Roman" w:hAnsi="Times New Roman"/>
        </w:rPr>
        <w:t xml:space="preserve">by s 4.15(1)(b) </w:t>
      </w:r>
      <w:r w:rsidR="00CF43C7" w:rsidRPr="007406B5">
        <w:rPr>
          <w:rFonts w:ascii="Times New Roman" w:hAnsi="Times New Roman"/>
        </w:rPr>
        <w:t xml:space="preserve">to </w:t>
      </w:r>
      <w:r w:rsidR="004410DF" w:rsidRPr="007406B5">
        <w:rPr>
          <w:rFonts w:ascii="Times New Roman" w:hAnsi="Times New Roman"/>
        </w:rPr>
        <w:t xml:space="preserve">refer to those specific impacts </w:t>
      </w:r>
      <w:r w:rsidR="00EF599D" w:rsidRPr="007406B5">
        <w:rPr>
          <w:rFonts w:ascii="Times New Roman" w:hAnsi="Times New Roman"/>
        </w:rPr>
        <w:t xml:space="preserve">in its reasons for decision. </w:t>
      </w:r>
    </w:p>
    <w:p w14:paraId="01F1E228" w14:textId="3E872B13" w:rsidR="00D33CAE" w:rsidRPr="007406B5" w:rsidRDefault="007B2EF3" w:rsidP="007406B5">
      <w:pPr>
        <w:pStyle w:val="FixListStyle"/>
        <w:spacing w:after="260" w:line="280" w:lineRule="exact"/>
        <w:ind w:right="0"/>
        <w:jc w:val="both"/>
        <w:rPr>
          <w:rFonts w:ascii="Times New Roman" w:hAnsi="Times New Roman"/>
        </w:rPr>
      </w:pPr>
      <w:r w:rsidRPr="007406B5">
        <w:rPr>
          <w:rFonts w:ascii="Times New Roman" w:hAnsi="Times New Roman"/>
        </w:rPr>
        <w:tab/>
      </w:r>
      <w:r w:rsidR="00393B9A" w:rsidRPr="007406B5">
        <w:rPr>
          <w:rFonts w:ascii="Times New Roman" w:hAnsi="Times New Roman"/>
        </w:rPr>
        <w:t xml:space="preserve">There are several reasons </w:t>
      </w:r>
      <w:r w:rsidR="001227C2" w:rsidRPr="007406B5">
        <w:rPr>
          <w:rFonts w:ascii="Times New Roman" w:hAnsi="Times New Roman"/>
        </w:rPr>
        <w:t xml:space="preserve">why </w:t>
      </w:r>
      <w:r w:rsidRPr="007406B5">
        <w:rPr>
          <w:rFonts w:ascii="Times New Roman" w:hAnsi="Times New Roman"/>
        </w:rPr>
        <w:t xml:space="preserve">no inference can be drawn that the </w:t>
      </w:r>
      <w:r w:rsidR="001B7839" w:rsidRPr="007406B5">
        <w:rPr>
          <w:rFonts w:ascii="Times New Roman" w:hAnsi="Times New Roman"/>
        </w:rPr>
        <w:t>Commission</w:t>
      </w:r>
      <w:r w:rsidRPr="007406B5">
        <w:rPr>
          <w:rFonts w:ascii="Times New Roman" w:hAnsi="Times New Roman"/>
        </w:rPr>
        <w:t xml:space="preserve"> did not consider the </w:t>
      </w:r>
      <w:r w:rsidR="00BF445B" w:rsidRPr="007406B5">
        <w:rPr>
          <w:rFonts w:ascii="Times New Roman" w:hAnsi="Times New Roman"/>
        </w:rPr>
        <w:t xml:space="preserve">specific impacts of climate change </w:t>
      </w:r>
      <w:r w:rsidR="00124D50" w:rsidRPr="007406B5">
        <w:rPr>
          <w:rFonts w:ascii="Times New Roman" w:hAnsi="Times New Roman"/>
        </w:rPr>
        <w:t xml:space="preserve">in the locality </w:t>
      </w:r>
      <w:r w:rsidR="00BF445B" w:rsidRPr="007406B5">
        <w:rPr>
          <w:rFonts w:ascii="Times New Roman" w:hAnsi="Times New Roman"/>
        </w:rPr>
        <w:t>to which the development would contribute by reason of its greenhouse gas emissions</w:t>
      </w:r>
      <w:r w:rsidR="00124D50" w:rsidRPr="007406B5">
        <w:rPr>
          <w:rFonts w:ascii="Times New Roman" w:hAnsi="Times New Roman"/>
        </w:rPr>
        <w:t xml:space="preserve"> (including scope</w:t>
      </w:r>
      <w:r w:rsidR="00AA1506" w:rsidRPr="007406B5">
        <w:rPr>
          <w:rFonts w:ascii="Times New Roman" w:hAnsi="Times New Roman"/>
        </w:rPr>
        <w:t> </w:t>
      </w:r>
      <w:r w:rsidR="00124D50" w:rsidRPr="007406B5">
        <w:rPr>
          <w:rFonts w:ascii="Times New Roman" w:hAnsi="Times New Roman"/>
        </w:rPr>
        <w:t>3 emissions)</w:t>
      </w:r>
      <w:r w:rsidR="005712DE" w:rsidRPr="007406B5">
        <w:rPr>
          <w:rFonts w:ascii="Times New Roman" w:hAnsi="Times New Roman"/>
        </w:rPr>
        <w:t xml:space="preserve">. </w:t>
      </w:r>
    </w:p>
    <w:p w14:paraId="188DFEAB" w14:textId="628C3A83" w:rsidR="00D33CAE" w:rsidRPr="007406B5" w:rsidRDefault="00D33CAE" w:rsidP="007406B5">
      <w:pPr>
        <w:pStyle w:val="FixListStyle"/>
        <w:spacing w:after="260" w:line="280" w:lineRule="exact"/>
        <w:ind w:right="0"/>
        <w:jc w:val="both"/>
        <w:rPr>
          <w:rFonts w:ascii="Times New Roman" w:hAnsi="Times New Roman"/>
        </w:rPr>
      </w:pPr>
      <w:r w:rsidRPr="007406B5">
        <w:rPr>
          <w:rFonts w:ascii="Times New Roman" w:hAnsi="Times New Roman"/>
        </w:rPr>
        <w:tab/>
      </w:r>
      <w:r w:rsidR="005712DE" w:rsidRPr="007406B5">
        <w:rPr>
          <w:rFonts w:ascii="Times New Roman" w:hAnsi="Times New Roman"/>
        </w:rPr>
        <w:t xml:space="preserve">First, and </w:t>
      </w:r>
      <w:r w:rsidR="00124D50" w:rsidRPr="007406B5">
        <w:rPr>
          <w:rFonts w:ascii="Times New Roman" w:hAnsi="Times New Roman"/>
        </w:rPr>
        <w:t xml:space="preserve">as noted, the </w:t>
      </w:r>
      <w:r w:rsidR="001B7839" w:rsidRPr="007406B5">
        <w:rPr>
          <w:rFonts w:ascii="Times New Roman" w:hAnsi="Times New Roman"/>
        </w:rPr>
        <w:t>Commission</w:t>
      </w:r>
      <w:r w:rsidR="00124D50" w:rsidRPr="007406B5">
        <w:rPr>
          <w:rFonts w:ascii="Times New Roman" w:hAnsi="Times New Roman"/>
        </w:rPr>
        <w:t xml:space="preserve"> said that it had </w:t>
      </w:r>
      <w:r w:rsidR="005712DE" w:rsidRPr="007406B5">
        <w:rPr>
          <w:rFonts w:ascii="Times New Roman" w:hAnsi="Times New Roman"/>
        </w:rPr>
        <w:t>"</w:t>
      </w:r>
      <w:r w:rsidR="00124D50" w:rsidRPr="007406B5">
        <w:rPr>
          <w:rFonts w:ascii="Times New Roman" w:hAnsi="Times New Roman"/>
        </w:rPr>
        <w:t>carefully considered</w:t>
      </w:r>
      <w:r w:rsidR="00C944A8" w:rsidRPr="007406B5">
        <w:rPr>
          <w:rFonts w:ascii="Times New Roman" w:hAnsi="Times New Roman"/>
        </w:rPr>
        <w:t>"</w:t>
      </w:r>
      <w:r w:rsidR="00124D50" w:rsidRPr="007406B5">
        <w:rPr>
          <w:rFonts w:ascii="Times New Roman" w:hAnsi="Times New Roman"/>
        </w:rPr>
        <w:t xml:space="preserve"> the EIS and the public submissions which dealt with those specific impacts in the locality, amongst the global impacts</w:t>
      </w:r>
      <w:r w:rsidR="005712DE" w:rsidRPr="007406B5">
        <w:rPr>
          <w:rFonts w:ascii="Times New Roman" w:hAnsi="Times New Roman"/>
        </w:rPr>
        <w:t>,</w:t>
      </w:r>
      <w:r w:rsidR="00124D50" w:rsidRPr="007406B5">
        <w:rPr>
          <w:rFonts w:ascii="Times New Roman" w:hAnsi="Times New Roman"/>
        </w:rPr>
        <w:t xml:space="preserve"> of climate change. </w:t>
      </w:r>
    </w:p>
    <w:p w14:paraId="11DCA11F" w14:textId="761BA349" w:rsidR="007A688C" w:rsidRPr="007406B5" w:rsidRDefault="00D33CAE" w:rsidP="007406B5">
      <w:pPr>
        <w:pStyle w:val="FixListStyle"/>
        <w:spacing w:after="260" w:line="280" w:lineRule="exact"/>
        <w:ind w:right="0"/>
        <w:jc w:val="both"/>
        <w:rPr>
          <w:rFonts w:ascii="Times New Roman" w:hAnsi="Times New Roman"/>
        </w:rPr>
      </w:pPr>
      <w:r w:rsidRPr="007406B5">
        <w:rPr>
          <w:rFonts w:ascii="Times New Roman" w:hAnsi="Times New Roman"/>
        </w:rPr>
        <w:tab/>
        <w:t>Second, i</w:t>
      </w:r>
      <w:r w:rsidR="00C40942" w:rsidRPr="007406B5">
        <w:rPr>
          <w:rFonts w:ascii="Times New Roman" w:hAnsi="Times New Roman"/>
        </w:rPr>
        <w:t>n respect of the EIS</w:t>
      </w:r>
      <w:r w:rsidRPr="007406B5">
        <w:rPr>
          <w:rFonts w:ascii="Times New Roman" w:hAnsi="Times New Roman"/>
        </w:rPr>
        <w:t xml:space="preserve">, </w:t>
      </w:r>
      <w:r w:rsidR="00A60F22" w:rsidRPr="007406B5">
        <w:rPr>
          <w:rFonts w:ascii="Times New Roman" w:hAnsi="Times New Roman"/>
        </w:rPr>
        <w:t xml:space="preserve">the </w:t>
      </w:r>
      <w:r w:rsidR="001B7839" w:rsidRPr="007406B5">
        <w:rPr>
          <w:rFonts w:ascii="Times New Roman" w:hAnsi="Times New Roman"/>
        </w:rPr>
        <w:t>Commission</w:t>
      </w:r>
      <w:r w:rsidR="00A60F22" w:rsidRPr="007406B5">
        <w:rPr>
          <w:rFonts w:ascii="Times New Roman" w:hAnsi="Times New Roman"/>
        </w:rPr>
        <w:t xml:space="preserve">'s reasons expressly refer to the accompanying </w:t>
      </w:r>
      <w:r w:rsidR="00755722" w:rsidRPr="007406B5">
        <w:rPr>
          <w:rFonts w:ascii="Times New Roman" w:hAnsi="Times New Roman"/>
        </w:rPr>
        <w:t>"Greenhouse Gas Assessment</w:t>
      </w:r>
      <w:r w:rsidR="00E6059B" w:rsidRPr="007406B5">
        <w:rPr>
          <w:rFonts w:ascii="Times New Roman" w:hAnsi="Times New Roman"/>
        </w:rPr>
        <w:t>",</w:t>
      </w:r>
      <w:r w:rsidR="00755722" w:rsidRPr="007406B5">
        <w:rPr>
          <w:rFonts w:ascii="Times New Roman" w:hAnsi="Times New Roman"/>
        </w:rPr>
        <w:t xml:space="preserve"> which included a </w:t>
      </w:r>
      <w:r w:rsidR="00E6059B" w:rsidRPr="007406B5">
        <w:rPr>
          <w:rFonts w:ascii="Times New Roman" w:hAnsi="Times New Roman"/>
        </w:rPr>
        <w:t>"</w:t>
      </w:r>
      <w:r w:rsidR="00755722" w:rsidRPr="007406B5">
        <w:rPr>
          <w:rFonts w:ascii="Times New Roman" w:hAnsi="Times New Roman"/>
        </w:rPr>
        <w:t>Greenhouse Gas Calculations Report, dated 11</w:t>
      </w:r>
      <w:r w:rsidR="00F20BF2" w:rsidRPr="007406B5">
        <w:rPr>
          <w:rFonts w:ascii="Times New Roman" w:hAnsi="Times New Roman"/>
        </w:rPr>
        <w:t> </w:t>
      </w:r>
      <w:r w:rsidR="00755722" w:rsidRPr="007406B5">
        <w:rPr>
          <w:rFonts w:ascii="Times New Roman" w:hAnsi="Times New Roman"/>
        </w:rPr>
        <w:t>January 2021</w:t>
      </w:r>
      <w:r w:rsidR="00E6059B" w:rsidRPr="007406B5">
        <w:rPr>
          <w:rFonts w:ascii="Times New Roman" w:hAnsi="Times New Roman"/>
        </w:rPr>
        <w:t>"</w:t>
      </w:r>
      <w:r w:rsidR="00755722" w:rsidRPr="007406B5">
        <w:rPr>
          <w:rFonts w:ascii="Times New Roman" w:hAnsi="Times New Roman"/>
        </w:rPr>
        <w:t xml:space="preserve">. </w:t>
      </w:r>
      <w:r w:rsidR="00D56A50" w:rsidRPr="007406B5">
        <w:rPr>
          <w:rFonts w:ascii="Times New Roman" w:hAnsi="Times New Roman"/>
        </w:rPr>
        <w:t>T</w:t>
      </w:r>
      <w:r w:rsidR="00755722" w:rsidRPr="007406B5">
        <w:rPr>
          <w:rFonts w:ascii="Times New Roman" w:hAnsi="Times New Roman"/>
        </w:rPr>
        <w:t xml:space="preserve">he </w:t>
      </w:r>
      <w:r w:rsidR="00D56A50" w:rsidRPr="007406B5">
        <w:rPr>
          <w:rFonts w:ascii="Times New Roman" w:hAnsi="Times New Roman"/>
        </w:rPr>
        <w:t xml:space="preserve">"Greenhouse Gas Assessment" is </w:t>
      </w:r>
      <w:r w:rsidR="00B5576D" w:rsidRPr="007406B5">
        <w:rPr>
          <w:rFonts w:ascii="Times New Roman" w:hAnsi="Times New Roman"/>
        </w:rPr>
        <w:t>Appen</w:t>
      </w:r>
      <w:r w:rsidR="00F62983" w:rsidRPr="007406B5">
        <w:rPr>
          <w:rFonts w:ascii="Times New Roman" w:hAnsi="Times New Roman"/>
        </w:rPr>
        <w:t>dix</w:t>
      </w:r>
      <w:r w:rsidR="00627CBF" w:rsidRPr="007406B5">
        <w:rPr>
          <w:rFonts w:ascii="Times New Roman" w:hAnsi="Times New Roman"/>
        </w:rPr>
        <w:t> </w:t>
      </w:r>
      <w:r w:rsidR="00D56A50" w:rsidRPr="007406B5">
        <w:rPr>
          <w:rFonts w:ascii="Times New Roman" w:hAnsi="Times New Roman"/>
        </w:rPr>
        <w:t xml:space="preserve">S to the EIS. That document contains the </w:t>
      </w:r>
      <w:r w:rsidR="00C94A2F" w:rsidRPr="007406B5">
        <w:rPr>
          <w:rFonts w:ascii="Times New Roman" w:hAnsi="Times New Roman"/>
        </w:rPr>
        <w:t xml:space="preserve">very material about the local impacts of climate change </w:t>
      </w:r>
      <w:r w:rsidR="003C1932" w:rsidRPr="007406B5">
        <w:rPr>
          <w:rFonts w:ascii="Times New Roman" w:hAnsi="Times New Roman"/>
        </w:rPr>
        <w:t>(specifically, increased bushfire risk and heavier rainfall events</w:t>
      </w:r>
      <w:r w:rsidR="004651D4" w:rsidRPr="007406B5">
        <w:rPr>
          <w:rFonts w:ascii="Times New Roman" w:hAnsi="Times New Roman"/>
        </w:rPr>
        <w:t xml:space="preserve"> in the Hunter region</w:t>
      </w:r>
      <w:r w:rsidR="003C1932" w:rsidRPr="007406B5">
        <w:rPr>
          <w:rFonts w:ascii="Times New Roman" w:hAnsi="Times New Roman"/>
        </w:rPr>
        <w:t xml:space="preserve">) </w:t>
      </w:r>
      <w:r w:rsidR="00C94A2F" w:rsidRPr="007406B5">
        <w:rPr>
          <w:rFonts w:ascii="Times New Roman" w:hAnsi="Times New Roman"/>
        </w:rPr>
        <w:t xml:space="preserve">that DAMSHEG </w:t>
      </w:r>
      <w:r w:rsidR="003C1932" w:rsidRPr="007406B5">
        <w:rPr>
          <w:rFonts w:ascii="Times New Roman" w:hAnsi="Times New Roman"/>
        </w:rPr>
        <w:t>contends</w:t>
      </w:r>
      <w:r w:rsidR="00C94A2F" w:rsidRPr="007406B5">
        <w:rPr>
          <w:rFonts w:ascii="Times New Roman" w:hAnsi="Times New Roman"/>
        </w:rPr>
        <w:t xml:space="preserve"> that the </w:t>
      </w:r>
      <w:r w:rsidR="001B7839" w:rsidRPr="007406B5">
        <w:rPr>
          <w:rFonts w:ascii="Times New Roman" w:hAnsi="Times New Roman"/>
        </w:rPr>
        <w:t>Commission</w:t>
      </w:r>
      <w:r w:rsidR="00C94A2F" w:rsidRPr="007406B5">
        <w:rPr>
          <w:rFonts w:ascii="Times New Roman" w:hAnsi="Times New Roman"/>
        </w:rPr>
        <w:t xml:space="preserve"> failed to consider</w:t>
      </w:r>
      <w:r w:rsidR="003C1932" w:rsidRPr="007406B5">
        <w:rPr>
          <w:rFonts w:ascii="Times New Roman" w:hAnsi="Times New Roman"/>
        </w:rPr>
        <w:t xml:space="preserve">. </w:t>
      </w:r>
    </w:p>
    <w:p w14:paraId="1FC4A0DC" w14:textId="1D540E40" w:rsidR="005712DE" w:rsidRPr="007406B5" w:rsidRDefault="007A688C" w:rsidP="007406B5">
      <w:pPr>
        <w:pStyle w:val="FixListStyle"/>
        <w:spacing w:after="260" w:line="280" w:lineRule="exact"/>
        <w:ind w:right="0"/>
        <w:jc w:val="both"/>
        <w:rPr>
          <w:rFonts w:ascii="Times New Roman" w:hAnsi="Times New Roman"/>
        </w:rPr>
      </w:pPr>
      <w:r w:rsidRPr="007406B5">
        <w:rPr>
          <w:rFonts w:ascii="Times New Roman" w:hAnsi="Times New Roman"/>
        </w:rPr>
        <w:tab/>
      </w:r>
      <w:r w:rsidR="00A75B87" w:rsidRPr="007406B5">
        <w:rPr>
          <w:rFonts w:ascii="Times New Roman" w:hAnsi="Times New Roman"/>
        </w:rPr>
        <w:t>Third, the mitigating measures suggested in A</w:t>
      </w:r>
      <w:r w:rsidR="00F813F4" w:rsidRPr="007406B5">
        <w:rPr>
          <w:rFonts w:ascii="Times New Roman" w:hAnsi="Times New Roman"/>
        </w:rPr>
        <w:t>ppendix</w:t>
      </w:r>
      <w:r w:rsidR="00A75B87" w:rsidRPr="007406B5">
        <w:rPr>
          <w:rFonts w:ascii="Times New Roman" w:hAnsi="Times New Roman"/>
        </w:rPr>
        <w:t xml:space="preserve"> S to the EIS </w:t>
      </w:r>
      <w:r w:rsidR="00C90D7F" w:rsidRPr="007406B5">
        <w:rPr>
          <w:rFonts w:ascii="Times New Roman" w:hAnsi="Times New Roman"/>
        </w:rPr>
        <w:t>to deal with those specific local climate change risks were: (i)</w:t>
      </w:r>
      <w:r w:rsidR="000B02AD" w:rsidRPr="007406B5">
        <w:rPr>
          <w:rFonts w:ascii="Times New Roman" w:hAnsi="Times New Roman"/>
        </w:rPr>
        <w:t xml:space="preserve"> compliance with a proposed </w:t>
      </w:r>
      <w:r w:rsidR="000B02AD" w:rsidRPr="007406B5">
        <w:rPr>
          <w:rFonts w:ascii="Times New Roman" w:hAnsi="Times New Roman"/>
        </w:rPr>
        <w:lastRenderedPageBreak/>
        <w:t>bushfire management plan; (ii)</w:t>
      </w:r>
      <w:r w:rsidR="00B0033C" w:rsidRPr="007406B5">
        <w:rPr>
          <w:rFonts w:ascii="Times New Roman" w:hAnsi="Times New Roman"/>
        </w:rPr>
        <w:t> </w:t>
      </w:r>
      <w:r w:rsidR="000B02AD" w:rsidRPr="007406B5">
        <w:rPr>
          <w:rFonts w:ascii="Times New Roman" w:hAnsi="Times New Roman"/>
        </w:rPr>
        <w:t xml:space="preserve">compliance with </w:t>
      </w:r>
      <w:r w:rsidR="009E5F57" w:rsidRPr="007406B5">
        <w:rPr>
          <w:rFonts w:ascii="Times New Roman" w:hAnsi="Times New Roman"/>
        </w:rPr>
        <w:t>pro</w:t>
      </w:r>
      <w:r w:rsidR="000F3A6E" w:rsidRPr="007406B5">
        <w:rPr>
          <w:rFonts w:ascii="Times New Roman" w:hAnsi="Times New Roman"/>
        </w:rPr>
        <w:t>p</w:t>
      </w:r>
      <w:r w:rsidR="009E5F57" w:rsidRPr="007406B5">
        <w:rPr>
          <w:rFonts w:ascii="Times New Roman" w:hAnsi="Times New Roman"/>
        </w:rPr>
        <w:t>osed water management and storage measures; and (iii) </w:t>
      </w:r>
      <w:r w:rsidR="00441082" w:rsidRPr="007406B5">
        <w:rPr>
          <w:rFonts w:ascii="Times New Roman" w:hAnsi="Times New Roman"/>
        </w:rPr>
        <w:t>MACH</w:t>
      </w:r>
      <w:r w:rsidR="009E5F57" w:rsidRPr="007406B5">
        <w:rPr>
          <w:rFonts w:ascii="Times New Roman" w:hAnsi="Times New Roman"/>
        </w:rPr>
        <w:t xml:space="preserve"> </w:t>
      </w:r>
      <w:r w:rsidR="000F3A6E" w:rsidRPr="007406B5">
        <w:rPr>
          <w:rFonts w:ascii="Times New Roman" w:hAnsi="Times New Roman"/>
        </w:rPr>
        <w:t>implementing "an adaptive management approach</w:t>
      </w:r>
      <w:r w:rsidR="00011ABE" w:rsidRPr="007406B5">
        <w:rPr>
          <w:rFonts w:ascii="Times New Roman" w:hAnsi="Times New Roman"/>
        </w:rPr>
        <w:t>"</w:t>
      </w:r>
      <w:r w:rsidR="000F3A6E" w:rsidRPr="007406B5">
        <w:rPr>
          <w:rFonts w:ascii="Times New Roman" w:hAnsi="Times New Roman"/>
        </w:rPr>
        <w:t xml:space="preserve"> to climate change </w:t>
      </w:r>
      <w:r w:rsidR="007642F2" w:rsidRPr="007406B5">
        <w:rPr>
          <w:rFonts w:ascii="Times New Roman" w:hAnsi="Times New Roman"/>
        </w:rPr>
        <w:t xml:space="preserve">risks </w:t>
      </w:r>
      <w:r w:rsidR="004D5A2A" w:rsidRPr="007406B5">
        <w:rPr>
          <w:rFonts w:ascii="Times New Roman" w:hAnsi="Times New Roman"/>
        </w:rPr>
        <w:t>on an ongoing basis</w:t>
      </w:r>
      <w:r w:rsidR="00F95578" w:rsidRPr="007406B5">
        <w:rPr>
          <w:rFonts w:ascii="Times New Roman" w:hAnsi="Times New Roman"/>
        </w:rPr>
        <w:t>.</w:t>
      </w:r>
      <w:r w:rsidR="000F3A6E" w:rsidRPr="007406B5">
        <w:rPr>
          <w:rFonts w:ascii="Times New Roman" w:hAnsi="Times New Roman"/>
        </w:rPr>
        <w:t xml:space="preserve"> </w:t>
      </w:r>
      <w:r w:rsidR="00D33CAE" w:rsidRPr="007406B5">
        <w:rPr>
          <w:rFonts w:ascii="Times New Roman" w:hAnsi="Times New Roman"/>
        </w:rPr>
        <w:t xml:space="preserve">The </w:t>
      </w:r>
      <w:r w:rsidRPr="007406B5">
        <w:rPr>
          <w:rFonts w:ascii="Times New Roman" w:hAnsi="Times New Roman"/>
        </w:rPr>
        <w:t>development</w:t>
      </w:r>
      <w:r w:rsidR="00D33CAE" w:rsidRPr="007406B5">
        <w:rPr>
          <w:rFonts w:ascii="Times New Roman" w:hAnsi="Times New Roman"/>
        </w:rPr>
        <w:t xml:space="preserve"> consent </w:t>
      </w:r>
      <w:r w:rsidR="004E0543" w:rsidRPr="007406B5">
        <w:rPr>
          <w:rFonts w:ascii="Times New Roman" w:hAnsi="Times New Roman"/>
        </w:rPr>
        <w:t xml:space="preserve">that </w:t>
      </w:r>
      <w:r w:rsidR="00D33CAE" w:rsidRPr="007406B5">
        <w:rPr>
          <w:rFonts w:ascii="Times New Roman" w:hAnsi="Times New Roman"/>
        </w:rPr>
        <w:t xml:space="preserve">the </w:t>
      </w:r>
      <w:r w:rsidR="001B7839" w:rsidRPr="007406B5">
        <w:rPr>
          <w:rFonts w:ascii="Times New Roman" w:hAnsi="Times New Roman"/>
        </w:rPr>
        <w:t>Commission</w:t>
      </w:r>
      <w:r w:rsidR="00D33CAE" w:rsidRPr="007406B5">
        <w:rPr>
          <w:rFonts w:ascii="Times New Roman" w:hAnsi="Times New Roman"/>
        </w:rPr>
        <w:t xml:space="preserve"> granted for the development includes </w:t>
      </w:r>
      <w:r w:rsidRPr="007406B5">
        <w:rPr>
          <w:rFonts w:ascii="Times New Roman" w:hAnsi="Times New Roman"/>
        </w:rPr>
        <w:t>conditions</w:t>
      </w:r>
      <w:r w:rsidR="00D33CAE" w:rsidRPr="007406B5">
        <w:rPr>
          <w:rFonts w:ascii="Times New Roman" w:hAnsi="Times New Roman"/>
        </w:rPr>
        <w:t xml:space="preserve"> specifically </w:t>
      </w:r>
      <w:r w:rsidRPr="007406B5">
        <w:rPr>
          <w:rFonts w:ascii="Times New Roman" w:hAnsi="Times New Roman"/>
        </w:rPr>
        <w:t>requiring</w:t>
      </w:r>
      <w:r w:rsidR="00D33CAE" w:rsidRPr="007406B5">
        <w:rPr>
          <w:rFonts w:ascii="Times New Roman" w:hAnsi="Times New Roman"/>
        </w:rPr>
        <w:t xml:space="preserve"> </w:t>
      </w:r>
      <w:r w:rsidR="002C6625" w:rsidRPr="007406B5">
        <w:rPr>
          <w:rFonts w:ascii="Times New Roman" w:hAnsi="Times New Roman"/>
        </w:rPr>
        <w:t>preparation and implementation of a</w:t>
      </w:r>
      <w:r w:rsidR="000B10CD" w:rsidRPr="007406B5">
        <w:rPr>
          <w:rFonts w:ascii="Times New Roman" w:hAnsi="Times New Roman"/>
        </w:rPr>
        <w:t xml:space="preserve"> </w:t>
      </w:r>
      <w:r w:rsidRPr="007406B5">
        <w:rPr>
          <w:rFonts w:ascii="Times New Roman" w:hAnsi="Times New Roman"/>
        </w:rPr>
        <w:t xml:space="preserve">bushfire management plan and </w:t>
      </w:r>
      <w:r w:rsidR="003B6AF6" w:rsidRPr="007406B5">
        <w:rPr>
          <w:rFonts w:ascii="Times New Roman" w:hAnsi="Times New Roman"/>
        </w:rPr>
        <w:t xml:space="preserve">adoption of </w:t>
      </w:r>
      <w:r w:rsidRPr="007406B5">
        <w:rPr>
          <w:rFonts w:ascii="Times New Roman" w:hAnsi="Times New Roman"/>
        </w:rPr>
        <w:t>water management and storage measures</w:t>
      </w:r>
      <w:r w:rsidR="0074008F" w:rsidRPr="007406B5">
        <w:rPr>
          <w:rFonts w:ascii="Times New Roman" w:hAnsi="Times New Roman"/>
        </w:rPr>
        <w:t xml:space="preserve"> (conditions </w:t>
      </w:r>
      <w:r w:rsidR="00523A22" w:rsidRPr="007406B5">
        <w:rPr>
          <w:rFonts w:ascii="Times New Roman" w:hAnsi="Times New Roman"/>
        </w:rPr>
        <w:t>B</w:t>
      </w:r>
      <w:r w:rsidR="00A4171A" w:rsidRPr="007406B5">
        <w:rPr>
          <w:rFonts w:ascii="Times New Roman" w:hAnsi="Times New Roman"/>
        </w:rPr>
        <w:t>52-B54</w:t>
      </w:r>
      <w:r w:rsidR="00BB4214" w:rsidRPr="007406B5">
        <w:rPr>
          <w:rFonts w:ascii="Times New Roman" w:hAnsi="Times New Roman"/>
        </w:rPr>
        <w:t xml:space="preserve">, </w:t>
      </w:r>
      <w:r w:rsidR="004E0543" w:rsidRPr="007406B5">
        <w:rPr>
          <w:rFonts w:ascii="Times New Roman" w:hAnsi="Times New Roman"/>
        </w:rPr>
        <w:t>B84-B</w:t>
      </w:r>
      <w:r w:rsidR="003040E5" w:rsidRPr="007406B5">
        <w:rPr>
          <w:rFonts w:ascii="Times New Roman" w:hAnsi="Times New Roman"/>
        </w:rPr>
        <w:t>86).</w:t>
      </w:r>
      <w:r w:rsidR="00EF40F8" w:rsidRPr="007406B5">
        <w:rPr>
          <w:rFonts w:ascii="Times New Roman" w:hAnsi="Times New Roman"/>
        </w:rPr>
        <w:t xml:space="preserve"> </w:t>
      </w:r>
      <w:r w:rsidR="00B0033C" w:rsidRPr="007406B5">
        <w:rPr>
          <w:rFonts w:ascii="Times New Roman" w:hAnsi="Times New Roman"/>
        </w:rPr>
        <w:t>DAMSHEG submitted</w:t>
      </w:r>
      <w:r w:rsidR="007D5164" w:rsidRPr="007406B5">
        <w:rPr>
          <w:rFonts w:ascii="Times New Roman" w:hAnsi="Times New Roman"/>
        </w:rPr>
        <w:t xml:space="preserve"> that</w:t>
      </w:r>
      <w:r w:rsidR="00B0033C" w:rsidRPr="007406B5">
        <w:rPr>
          <w:rFonts w:ascii="Times New Roman" w:hAnsi="Times New Roman"/>
        </w:rPr>
        <w:t xml:space="preserve"> these conditions were not imposed in response to </w:t>
      </w:r>
      <w:r w:rsidR="00DB2A24" w:rsidRPr="007406B5">
        <w:rPr>
          <w:rFonts w:ascii="Times New Roman" w:hAnsi="Times New Roman"/>
        </w:rPr>
        <w:t>specific local climate change risks</w:t>
      </w:r>
      <w:r w:rsidR="00E707FB" w:rsidRPr="007406B5">
        <w:rPr>
          <w:rFonts w:ascii="Times New Roman" w:hAnsi="Times New Roman"/>
        </w:rPr>
        <w:t>, but there can be no question that A</w:t>
      </w:r>
      <w:r w:rsidR="00130CD2" w:rsidRPr="007406B5">
        <w:rPr>
          <w:rFonts w:ascii="Times New Roman" w:hAnsi="Times New Roman"/>
        </w:rPr>
        <w:t>ppendix</w:t>
      </w:r>
      <w:r w:rsidR="00E707FB" w:rsidRPr="007406B5">
        <w:rPr>
          <w:rFonts w:ascii="Times New Roman" w:hAnsi="Times New Roman"/>
        </w:rPr>
        <w:t xml:space="preserve"> S to the EIS recommended these measures </w:t>
      </w:r>
      <w:r w:rsidR="001A6B1C" w:rsidRPr="007406B5">
        <w:rPr>
          <w:rFonts w:ascii="Times New Roman" w:hAnsi="Times New Roman"/>
        </w:rPr>
        <w:t xml:space="preserve">partly in response to specific local climate change risks </w:t>
      </w:r>
      <w:r w:rsidR="00B04141" w:rsidRPr="007406B5">
        <w:rPr>
          <w:rFonts w:ascii="Times New Roman" w:hAnsi="Times New Roman"/>
        </w:rPr>
        <w:t xml:space="preserve">and the </w:t>
      </w:r>
      <w:r w:rsidR="001B7839" w:rsidRPr="007406B5">
        <w:rPr>
          <w:rFonts w:ascii="Times New Roman" w:hAnsi="Times New Roman"/>
        </w:rPr>
        <w:t>Commission</w:t>
      </w:r>
      <w:r w:rsidR="00B04141" w:rsidRPr="007406B5">
        <w:rPr>
          <w:rFonts w:ascii="Times New Roman" w:hAnsi="Times New Roman"/>
        </w:rPr>
        <w:t xml:space="preserve"> imposed such conditions. </w:t>
      </w:r>
      <w:r w:rsidR="004651D4" w:rsidRPr="007406B5">
        <w:rPr>
          <w:rFonts w:ascii="Times New Roman" w:hAnsi="Times New Roman"/>
        </w:rPr>
        <w:t>Moreover, t</w:t>
      </w:r>
      <w:r w:rsidR="003A33D7" w:rsidRPr="007406B5">
        <w:rPr>
          <w:rFonts w:ascii="Times New Roman" w:hAnsi="Times New Roman"/>
        </w:rPr>
        <w:t xml:space="preserve">he surface and groundwater management conditions include </w:t>
      </w:r>
      <w:r w:rsidR="005C1C4E" w:rsidRPr="007406B5">
        <w:rPr>
          <w:rFonts w:ascii="Times New Roman" w:hAnsi="Times New Roman"/>
        </w:rPr>
        <w:t xml:space="preserve">response criteria </w:t>
      </w:r>
      <w:r w:rsidR="009C158B" w:rsidRPr="007406B5">
        <w:rPr>
          <w:rFonts w:ascii="Times New Roman" w:hAnsi="Times New Roman"/>
        </w:rPr>
        <w:t>in respect of all such water bodies "potentially impacted by the development"</w:t>
      </w:r>
      <w:r w:rsidR="004651D4" w:rsidRPr="007406B5">
        <w:rPr>
          <w:rFonts w:ascii="Times New Roman" w:hAnsi="Times New Roman"/>
        </w:rPr>
        <w:t xml:space="preserve"> and t</w:t>
      </w:r>
      <w:r w:rsidR="009D0A78" w:rsidRPr="007406B5">
        <w:rPr>
          <w:rFonts w:ascii="Times New Roman" w:hAnsi="Times New Roman"/>
        </w:rPr>
        <w:t xml:space="preserve">he bushfire management conditions </w:t>
      </w:r>
      <w:r w:rsidR="00E32946" w:rsidRPr="007406B5">
        <w:rPr>
          <w:rFonts w:ascii="Times New Roman" w:hAnsi="Times New Roman"/>
        </w:rPr>
        <w:t xml:space="preserve">include </w:t>
      </w:r>
      <w:r w:rsidR="00DF713D" w:rsidRPr="007406B5">
        <w:rPr>
          <w:rFonts w:ascii="Times New Roman" w:hAnsi="Times New Roman"/>
        </w:rPr>
        <w:t xml:space="preserve">assisting the Rural </w:t>
      </w:r>
      <w:r w:rsidR="00582991" w:rsidRPr="007406B5">
        <w:rPr>
          <w:rFonts w:ascii="Times New Roman" w:hAnsi="Times New Roman"/>
        </w:rPr>
        <w:t>F</w:t>
      </w:r>
      <w:r w:rsidR="00DF713D" w:rsidRPr="007406B5">
        <w:rPr>
          <w:rFonts w:ascii="Times New Roman" w:hAnsi="Times New Roman"/>
        </w:rPr>
        <w:t xml:space="preserve">ire Service </w:t>
      </w:r>
      <w:r w:rsidR="001216EA" w:rsidRPr="007406B5">
        <w:rPr>
          <w:rFonts w:ascii="Times New Roman" w:hAnsi="Times New Roman"/>
        </w:rPr>
        <w:t xml:space="preserve">and emergency services "to the extent practicable if there is a fire in the vicinity of the site". </w:t>
      </w:r>
      <w:r w:rsidR="00D50BCD" w:rsidRPr="007406B5">
        <w:rPr>
          <w:rFonts w:ascii="Times New Roman" w:hAnsi="Times New Roman"/>
        </w:rPr>
        <w:t xml:space="preserve">That is, these conditions are specifically addressed to managing climate change impacts in the locality. </w:t>
      </w:r>
    </w:p>
    <w:p w14:paraId="47AC5F8B" w14:textId="48C08F2C" w:rsidR="007357CD" w:rsidRPr="007406B5" w:rsidRDefault="00582991" w:rsidP="007406B5">
      <w:pPr>
        <w:pStyle w:val="FixListStyle"/>
        <w:spacing w:after="260" w:line="280" w:lineRule="exact"/>
        <w:ind w:right="0"/>
        <w:jc w:val="both"/>
        <w:rPr>
          <w:rFonts w:ascii="Times New Roman" w:hAnsi="Times New Roman"/>
        </w:rPr>
      </w:pPr>
      <w:r w:rsidRPr="007406B5">
        <w:rPr>
          <w:rFonts w:ascii="Times New Roman" w:hAnsi="Times New Roman"/>
        </w:rPr>
        <w:tab/>
        <w:t xml:space="preserve">Fourth, one of the grounds of DAMSHEG's application </w:t>
      </w:r>
      <w:r w:rsidR="00F96525" w:rsidRPr="007406B5">
        <w:rPr>
          <w:rFonts w:ascii="Times New Roman" w:hAnsi="Times New Roman"/>
        </w:rPr>
        <w:t xml:space="preserve">for judicial review </w:t>
      </w:r>
      <w:r w:rsidRPr="007406B5">
        <w:rPr>
          <w:rFonts w:ascii="Times New Roman" w:hAnsi="Times New Roman"/>
        </w:rPr>
        <w:t xml:space="preserve">to the Land and </w:t>
      </w:r>
      <w:r w:rsidR="00A611AF" w:rsidRPr="007406B5">
        <w:rPr>
          <w:rFonts w:ascii="Times New Roman" w:hAnsi="Times New Roman"/>
        </w:rPr>
        <w:t xml:space="preserve">Environment Court was that </w:t>
      </w:r>
      <w:r w:rsidR="004F32D2" w:rsidRPr="007406B5">
        <w:rPr>
          <w:rFonts w:ascii="Times New Roman" w:hAnsi="Times New Roman"/>
        </w:rPr>
        <w:t xml:space="preserve">the </w:t>
      </w:r>
      <w:r w:rsidR="001B7839" w:rsidRPr="007406B5">
        <w:rPr>
          <w:rFonts w:ascii="Times New Roman" w:hAnsi="Times New Roman"/>
        </w:rPr>
        <w:t>Commission</w:t>
      </w:r>
      <w:r w:rsidR="004F32D2" w:rsidRPr="007406B5">
        <w:rPr>
          <w:rFonts w:ascii="Times New Roman" w:hAnsi="Times New Roman"/>
        </w:rPr>
        <w:t xml:space="preserve"> failed to consider DAMSHEG's submissions and accompanying </w:t>
      </w:r>
      <w:r w:rsidR="0007323B" w:rsidRPr="007406B5">
        <w:rPr>
          <w:rFonts w:ascii="Times New Roman" w:hAnsi="Times New Roman"/>
        </w:rPr>
        <w:t xml:space="preserve">expert reports in respect </w:t>
      </w:r>
      <w:r w:rsidR="007455F5" w:rsidRPr="007406B5">
        <w:rPr>
          <w:rFonts w:ascii="Times New Roman" w:hAnsi="Times New Roman"/>
        </w:rPr>
        <w:t xml:space="preserve">of the </w:t>
      </w:r>
      <w:r w:rsidR="003D1235" w:rsidRPr="007406B5">
        <w:rPr>
          <w:rFonts w:ascii="Times New Roman" w:hAnsi="Times New Roman"/>
        </w:rPr>
        <w:t>development's</w:t>
      </w:r>
      <w:r w:rsidR="007455F5" w:rsidRPr="007406B5">
        <w:rPr>
          <w:rFonts w:ascii="Times New Roman" w:hAnsi="Times New Roman"/>
        </w:rPr>
        <w:t xml:space="preserve"> scope</w:t>
      </w:r>
      <w:r w:rsidR="00AA1506" w:rsidRPr="007406B5">
        <w:rPr>
          <w:rFonts w:ascii="Times New Roman" w:hAnsi="Times New Roman"/>
        </w:rPr>
        <w:t> </w:t>
      </w:r>
      <w:r w:rsidR="007455F5" w:rsidRPr="007406B5">
        <w:rPr>
          <w:rFonts w:ascii="Times New Roman" w:hAnsi="Times New Roman"/>
        </w:rPr>
        <w:t>3 emissions</w:t>
      </w:r>
      <w:r w:rsidR="00876E33" w:rsidRPr="007406B5">
        <w:rPr>
          <w:rFonts w:ascii="Times New Roman" w:hAnsi="Times New Roman"/>
        </w:rPr>
        <w:t>,</w:t>
      </w:r>
      <w:r w:rsidR="007455F5" w:rsidRPr="007406B5">
        <w:rPr>
          <w:rFonts w:ascii="Times New Roman" w:hAnsi="Times New Roman"/>
        </w:rPr>
        <w:t xml:space="preserve"> including the report of Professor Sacket</w:t>
      </w:r>
      <w:r w:rsidR="00F96525" w:rsidRPr="007406B5">
        <w:rPr>
          <w:rFonts w:ascii="Times New Roman" w:hAnsi="Times New Roman"/>
        </w:rPr>
        <w:t>t</w:t>
      </w:r>
      <w:r w:rsidR="007455F5" w:rsidRPr="007406B5">
        <w:rPr>
          <w:rFonts w:ascii="Times New Roman" w:hAnsi="Times New Roman"/>
        </w:rPr>
        <w:t>, amongst o</w:t>
      </w:r>
      <w:r w:rsidR="003D1235" w:rsidRPr="007406B5">
        <w:rPr>
          <w:rFonts w:ascii="Times New Roman" w:hAnsi="Times New Roman"/>
        </w:rPr>
        <w:t>t</w:t>
      </w:r>
      <w:r w:rsidR="007455F5" w:rsidRPr="007406B5">
        <w:rPr>
          <w:rFonts w:ascii="Times New Roman" w:hAnsi="Times New Roman"/>
        </w:rPr>
        <w:t>hers</w:t>
      </w:r>
      <w:r w:rsidR="00E551DD" w:rsidRPr="007406B5">
        <w:rPr>
          <w:rFonts w:ascii="Times New Roman" w:hAnsi="Times New Roman"/>
        </w:rPr>
        <w:t>, in alleged breach of s 4.15(1)(d) of the EPA Act</w:t>
      </w:r>
      <w:r w:rsidR="007455F5" w:rsidRPr="007406B5">
        <w:rPr>
          <w:rFonts w:ascii="Times New Roman" w:hAnsi="Times New Roman"/>
        </w:rPr>
        <w:t xml:space="preserve">. As noted, Professor Sackett's report included a detailed review of the global, </w:t>
      </w:r>
      <w:r w:rsidR="003D1235" w:rsidRPr="007406B5">
        <w:rPr>
          <w:rFonts w:ascii="Times New Roman" w:hAnsi="Times New Roman"/>
        </w:rPr>
        <w:t xml:space="preserve">national, New South Wales, and regional effects of climate change. </w:t>
      </w:r>
      <w:r w:rsidR="000A3952" w:rsidRPr="007406B5">
        <w:rPr>
          <w:rFonts w:ascii="Times New Roman" w:hAnsi="Times New Roman"/>
        </w:rPr>
        <w:t xml:space="preserve">The primary judge rejected this ground of review. DAMSHEG did not challenge the primary judge's rejection of that ground of review. </w:t>
      </w:r>
      <w:r w:rsidR="00F96525" w:rsidRPr="007406B5">
        <w:rPr>
          <w:rFonts w:ascii="Times New Roman" w:hAnsi="Times New Roman"/>
        </w:rPr>
        <w:t>DAMSHEG cannot now run the same challenge under a different guise</w:t>
      </w:r>
      <w:r w:rsidR="001759FD" w:rsidRPr="007406B5">
        <w:rPr>
          <w:rFonts w:ascii="Times New Roman" w:hAnsi="Times New Roman"/>
        </w:rPr>
        <w:t>,</w:t>
      </w:r>
      <w:r w:rsidR="00520F7F" w:rsidRPr="007406B5">
        <w:rPr>
          <w:rFonts w:ascii="Times New Roman" w:hAnsi="Times New Roman"/>
        </w:rPr>
        <w:t xml:space="preserve"> which it is attempting to do in its additional ground of contention</w:t>
      </w:r>
      <w:r w:rsidR="00F96525" w:rsidRPr="007406B5">
        <w:rPr>
          <w:rFonts w:ascii="Times New Roman" w:hAnsi="Times New Roman"/>
        </w:rPr>
        <w:t>.</w:t>
      </w:r>
      <w:r w:rsidR="00880DD9" w:rsidRPr="007406B5">
        <w:rPr>
          <w:rFonts w:ascii="Times New Roman" w:hAnsi="Times New Roman"/>
        </w:rPr>
        <w:t xml:space="preserve"> </w:t>
      </w:r>
    </w:p>
    <w:p w14:paraId="1BA946E2" w14:textId="77FCD3A8" w:rsidR="00B467BA" w:rsidRPr="007406B5" w:rsidRDefault="00B467BA" w:rsidP="007406B5">
      <w:pPr>
        <w:pStyle w:val="FixListStyle"/>
        <w:spacing w:after="260" w:line="280" w:lineRule="exact"/>
        <w:ind w:right="0"/>
        <w:jc w:val="both"/>
        <w:rPr>
          <w:rFonts w:ascii="Times New Roman" w:hAnsi="Times New Roman"/>
        </w:rPr>
      </w:pPr>
      <w:r w:rsidRPr="007406B5">
        <w:rPr>
          <w:rFonts w:ascii="Times New Roman" w:hAnsi="Times New Roman"/>
        </w:rPr>
        <w:tab/>
        <w:t xml:space="preserve">For these reasons, MACH's first </w:t>
      </w:r>
      <w:r w:rsidR="00DE69AE" w:rsidRPr="007406B5">
        <w:rPr>
          <w:rFonts w:ascii="Times New Roman" w:hAnsi="Times New Roman"/>
        </w:rPr>
        <w:t>g</w:t>
      </w:r>
      <w:r w:rsidRPr="007406B5">
        <w:rPr>
          <w:rFonts w:ascii="Times New Roman" w:hAnsi="Times New Roman"/>
        </w:rPr>
        <w:t>round of appeal must be allowed and DAMSHEG's additional ground of contention must be rejected.</w:t>
      </w:r>
    </w:p>
    <w:p w14:paraId="7A504927" w14:textId="00C2622C" w:rsidR="00B76E6C" w:rsidRPr="007406B5" w:rsidRDefault="00B76E6C" w:rsidP="007406B5">
      <w:pPr>
        <w:pStyle w:val="HeadingL2"/>
        <w:spacing w:after="260" w:line="280" w:lineRule="exact"/>
        <w:ind w:right="0"/>
        <w:jc w:val="both"/>
        <w:rPr>
          <w:rFonts w:ascii="Times New Roman" w:hAnsi="Times New Roman"/>
        </w:rPr>
      </w:pPr>
      <w:r w:rsidRPr="007406B5">
        <w:rPr>
          <w:rFonts w:ascii="Times New Roman" w:hAnsi="Times New Roman"/>
        </w:rPr>
        <w:t>Consequences for MACH's other appeal grounds</w:t>
      </w:r>
    </w:p>
    <w:p w14:paraId="6532A6D5" w14:textId="4201A490" w:rsidR="00B76E6C" w:rsidRPr="007406B5" w:rsidRDefault="00B76E6C" w:rsidP="007406B5">
      <w:pPr>
        <w:pStyle w:val="FixListStyle"/>
        <w:spacing w:after="260" w:line="280" w:lineRule="exact"/>
        <w:ind w:right="0"/>
        <w:jc w:val="both"/>
        <w:rPr>
          <w:rFonts w:ascii="Times New Roman" w:hAnsi="Times New Roman"/>
        </w:rPr>
      </w:pPr>
      <w:r w:rsidRPr="007406B5">
        <w:rPr>
          <w:rFonts w:ascii="Times New Roman" w:hAnsi="Times New Roman"/>
        </w:rPr>
        <w:tab/>
        <w:t xml:space="preserve">Given these conclusions, MACH's </w:t>
      </w:r>
      <w:r w:rsidR="008E5B56" w:rsidRPr="007406B5">
        <w:rPr>
          <w:rFonts w:ascii="Times New Roman" w:hAnsi="Times New Roman"/>
        </w:rPr>
        <w:t xml:space="preserve">second </w:t>
      </w:r>
      <w:r w:rsidRPr="007406B5">
        <w:rPr>
          <w:rFonts w:ascii="Times New Roman" w:hAnsi="Times New Roman"/>
        </w:rPr>
        <w:t>ground of appeal</w:t>
      </w:r>
      <w:r w:rsidR="005B3BFB" w:rsidRPr="007406B5">
        <w:rPr>
          <w:rFonts w:ascii="Times New Roman" w:hAnsi="Times New Roman"/>
        </w:rPr>
        <w:t>,</w:t>
      </w:r>
      <w:r w:rsidRPr="007406B5">
        <w:rPr>
          <w:rFonts w:ascii="Times New Roman" w:hAnsi="Times New Roman"/>
        </w:rPr>
        <w:t xml:space="preserve"> </w:t>
      </w:r>
      <w:r w:rsidR="008E5B56" w:rsidRPr="007406B5">
        <w:rPr>
          <w:rFonts w:ascii="Times New Roman" w:hAnsi="Times New Roman"/>
        </w:rPr>
        <w:t>alleging that the Court of Appeal erred by incorrectly construing s 4.15(1)(b) of the EPA Act as if it imposed a requirement to conduct a causal inquiry as to the impacts of climate change</w:t>
      </w:r>
      <w:r w:rsidR="005B3BFB" w:rsidRPr="007406B5">
        <w:rPr>
          <w:rFonts w:ascii="Times New Roman" w:hAnsi="Times New Roman"/>
        </w:rPr>
        <w:t>,</w:t>
      </w:r>
      <w:r w:rsidR="008E5B56" w:rsidRPr="007406B5">
        <w:rPr>
          <w:rFonts w:ascii="Times New Roman" w:hAnsi="Times New Roman"/>
        </w:rPr>
        <w:t xml:space="preserve"> does not arise. MACH's third ground of appeal, that the Court of Appeal erred by concluding that the impact of climate change is capable of being an environmental impact in the locality of the development within the meaning of s 4.15(1)(b) of the EPA Act</w:t>
      </w:r>
      <w:r w:rsidR="00042049" w:rsidRPr="007406B5">
        <w:rPr>
          <w:rFonts w:ascii="Times New Roman" w:hAnsi="Times New Roman"/>
        </w:rPr>
        <w:t>,</w:t>
      </w:r>
      <w:r w:rsidR="008E5B56" w:rsidRPr="007406B5">
        <w:rPr>
          <w:rFonts w:ascii="Times New Roman" w:hAnsi="Times New Roman"/>
        </w:rPr>
        <w:t xml:space="preserve"> also does not arise</w:t>
      </w:r>
      <w:r w:rsidR="00CD7F84" w:rsidRPr="007406B5">
        <w:rPr>
          <w:rFonts w:ascii="Times New Roman" w:hAnsi="Times New Roman"/>
        </w:rPr>
        <w:t xml:space="preserve">. </w:t>
      </w:r>
    </w:p>
    <w:p w14:paraId="3D122D36" w14:textId="55D20F84" w:rsidR="003E4CE4" w:rsidRPr="007406B5" w:rsidRDefault="00013AD9" w:rsidP="007406B5">
      <w:pPr>
        <w:pStyle w:val="HeadingL1"/>
        <w:spacing w:after="260" w:line="280" w:lineRule="exact"/>
        <w:ind w:right="0"/>
        <w:jc w:val="both"/>
        <w:rPr>
          <w:rFonts w:ascii="Times New Roman" w:hAnsi="Times New Roman"/>
        </w:rPr>
      </w:pPr>
      <w:r w:rsidRPr="007406B5">
        <w:rPr>
          <w:rFonts w:ascii="Times New Roman" w:hAnsi="Times New Roman"/>
        </w:rPr>
        <w:lastRenderedPageBreak/>
        <w:t xml:space="preserve">Did the </w:t>
      </w:r>
      <w:r w:rsidR="001B7839" w:rsidRPr="007406B5">
        <w:rPr>
          <w:rFonts w:ascii="Times New Roman" w:hAnsi="Times New Roman"/>
        </w:rPr>
        <w:t>Commission</w:t>
      </w:r>
      <w:r w:rsidRPr="007406B5">
        <w:rPr>
          <w:rFonts w:ascii="Times New Roman" w:hAnsi="Times New Roman"/>
        </w:rPr>
        <w:t xml:space="preserve"> </w:t>
      </w:r>
      <w:r w:rsidR="00CB2E6A" w:rsidRPr="007406B5">
        <w:rPr>
          <w:rFonts w:ascii="Times New Roman" w:hAnsi="Times New Roman"/>
        </w:rPr>
        <w:t xml:space="preserve">contravene </w:t>
      </w:r>
      <w:r w:rsidR="00034826" w:rsidRPr="007406B5">
        <w:rPr>
          <w:rFonts w:ascii="Times New Roman" w:hAnsi="Times New Roman"/>
        </w:rPr>
        <w:t>s</w:t>
      </w:r>
      <w:r w:rsidRPr="007406B5">
        <w:rPr>
          <w:rFonts w:ascii="Times New Roman" w:hAnsi="Times New Roman"/>
        </w:rPr>
        <w:t xml:space="preserve"> 2.20 of the </w:t>
      </w:r>
      <w:r w:rsidR="00CC5474" w:rsidRPr="007406B5">
        <w:rPr>
          <w:rFonts w:ascii="Times New Roman" w:hAnsi="Times New Roman"/>
        </w:rPr>
        <w:t>Resources</w:t>
      </w:r>
      <w:r w:rsidRPr="007406B5">
        <w:rPr>
          <w:rFonts w:ascii="Times New Roman" w:hAnsi="Times New Roman"/>
        </w:rPr>
        <w:t xml:space="preserve"> SEPP</w:t>
      </w:r>
      <w:r w:rsidR="00CC5474" w:rsidRPr="007406B5">
        <w:rPr>
          <w:rFonts w:ascii="Times New Roman" w:hAnsi="Times New Roman"/>
        </w:rPr>
        <w:t xml:space="preserve"> and therefore s 4.15(1)(a)(i) of the EPA Act</w:t>
      </w:r>
      <w:r w:rsidR="00A37B19" w:rsidRPr="007406B5">
        <w:rPr>
          <w:rFonts w:ascii="Times New Roman" w:hAnsi="Times New Roman"/>
        </w:rPr>
        <w:t>?</w:t>
      </w:r>
    </w:p>
    <w:p w14:paraId="1FC1EE9E" w14:textId="25FAE10F" w:rsidR="00C551F8" w:rsidRPr="007406B5" w:rsidRDefault="001C5638" w:rsidP="007406B5">
      <w:pPr>
        <w:pStyle w:val="HeadingL2"/>
        <w:spacing w:after="260" w:line="280" w:lineRule="exact"/>
        <w:ind w:right="0"/>
        <w:jc w:val="both"/>
        <w:rPr>
          <w:rFonts w:ascii="Times New Roman" w:hAnsi="Times New Roman"/>
        </w:rPr>
      </w:pPr>
      <w:r w:rsidRPr="007406B5">
        <w:rPr>
          <w:rFonts w:ascii="Times New Roman" w:hAnsi="Times New Roman"/>
        </w:rPr>
        <w:t>Context of DAMSHEG's contention</w:t>
      </w:r>
    </w:p>
    <w:p w14:paraId="6D429B78" w14:textId="6EF06A92" w:rsidR="00CC5474" w:rsidRPr="007406B5" w:rsidRDefault="00C551F8" w:rsidP="007406B5">
      <w:pPr>
        <w:pStyle w:val="FixListStyle"/>
        <w:spacing w:after="260" w:line="280" w:lineRule="exact"/>
        <w:ind w:right="0"/>
        <w:jc w:val="both"/>
        <w:rPr>
          <w:rFonts w:ascii="Times New Roman" w:hAnsi="Times New Roman"/>
        </w:rPr>
      </w:pPr>
      <w:r w:rsidRPr="007406B5">
        <w:rPr>
          <w:rFonts w:ascii="Times New Roman" w:hAnsi="Times New Roman"/>
        </w:rPr>
        <w:tab/>
      </w:r>
      <w:r w:rsidR="009A26F0" w:rsidRPr="007406B5">
        <w:rPr>
          <w:rFonts w:ascii="Times New Roman" w:hAnsi="Times New Roman"/>
        </w:rPr>
        <w:t xml:space="preserve">Putting aside MACH's reference to </w:t>
      </w:r>
      <w:r w:rsidR="009A26F0" w:rsidRPr="007406B5">
        <w:rPr>
          <w:rFonts w:ascii="Times New Roman" w:hAnsi="Times New Roman"/>
          <w:i/>
          <w:iCs/>
        </w:rPr>
        <w:t>Ross v Lane</w:t>
      </w:r>
      <w:r w:rsidR="009A26F0" w:rsidRPr="007406B5">
        <w:rPr>
          <w:rFonts w:ascii="Times New Roman" w:hAnsi="Times New Roman"/>
        </w:rPr>
        <w:t>, there was no dispute that</w:t>
      </w:r>
      <w:r w:rsidR="009279B7" w:rsidRPr="007406B5">
        <w:rPr>
          <w:rFonts w:ascii="Times New Roman" w:hAnsi="Times New Roman"/>
        </w:rPr>
        <w:t>, by reason of s 4.15(1)(a)(i) of the EPA Act,</w:t>
      </w:r>
      <w:r w:rsidR="009A26F0" w:rsidRPr="007406B5">
        <w:rPr>
          <w:rFonts w:ascii="Times New Roman" w:hAnsi="Times New Roman"/>
        </w:rPr>
        <w:t xml:space="preserve"> in granting the development consent the </w:t>
      </w:r>
      <w:r w:rsidR="001B7839" w:rsidRPr="007406B5">
        <w:rPr>
          <w:rFonts w:ascii="Times New Roman" w:hAnsi="Times New Roman"/>
        </w:rPr>
        <w:t>Commission</w:t>
      </w:r>
      <w:r w:rsidR="009A26F0" w:rsidRPr="007406B5">
        <w:rPr>
          <w:rFonts w:ascii="Times New Roman" w:hAnsi="Times New Roman"/>
        </w:rPr>
        <w:t xml:space="preserve"> was required to take into consideration the Resources SEPP. </w:t>
      </w:r>
      <w:r w:rsidR="00485913" w:rsidRPr="007406B5">
        <w:rPr>
          <w:rFonts w:ascii="Times New Roman" w:hAnsi="Times New Roman"/>
        </w:rPr>
        <w:t xml:space="preserve">That is, the </w:t>
      </w:r>
      <w:r w:rsidR="001B7839" w:rsidRPr="007406B5">
        <w:rPr>
          <w:rFonts w:ascii="Times New Roman" w:hAnsi="Times New Roman"/>
        </w:rPr>
        <w:t>Commission</w:t>
      </w:r>
      <w:r w:rsidR="00485913" w:rsidRPr="007406B5">
        <w:rPr>
          <w:rFonts w:ascii="Times New Roman" w:hAnsi="Times New Roman"/>
        </w:rPr>
        <w:t xml:space="preserve"> was required to correctly identify the provisions of that </w:t>
      </w:r>
      <w:r w:rsidR="00042049" w:rsidRPr="007406B5">
        <w:rPr>
          <w:rFonts w:ascii="Times New Roman" w:hAnsi="Times New Roman"/>
        </w:rPr>
        <w:t xml:space="preserve">instrument </w:t>
      </w:r>
      <w:r w:rsidR="00485913" w:rsidRPr="007406B5">
        <w:rPr>
          <w:rFonts w:ascii="Times New Roman" w:hAnsi="Times New Roman"/>
        </w:rPr>
        <w:t>which applied to the development, properly construe those provisions</w:t>
      </w:r>
      <w:r w:rsidR="009279B7" w:rsidRPr="007406B5">
        <w:rPr>
          <w:rFonts w:ascii="Times New Roman" w:hAnsi="Times New Roman"/>
        </w:rPr>
        <w:t xml:space="preserve">, and apply those provisions in accordance with their terms as so properly construed. </w:t>
      </w:r>
    </w:p>
    <w:p w14:paraId="0ADBBB52" w14:textId="3B9EDCA6" w:rsidR="009279B7" w:rsidRPr="007406B5" w:rsidRDefault="009279B7" w:rsidP="007406B5">
      <w:pPr>
        <w:pStyle w:val="FixListStyle"/>
        <w:spacing w:after="260" w:line="280" w:lineRule="exact"/>
        <w:ind w:right="0"/>
        <w:jc w:val="both"/>
        <w:rPr>
          <w:rFonts w:ascii="Times New Roman" w:hAnsi="Times New Roman"/>
        </w:rPr>
      </w:pPr>
      <w:r w:rsidRPr="007406B5">
        <w:rPr>
          <w:rFonts w:ascii="Times New Roman" w:hAnsi="Times New Roman"/>
        </w:rPr>
        <w:tab/>
      </w:r>
      <w:r w:rsidR="00D258DA" w:rsidRPr="007406B5">
        <w:rPr>
          <w:rFonts w:ascii="Times New Roman" w:hAnsi="Times New Roman"/>
        </w:rPr>
        <w:t xml:space="preserve">The provision on which DAMSHEG relied was </w:t>
      </w:r>
      <w:r w:rsidR="00BE7E3D" w:rsidRPr="007406B5">
        <w:rPr>
          <w:rFonts w:ascii="Times New Roman" w:hAnsi="Times New Roman"/>
        </w:rPr>
        <w:t>s</w:t>
      </w:r>
      <w:r w:rsidR="006A1785" w:rsidRPr="007406B5">
        <w:rPr>
          <w:rFonts w:ascii="Times New Roman" w:hAnsi="Times New Roman"/>
        </w:rPr>
        <w:t xml:space="preserve"> 2.20. </w:t>
      </w:r>
      <w:r w:rsidR="00BE7E3D" w:rsidRPr="007406B5">
        <w:rPr>
          <w:rFonts w:ascii="Times New Roman" w:hAnsi="Times New Roman"/>
        </w:rPr>
        <w:t>Section</w:t>
      </w:r>
      <w:r w:rsidR="00F62EF7" w:rsidRPr="007406B5">
        <w:rPr>
          <w:rFonts w:ascii="Times New Roman" w:hAnsi="Times New Roman"/>
        </w:rPr>
        <w:t> </w:t>
      </w:r>
      <w:r w:rsidR="006A1785" w:rsidRPr="007406B5">
        <w:rPr>
          <w:rFonts w:ascii="Times New Roman" w:hAnsi="Times New Roman"/>
        </w:rPr>
        <w:t>2.20 provided that:</w:t>
      </w:r>
    </w:p>
    <w:p w14:paraId="5F2F4A8B" w14:textId="7E376F35" w:rsidR="000D5EBE" w:rsidRPr="007406B5" w:rsidRDefault="006A1785" w:rsidP="007406B5">
      <w:pPr>
        <w:pStyle w:val="LeftrightHanging"/>
        <w:spacing w:before="0" w:after="260" w:line="280" w:lineRule="exact"/>
        <w:ind w:right="0"/>
        <w:jc w:val="both"/>
        <w:rPr>
          <w:rFonts w:ascii="Times New Roman" w:hAnsi="Times New Roman"/>
        </w:rPr>
      </w:pPr>
      <w:r w:rsidRPr="007406B5">
        <w:rPr>
          <w:rFonts w:ascii="Times New Roman" w:hAnsi="Times New Roman"/>
        </w:rPr>
        <w:t>"</w:t>
      </w:r>
      <w:r w:rsidR="009348AA" w:rsidRPr="007406B5">
        <w:rPr>
          <w:rFonts w:ascii="Times New Roman" w:hAnsi="Times New Roman"/>
        </w:rPr>
        <w:t xml:space="preserve">(1) </w:t>
      </w:r>
      <w:r w:rsidR="0095744E" w:rsidRPr="007406B5">
        <w:rPr>
          <w:rFonts w:ascii="Times New Roman" w:hAnsi="Times New Roman"/>
        </w:rPr>
        <w:tab/>
      </w:r>
      <w:r w:rsidR="009348AA" w:rsidRPr="007406B5">
        <w:rPr>
          <w:rFonts w:ascii="Times New Roman" w:hAnsi="Times New Roman"/>
        </w:rPr>
        <w:t>Before granting consent for development for the purposes of mining, petroleum production or extractive industry, the consent authority must consider whether or not</w:t>
      </w:r>
      <w:r w:rsidR="000D5EBE" w:rsidRPr="007406B5">
        <w:rPr>
          <w:rFonts w:ascii="Times New Roman" w:hAnsi="Times New Roman"/>
        </w:rPr>
        <w:t xml:space="preserve"> the consent should be issued subject to conditions aimed at ensuring that the development is undertaken in an environmentally responsible manner, including conditions to ensure the following</w:t>
      </w:r>
      <w:r w:rsidR="00CB759D" w:rsidRPr="007406B5">
        <w:rPr>
          <w:rFonts w:ascii="Times New Roman" w:hAnsi="Times New Roman"/>
        </w:rPr>
        <w:t> </w:t>
      </w:r>
      <w:r w:rsidR="00567FA7" w:rsidRPr="007406B5">
        <w:rPr>
          <w:rFonts w:ascii="Times New Roman" w:hAnsi="Times New Roman"/>
        </w:rPr>
        <w:t>–</w:t>
      </w:r>
    </w:p>
    <w:p w14:paraId="5220C296" w14:textId="16FE901A" w:rsidR="000D5EBE" w:rsidRPr="007406B5" w:rsidRDefault="000D5EBE" w:rsidP="007406B5">
      <w:pPr>
        <w:pStyle w:val="LeftrightHanging"/>
        <w:spacing w:before="0" w:after="260" w:line="280" w:lineRule="exact"/>
        <w:ind w:left="2160" w:right="0"/>
        <w:jc w:val="both"/>
        <w:rPr>
          <w:rFonts w:ascii="Times New Roman" w:hAnsi="Times New Roman"/>
        </w:rPr>
      </w:pPr>
      <w:r w:rsidRPr="007406B5">
        <w:rPr>
          <w:rFonts w:ascii="Times New Roman" w:hAnsi="Times New Roman"/>
        </w:rPr>
        <w:t xml:space="preserve">(a) </w:t>
      </w:r>
      <w:r w:rsidR="007F3572" w:rsidRPr="007406B5">
        <w:rPr>
          <w:rFonts w:ascii="Times New Roman" w:hAnsi="Times New Roman"/>
        </w:rPr>
        <w:tab/>
      </w:r>
      <w:r w:rsidRPr="007406B5">
        <w:rPr>
          <w:rFonts w:ascii="Times New Roman" w:hAnsi="Times New Roman"/>
        </w:rPr>
        <w:t>that impacts on significant water resources, including surface and groundwater resources, are avoided, or are minimised to the greatest extent practicable,</w:t>
      </w:r>
    </w:p>
    <w:p w14:paraId="1EA9E0EF" w14:textId="1B388C24" w:rsidR="000D5EBE" w:rsidRPr="007406B5" w:rsidRDefault="000D5EBE" w:rsidP="007406B5">
      <w:pPr>
        <w:pStyle w:val="LeftrightHanging"/>
        <w:spacing w:before="0" w:after="260" w:line="280" w:lineRule="exact"/>
        <w:ind w:left="2160" w:right="0"/>
        <w:jc w:val="both"/>
        <w:rPr>
          <w:rFonts w:ascii="Times New Roman" w:hAnsi="Times New Roman"/>
        </w:rPr>
      </w:pPr>
      <w:r w:rsidRPr="007406B5">
        <w:rPr>
          <w:rFonts w:ascii="Times New Roman" w:hAnsi="Times New Roman"/>
        </w:rPr>
        <w:t xml:space="preserve">(b) </w:t>
      </w:r>
      <w:r w:rsidR="000D2B72" w:rsidRPr="007406B5">
        <w:rPr>
          <w:rFonts w:ascii="Times New Roman" w:hAnsi="Times New Roman"/>
        </w:rPr>
        <w:tab/>
      </w:r>
      <w:r w:rsidRPr="007406B5">
        <w:rPr>
          <w:rFonts w:ascii="Times New Roman" w:hAnsi="Times New Roman"/>
        </w:rPr>
        <w:t>that impacts on threatened species and biodiversity, are avoided, or are minimised to the greatest extent practicable,</w:t>
      </w:r>
    </w:p>
    <w:p w14:paraId="7626E38C" w14:textId="356A785D" w:rsidR="000D5EBE" w:rsidRPr="007406B5" w:rsidRDefault="000D5EBE" w:rsidP="007406B5">
      <w:pPr>
        <w:pStyle w:val="LeftrightHanging"/>
        <w:spacing w:before="0" w:after="260" w:line="280" w:lineRule="exact"/>
        <w:ind w:left="2160" w:right="0"/>
        <w:jc w:val="both"/>
        <w:rPr>
          <w:rFonts w:ascii="Times New Roman" w:hAnsi="Times New Roman"/>
        </w:rPr>
      </w:pPr>
      <w:r w:rsidRPr="007406B5">
        <w:rPr>
          <w:rFonts w:ascii="Times New Roman" w:hAnsi="Times New Roman"/>
        </w:rPr>
        <w:t xml:space="preserve">(c) </w:t>
      </w:r>
      <w:r w:rsidR="000D2B72" w:rsidRPr="007406B5">
        <w:rPr>
          <w:rFonts w:ascii="Times New Roman" w:hAnsi="Times New Roman"/>
        </w:rPr>
        <w:tab/>
      </w:r>
      <w:r w:rsidRPr="007406B5">
        <w:rPr>
          <w:rFonts w:ascii="Times New Roman" w:hAnsi="Times New Roman"/>
        </w:rPr>
        <w:t>that greenhouse gas emissions are minimised to the greatest extent practicable.</w:t>
      </w:r>
    </w:p>
    <w:p w14:paraId="4F47B0E2" w14:textId="77777777" w:rsidR="007406B5" w:rsidRDefault="000D5EBE" w:rsidP="007406B5">
      <w:pPr>
        <w:pStyle w:val="LeftrightHanging"/>
        <w:spacing w:before="0" w:after="260" w:line="280" w:lineRule="exact"/>
        <w:ind w:right="0"/>
        <w:jc w:val="both"/>
        <w:rPr>
          <w:rFonts w:ascii="Times New Roman" w:hAnsi="Times New Roman"/>
        </w:rPr>
      </w:pPr>
      <w:r w:rsidRPr="007406B5">
        <w:rPr>
          <w:rFonts w:ascii="Times New Roman" w:hAnsi="Times New Roman"/>
        </w:rPr>
        <w:t xml:space="preserve">(2) </w:t>
      </w:r>
      <w:r w:rsidR="000D2B72" w:rsidRPr="007406B5">
        <w:rPr>
          <w:rFonts w:ascii="Times New Roman" w:hAnsi="Times New Roman"/>
        </w:rPr>
        <w:tab/>
      </w:r>
      <w:r w:rsidRPr="007406B5">
        <w:rPr>
          <w:rFonts w:ascii="Times New Roman" w:hAnsi="Times New Roman"/>
        </w:rPr>
        <w:t>Without limiting subsection</w:t>
      </w:r>
      <w:r w:rsidR="000D2B72" w:rsidRPr="007406B5">
        <w:rPr>
          <w:rFonts w:ascii="Times New Roman" w:hAnsi="Times New Roman"/>
        </w:rPr>
        <w:t> </w:t>
      </w:r>
      <w:r w:rsidRPr="007406B5">
        <w:rPr>
          <w:rFonts w:ascii="Times New Roman" w:hAnsi="Times New Roman"/>
        </w:rPr>
        <w:t>(1), in determining a development application for development for the purposes of mining, petroleum production or extractive industry, the consent authority must consider an assessment of the greenhouse gas emissions (including downstream emissions) of the development, and must do so having regard to any applicable State or national policies, programs or guidelines concerning greenhouse gas emissions."</w:t>
      </w:r>
    </w:p>
    <w:p w14:paraId="36461C1E" w14:textId="1CF71E07" w:rsidR="000D5EBE" w:rsidRPr="007406B5" w:rsidRDefault="000D5EBE" w:rsidP="007406B5">
      <w:pPr>
        <w:pStyle w:val="FixListStyle"/>
        <w:spacing w:after="260" w:line="280" w:lineRule="exact"/>
        <w:ind w:right="0"/>
        <w:jc w:val="both"/>
        <w:rPr>
          <w:rFonts w:ascii="Times New Roman" w:hAnsi="Times New Roman"/>
        </w:rPr>
      </w:pPr>
      <w:r w:rsidRPr="007406B5">
        <w:rPr>
          <w:rFonts w:ascii="Times New Roman" w:hAnsi="Times New Roman"/>
        </w:rPr>
        <w:tab/>
      </w:r>
      <w:r w:rsidR="00B250ED" w:rsidRPr="007406B5">
        <w:rPr>
          <w:rFonts w:ascii="Times New Roman" w:hAnsi="Times New Roman"/>
        </w:rPr>
        <w:t xml:space="preserve">According to </w:t>
      </w:r>
      <w:r w:rsidR="007416AC" w:rsidRPr="007406B5">
        <w:rPr>
          <w:rFonts w:ascii="Times New Roman" w:hAnsi="Times New Roman"/>
        </w:rPr>
        <w:t>D</w:t>
      </w:r>
      <w:r w:rsidR="00B250ED" w:rsidRPr="007406B5">
        <w:rPr>
          <w:rFonts w:ascii="Times New Roman" w:hAnsi="Times New Roman"/>
        </w:rPr>
        <w:t>AMSHEG</w:t>
      </w:r>
      <w:r w:rsidR="004F26DA" w:rsidRPr="007406B5">
        <w:rPr>
          <w:rFonts w:ascii="Times New Roman" w:hAnsi="Times New Roman"/>
        </w:rPr>
        <w:t>,</w:t>
      </w:r>
      <w:r w:rsidR="00B250ED" w:rsidRPr="007406B5">
        <w:rPr>
          <w:rFonts w:ascii="Times New Roman" w:hAnsi="Times New Roman"/>
        </w:rPr>
        <w:t xml:space="preserve"> the </w:t>
      </w:r>
      <w:r w:rsidR="001B7839" w:rsidRPr="007406B5">
        <w:rPr>
          <w:rFonts w:ascii="Times New Roman" w:hAnsi="Times New Roman"/>
        </w:rPr>
        <w:t>Commission</w:t>
      </w:r>
      <w:r w:rsidR="00B250ED" w:rsidRPr="007406B5">
        <w:rPr>
          <w:rFonts w:ascii="Times New Roman" w:hAnsi="Times New Roman"/>
        </w:rPr>
        <w:t xml:space="preserve"> did not consider </w:t>
      </w:r>
      <w:r w:rsidR="005B0892" w:rsidRPr="007406B5">
        <w:rPr>
          <w:rFonts w:ascii="Times New Roman" w:hAnsi="Times New Roman"/>
        </w:rPr>
        <w:t xml:space="preserve">whether development consent should be granted subject to conditions </w:t>
      </w:r>
      <w:r w:rsidR="00836537" w:rsidRPr="007406B5">
        <w:rPr>
          <w:rFonts w:ascii="Times New Roman" w:hAnsi="Times New Roman"/>
        </w:rPr>
        <w:t xml:space="preserve">aimed at ensuring that </w:t>
      </w:r>
      <w:r w:rsidR="0040749D" w:rsidRPr="007406B5">
        <w:rPr>
          <w:rFonts w:ascii="Times New Roman" w:hAnsi="Times New Roman"/>
        </w:rPr>
        <w:t>scope</w:t>
      </w:r>
      <w:r w:rsidR="00AA1506" w:rsidRPr="007406B5">
        <w:rPr>
          <w:rFonts w:ascii="Times New Roman" w:hAnsi="Times New Roman"/>
        </w:rPr>
        <w:t> </w:t>
      </w:r>
      <w:r w:rsidR="0040749D" w:rsidRPr="007406B5">
        <w:rPr>
          <w:rFonts w:ascii="Times New Roman" w:hAnsi="Times New Roman"/>
        </w:rPr>
        <w:t xml:space="preserve">3 greenhouse gas emissions </w:t>
      </w:r>
      <w:r w:rsidR="006107DC" w:rsidRPr="007406B5">
        <w:rPr>
          <w:rFonts w:ascii="Times New Roman" w:hAnsi="Times New Roman"/>
        </w:rPr>
        <w:t>of the de</w:t>
      </w:r>
      <w:r w:rsidR="007416AC" w:rsidRPr="007406B5">
        <w:rPr>
          <w:rFonts w:ascii="Times New Roman" w:hAnsi="Times New Roman"/>
        </w:rPr>
        <w:t xml:space="preserve">velopment are minimised to the greatest extent practicable, with the consequence that the decision to grant the development consent was in breach of s 4.15(1)(a) of the EPA Act and thereby invalid. DAMSHEG relied on several </w:t>
      </w:r>
      <w:r w:rsidR="003A36CF" w:rsidRPr="007406B5">
        <w:rPr>
          <w:rFonts w:ascii="Times New Roman" w:hAnsi="Times New Roman"/>
        </w:rPr>
        <w:t>circumstances</w:t>
      </w:r>
      <w:r w:rsidR="007416AC" w:rsidRPr="007406B5">
        <w:rPr>
          <w:rFonts w:ascii="Times New Roman" w:hAnsi="Times New Roman"/>
        </w:rPr>
        <w:t xml:space="preserve"> to support this </w:t>
      </w:r>
      <w:r w:rsidR="007E33DD" w:rsidRPr="007406B5">
        <w:rPr>
          <w:rFonts w:ascii="Times New Roman" w:hAnsi="Times New Roman"/>
        </w:rPr>
        <w:t xml:space="preserve">contention, </w:t>
      </w:r>
      <w:r w:rsidR="007E33DD" w:rsidRPr="007406B5">
        <w:rPr>
          <w:rFonts w:ascii="Times New Roman" w:hAnsi="Times New Roman"/>
        </w:rPr>
        <w:lastRenderedPageBreak/>
        <w:t>namely: (i) </w:t>
      </w:r>
      <w:r w:rsidR="00CF1524" w:rsidRPr="007406B5">
        <w:rPr>
          <w:rFonts w:ascii="Times New Roman" w:hAnsi="Times New Roman"/>
        </w:rPr>
        <w:t xml:space="preserve">in its reasons the </w:t>
      </w:r>
      <w:r w:rsidR="001B7839" w:rsidRPr="007406B5">
        <w:rPr>
          <w:rFonts w:ascii="Times New Roman" w:hAnsi="Times New Roman"/>
        </w:rPr>
        <w:t>Commission</w:t>
      </w:r>
      <w:r w:rsidR="00CF1524" w:rsidRPr="007406B5">
        <w:rPr>
          <w:rFonts w:ascii="Times New Roman" w:hAnsi="Times New Roman"/>
        </w:rPr>
        <w:t xml:space="preserve"> did not state that it</w:t>
      </w:r>
      <w:r w:rsidR="00A11BE8" w:rsidRPr="007406B5">
        <w:rPr>
          <w:rFonts w:ascii="Times New Roman" w:hAnsi="Times New Roman"/>
        </w:rPr>
        <w:t xml:space="preserve"> </w:t>
      </w:r>
      <w:r w:rsidR="00CF1524" w:rsidRPr="007406B5">
        <w:rPr>
          <w:rFonts w:ascii="Times New Roman" w:hAnsi="Times New Roman"/>
        </w:rPr>
        <w:t>had consid</w:t>
      </w:r>
      <w:r w:rsidR="00A11BE8" w:rsidRPr="007406B5">
        <w:rPr>
          <w:rFonts w:ascii="Times New Roman" w:hAnsi="Times New Roman"/>
        </w:rPr>
        <w:t>e</w:t>
      </w:r>
      <w:r w:rsidR="00CF1524" w:rsidRPr="007406B5">
        <w:rPr>
          <w:rFonts w:ascii="Times New Roman" w:hAnsi="Times New Roman"/>
        </w:rPr>
        <w:t xml:space="preserve">red </w:t>
      </w:r>
      <w:r w:rsidR="00A11BE8" w:rsidRPr="007406B5">
        <w:rPr>
          <w:rFonts w:ascii="Times New Roman" w:hAnsi="Times New Roman"/>
        </w:rPr>
        <w:t>if conditions could or should be imposed to minimise scope</w:t>
      </w:r>
      <w:r w:rsidR="00AA1506" w:rsidRPr="007406B5">
        <w:rPr>
          <w:rFonts w:ascii="Times New Roman" w:hAnsi="Times New Roman"/>
        </w:rPr>
        <w:t> </w:t>
      </w:r>
      <w:r w:rsidR="00A11BE8" w:rsidRPr="007406B5">
        <w:rPr>
          <w:rFonts w:ascii="Times New Roman" w:hAnsi="Times New Roman"/>
        </w:rPr>
        <w:t xml:space="preserve">3 emissions of the development to the greatest extent practicable; </w:t>
      </w:r>
      <w:r w:rsidR="00777E2D" w:rsidRPr="007406B5">
        <w:rPr>
          <w:rFonts w:ascii="Times New Roman" w:hAnsi="Times New Roman"/>
        </w:rPr>
        <w:t xml:space="preserve">and </w:t>
      </w:r>
      <w:r w:rsidR="00A11BE8" w:rsidRPr="007406B5">
        <w:rPr>
          <w:rFonts w:ascii="Times New Roman" w:hAnsi="Times New Roman"/>
        </w:rPr>
        <w:t>(ii) </w:t>
      </w:r>
      <w:r w:rsidR="002F402D" w:rsidRPr="007406B5">
        <w:rPr>
          <w:rFonts w:ascii="Times New Roman" w:hAnsi="Times New Roman"/>
        </w:rPr>
        <w:t>it was not for DAMSHEG to propose such conditions and it did not do so</w:t>
      </w:r>
      <w:r w:rsidR="000568FA" w:rsidRPr="007406B5">
        <w:rPr>
          <w:rFonts w:ascii="Times New Roman" w:hAnsi="Times New Roman"/>
        </w:rPr>
        <w:t> </w:t>
      </w:r>
      <w:r w:rsidR="00A827B1" w:rsidRPr="007406B5">
        <w:rPr>
          <w:rFonts w:ascii="Times New Roman" w:hAnsi="Times New Roman"/>
        </w:rPr>
        <w:t>–</w:t>
      </w:r>
      <w:r w:rsidR="000568FA" w:rsidRPr="007406B5">
        <w:rPr>
          <w:rFonts w:ascii="Times New Roman" w:hAnsi="Times New Roman"/>
        </w:rPr>
        <w:t> </w:t>
      </w:r>
      <w:r w:rsidR="002F402D" w:rsidRPr="007406B5">
        <w:rPr>
          <w:rFonts w:ascii="Times New Roman" w:hAnsi="Times New Roman"/>
        </w:rPr>
        <w:t xml:space="preserve">rather it was for MACH to identify such conditions as the applicant for development consent, as reinforced by </w:t>
      </w:r>
      <w:r w:rsidR="003932C8" w:rsidRPr="007406B5">
        <w:rPr>
          <w:rFonts w:ascii="Times New Roman" w:hAnsi="Times New Roman"/>
        </w:rPr>
        <w:t xml:space="preserve">cll 6 and 7 of Sch 2 to the </w:t>
      </w:r>
      <w:r w:rsidR="000A2B91" w:rsidRPr="007406B5">
        <w:rPr>
          <w:rFonts w:ascii="Times New Roman" w:hAnsi="Times New Roman"/>
          <w:i/>
          <w:iCs/>
        </w:rPr>
        <w:t>Environmental Planning and Assessment Regulation 2000</w:t>
      </w:r>
      <w:r w:rsidR="000A2B91" w:rsidRPr="007406B5">
        <w:rPr>
          <w:rFonts w:ascii="Times New Roman" w:hAnsi="Times New Roman"/>
        </w:rPr>
        <w:t xml:space="preserve"> (NSW) (</w:t>
      </w:r>
      <w:r w:rsidR="008E6BC6" w:rsidRPr="007406B5">
        <w:rPr>
          <w:rFonts w:ascii="Times New Roman" w:hAnsi="Times New Roman"/>
        </w:rPr>
        <w:t>"</w:t>
      </w:r>
      <w:r w:rsidR="000A2B91" w:rsidRPr="007406B5">
        <w:rPr>
          <w:rFonts w:ascii="Times New Roman" w:hAnsi="Times New Roman"/>
        </w:rPr>
        <w:t>the EPA Regulations")</w:t>
      </w:r>
      <w:r w:rsidR="005A477D" w:rsidRPr="007406B5">
        <w:rPr>
          <w:rFonts w:ascii="Times New Roman" w:hAnsi="Times New Roman"/>
        </w:rPr>
        <w:t>.</w:t>
      </w:r>
      <w:r w:rsidR="000A4335" w:rsidRPr="007406B5">
        <w:rPr>
          <w:rFonts w:ascii="Times New Roman" w:hAnsi="Times New Roman"/>
        </w:rPr>
        <w:t xml:space="preserve"> </w:t>
      </w:r>
      <w:r w:rsidR="005A477D" w:rsidRPr="007406B5">
        <w:rPr>
          <w:rFonts w:ascii="Times New Roman" w:hAnsi="Times New Roman"/>
        </w:rPr>
        <w:t>A</w:t>
      </w:r>
      <w:r w:rsidR="000A2B91" w:rsidRPr="007406B5">
        <w:rPr>
          <w:rFonts w:ascii="Times New Roman" w:hAnsi="Times New Roman"/>
        </w:rPr>
        <w:t xml:space="preserve">mongst </w:t>
      </w:r>
      <w:r w:rsidR="000B22B7" w:rsidRPr="007406B5">
        <w:rPr>
          <w:rFonts w:ascii="Times New Roman" w:hAnsi="Times New Roman"/>
        </w:rPr>
        <w:t>other</w:t>
      </w:r>
      <w:r w:rsidR="000A2B91" w:rsidRPr="007406B5">
        <w:rPr>
          <w:rFonts w:ascii="Times New Roman" w:hAnsi="Times New Roman"/>
        </w:rPr>
        <w:t xml:space="preserve"> </w:t>
      </w:r>
      <w:r w:rsidR="000B22B7" w:rsidRPr="007406B5">
        <w:rPr>
          <w:rFonts w:ascii="Times New Roman" w:hAnsi="Times New Roman"/>
        </w:rPr>
        <w:t>things</w:t>
      </w:r>
      <w:r w:rsidR="000A2B91" w:rsidRPr="007406B5">
        <w:rPr>
          <w:rFonts w:ascii="Times New Roman" w:hAnsi="Times New Roman"/>
        </w:rPr>
        <w:t>, cl </w:t>
      </w:r>
      <w:r w:rsidR="000B22B7" w:rsidRPr="007406B5">
        <w:rPr>
          <w:rFonts w:ascii="Times New Roman" w:hAnsi="Times New Roman"/>
        </w:rPr>
        <w:t xml:space="preserve">7(1)(d)(iv) </w:t>
      </w:r>
      <w:r w:rsidR="005A477D" w:rsidRPr="007406B5">
        <w:rPr>
          <w:rFonts w:ascii="Times New Roman" w:hAnsi="Times New Roman"/>
        </w:rPr>
        <w:t xml:space="preserve">required </w:t>
      </w:r>
      <w:r w:rsidR="000B22B7" w:rsidRPr="007406B5">
        <w:rPr>
          <w:rFonts w:ascii="Times New Roman" w:hAnsi="Times New Roman"/>
        </w:rPr>
        <w:t>the EIS to provide "a full description of the measures proposed to mitigate any adverse effects of the development … on the environment"</w:t>
      </w:r>
      <w:r w:rsidR="00B73AA1" w:rsidRPr="007406B5">
        <w:rPr>
          <w:rFonts w:ascii="Times New Roman" w:hAnsi="Times New Roman"/>
        </w:rPr>
        <w:t xml:space="preserve"> and the Planning Secretary's "environmental assessment requirements" with respect to the EIS </w:t>
      </w:r>
      <w:r w:rsidR="00A44B51" w:rsidRPr="007406B5">
        <w:rPr>
          <w:rFonts w:ascii="Times New Roman" w:hAnsi="Times New Roman"/>
        </w:rPr>
        <w:t>under cl 3(</w:t>
      </w:r>
      <w:r w:rsidR="00800BA8" w:rsidRPr="007406B5">
        <w:rPr>
          <w:rFonts w:ascii="Times New Roman" w:hAnsi="Times New Roman"/>
        </w:rPr>
        <w:t>5</w:t>
      </w:r>
      <w:r w:rsidR="00A44B51" w:rsidRPr="007406B5">
        <w:rPr>
          <w:rFonts w:ascii="Times New Roman" w:hAnsi="Times New Roman"/>
        </w:rPr>
        <w:t xml:space="preserve">) of </w:t>
      </w:r>
      <w:r w:rsidR="00163D3E" w:rsidRPr="007406B5">
        <w:rPr>
          <w:rFonts w:ascii="Times New Roman" w:hAnsi="Times New Roman"/>
        </w:rPr>
        <w:t>Sch 2</w:t>
      </w:r>
      <w:r w:rsidR="00A44B51" w:rsidRPr="007406B5">
        <w:rPr>
          <w:rFonts w:ascii="Times New Roman" w:hAnsi="Times New Roman"/>
        </w:rPr>
        <w:t xml:space="preserve"> </w:t>
      </w:r>
      <w:r w:rsidR="00F85C34" w:rsidRPr="007406B5">
        <w:rPr>
          <w:rFonts w:ascii="Times New Roman" w:hAnsi="Times New Roman"/>
        </w:rPr>
        <w:t xml:space="preserve">to </w:t>
      </w:r>
      <w:r w:rsidR="00A44B51" w:rsidRPr="007406B5">
        <w:rPr>
          <w:rFonts w:ascii="Times New Roman" w:hAnsi="Times New Roman"/>
        </w:rPr>
        <w:t>the EPA Regulation</w:t>
      </w:r>
      <w:r w:rsidR="004737A0" w:rsidRPr="007406B5">
        <w:rPr>
          <w:rFonts w:ascii="Times New Roman" w:hAnsi="Times New Roman"/>
        </w:rPr>
        <w:t>s</w:t>
      </w:r>
      <w:r w:rsidR="00A44B51" w:rsidRPr="007406B5">
        <w:rPr>
          <w:rFonts w:ascii="Times New Roman" w:hAnsi="Times New Roman"/>
        </w:rPr>
        <w:t xml:space="preserve"> </w:t>
      </w:r>
      <w:r w:rsidR="00015E4A" w:rsidRPr="007406B5">
        <w:rPr>
          <w:rFonts w:ascii="Times New Roman" w:hAnsi="Times New Roman"/>
        </w:rPr>
        <w:t>effectively repeated this requirement</w:t>
      </w:r>
      <w:r w:rsidR="0011592B" w:rsidRPr="007406B5">
        <w:rPr>
          <w:rFonts w:ascii="Times New Roman" w:hAnsi="Times New Roman"/>
        </w:rPr>
        <w:t>.</w:t>
      </w:r>
      <w:r w:rsidR="00D749FE" w:rsidRPr="007406B5">
        <w:rPr>
          <w:rFonts w:ascii="Times New Roman" w:hAnsi="Times New Roman"/>
        </w:rPr>
        <w:t xml:space="preserve"> </w:t>
      </w:r>
      <w:r w:rsidR="00354AA5" w:rsidRPr="007406B5">
        <w:rPr>
          <w:rFonts w:ascii="Times New Roman" w:hAnsi="Times New Roman"/>
        </w:rPr>
        <w:t>DAMSHEG further contended that</w:t>
      </w:r>
      <w:r w:rsidR="002B7D32" w:rsidRPr="007406B5">
        <w:rPr>
          <w:rFonts w:ascii="Times New Roman" w:hAnsi="Times New Roman"/>
        </w:rPr>
        <w:t>:</w:t>
      </w:r>
      <w:r w:rsidR="00F16BF9" w:rsidRPr="007406B5">
        <w:rPr>
          <w:rFonts w:ascii="Times New Roman" w:hAnsi="Times New Roman"/>
        </w:rPr>
        <w:t xml:space="preserve"> (iii) despite it being MACH's responsibility as the applicant for the development co</w:t>
      </w:r>
      <w:r w:rsidR="00AF62E5" w:rsidRPr="007406B5">
        <w:rPr>
          <w:rFonts w:ascii="Times New Roman" w:hAnsi="Times New Roman"/>
        </w:rPr>
        <w:t>n</w:t>
      </w:r>
      <w:r w:rsidR="00F16BF9" w:rsidRPr="007406B5">
        <w:rPr>
          <w:rFonts w:ascii="Times New Roman" w:hAnsi="Times New Roman"/>
        </w:rPr>
        <w:t xml:space="preserve">sent to propose conditions to minimise greenhouse gas emissions, </w:t>
      </w:r>
      <w:r w:rsidR="00AF62E5" w:rsidRPr="007406B5">
        <w:rPr>
          <w:rFonts w:ascii="Times New Roman" w:hAnsi="Times New Roman"/>
        </w:rPr>
        <w:t>including scope</w:t>
      </w:r>
      <w:r w:rsidR="00AA1506" w:rsidRPr="007406B5">
        <w:rPr>
          <w:rFonts w:ascii="Times New Roman" w:hAnsi="Times New Roman"/>
        </w:rPr>
        <w:t> </w:t>
      </w:r>
      <w:r w:rsidR="00AF62E5" w:rsidRPr="007406B5">
        <w:rPr>
          <w:rFonts w:ascii="Times New Roman" w:hAnsi="Times New Roman"/>
        </w:rPr>
        <w:t xml:space="preserve">3 emissions, MACH did not do so; (iv) given that the </w:t>
      </w:r>
      <w:r w:rsidR="001B7839" w:rsidRPr="007406B5">
        <w:rPr>
          <w:rFonts w:ascii="Times New Roman" w:hAnsi="Times New Roman"/>
        </w:rPr>
        <w:t>Commission</w:t>
      </w:r>
      <w:r w:rsidR="00AF62E5" w:rsidRPr="007406B5">
        <w:rPr>
          <w:rFonts w:ascii="Times New Roman" w:hAnsi="Times New Roman"/>
        </w:rPr>
        <w:t>'s reasons deal in detail with conditions to minimise scope</w:t>
      </w:r>
      <w:r w:rsidR="00AA1506" w:rsidRPr="007406B5">
        <w:rPr>
          <w:rFonts w:ascii="Times New Roman" w:hAnsi="Times New Roman"/>
        </w:rPr>
        <w:t> </w:t>
      </w:r>
      <w:r w:rsidR="00AF62E5" w:rsidRPr="007406B5">
        <w:rPr>
          <w:rFonts w:ascii="Times New Roman" w:hAnsi="Times New Roman"/>
        </w:rPr>
        <w:t>1 and 2</w:t>
      </w:r>
      <w:r w:rsidR="00F40878" w:rsidRPr="007406B5">
        <w:rPr>
          <w:rFonts w:ascii="Times New Roman" w:hAnsi="Times New Roman"/>
        </w:rPr>
        <w:t> </w:t>
      </w:r>
      <w:r w:rsidR="00AF62E5" w:rsidRPr="007406B5">
        <w:rPr>
          <w:rFonts w:ascii="Times New Roman" w:hAnsi="Times New Roman"/>
        </w:rPr>
        <w:t xml:space="preserve">emissions, it would be expected that the </w:t>
      </w:r>
      <w:r w:rsidR="001B7839" w:rsidRPr="007406B5">
        <w:rPr>
          <w:rFonts w:ascii="Times New Roman" w:hAnsi="Times New Roman"/>
        </w:rPr>
        <w:t>Commission</w:t>
      </w:r>
      <w:r w:rsidR="00AF62E5" w:rsidRPr="007406B5">
        <w:rPr>
          <w:rFonts w:ascii="Times New Roman" w:hAnsi="Times New Roman"/>
        </w:rPr>
        <w:t xml:space="preserve">'s reasons would </w:t>
      </w:r>
      <w:r w:rsidR="00F5691B" w:rsidRPr="007406B5">
        <w:rPr>
          <w:rFonts w:ascii="Times New Roman" w:hAnsi="Times New Roman"/>
        </w:rPr>
        <w:t>explain its decision not to impose any condition</w:t>
      </w:r>
      <w:r w:rsidR="00272A24" w:rsidRPr="007406B5">
        <w:rPr>
          <w:rFonts w:ascii="Times New Roman" w:hAnsi="Times New Roman"/>
        </w:rPr>
        <w:t>s</w:t>
      </w:r>
      <w:r w:rsidR="00F5691B" w:rsidRPr="007406B5">
        <w:rPr>
          <w:rFonts w:ascii="Times New Roman" w:hAnsi="Times New Roman"/>
        </w:rPr>
        <w:t xml:space="preserve"> minimising scope</w:t>
      </w:r>
      <w:r w:rsidR="00AA1506" w:rsidRPr="007406B5">
        <w:rPr>
          <w:rFonts w:ascii="Times New Roman" w:hAnsi="Times New Roman"/>
        </w:rPr>
        <w:t> </w:t>
      </w:r>
      <w:r w:rsidR="00F5691B" w:rsidRPr="007406B5">
        <w:rPr>
          <w:rFonts w:ascii="Times New Roman" w:hAnsi="Times New Roman"/>
        </w:rPr>
        <w:t xml:space="preserve">3 </w:t>
      </w:r>
      <w:r w:rsidR="00272A24" w:rsidRPr="007406B5">
        <w:rPr>
          <w:rFonts w:ascii="Times New Roman" w:hAnsi="Times New Roman"/>
        </w:rPr>
        <w:t>emissions</w:t>
      </w:r>
      <w:r w:rsidR="00F5691B" w:rsidRPr="007406B5">
        <w:rPr>
          <w:rFonts w:ascii="Times New Roman" w:hAnsi="Times New Roman"/>
        </w:rPr>
        <w:t xml:space="preserve">, but the </w:t>
      </w:r>
      <w:r w:rsidR="001B7839" w:rsidRPr="007406B5">
        <w:rPr>
          <w:rFonts w:ascii="Times New Roman" w:hAnsi="Times New Roman"/>
        </w:rPr>
        <w:t>Commission</w:t>
      </w:r>
      <w:r w:rsidR="00F5691B" w:rsidRPr="007406B5">
        <w:rPr>
          <w:rFonts w:ascii="Times New Roman" w:hAnsi="Times New Roman"/>
        </w:rPr>
        <w:t>'s reasons contain no such explanation</w:t>
      </w:r>
      <w:r w:rsidR="006C7935" w:rsidRPr="007406B5">
        <w:rPr>
          <w:rFonts w:ascii="Times New Roman" w:hAnsi="Times New Roman"/>
        </w:rPr>
        <w:t xml:space="preserve"> and the development consent imposes no such condition</w:t>
      </w:r>
      <w:r w:rsidR="00D94283" w:rsidRPr="007406B5">
        <w:rPr>
          <w:rFonts w:ascii="Times New Roman" w:hAnsi="Times New Roman"/>
        </w:rPr>
        <w:t>; and (v)</w:t>
      </w:r>
      <w:r w:rsidR="00E95003" w:rsidRPr="007406B5">
        <w:rPr>
          <w:rFonts w:ascii="Times New Roman" w:hAnsi="Times New Roman"/>
        </w:rPr>
        <w:t> </w:t>
      </w:r>
      <w:r w:rsidR="00D94283" w:rsidRPr="007406B5">
        <w:rPr>
          <w:rFonts w:ascii="Times New Roman" w:hAnsi="Times New Roman"/>
        </w:rPr>
        <w:t xml:space="preserve">the Commission relied on the Paris Agreement and other policies to disregard the requirement in </w:t>
      </w:r>
      <w:r w:rsidR="00697036" w:rsidRPr="007406B5">
        <w:rPr>
          <w:rFonts w:ascii="Times New Roman" w:hAnsi="Times New Roman"/>
        </w:rPr>
        <w:t>s</w:t>
      </w:r>
      <w:r w:rsidR="00D94283" w:rsidRPr="007406B5">
        <w:rPr>
          <w:rFonts w:ascii="Times New Roman" w:hAnsi="Times New Roman"/>
        </w:rPr>
        <w:t> 2.20(1)</w:t>
      </w:r>
      <w:r w:rsidR="008F4064" w:rsidRPr="007406B5">
        <w:rPr>
          <w:rFonts w:ascii="Times New Roman" w:hAnsi="Times New Roman"/>
        </w:rPr>
        <w:t>(c)</w:t>
      </w:r>
      <w:r w:rsidR="00D94283" w:rsidRPr="007406B5">
        <w:rPr>
          <w:rFonts w:ascii="Times New Roman" w:hAnsi="Times New Roman"/>
        </w:rPr>
        <w:t xml:space="preserve"> of the Resources SEPP to </w:t>
      </w:r>
      <w:r w:rsidR="003C35E3" w:rsidRPr="007406B5">
        <w:rPr>
          <w:rFonts w:ascii="Times New Roman" w:hAnsi="Times New Roman"/>
        </w:rPr>
        <w:t>consider</w:t>
      </w:r>
      <w:r w:rsidR="00D94283" w:rsidRPr="007406B5">
        <w:rPr>
          <w:rFonts w:ascii="Times New Roman" w:hAnsi="Times New Roman"/>
        </w:rPr>
        <w:t xml:space="preserve"> imposing conditions to minimise scope</w:t>
      </w:r>
      <w:r w:rsidR="00AA1506" w:rsidRPr="007406B5">
        <w:rPr>
          <w:rFonts w:ascii="Times New Roman" w:hAnsi="Times New Roman"/>
        </w:rPr>
        <w:t> </w:t>
      </w:r>
      <w:r w:rsidR="00D94283" w:rsidRPr="007406B5">
        <w:rPr>
          <w:rFonts w:ascii="Times New Roman" w:hAnsi="Times New Roman"/>
        </w:rPr>
        <w:t xml:space="preserve">3 greenhouse gas emissions to the greatest extent practicable. </w:t>
      </w:r>
    </w:p>
    <w:p w14:paraId="3CE645ED" w14:textId="4E6F3FDE" w:rsidR="00157441" w:rsidRPr="007406B5" w:rsidRDefault="00A333E1" w:rsidP="007406B5">
      <w:pPr>
        <w:pStyle w:val="FixListStyle"/>
        <w:spacing w:after="260" w:line="280" w:lineRule="exact"/>
        <w:ind w:right="0"/>
        <w:jc w:val="both"/>
        <w:rPr>
          <w:rFonts w:ascii="Times New Roman" w:hAnsi="Times New Roman"/>
        </w:rPr>
      </w:pPr>
      <w:r w:rsidRPr="007406B5">
        <w:rPr>
          <w:rFonts w:ascii="Times New Roman" w:hAnsi="Times New Roman"/>
        </w:rPr>
        <w:tab/>
      </w:r>
      <w:r w:rsidR="0016033E" w:rsidRPr="007406B5">
        <w:rPr>
          <w:rFonts w:ascii="Times New Roman" w:hAnsi="Times New Roman"/>
        </w:rPr>
        <w:t xml:space="preserve">Three </w:t>
      </w:r>
      <w:r w:rsidR="00444622" w:rsidRPr="007406B5">
        <w:rPr>
          <w:rFonts w:ascii="Times New Roman" w:hAnsi="Times New Roman"/>
        </w:rPr>
        <w:t xml:space="preserve">matters </w:t>
      </w:r>
      <w:r w:rsidR="00E22679" w:rsidRPr="007406B5">
        <w:rPr>
          <w:rFonts w:ascii="Times New Roman" w:hAnsi="Times New Roman"/>
        </w:rPr>
        <w:t>should</w:t>
      </w:r>
      <w:r w:rsidR="00444622" w:rsidRPr="007406B5">
        <w:rPr>
          <w:rFonts w:ascii="Times New Roman" w:hAnsi="Times New Roman"/>
        </w:rPr>
        <w:t xml:space="preserve"> be noted about the construction of </w:t>
      </w:r>
      <w:r w:rsidR="007675EA" w:rsidRPr="007406B5">
        <w:rPr>
          <w:rFonts w:ascii="Times New Roman" w:hAnsi="Times New Roman"/>
        </w:rPr>
        <w:t>s</w:t>
      </w:r>
      <w:r w:rsidR="00444622" w:rsidRPr="007406B5">
        <w:rPr>
          <w:rFonts w:ascii="Times New Roman" w:hAnsi="Times New Roman"/>
        </w:rPr>
        <w:t> 2.20(1)(c)</w:t>
      </w:r>
      <w:r w:rsidR="003C35E3" w:rsidRPr="007406B5">
        <w:rPr>
          <w:rFonts w:ascii="Times New Roman" w:hAnsi="Times New Roman"/>
        </w:rPr>
        <w:t>.</w:t>
      </w:r>
      <w:r w:rsidR="00444622" w:rsidRPr="007406B5">
        <w:rPr>
          <w:rFonts w:ascii="Times New Roman" w:hAnsi="Times New Roman"/>
        </w:rPr>
        <w:t xml:space="preserve"> </w:t>
      </w:r>
    </w:p>
    <w:p w14:paraId="39141AC9" w14:textId="02C8536D" w:rsidR="00157441" w:rsidRPr="007406B5" w:rsidRDefault="00157441" w:rsidP="007406B5">
      <w:pPr>
        <w:pStyle w:val="FixListStyle"/>
        <w:spacing w:after="260" w:line="280" w:lineRule="exact"/>
        <w:ind w:right="0"/>
        <w:jc w:val="both"/>
        <w:rPr>
          <w:rFonts w:ascii="Times New Roman" w:hAnsi="Times New Roman"/>
        </w:rPr>
      </w:pPr>
      <w:r w:rsidRPr="007406B5">
        <w:rPr>
          <w:rFonts w:ascii="Times New Roman" w:hAnsi="Times New Roman"/>
        </w:rPr>
        <w:tab/>
      </w:r>
      <w:r w:rsidR="00444622" w:rsidRPr="007406B5">
        <w:rPr>
          <w:rFonts w:ascii="Times New Roman" w:hAnsi="Times New Roman"/>
        </w:rPr>
        <w:t xml:space="preserve">First, </w:t>
      </w:r>
      <w:r w:rsidR="00FB7565" w:rsidRPr="007406B5">
        <w:rPr>
          <w:rFonts w:ascii="Times New Roman" w:hAnsi="Times New Roman"/>
        </w:rPr>
        <w:t xml:space="preserve">in referring to </w:t>
      </w:r>
      <w:r w:rsidR="000C0E87" w:rsidRPr="007406B5">
        <w:rPr>
          <w:rFonts w:ascii="Times New Roman" w:hAnsi="Times New Roman"/>
        </w:rPr>
        <w:t>greenhouse</w:t>
      </w:r>
      <w:r w:rsidR="00FB7565" w:rsidRPr="007406B5">
        <w:rPr>
          <w:rFonts w:ascii="Times New Roman" w:hAnsi="Times New Roman"/>
        </w:rPr>
        <w:t xml:space="preserve"> gas emissions, </w:t>
      </w:r>
      <w:r w:rsidR="0046578D" w:rsidRPr="007406B5">
        <w:rPr>
          <w:rFonts w:ascii="Times New Roman" w:hAnsi="Times New Roman"/>
        </w:rPr>
        <w:t>s </w:t>
      </w:r>
      <w:r w:rsidR="00E22679" w:rsidRPr="007406B5">
        <w:rPr>
          <w:rFonts w:ascii="Times New Roman" w:hAnsi="Times New Roman"/>
        </w:rPr>
        <w:t xml:space="preserve">2.20(1)(c) </w:t>
      </w:r>
      <w:r w:rsidR="000C0E87" w:rsidRPr="007406B5">
        <w:rPr>
          <w:rFonts w:ascii="Times New Roman" w:hAnsi="Times New Roman"/>
        </w:rPr>
        <w:t>undoubtedly</w:t>
      </w:r>
      <w:r w:rsidR="00FB7565" w:rsidRPr="007406B5">
        <w:rPr>
          <w:rFonts w:ascii="Times New Roman" w:hAnsi="Times New Roman"/>
        </w:rPr>
        <w:t xml:space="preserve"> means all </w:t>
      </w:r>
      <w:r w:rsidR="000C0E87" w:rsidRPr="007406B5">
        <w:rPr>
          <w:rFonts w:ascii="Times New Roman" w:hAnsi="Times New Roman"/>
        </w:rPr>
        <w:t>greenhouse</w:t>
      </w:r>
      <w:r w:rsidR="00FB7565" w:rsidRPr="007406B5">
        <w:rPr>
          <w:rFonts w:ascii="Times New Roman" w:hAnsi="Times New Roman"/>
        </w:rPr>
        <w:t xml:space="preserve"> gas emissions</w:t>
      </w:r>
      <w:r w:rsidR="00F26D0B" w:rsidRPr="007406B5">
        <w:rPr>
          <w:rFonts w:ascii="Times New Roman" w:hAnsi="Times New Roman"/>
        </w:rPr>
        <w:t>,</w:t>
      </w:r>
      <w:r w:rsidR="00FB7565" w:rsidRPr="007406B5">
        <w:rPr>
          <w:rFonts w:ascii="Times New Roman" w:hAnsi="Times New Roman"/>
        </w:rPr>
        <w:t xml:space="preserve"> </w:t>
      </w:r>
      <w:r w:rsidR="000C0E87" w:rsidRPr="007406B5">
        <w:rPr>
          <w:rFonts w:ascii="Times New Roman" w:hAnsi="Times New Roman"/>
        </w:rPr>
        <w:t>including scope</w:t>
      </w:r>
      <w:r w:rsidR="00AA1506" w:rsidRPr="007406B5">
        <w:rPr>
          <w:rFonts w:ascii="Times New Roman" w:hAnsi="Times New Roman"/>
        </w:rPr>
        <w:t> </w:t>
      </w:r>
      <w:r w:rsidR="000C0E87" w:rsidRPr="007406B5">
        <w:rPr>
          <w:rFonts w:ascii="Times New Roman" w:hAnsi="Times New Roman"/>
        </w:rPr>
        <w:t xml:space="preserve">3 emissions. That </w:t>
      </w:r>
      <w:r w:rsidR="00DE3B61" w:rsidRPr="007406B5">
        <w:rPr>
          <w:rFonts w:ascii="Times New Roman" w:hAnsi="Times New Roman"/>
        </w:rPr>
        <w:t>s</w:t>
      </w:r>
      <w:r w:rsidR="000C0E87" w:rsidRPr="007406B5">
        <w:rPr>
          <w:rFonts w:ascii="Times New Roman" w:hAnsi="Times New Roman"/>
        </w:rPr>
        <w:t xml:space="preserve"> 2.20(2) expressly states </w:t>
      </w:r>
      <w:r w:rsidR="00076C3D" w:rsidRPr="007406B5">
        <w:rPr>
          <w:rFonts w:ascii="Times New Roman" w:hAnsi="Times New Roman"/>
        </w:rPr>
        <w:t xml:space="preserve">"greenhouse gas emissions </w:t>
      </w:r>
      <w:r w:rsidR="008A5D55" w:rsidRPr="007406B5">
        <w:rPr>
          <w:rFonts w:ascii="Times New Roman" w:hAnsi="Times New Roman"/>
        </w:rPr>
        <w:t>(</w:t>
      </w:r>
      <w:r w:rsidR="00076C3D" w:rsidRPr="007406B5">
        <w:rPr>
          <w:rFonts w:ascii="Times New Roman" w:hAnsi="Times New Roman"/>
        </w:rPr>
        <w:t>including downstream emissions</w:t>
      </w:r>
      <w:r w:rsidR="008A5D55" w:rsidRPr="007406B5">
        <w:rPr>
          <w:rFonts w:ascii="Times New Roman" w:hAnsi="Times New Roman"/>
        </w:rPr>
        <w:t>)</w:t>
      </w:r>
      <w:r w:rsidR="00076C3D" w:rsidRPr="007406B5">
        <w:rPr>
          <w:rFonts w:ascii="Times New Roman" w:hAnsi="Times New Roman"/>
        </w:rPr>
        <w:t xml:space="preserve">" whereas </w:t>
      </w:r>
      <w:r w:rsidR="001343D1" w:rsidRPr="007406B5">
        <w:rPr>
          <w:rFonts w:ascii="Times New Roman" w:hAnsi="Times New Roman"/>
        </w:rPr>
        <w:t>s</w:t>
      </w:r>
      <w:r w:rsidR="00076C3D" w:rsidRPr="007406B5">
        <w:rPr>
          <w:rFonts w:ascii="Times New Roman" w:hAnsi="Times New Roman"/>
        </w:rPr>
        <w:t xml:space="preserve"> 2.20(1)(c) does not </w:t>
      </w:r>
      <w:r w:rsidR="00E22679" w:rsidRPr="007406B5">
        <w:rPr>
          <w:rFonts w:ascii="Times New Roman" w:hAnsi="Times New Roman"/>
        </w:rPr>
        <w:t>would be an un</w:t>
      </w:r>
      <w:r w:rsidR="00076C3D" w:rsidRPr="007406B5">
        <w:rPr>
          <w:rFonts w:ascii="Times New Roman" w:hAnsi="Times New Roman"/>
        </w:rPr>
        <w:t xml:space="preserve">sound basis to construe </w:t>
      </w:r>
      <w:r w:rsidR="00154E0F" w:rsidRPr="007406B5">
        <w:rPr>
          <w:rFonts w:ascii="Times New Roman" w:hAnsi="Times New Roman"/>
        </w:rPr>
        <w:t xml:space="preserve">the latter provision as if the reference in it to "greenhouse gas emissions" </w:t>
      </w:r>
      <w:r w:rsidR="00E908DE" w:rsidRPr="007406B5">
        <w:rPr>
          <w:rFonts w:ascii="Times New Roman" w:hAnsi="Times New Roman"/>
        </w:rPr>
        <w:t>excludes "downstream" (meaning scope</w:t>
      </w:r>
      <w:r w:rsidR="00AA1506" w:rsidRPr="007406B5">
        <w:rPr>
          <w:rFonts w:ascii="Times New Roman" w:hAnsi="Times New Roman"/>
        </w:rPr>
        <w:t> </w:t>
      </w:r>
      <w:r w:rsidR="00E908DE" w:rsidRPr="007406B5">
        <w:rPr>
          <w:rFonts w:ascii="Times New Roman" w:hAnsi="Times New Roman"/>
        </w:rPr>
        <w:t>3) emissions.</w:t>
      </w:r>
      <w:r w:rsidRPr="007406B5">
        <w:rPr>
          <w:rFonts w:ascii="Times New Roman" w:hAnsi="Times New Roman"/>
        </w:rPr>
        <w:t xml:space="preserve"> </w:t>
      </w:r>
    </w:p>
    <w:p w14:paraId="383AB5C9" w14:textId="45E748D4" w:rsidR="00157441" w:rsidRPr="007406B5" w:rsidRDefault="00157441" w:rsidP="007406B5">
      <w:pPr>
        <w:pStyle w:val="FixListStyle"/>
        <w:spacing w:after="260" w:line="280" w:lineRule="exact"/>
        <w:ind w:right="0"/>
        <w:jc w:val="both"/>
        <w:rPr>
          <w:rFonts w:ascii="Times New Roman" w:hAnsi="Times New Roman"/>
        </w:rPr>
      </w:pPr>
      <w:r w:rsidRPr="007406B5">
        <w:rPr>
          <w:rFonts w:ascii="Times New Roman" w:hAnsi="Times New Roman"/>
        </w:rPr>
        <w:tab/>
      </w:r>
      <w:r w:rsidR="00E22679" w:rsidRPr="007406B5">
        <w:rPr>
          <w:rFonts w:ascii="Times New Roman" w:hAnsi="Times New Roman"/>
        </w:rPr>
        <w:t>Second</w:t>
      </w:r>
      <w:r w:rsidR="00A97D0E" w:rsidRPr="007406B5">
        <w:rPr>
          <w:rFonts w:ascii="Times New Roman" w:hAnsi="Times New Roman"/>
        </w:rPr>
        <w:t xml:space="preserve">, unlike s 4.15(1)(b) </w:t>
      </w:r>
      <w:r w:rsidR="00A45E5F" w:rsidRPr="007406B5">
        <w:rPr>
          <w:rFonts w:ascii="Times New Roman" w:hAnsi="Times New Roman"/>
        </w:rPr>
        <w:t xml:space="preserve">of the EPA Act </w:t>
      </w:r>
      <w:r w:rsidR="00594839" w:rsidRPr="007406B5">
        <w:rPr>
          <w:rFonts w:ascii="Times New Roman" w:hAnsi="Times New Roman"/>
        </w:rPr>
        <w:t>(in which the specified matters to be considered are those matters "as are</w:t>
      </w:r>
      <w:r w:rsidR="002D792C" w:rsidRPr="007406B5">
        <w:rPr>
          <w:rFonts w:ascii="Times New Roman" w:hAnsi="Times New Roman"/>
        </w:rPr>
        <w:t xml:space="preserve"> of</w:t>
      </w:r>
      <w:r w:rsidR="00594839" w:rsidRPr="007406B5">
        <w:rPr>
          <w:rFonts w:ascii="Times New Roman" w:hAnsi="Times New Roman"/>
        </w:rPr>
        <w:t xml:space="preserve"> relevan</w:t>
      </w:r>
      <w:r w:rsidR="00EA1A33" w:rsidRPr="007406B5">
        <w:rPr>
          <w:rFonts w:ascii="Times New Roman" w:hAnsi="Times New Roman"/>
        </w:rPr>
        <w:t>ce</w:t>
      </w:r>
      <w:r w:rsidR="00594839" w:rsidRPr="007406B5">
        <w:rPr>
          <w:rFonts w:ascii="Times New Roman" w:hAnsi="Times New Roman"/>
        </w:rPr>
        <w:t xml:space="preserve"> to" the development the subject of the development application</w:t>
      </w:r>
      <w:r w:rsidR="00B74DC7" w:rsidRPr="007406B5">
        <w:rPr>
          <w:rFonts w:ascii="Times New Roman" w:hAnsi="Times New Roman"/>
        </w:rPr>
        <w:t>)</w:t>
      </w:r>
      <w:r w:rsidR="00594839" w:rsidRPr="007406B5">
        <w:rPr>
          <w:rFonts w:ascii="Times New Roman" w:hAnsi="Times New Roman"/>
        </w:rPr>
        <w:t xml:space="preserve">, </w:t>
      </w:r>
      <w:r w:rsidR="00322834" w:rsidRPr="007406B5">
        <w:rPr>
          <w:rFonts w:ascii="Times New Roman" w:hAnsi="Times New Roman"/>
        </w:rPr>
        <w:t>s</w:t>
      </w:r>
      <w:r w:rsidR="00B74DC7" w:rsidRPr="007406B5">
        <w:rPr>
          <w:rFonts w:ascii="Times New Roman" w:hAnsi="Times New Roman"/>
        </w:rPr>
        <w:t xml:space="preserve"> 2.20(1)(c) </w:t>
      </w:r>
      <w:r w:rsidR="001B075E" w:rsidRPr="007406B5">
        <w:rPr>
          <w:rFonts w:ascii="Times New Roman" w:hAnsi="Times New Roman"/>
        </w:rPr>
        <w:t xml:space="preserve">of the Resources SEPP </w:t>
      </w:r>
      <w:r w:rsidR="00B74DC7" w:rsidRPr="007406B5">
        <w:rPr>
          <w:rFonts w:ascii="Times New Roman" w:hAnsi="Times New Roman"/>
        </w:rPr>
        <w:t xml:space="preserve">requires the consent authority, in every case to which the </w:t>
      </w:r>
      <w:r w:rsidR="00E80C0A" w:rsidRPr="007406B5">
        <w:rPr>
          <w:rFonts w:ascii="Times New Roman" w:hAnsi="Times New Roman"/>
        </w:rPr>
        <w:t xml:space="preserve">provision </w:t>
      </w:r>
      <w:r w:rsidR="00B74DC7" w:rsidRPr="007406B5">
        <w:rPr>
          <w:rFonts w:ascii="Times New Roman" w:hAnsi="Times New Roman"/>
        </w:rPr>
        <w:t xml:space="preserve">applies, to </w:t>
      </w:r>
      <w:r w:rsidR="006A4FBE" w:rsidRPr="007406B5">
        <w:rPr>
          <w:rFonts w:ascii="Times New Roman" w:hAnsi="Times New Roman"/>
        </w:rPr>
        <w:t xml:space="preserve">"consider whether or not the consent should be issued subject to conditions aimed at ensuring that the development is undertaken in an environmentally responsible manner, including conditions to ensure the" matters set out in </w:t>
      </w:r>
      <w:r w:rsidR="00E92BB5" w:rsidRPr="007406B5">
        <w:rPr>
          <w:rFonts w:ascii="Times New Roman" w:hAnsi="Times New Roman"/>
        </w:rPr>
        <w:t>para</w:t>
      </w:r>
      <w:r w:rsidR="007C1BBB" w:rsidRPr="007406B5">
        <w:rPr>
          <w:rFonts w:ascii="Times New Roman" w:hAnsi="Times New Roman"/>
        </w:rPr>
        <w:t>s</w:t>
      </w:r>
      <w:r w:rsidR="006A4FBE" w:rsidRPr="007406B5">
        <w:rPr>
          <w:rFonts w:ascii="Times New Roman" w:hAnsi="Times New Roman"/>
        </w:rPr>
        <w:t xml:space="preserve"> (a)-(c). </w:t>
      </w:r>
    </w:p>
    <w:p w14:paraId="2C4E839D" w14:textId="5DCCC566" w:rsidR="00A333E1" w:rsidRPr="007406B5" w:rsidRDefault="00157441" w:rsidP="007406B5">
      <w:pPr>
        <w:pStyle w:val="FixListStyle"/>
        <w:spacing w:after="260" w:line="280" w:lineRule="exact"/>
        <w:ind w:right="0"/>
        <w:jc w:val="both"/>
        <w:rPr>
          <w:rFonts w:ascii="Times New Roman" w:hAnsi="Times New Roman"/>
        </w:rPr>
      </w:pPr>
      <w:r w:rsidRPr="007406B5">
        <w:rPr>
          <w:rFonts w:ascii="Times New Roman" w:hAnsi="Times New Roman"/>
        </w:rPr>
        <w:tab/>
        <w:t>Third, unlike s 4.15(1)(b)</w:t>
      </w:r>
      <w:r w:rsidR="001B075E" w:rsidRPr="007406B5">
        <w:rPr>
          <w:rFonts w:ascii="Times New Roman" w:hAnsi="Times New Roman"/>
        </w:rPr>
        <w:t xml:space="preserve"> of the EPA Act</w:t>
      </w:r>
      <w:r w:rsidRPr="007406B5">
        <w:rPr>
          <w:rFonts w:ascii="Times New Roman" w:hAnsi="Times New Roman"/>
        </w:rPr>
        <w:t xml:space="preserve"> </w:t>
      </w:r>
      <w:r w:rsidR="00A97D0E" w:rsidRPr="007406B5">
        <w:rPr>
          <w:rFonts w:ascii="Times New Roman" w:hAnsi="Times New Roman"/>
        </w:rPr>
        <w:t xml:space="preserve">(in which the words </w:t>
      </w:r>
      <w:r w:rsidR="00C45405" w:rsidRPr="007406B5">
        <w:rPr>
          <w:rFonts w:ascii="Times New Roman" w:hAnsi="Times New Roman"/>
        </w:rPr>
        <w:t>"</w:t>
      </w:r>
      <w:r w:rsidR="00A97D0E" w:rsidRPr="007406B5">
        <w:rPr>
          <w:rFonts w:ascii="Times New Roman" w:hAnsi="Times New Roman"/>
        </w:rPr>
        <w:t xml:space="preserve">the </w:t>
      </w:r>
      <w:r w:rsidR="00F97458" w:rsidRPr="007406B5">
        <w:rPr>
          <w:rFonts w:ascii="Times New Roman" w:hAnsi="Times New Roman"/>
        </w:rPr>
        <w:t>likely</w:t>
      </w:r>
      <w:r w:rsidR="00A97D0E" w:rsidRPr="007406B5">
        <w:rPr>
          <w:rFonts w:ascii="Times New Roman" w:hAnsi="Times New Roman"/>
        </w:rPr>
        <w:t xml:space="preserve"> impacts of </w:t>
      </w:r>
      <w:r w:rsidR="004251B1" w:rsidRPr="007406B5">
        <w:rPr>
          <w:rFonts w:ascii="Times New Roman" w:hAnsi="Times New Roman"/>
        </w:rPr>
        <w:t>[</w:t>
      </w:r>
      <w:r w:rsidR="00A97D0E" w:rsidRPr="007406B5">
        <w:rPr>
          <w:rFonts w:ascii="Times New Roman" w:hAnsi="Times New Roman"/>
        </w:rPr>
        <w:t>the</w:t>
      </w:r>
      <w:r w:rsidR="004251B1" w:rsidRPr="007406B5">
        <w:rPr>
          <w:rFonts w:ascii="Times New Roman" w:hAnsi="Times New Roman"/>
        </w:rPr>
        <w:t>]</w:t>
      </w:r>
      <w:r w:rsidR="00A97D0E" w:rsidRPr="007406B5">
        <w:rPr>
          <w:rFonts w:ascii="Times New Roman" w:hAnsi="Times New Roman"/>
        </w:rPr>
        <w:t xml:space="preserve"> development" are inclusive of the </w:t>
      </w:r>
      <w:r w:rsidR="00F97458" w:rsidRPr="007406B5">
        <w:rPr>
          <w:rFonts w:ascii="Times New Roman" w:hAnsi="Times New Roman"/>
        </w:rPr>
        <w:t>specific</w:t>
      </w:r>
      <w:r w:rsidR="00A97D0E" w:rsidRPr="007406B5">
        <w:rPr>
          <w:rFonts w:ascii="Times New Roman" w:hAnsi="Times New Roman"/>
        </w:rPr>
        <w:t xml:space="preserve"> impacts </w:t>
      </w:r>
      <w:r w:rsidR="00F97458" w:rsidRPr="007406B5">
        <w:rPr>
          <w:rFonts w:ascii="Times New Roman" w:hAnsi="Times New Roman"/>
        </w:rPr>
        <w:t xml:space="preserve">said thereafter to be included), </w:t>
      </w:r>
      <w:r w:rsidR="009B097E" w:rsidRPr="007406B5">
        <w:rPr>
          <w:rFonts w:ascii="Times New Roman" w:hAnsi="Times New Roman"/>
        </w:rPr>
        <w:t>s</w:t>
      </w:r>
      <w:r w:rsidR="00F97458" w:rsidRPr="007406B5">
        <w:rPr>
          <w:rFonts w:ascii="Times New Roman" w:hAnsi="Times New Roman"/>
        </w:rPr>
        <w:t> 2.20(1)</w:t>
      </w:r>
      <w:r w:rsidR="00A7718A" w:rsidRPr="007406B5">
        <w:rPr>
          <w:rFonts w:ascii="Times New Roman" w:hAnsi="Times New Roman"/>
        </w:rPr>
        <w:t xml:space="preserve"> of the Resources SEPP</w:t>
      </w:r>
      <w:r w:rsidR="00F97458" w:rsidRPr="007406B5">
        <w:rPr>
          <w:rFonts w:ascii="Times New Roman" w:hAnsi="Times New Roman"/>
        </w:rPr>
        <w:t xml:space="preserve">, in </w:t>
      </w:r>
      <w:r w:rsidR="00832E01" w:rsidRPr="007406B5">
        <w:rPr>
          <w:rFonts w:ascii="Times New Roman" w:hAnsi="Times New Roman"/>
        </w:rPr>
        <w:t>referring to "conditions aimed at ensuring that the development is undertaken in an environmentally responsible manner, including conditions to ensure the following</w:t>
      </w:r>
      <w:r w:rsidR="00522ADA" w:rsidRPr="007406B5">
        <w:rPr>
          <w:rFonts w:ascii="Times New Roman" w:hAnsi="Times New Roman"/>
        </w:rPr>
        <w:t>"</w:t>
      </w:r>
      <w:r w:rsidR="00B754CA" w:rsidRPr="007406B5">
        <w:rPr>
          <w:rFonts w:ascii="Times New Roman" w:hAnsi="Times New Roman"/>
        </w:rPr>
        <w:t>,</w:t>
      </w:r>
      <w:r w:rsidR="00522ADA" w:rsidRPr="007406B5">
        <w:rPr>
          <w:rFonts w:ascii="Times New Roman" w:hAnsi="Times New Roman"/>
        </w:rPr>
        <w:t xml:space="preserve"> </w:t>
      </w:r>
      <w:r w:rsidR="00D6733B" w:rsidRPr="007406B5">
        <w:rPr>
          <w:rFonts w:ascii="Times New Roman" w:hAnsi="Times New Roman"/>
        </w:rPr>
        <w:t xml:space="preserve">requires the consent </w:t>
      </w:r>
      <w:r w:rsidR="00D6733B" w:rsidRPr="007406B5">
        <w:rPr>
          <w:rFonts w:ascii="Times New Roman" w:hAnsi="Times New Roman"/>
        </w:rPr>
        <w:lastRenderedPageBreak/>
        <w:t xml:space="preserve">authority, in every case, to consider the imposition of conditions to ensure each matter as specified in </w:t>
      </w:r>
      <w:r w:rsidR="00CC0D15" w:rsidRPr="007406B5">
        <w:rPr>
          <w:rFonts w:ascii="Times New Roman" w:hAnsi="Times New Roman"/>
        </w:rPr>
        <w:t>para</w:t>
      </w:r>
      <w:r w:rsidR="007C1BBB" w:rsidRPr="007406B5">
        <w:rPr>
          <w:rFonts w:ascii="Times New Roman" w:hAnsi="Times New Roman"/>
        </w:rPr>
        <w:t>s</w:t>
      </w:r>
      <w:r w:rsidR="00D6733B" w:rsidRPr="007406B5">
        <w:rPr>
          <w:rFonts w:ascii="Times New Roman" w:hAnsi="Times New Roman"/>
        </w:rPr>
        <w:t> </w:t>
      </w:r>
      <w:r w:rsidR="009F0440" w:rsidRPr="007406B5">
        <w:rPr>
          <w:rFonts w:ascii="Times New Roman" w:hAnsi="Times New Roman"/>
        </w:rPr>
        <w:t xml:space="preserve">(a)-(c). </w:t>
      </w:r>
      <w:r w:rsidR="004E6E0E" w:rsidRPr="007406B5">
        <w:rPr>
          <w:rFonts w:ascii="Times New Roman" w:hAnsi="Times New Roman"/>
        </w:rPr>
        <w:t>T</w:t>
      </w:r>
      <w:r w:rsidR="00FE1623" w:rsidRPr="007406B5">
        <w:rPr>
          <w:rFonts w:ascii="Times New Roman" w:hAnsi="Times New Roman"/>
        </w:rPr>
        <w:t xml:space="preserve">hat is, </w:t>
      </w:r>
      <w:r w:rsidR="004E6E0E" w:rsidRPr="007406B5">
        <w:rPr>
          <w:rFonts w:ascii="Times New Roman" w:hAnsi="Times New Roman"/>
        </w:rPr>
        <w:t xml:space="preserve">the imposition of conditions to ensure </w:t>
      </w:r>
      <w:r w:rsidR="00FE1623" w:rsidRPr="007406B5">
        <w:rPr>
          <w:rFonts w:ascii="Times New Roman" w:hAnsi="Times New Roman"/>
        </w:rPr>
        <w:t xml:space="preserve">each such matter requires </w:t>
      </w:r>
      <w:r w:rsidR="004E6E0E" w:rsidRPr="007406B5">
        <w:rPr>
          <w:rFonts w:ascii="Times New Roman" w:hAnsi="Times New Roman"/>
        </w:rPr>
        <w:t xml:space="preserve">specific consideration. </w:t>
      </w:r>
      <w:r w:rsidR="008E433A" w:rsidRPr="007406B5">
        <w:rPr>
          <w:rFonts w:ascii="Times New Roman" w:hAnsi="Times New Roman"/>
        </w:rPr>
        <w:t xml:space="preserve">While this duty may be satisfied by considering such conditions to be unnecessary or immaterial to the development, the duty must still be performed. </w:t>
      </w:r>
    </w:p>
    <w:p w14:paraId="141FE08D" w14:textId="2D0839C0" w:rsidR="001C5638" w:rsidRPr="007406B5" w:rsidRDefault="001B7839" w:rsidP="007406B5">
      <w:pPr>
        <w:pStyle w:val="HeadingL2"/>
        <w:spacing w:after="260" w:line="280" w:lineRule="exact"/>
        <w:ind w:right="0"/>
        <w:jc w:val="both"/>
        <w:rPr>
          <w:rFonts w:ascii="Times New Roman" w:hAnsi="Times New Roman"/>
        </w:rPr>
      </w:pPr>
      <w:r w:rsidRPr="007406B5">
        <w:rPr>
          <w:rFonts w:ascii="Times New Roman" w:hAnsi="Times New Roman"/>
        </w:rPr>
        <w:t>Commission</w:t>
      </w:r>
      <w:r w:rsidR="00645E92" w:rsidRPr="007406B5">
        <w:rPr>
          <w:rFonts w:ascii="Times New Roman" w:hAnsi="Times New Roman"/>
        </w:rPr>
        <w:t xml:space="preserve"> did not breach </w:t>
      </w:r>
      <w:r w:rsidR="0023786C" w:rsidRPr="007406B5">
        <w:rPr>
          <w:rFonts w:ascii="Times New Roman" w:hAnsi="Times New Roman"/>
        </w:rPr>
        <w:t>s</w:t>
      </w:r>
      <w:r w:rsidR="00645E92" w:rsidRPr="007406B5">
        <w:rPr>
          <w:rFonts w:ascii="Times New Roman" w:hAnsi="Times New Roman"/>
        </w:rPr>
        <w:t> 2.20(1)(c)</w:t>
      </w:r>
      <w:r w:rsidR="0023786C" w:rsidRPr="007406B5">
        <w:rPr>
          <w:rFonts w:ascii="Times New Roman" w:hAnsi="Times New Roman"/>
        </w:rPr>
        <w:t xml:space="preserve"> of the Resources SEPP</w:t>
      </w:r>
    </w:p>
    <w:p w14:paraId="385981BF" w14:textId="6B2DE07E" w:rsidR="00FC1293" w:rsidRPr="007406B5" w:rsidRDefault="00645E92" w:rsidP="007406B5">
      <w:pPr>
        <w:pStyle w:val="FixListStyle"/>
        <w:spacing w:after="260" w:line="280" w:lineRule="exact"/>
        <w:ind w:right="0"/>
        <w:jc w:val="both"/>
        <w:rPr>
          <w:rFonts w:ascii="Times New Roman" w:hAnsi="Times New Roman"/>
        </w:rPr>
      </w:pPr>
      <w:r w:rsidRPr="007406B5">
        <w:rPr>
          <w:rFonts w:ascii="Times New Roman" w:hAnsi="Times New Roman"/>
        </w:rPr>
        <w:tab/>
      </w:r>
      <w:r w:rsidR="00C551F8" w:rsidRPr="007406B5">
        <w:rPr>
          <w:rFonts w:ascii="Times New Roman" w:hAnsi="Times New Roman"/>
        </w:rPr>
        <w:t xml:space="preserve">It cannot be inferred that the </w:t>
      </w:r>
      <w:r w:rsidR="001B7839" w:rsidRPr="007406B5">
        <w:rPr>
          <w:rFonts w:ascii="Times New Roman" w:hAnsi="Times New Roman"/>
        </w:rPr>
        <w:t>Commission</w:t>
      </w:r>
      <w:r w:rsidR="00C551F8" w:rsidRPr="007406B5">
        <w:rPr>
          <w:rFonts w:ascii="Times New Roman" w:hAnsi="Times New Roman"/>
        </w:rPr>
        <w:t xml:space="preserve"> failed to comply with </w:t>
      </w:r>
      <w:r w:rsidR="00380DD3" w:rsidRPr="007406B5">
        <w:rPr>
          <w:rFonts w:ascii="Times New Roman" w:hAnsi="Times New Roman"/>
        </w:rPr>
        <w:t>s</w:t>
      </w:r>
      <w:r w:rsidR="00C551F8" w:rsidRPr="007406B5">
        <w:rPr>
          <w:rFonts w:ascii="Times New Roman" w:hAnsi="Times New Roman"/>
        </w:rPr>
        <w:t xml:space="preserve"> 2.20(1)(c) of the Resources SEPP. </w:t>
      </w:r>
    </w:p>
    <w:p w14:paraId="6DDCA8C8" w14:textId="621E318B" w:rsidR="00FC1293" w:rsidRPr="007406B5" w:rsidRDefault="00FC1293" w:rsidP="007406B5">
      <w:pPr>
        <w:pStyle w:val="FixListStyle"/>
        <w:spacing w:after="260" w:line="280" w:lineRule="exact"/>
        <w:ind w:right="0"/>
        <w:jc w:val="both"/>
        <w:rPr>
          <w:rFonts w:ascii="Times New Roman" w:hAnsi="Times New Roman"/>
        </w:rPr>
      </w:pPr>
      <w:r w:rsidRPr="007406B5">
        <w:rPr>
          <w:rFonts w:ascii="Times New Roman" w:hAnsi="Times New Roman"/>
        </w:rPr>
        <w:tab/>
      </w:r>
      <w:r w:rsidR="00396FC2" w:rsidRPr="007406B5">
        <w:rPr>
          <w:rFonts w:ascii="Times New Roman" w:hAnsi="Times New Roman"/>
        </w:rPr>
        <w:t>In its reasons</w:t>
      </w:r>
      <w:r w:rsidR="00382808" w:rsidRPr="007406B5">
        <w:rPr>
          <w:rFonts w:ascii="Times New Roman" w:hAnsi="Times New Roman"/>
        </w:rPr>
        <w:t xml:space="preserve">, after </w:t>
      </w:r>
      <w:r w:rsidRPr="007406B5">
        <w:rPr>
          <w:rFonts w:ascii="Times New Roman" w:hAnsi="Times New Roman"/>
        </w:rPr>
        <w:t>stating that "</w:t>
      </w:r>
      <w:r w:rsidR="00F57A24" w:rsidRPr="007406B5">
        <w:rPr>
          <w:rFonts w:ascii="Times New Roman" w:hAnsi="Times New Roman"/>
        </w:rPr>
        <w:t xml:space="preserve">[i]n the NSW policy context, </w:t>
      </w:r>
      <w:r w:rsidR="007256BD" w:rsidRPr="007406B5">
        <w:rPr>
          <w:rFonts w:ascii="Times New Roman" w:hAnsi="Times New Roman"/>
        </w:rPr>
        <w:t>[s]</w:t>
      </w:r>
      <w:r w:rsidRPr="007406B5">
        <w:rPr>
          <w:rFonts w:ascii="Times New Roman" w:hAnsi="Times New Roman"/>
        </w:rPr>
        <w:t> 2.20(1) of the Resources SEPP expressly requires the consent authority to consider"</w:t>
      </w:r>
      <w:r w:rsidR="00A22801" w:rsidRPr="007406B5">
        <w:rPr>
          <w:rFonts w:ascii="Times New Roman" w:hAnsi="Times New Roman"/>
        </w:rPr>
        <w:t xml:space="preserve">, </w:t>
      </w:r>
      <w:r w:rsidR="00D037AB" w:rsidRPr="007406B5">
        <w:rPr>
          <w:rFonts w:ascii="Times New Roman" w:hAnsi="Times New Roman"/>
        </w:rPr>
        <w:t xml:space="preserve">the </w:t>
      </w:r>
      <w:r w:rsidR="001B7839" w:rsidRPr="007406B5">
        <w:rPr>
          <w:rFonts w:ascii="Times New Roman" w:hAnsi="Times New Roman"/>
        </w:rPr>
        <w:t>Commission</w:t>
      </w:r>
      <w:r w:rsidR="00D037AB" w:rsidRPr="007406B5">
        <w:rPr>
          <w:rFonts w:ascii="Times New Roman" w:hAnsi="Times New Roman"/>
        </w:rPr>
        <w:t xml:space="preserve"> quoted the whole of </w:t>
      </w:r>
      <w:r w:rsidR="00F57A24" w:rsidRPr="007406B5">
        <w:rPr>
          <w:rFonts w:ascii="Times New Roman" w:hAnsi="Times New Roman"/>
        </w:rPr>
        <w:t xml:space="preserve">that provision. The </w:t>
      </w:r>
      <w:r w:rsidR="001B7839" w:rsidRPr="007406B5">
        <w:rPr>
          <w:rFonts w:ascii="Times New Roman" w:hAnsi="Times New Roman"/>
        </w:rPr>
        <w:t>Commission</w:t>
      </w:r>
      <w:r w:rsidR="00F57A24" w:rsidRPr="007406B5">
        <w:rPr>
          <w:rFonts w:ascii="Times New Roman" w:hAnsi="Times New Roman"/>
        </w:rPr>
        <w:t xml:space="preserve"> then said</w:t>
      </w:r>
      <w:r w:rsidR="00AF518D" w:rsidRPr="007406B5">
        <w:rPr>
          <w:rFonts w:ascii="Times New Roman" w:hAnsi="Times New Roman"/>
        </w:rPr>
        <w:t xml:space="preserve"> that </w:t>
      </w:r>
      <w:r w:rsidR="004F4B38" w:rsidRPr="007406B5">
        <w:rPr>
          <w:rFonts w:ascii="Times New Roman" w:hAnsi="Times New Roman"/>
        </w:rPr>
        <w:t>s</w:t>
      </w:r>
      <w:r w:rsidR="00AF518D" w:rsidRPr="007406B5">
        <w:rPr>
          <w:rFonts w:ascii="Times New Roman" w:hAnsi="Times New Roman"/>
        </w:rPr>
        <w:t xml:space="preserve"> 2.20(2) of the Resources SEPP "also requires the </w:t>
      </w:r>
      <w:r w:rsidR="0047285F" w:rsidRPr="007406B5">
        <w:rPr>
          <w:rFonts w:ascii="Times New Roman" w:hAnsi="Times New Roman"/>
        </w:rPr>
        <w:t>consent</w:t>
      </w:r>
      <w:r w:rsidR="00AF518D" w:rsidRPr="007406B5">
        <w:rPr>
          <w:rFonts w:ascii="Times New Roman" w:hAnsi="Times New Roman"/>
        </w:rPr>
        <w:t xml:space="preserve"> authority to</w:t>
      </w:r>
      <w:r w:rsidR="0047285F" w:rsidRPr="007406B5">
        <w:rPr>
          <w:rFonts w:ascii="Times New Roman" w:hAnsi="Times New Roman"/>
        </w:rPr>
        <w:t xml:space="preserve"> consider" and thereafter quoted the whole of that provision. Subsequently in its reasons, the </w:t>
      </w:r>
      <w:r w:rsidR="001B7839" w:rsidRPr="007406B5">
        <w:rPr>
          <w:rFonts w:ascii="Times New Roman" w:hAnsi="Times New Roman"/>
        </w:rPr>
        <w:t>Commission</w:t>
      </w:r>
      <w:r w:rsidR="0047285F" w:rsidRPr="007406B5">
        <w:rPr>
          <w:rFonts w:ascii="Times New Roman" w:hAnsi="Times New Roman"/>
        </w:rPr>
        <w:t xml:space="preserve"> said </w:t>
      </w:r>
      <w:r w:rsidR="007F003F" w:rsidRPr="007406B5">
        <w:rPr>
          <w:rFonts w:ascii="Times New Roman" w:hAnsi="Times New Roman"/>
        </w:rPr>
        <w:t>(emphasis added):</w:t>
      </w:r>
      <w:r w:rsidR="00461542" w:rsidRPr="007406B5">
        <w:rPr>
          <w:rFonts w:ascii="Times New Roman" w:hAnsi="Times New Roman"/>
        </w:rPr>
        <w:t xml:space="preserve"> </w:t>
      </w:r>
    </w:p>
    <w:p w14:paraId="35946673" w14:textId="77777777" w:rsidR="00646D51" w:rsidRPr="007406B5" w:rsidRDefault="00646D51" w:rsidP="007406B5">
      <w:pPr>
        <w:pStyle w:val="leftright"/>
        <w:keepNext/>
        <w:spacing w:before="0" w:after="260" w:line="280" w:lineRule="exact"/>
        <w:ind w:left="1440" w:right="0"/>
        <w:jc w:val="both"/>
        <w:rPr>
          <w:rFonts w:ascii="Times New Roman" w:hAnsi="Times New Roman"/>
        </w:rPr>
      </w:pPr>
      <w:r w:rsidRPr="007406B5">
        <w:rPr>
          <w:rFonts w:ascii="Times New Roman" w:hAnsi="Times New Roman"/>
        </w:rPr>
        <w:t>"</w:t>
      </w:r>
      <w:r w:rsidRPr="007406B5">
        <w:rPr>
          <w:rFonts w:ascii="Times New Roman" w:hAnsi="Times New Roman"/>
          <w:i/>
          <w:iCs/>
        </w:rPr>
        <w:t>Scope 3 Emissions</w:t>
      </w:r>
    </w:p>
    <w:p w14:paraId="48C28AFB" w14:textId="7D7F1265" w:rsidR="00450FAE" w:rsidRPr="007406B5" w:rsidRDefault="00450FAE" w:rsidP="007406B5">
      <w:pPr>
        <w:pStyle w:val="LeftrightHanging"/>
        <w:spacing w:before="0" w:after="260" w:line="280" w:lineRule="exact"/>
        <w:ind w:right="0"/>
        <w:jc w:val="both"/>
        <w:rPr>
          <w:rFonts w:ascii="Times New Roman" w:hAnsi="Times New Roman"/>
        </w:rPr>
      </w:pPr>
      <w:r w:rsidRPr="007406B5">
        <w:rPr>
          <w:rFonts w:ascii="Times New Roman" w:hAnsi="Times New Roman"/>
        </w:rPr>
        <w:t xml:space="preserve">150. </w:t>
      </w:r>
      <w:r w:rsidR="00461542" w:rsidRPr="007406B5">
        <w:rPr>
          <w:rFonts w:ascii="Times New Roman" w:hAnsi="Times New Roman"/>
        </w:rPr>
        <w:tab/>
      </w:r>
      <w:r w:rsidRPr="007406B5">
        <w:rPr>
          <w:rFonts w:ascii="Times New Roman" w:hAnsi="Times New Roman"/>
        </w:rPr>
        <w:t>The Commission acknowledges that the mining of coal and its combustion is a major</w:t>
      </w:r>
      <w:r w:rsidR="007F003F" w:rsidRPr="007406B5">
        <w:rPr>
          <w:rFonts w:ascii="Times New Roman" w:hAnsi="Times New Roman"/>
        </w:rPr>
        <w:t xml:space="preserve"> </w:t>
      </w:r>
      <w:r w:rsidRPr="007406B5">
        <w:rPr>
          <w:rFonts w:ascii="Times New Roman" w:hAnsi="Times New Roman"/>
        </w:rPr>
        <w:t>contributor to anthropogenic climate change, which has the potential to impact future</w:t>
      </w:r>
      <w:r w:rsidR="007F003F" w:rsidRPr="007406B5">
        <w:rPr>
          <w:rFonts w:ascii="Times New Roman" w:hAnsi="Times New Roman"/>
        </w:rPr>
        <w:t xml:space="preserve"> </w:t>
      </w:r>
      <w:r w:rsidRPr="007406B5">
        <w:rPr>
          <w:rFonts w:ascii="Times New Roman" w:hAnsi="Times New Roman"/>
        </w:rPr>
        <w:t>generations. The Commission acknowledges that although the Project's Scope</w:t>
      </w:r>
      <w:r w:rsidR="00AA1506" w:rsidRPr="007406B5">
        <w:rPr>
          <w:rFonts w:ascii="Times New Roman" w:hAnsi="Times New Roman"/>
        </w:rPr>
        <w:t> </w:t>
      </w:r>
      <w:r w:rsidRPr="007406B5">
        <w:rPr>
          <w:rFonts w:ascii="Times New Roman" w:hAnsi="Times New Roman"/>
        </w:rPr>
        <w:t>3</w:t>
      </w:r>
      <w:r w:rsidR="007F003F" w:rsidRPr="007406B5">
        <w:rPr>
          <w:rFonts w:ascii="Times New Roman" w:hAnsi="Times New Roman"/>
        </w:rPr>
        <w:t xml:space="preserve"> </w:t>
      </w:r>
      <w:r w:rsidRPr="007406B5">
        <w:rPr>
          <w:rFonts w:ascii="Times New Roman" w:hAnsi="Times New Roman"/>
        </w:rPr>
        <w:t>emissions would contribute to anthropogenic climate change, these are appropriately</w:t>
      </w:r>
      <w:r w:rsidR="007F003F" w:rsidRPr="007406B5">
        <w:rPr>
          <w:rFonts w:ascii="Times New Roman" w:hAnsi="Times New Roman"/>
        </w:rPr>
        <w:t xml:space="preserve"> </w:t>
      </w:r>
      <w:r w:rsidRPr="007406B5">
        <w:rPr>
          <w:rFonts w:ascii="Times New Roman" w:hAnsi="Times New Roman"/>
        </w:rPr>
        <w:t>regulated and accounted for through broader national policies and international</w:t>
      </w:r>
      <w:r w:rsidR="007F003F" w:rsidRPr="007406B5">
        <w:rPr>
          <w:rFonts w:ascii="Times New Roman" w:hAnsi="Times New Roman"/>
        </w:rPr>
        <w:t xml:space="preserve"> </w:t>
      </w:r>
      <w:r w:rsidRPr="007406B5">
        <w:rPr>
          <w:rFonts w:ascii="Times New Roman" w:hAnsi="Times New Roman"/>
        </w:rPr>
        <w:t>agreements (such as the Paris Agreement).</w:t>
      </w:r>
    </w:p>
    <w:p w14:paraId="103448D8" w14:textId="70BE08CD" w:rsidR="00450FAE" w:rsidRPr="007406B5" w:rsidRDefault="00450FAE" w:rsidP="007406B5">
      <w:pPr>
        <w:pStyle w:val="LeftrightHanging"/>
        <w:spacing w:before="0" w:after="260" w:line="280" w:lineRule="exact"/>
        <w:ind w:right="0"/>
        <w:jc w:val="both"/>
        <w:rPr>
          <w:rFonts w:ascii="Times New Roman" w:hAnsi="Times New Roman"/>
        </w:rPr>
      </w:pPr>
      <w:r w:rsidRPr="007406B5">
        <w:rPr>
          <w:rFonts w:ascii="Times New Roman" w:hAnsi="Times New Roman"/>
        </w:rPr>
        <w:t xml:space="preserve">151. </w:t>
      </w:r>
      <w:r w:rsidR="006E3B03" w:rsidRPr="007406B5">
        <w:rPr>
          <w:rFonts w:ascii="Times New Roman" w:hAnsi="Times New Roman"/>
        </w:rPr>
        <w:tab/>
      </w:r>
      <w:r w:rsidRPr="007406B5">
        <w:rPr>
          <w:rFonts w:ascii="Times New Roman" w:hAnsi="Times New Roman"/>
        </w:rPr>
        <w:t xml:space="preserve">The Commission notes that the </w:t>
      </w:r>
      <w:r w:rsidR="00E9489C" w:rsidRPr="007406B5">
        <w:rPr>
          <w:rFonts w:ascii="Times New Roman" w:hAnsi="Times New Roman"/>
        </w:rPr>
        <w:t>[greenhouse gas]</w:t>
      </w:r>
      <w:r w:rsidRPr="007406B5">
        <w:rPr>
          <w:rFonts w:ascii="Times New Roman" w:hAnsi="Times New Roman"/>
        </w:rPr>
        <w:t xml:space="preserve"> emissions associated with burning coal to</w:t>
      </w:r>
      <w:r w:rsidR="007F003F" w:rsidRPr="007406B5">
        <w:rPr>
          <w:rFonts w:ascii="Times New Roman" w:hAnsi="Times New Roman"/>
        </w:rPr>
        <w:t xml:space="preserve"> </w:t>
      </w:r>
      <w:r w:rsidRPr="007406B5">
        <w:rPr>
          <w:rFonts w:ascii="Times New Roman" w:hAnsi="Times New Roman"/>
        </w:rPr>
        <w:t>produce energy are accounted for at the international powerplants where that</w:t>
      </w:r>
      <w:r w:rsidR="007F003F" w:rsidRPr="007406B5">
        <w:rPr>
          <w:rFonts w:ascii="Times New Roman" w:hAnsi="Times New Roman"/>
        </w:rPr>
        <w:t xml:space="preserve"> </w:t>
      </w:r>
      <w:r w:rsidRPr="007406B5">
        <w:rPr>
          <w:rFonts w:ascii="Times New Roman" w:hAnsi="Times New Roman"/>
        </w:rPr>
        <w:t xml:space="preserve">combustion takes place. The Commission agrees with the </w:t>
      </w:r>
      <w:r w:rsidR="00F32C79" w:rsidRPr="007406B5">
        <w:rPr>
          <w:rFonts w:ascii="Times New Roman" w:hAnsi="Times New Roman"/>
        </w:rPr>
        <w:t>[</w:t>
      </w:r>
      <w:r w:rsidRPr="007406B5">
        <w:rPr>
          <w:rFonts w:ascii="Times New Roman" w:hAnsi="Times New Roman"/>
        </w:rPr>
        <w:t xml:space="preserve">Department </w:t>
      </w:r>
      <w:r w:rsidR="00F32C79" w:rsidRPr="007406B5">
        <w:rPr>
          <w:rFonts w:ascii="Times New Roman" w:hAnsi="Times New Roman"/>
        </w:rPr>
        <w:t xml:space="preserve">of Planning and Environment] </w:t>
      </w:r>
      <w:r w:rsidRPr="007406B5">
        <w:rPr>
          <w:rFonts w:ascii="Times New Roman" w:hAnsi="Times New Roman"/>
        </w:rPr>
        <w:t>and</w:t>
      </w:r>
      <w:r w:rsidR="007F003F" w:rsidRPr="007406B5">
        <w:rPr>
          <w:rFonts w:ascii="Times New Roman" w:hAnsi="Times New Roman"/>
        </w:rPr>
        <w:t xml:space="preserve"> </w:t>
      </w:r>
      <w:r w:rsidRPr="007406B5">
        <w:rPr>
          <w:rFonts w:ascii="Times New Roman" w:hAnsi="Times New Roman"/>
        </w:rPr>
        <w:t>acknowledges that under the Paris Agreement accounting rules and Australian</w:t>
      </w:r>
      <w:r w:rsidR="007F003F" w:rsidRPr="007406B5">
        <w:rPr>
          <w:rFonts w:ascii="Times New Roman" w:hAnsi="Times New Roman"/>
        </w:rPr>
        <w:t xml:space="preserve"> </w:t>
      </w:r>
      <w:r w:rsidRPr="007406B5">
        <w:rPr>
          <w:rFonts w:ascii="Times New Roman" w:hAnsi="Times New Roman"/>
        </w:rPr>
        <w:t>legislation, Scope</w:t>
      </w:r>
      <w:r w:rsidR="00AA1506" w:rsidRPr="007406B5">
        <w:rPr>
          <w:rFonts w:ascii="Times New Roman" w:hAnsi="Times New Roman"/>
        </w:rPr>
        <w:t> </w:t>
      </w:r>
      <w:r w:rsidRPr="007406B5">
        <w:rPr>
          <w:rFonts w:ascii="Times New Roman" w:hAnsi="Times New Roman"/>
        </w:rPr>
        <w:t>3 emissions are not included in Project emission reporting, to avoid</w:t>
      </w:r>
      <w:r w:rsidR="007F003F" w:rsidRPr="007406B5">
        <w:rPr>
          <w:rFonts w:ascii="Times New Roman" w:hAnsi="Times New Roman"/>
        </w:rPr>
        <w:t xml:space="preserve"> </w:t>
      </w:r>
      <w:r w:rsidRPr="007406B5">
        <w:rPr>
          <w:rFonts w:ascii="Times New Roman" w:hAnsi="Times New Roman"/>
        </w:rPr>
        <w:t xml:space="preserve">double counting. </w:t>
      </w:r>
      <w:r w:rsidRPr="007406B5">
        <w:rPr>
          <w:rFonts w:ascii="Times New Roman" w:hAnsi="Times New Roman"/>
          <w:i/>
          <w:iCs/>
        </w:rPr>
        <w:t>However, the Commission has considered all emissions associated</w:t>
      </w:r>
      <w:r w:rsidR="007F003F" w:rsidRPr="007406B5">
        <w:rPr>
          <w:rFonts w:ascii="Times New Roman" w:hAnsi="Times New Roman"/>
          <w:i/>
          <w:iCs/>
        </w:rPr>
        <w:t xml:space="preserve"> </w:t>
      </w:r>
      <w:r w:rsidRPr="007406B5">
        <w:rPr>
          <w:rFonts w:ascii="Times New Roman" w:hAnsi="Times New Roman"/>
          <w:i/>
          <w:iCs/>
        </w:rPr>
        <w:t>with the Project (including Scope</w:t>
      </w:r>
      <w:r w:rsidR="00AA1506" w:rsidRPr="007406B5">
        <w:rPr>
          <w:rFonts w:ascii="Times New Roman" w:hAnsi="Times New Roman"/>
          <w:i/>
          <w:iCs/>
        </w:rPr>
        <w:t> </w:t>
      </w:r>
      <w:r w:rsidRPr="007406B5">
        <w:rPr>
          <w:rFonts w:ascii="Times New Roman" w:hAnsi="Times New Roman"/>
          <w:i/>
          <w:iCs/>
        </w:rPr>
        <w:t>3 emissions) in its assessment and determination.</w:t>
      </w:r>
    </w:p>
    <w:p w14:paraId="40DB475B" w14:textId="77777777" w:rsidR="00450FAE" w:rsidRPr="007406B5" w:rsidRDefault="00450FAE" w:rsidP="007406B5">
      <w:pPr>
        <w:pStyle w:val="leftright"/>
        <w:keepNext/>
        <w:spacing w:before="0" w:after="260" w:line="280" w:lineRule="exact"/>
        <w:ind w:right="0"/>
        <w:jc w:val="both"/>
        <w:rPr>
          <w:rFonts w:ascii="Times New Roman" w:hAnsi="Times New Roman"/>
          <w:b/>
          <w:bCs/>
        </w:rPr>
      </w:pPr>
      <w:r w:rsidRPr="007406B5">
        <w:rPr>
          <w:rFonts w:ascii="Times New Roman" w:hAnsi="Times New Roman"/>
          <w:b/>
          <w:bCs/>
        </w:rPr>
        <w:t>5.3.2 Commission's Findings</w:t>
      </w:r>
    </w:p>
    <w:p w14:paraId="5ADB1A4C" w14:textId="25B0E03B" w:rsidR="00450FAE" w:rsidRPr="007406B5" w:rsidRDefault="00450FAE" w:rsidP="007406B5">
      <w:pPr>
        <w:pStyle w:val="LeftrightHanging"/>
        <w:spacing w:before="0" w:after="260" w:line="280" w:lineRule="exact"/>
        <w:ind w:right="0"/>
        <w:jc w:val="both"/>
        <w:rPr>
          <w:rFonts w:ascii="Times New Roman" w:hAnsi="Times New Roman"/>
        </w:rPr>
      </w:pPr>
      <w:r w:rsidRPr="007406B5">
        <w:rPr>
          <w:rFonts w:ascii="Times New Roman" w:hAnsi="Times New Roman"/>
        </w:rPr>
        <w:t xml:space="preserve">152. </w:t>
      </w:r>
      <w:r w:rsidR="003175A2" w:rsidRPr="007406B5">
        <w:rPr>
          <w:rFonts w:ascii="Times New Roman" w:hAnsi="Times New Roman"/>
        </w:rPr>
        <w:tab/>
      </w:r>
      <w:r w:rsidRPr="007406B5">
        <w:rPr>
          <w:rFonts w:ascii="Times New Roman" w:hAnsi="Times New Roman"/>
        </w:rPr>
        <w:t>The Commission received submissions that raised concerns regarding the Project's</w:t>
      </w:r>
      <w:r w:rsidR="007F003F" w:rsidRPr="007406B5">
        <w:rPr>
          <w:rFonts w:ascii="Times New Roman" w:hAnsi="Times New Roman"/>
        </w:rPr>
        <w:t xml:space="preserve"> </w:t>
      </w:r>
      <w:r w:rsidR="003175A2" w:rsidRPr="007406B5">
        <w:rPr>
          <w:rFonts w:ascii="Times New Roman" w:hAnsi="Times New Roman"/>
        </w:rPr>
        <w:t>[greenhouse gas]</w:t>
      </w:r>
      <w:r w:rsidRPr="007406B5">
        <w:rPr>
          <w:rFonts w:ascii="Times New Roman" w:hAnsi="Times New Roman"/>
        </w:rPr>
        <w:t xml:space="preserve"> emissions and the impact the increase in mining would have on climate change</w:t>
      </w:r>
      <w:r w:rsidR="007F003F" w:rsidRPr="007406B5">
        <w:rPr>
          <w:rFonts w:ascii="Times New Roman" w:hAnsi="Times New Roman"/>
        </w:rPr>
        <w:t xml:space="preserve"> </w:t>
      </w:r>
      <w:r w:rsidRPr="007406B5">
        <w:rPr>
          <w:rFonts w:ascii="Times New Roman" w:hAnsi="Times New Roman"/>
        </w:rPr>
        <w:t>and future generations. Some submissions recognised that while Scope</w:t>
      </w:r>
      <w:r w:rsidR="00C37062" w:rsidRPr="007406B5">
        <w:rPr>
          <w:rFonts w:ascii="Times New Roman" w:hAnsi="Times New Roman"/>
        </w:rPr>
        <w:t> </w:t>
      </w:r>
      <w:r w:rsidRPr="007406B5">
        <w:rPr>
          <w:rFonts w:ascii="Times New Roman" w:hAnsi="Times New Roman"/>
        </w:rPr>
        <w:t xml:space="preserve">3 </w:t>
      </w:r>
      <w:r w:rsidRPr="007406B5">
        <w:rPr>
          <w:rFonts w:ascii="Times New Roman" w:hAnsi="Times New Roman"/>
        </w:rPr>
        <w:lastRenderedPageBreak/>
        <w:t>emissions</w:t>
      </w:r>
      <w:r w:rsidR="007F003F" w:rsidRPr="007406B5">
        <w:rPr>
          <w:rFonts w:ascii="Times New Roman" w:hAnsi="Times New Roman"/>
        </w:rPr>
        <w:t xml:space="preserve"> </w:t>
      </w:r>
      <w:r w:rsidRPr="007406B5">
        <w:rPr>
          <w:rFonts w:ascii="Times New Roman" w:hAnsi="Times New Roman"/>
        </w:rPr>
        <w:t xml:space="preserve">are not counted towards NSW emissions, the cumulative impact of </w:t>
      </w:r>
      <w:r w:rsidR="00961B90" w:rsidRPr="007406B5">
        <w:rPr>
          <w:rFonts w:ascii="Times New Roman" w:hAnsi="Times New Roman"/>
        </w:rPr>
        <w:t>[greenhouse gas]</w:t>
      </w:r>
      <w:r w:rsidRPr="007406B5">
        <w:rPr>
          <w:rFonts w:ascii="Times New Roman" w:hAnsi="Times New Roman"/>
        </w:rPr>
        <w:t xml:space="preserve"> emissions is</w:t>
      </w:r>
      <w:r w:rsidR="007F003F" w:rsidRPr="007406B5">
        <w:rPr>
          <w:rFonts w:ascii="Times New Roman" w:hAnsi="Times New Roman"/>
        </w:rPr>
        <w:t xml:space="preserve"> </w:t>
      </w:r>
      <w:r w:rsidRPr="007406B5">
        <w:rPr>
          <w:rFonts w:ascii="Times New Roman" w:hAnsi="Times New Roman"/>
        </w:rPr>
        <w:t>still felt globally.</w:t>
      </w:r>
    </w:p>
    <w:p w14:paraId="5D260131" w14:textId="735CABB1" w:rsidR="00450FAE" w:rsidRPr="007406B5" w:rsidRDefault="00450FAE" w:rsidP="007406B5">
      <w:pPr>
        <w:pStyle w:val="LeftrightHanging"/>
        <w:spacing w:before="0" w:after="260" w:line="280" w:lineRule="exact"/>
        <w:ind w:right="0"/>
        <w:jc w:val="both"/>
        <w:rPr>
          <w:rFonts w:ascii="Times New Roman" w:hAnsi="Times New Roman"/>
        </w:rPr>
      </w:pPr>
      <w:r w:rsidRPr="007406B5">
        <w:rPr>
          <w:rFonts w:ascii="Times New Roman" w:hAnsi="Times New Roman"/>
        </w:rPr>
        <w:t xml:space="preserve">153. </w:t>
      </w:r>
      <w:r w:rsidR="00961B90" w:rsidRPr="007406B5">
        <w:rPr>
          <w:rFonts w:ascii="Times New Roman" w:hAnsi="Times New Roman"/>
        </w:rPr>
        <w:tab/>
      </w:r>
      <w:r w:rsidRPr="007406B5">
        <w:rPr>
          <w:rFonts w:ascii="Times New Roman" w:hAnsi="Times New Roman"/>
        </w:rPr>
        <w:t>The Commission recognises the concerns expressed in these submissions, however</w:t>
      </w:r>
      <w:r w:rsidR="007F003F" w:rsidRPr="007406B5">
        <w:rPr>
          <w:rFonts w:ascii="Times New Roman" w:hAnsi="Times New Roman"/>
        </w:rPr>
        <w:t xml:space="preserve"> </w:t>
      </w:r>
      <w:r w:rsidRPr="007406B5">
        <w:rPr>
          <w:rFonts w:ascii="Times New Roman" w:hAnsi="Times New Roman"/>
        </w:rPr>
        <w:t xml:space="preserve">the Commission notes that under the Paris Agreement, </w:t>
      </w:r>
      <w:r w:rsidRPr="007406B5">
        <w:rPr>
          <w:rFonts w:ascii="Times New Roman" w:hAnsi="Times New Roman"/>
          <w:i/>
          <w:iCs/>
        </w:rPr>
        <w:t>Scope</w:t>
      </w:r>
      <w:r w:rsidR="00C37062" w:rsidRPr="007406B5">
        <w:rPr>
          <w:rFonts w:ascii="Times New Roman" w:hAnsi="Times New Roman"/>
          <w:i/>
          <w:iCs/>
        </w:rPr>
        <w:t> </w:t>
      </w:r>
      <w:r w:rsidRPr="007406B5">
        <w:rPr>
          <w:rFonts w:ascii="Times New Roman" w:hAnsi="Times New Roman"/>
          <w:i/>
          <w:iCs/>
        </w:rPr>
        <w:t>3 emissions are</w:t>
      </w:r>
      <w:r w:rsidR="007F003F" w:rsidRPr="007406B5">
        <w:rPr>
          <w:rFonts w:ascii="Times New Roman" w:hAnsi="Times New Roman"/>
          <w:i/>
          <w:iCs/>
        </w:rPr>
        <w:t xml:space="preserve"> </w:t>
      </w:r>
      <w:r w:rsidRPr="007406B5">
        <w:rPr>
          <w:rFonts w:ascii="Times New Roman" w:hAnsi="Times New Roman"/>
          <w:i/>
          <w:iCs/>
        </w:rPr>
        <w:t>attributed to the country within which they are emitted. The Commission notes that with</w:t>
      </w:r>
      <w:r w:rsidR="007F003F" w:rsidRPr="007406B5">
        <w:rPr>
          <w:rFonts w:ascii="Times New Roman" w:hAnsi="Times New Roman"/>
          <w:i/>
          <w:iCs/>
        </w:rPr>
        <w:t xml:space="preserve"> </w:t>
      </w:r>
      <w:r w:rsidRPr="007406B5">
        <w:rPr>
          <w:rFonts w:ascii="Times New Roman" w:hAnsi="Times New Roman"/>
          <w:i/>
          <w:iCs/>
        </w:rPr>
        <w:t>the adoption of the Paris Agreement, almost all countries have committed to reduce</w:t>
      </w:r>
      <w:r w:rsidR="007F003F" w:rsidRPr="007406B5">
        <w:rPr>
          <w:rFonts w:ascii="Times New Roman" w:hAnsi="Times New Roman"/>
          <w:i/>
          <w:iCs/>
        </w:rPr>
        <w:t xml:space="preserve"> </w:t>
      </w:r>
      <w:r w:rsidRPr="007406B5">
        <w:rPr>
          <w:rFonts w:ascii="Times New Roman" w:hAnsi="Times New Roman"/>
          <w:i/>
          <w:iCs/>
        </w:rPr>
        <w:t xml:space="preserve">global </w:t>
      </w:r>
      <w:r w:rsidR="00D41E9E" w:rsidRPr="007406B5">
        <w:rPr>
          <w:rFonts w:ascii="Times New Roman" w:hAnsi="Times New Roman"/>
          <w:i/>
          <w:iCs/>
        </w:rPr>
        <w:t>[greenhouse gas]</w:t>
      </w:r>
      <w:r w:rsidRPr="007406B5">
        <w:rPr>
          <w:rFonts w:ascii="Times New Roman" w:hAnsi="Times New Roman"/>
          <w:i/>
          <w:iCs/>
        </w:rPr>
        <w:t xml:space="preserve"> emissions and to track their progress in doing so.</w:t>
      </w:r>
    </w:p>
    <w:p w14:paraId="590721DD" w14:textId="5CDFC9F0" w:rsidR="00450FAE" w:rsidRPr="007406B5" w:rsidRDefault="00450FAE" w:rsidP="007406B5">
      <w:pPr>
        <w:pStyle w:val="LeftrightHanging"/>
        <w:spacing w:before="0" w:after="260" w:line="280" w:lineRule="exact"/>
        <w:ind w:right="0"/>
        <w:jc w:val="both"/>
        <w:rPr>
          <w:rFonts w:ascii="Times New Roman" w:hAnsi="Times New Roman"/>
        </w:rPr>
      </w:pPr>
      <w:r w:rsidRPr="007406B5">
        <w:rPr>
          <w:rFonts w:ascii="Times New Roman" w:hAnsi="Times New Roman"/>
        </w:rPr>
        <w:t xml:space="preserve">154. </w:t>
      </w:r>
      <w:r w:rsidR="00EF5286" w:rsidRPr="007406B5">
        <w:rPr>
          <w:rFonts w:ascii="Times New Roman" w:hAnsi="Times New Roman"/>
        </w:rPr>
        <w:tab/>
      </w:r>
      <w:r w:rsidRPr="007406B5">
        <w:rPr>
          <w:rFonts w:ascii="Times New Roman" w:hAnsi="Times New Roman"/>
        </w:rPr>
        <w:t xml:space="preserve">The Commission has considered the matters in </w:t>
      </w:r>
      <w:r w:rsidR="00EF5286" w:rsidRPr="007406B5">
        <w:rPr>
          <w:rFonts w:ascii="Times New Roman" w:hAnsi="Times New Roman"/>
        </w:rPr>
        <w:t>[s</w:t>
      </w:r>
      <w:r w:rsidR="00B6612F" w:rsidRPr="007406B5">
        <w:rPr>
          <w:rFonts w:ascii="Times New Roman" w:hAnsi="Times New Roman"/>
        </w:rPr>
        <w:t>s</w:t>
      </w:r>
      <w:r w:rsidR="00EF5286" w:rsidRPr="007406B5">
        <w:rPr>
          <w:rFonts w:ascii="Times New Roman" w:hAnsi="Times New Roman"/>
        </w:rPr>
        <w:t>]</w:t>
      </w:r>
      <w:r w:rsidRPr="007406B5">
        <w:rPr>
          <w:rFonts w:ascii="Times New Roman" w:hAnsi="Times New Roman"/>
        </w:rPr>
        <w:t xml:space="preserve"> 2.20(1) and</w:t>
      </w:r>
      <w:r w:rsidR="00740C5D" w:rsidRPr="007406B5">
        <w:rPr>
          <w:rFonts w:ascii="Times New Roman" w:hAnsi="Times New Roman"/>
        </w:rPr>
        <w:t> </w:t>
      </w:r>
      <w:r w:rsidRPr="007406B5">
        <w:rPr>
          <w:rFonts w:ascii="Times New Roman" w:hAnsi="Times New Roman"/>
        </w:rPr>
        <w:t>2.20(2) of the</w:t>
      </w:r>
      <w:r w:rsidR="007F003F" w:rsidRPr="007406B5">
        <w:rPr>
          <w:rFonts w:ascii="Times New Roman" w:hAnsi="Times New Roman"/>
        </w:rPr>
        <w:t xml:space="preserve"> </w:t>
      </w:r>
      <w:r w:rsidRPr="007406B5">
        <w:rPr>
          <w:rFonts w:ascii="Times New Roman" w:hAnsi="Times New Roman"/>
        </w:rPr>
        <w:t xml:space="preserve">Resources SEPP (in addition to the mandatory considerations under </w:t>
      </w:r>
      <w:r w:rsidR="00911155" w:rsidRPr="007406B5">
        <w:rPr>
          <w:rFonts w:ascii="Times New Roman" w:hAnsi="Times New Roman"/>
        </w:rPr>
        <w:t>section</w:t>
      </w:r>
      <w:r w:rsidR="009C5B09" w:rsidRPr="007406B5">
        <w:rPr>
          <w:rFonts w:ascii="Times New Roman" w:hAnsi="Times New Roman"/>
        </w:rPr>
        <w:t> </w:t>
      </w:r>
      <w:r w:rsidRPr="007406B5">
        <w:rPr>
          <w:rFonts w:ascii="Times New Roman" w:hAnsi="Times New Roman"/>
        </w:rPr>
        <w:t>4.15 of</w:t>
      </w:r>
      <w:r w:rsidR="007F003F" w:rsidRPr="007406B5">
        <w:rPr>
          <w:rFonts w:ascii="Times New Roman" w:hAnsi="Times New Roman"/>
        </w:rPr>
        <w:t xml:space="preserve"> </w:t>
      </w:r>
      <w:r w:rsidRPr="007406B5">
        <w:rPr>
          <w:rFonts w:ascii="Times New Roman" w:hAnsi="Times New Roman"/>
        </w:rPr>
        <w:t xml:space="preserve">the </w:t>
      </w:r>
      <w:r w:rsidR="002B7750" w:rsidRPr="007406B5">
        <w:rPr>
          <w:rFonts w:ascii="Times New Roman" w:hAnsi="Times New Roman"/>
        </w:rPr>
        <w:t>[EPA</w:t>
      </w:r>
      <w:r w:rsidRPr="007406B5">
        <w:rPr>
          <w:rFonts w:ascii="Times New Roman" w:hAnsi="Times New Roman"/>
        </w:rPr>
        <w:t xml:space="preserve"> Act</w:t>
      </w:r>
      <w:r w:rsidR="002B7750" w:rsidRPr="007406B5">
        <w:rPr>
          <w:rFonts w:ascii="Times New Roman" w:hAnsi="Times New Roman"/>
        </w:rPr>
        <w:t>]</w:t>
      </w:r>
      <w:r w:rsidRPr="007406B5">
        <w:rPr>
          <w:rFonts w:ascii="Times New Roman" w:hAnsi="Times New Roman"/>
        </w:rPr>
        <w:t>) and finds that the Project's Scope</w:t>
      </w:r>
      <w:r w:rsidR="00C37062" w:rsidRPr="007406B5">
        <w:rPr>
          <w:rFonts w:ascii="Times New Roman" w:hAnsi="Times New Roman"/>
        </w:rPr>
        <w:t> </w:t>
      </w:r>
      <w:r w:rsidRPr="007406B5">
        <w:rPr>
          <w:rFonts w:ascii="Times New Roman" w:hAnsi="Times New Roman"/>
        </w:rPr>
        <w:t>1 and Scope</w:t>
      </w:r>
      <w:r w:rsidR="00C37062" w:rsidRPr="007406B5">
        <w:rPr>
          <w:rFonts w:ascii="Times New Roman" w:hAnsi="Times New Roman"/>
        </w:rPr>
        <w:t> </w:t>
      </w:r>
      <w:r w:rsidRPr="007406B5">
        <w:rPr>
          <w:rFonts w:ascii="Times New Roman" w:hAnsi="Times New Roman"/>
        </w:rPr>
        <w:t>2 emissions have been</w:t>
      </w:r>
      <w:r w:rsidR="007F003F" w:rsidRPr="007406B5">
        <w:rPr>
          <w:rFonts w:ascii="Times New Roman" w:hAnsi="Times New Roman"/>
        </w:rPr>
        <w:t xml:space="preserve"> </w:t>
      </w:r>
      <w:r w:rsidRPr="007406B5">
        <w:rPr>
          <w:rFonts w:ascii="Times New Roman" w:hAnsi="Times New Roman"/>
        </w:rPr>
        <w:t>estimated using the recommended methodologies consistent with the current national</w:t>
      </w:r>
      <w:r w:rsidR="007F003F" w:rsidRPr="007406B5">
        <w:rPr>
          <w:rFonts w:ascii="Times New Roman" w:hAnsi="Times New Roman"/>
        </w:rPr>
        <w:t xml:space="preserve"> </w:t>
      </w:r>
      <w:r w:rsidRPr="007406B5">
        <w:rPr>
          <w:rFonts w:ascii="Times New Roman" w:hAnsi="Times New Roman"/>
        </w:rPr>
        <w:t>and NSW policy settings and commitments. In the absence of clear policy guidance on</w:t>
      </w:r>
      <w:r w:rsidR="007F003F" w:rsidRPr="007406B5">
        <w:rPr>
          <w:rFonts w:ascii="Times New Roman" w:hAnsi="Times New Roman"/>
        </w:rPr>
        <w:t xml:space="preserve"> </w:t>
      </w:r>
      <w:r w:rsidRPr="007406B5">
        <w:rPr>
          <w:rFonts w:ascii="Times New Roman" w:hAnsi="Times New Roman"/>
        </w:rPr>
        <w:t>performance criteria or offsets, the Commission is of the view that the Project is not</w:t>
      </w:r>
      <w:r w:rsidR="007F003F" w:rsidRPr="007406B5">
        <w:rPr>
          <w:rFonts w:ascii="Times New Roman" w:hAnsi="Times New Roman"/>
        </w:rPr>
        <w:t xml:space="preserve"> </w:t>
      </w:r>
      <w:r w:rsidRPr="007406B5">
        <w:rPr>
          <w:rFonts w:ascii="Times New Roman" w:hAnsi="Times New Roman"/>
        </w:rPr>
        <w:t xml:space="preserve">inconsistent with the </w:t>
      </w:r>
      <w:r w:rsidR="00CA0199" w:rsidRPr="007406B5">
        <w:rPr>
          <w:rFonts w:ascii="Times New Roman" w:hAnsi="Times New Roman"/>
        </w:rPr>
        <w:t>[New South Wales Climate Chan</w:t>
      </w:r>
      <w:r w:rsidR="004B0A03" w:rsidRPr="007406B5">
        <w:rPr>
          <w:rFonts w:ascii="Times New Roman" w:hAnsi="Times New Roman"/>
        </w:rPr>
        <w:t>ge Policy Framework]</w:t>
      </w:r>
      <w:r w:rsidRPr="007406B5">
        <w:rPr>
          <w:rFonts w:ascii="Times New Roman" w:hAnsi="Times New Roman"/>
        </w:rPr>
        <w:t xml:space="preserve">, the </w:t>
      </w:r>
      <w:r w:rsidR="00061EA2" w:rsidRPr="007406B5">
        <w:rPr>
          <w:rFonts w:ascii="Times New Roman" w:hAnsi="Times New Roman"/>
        </w:rPr>
        <w:t>[New South Wales</w:t>
      </w:r>
      <w:r w:rsidR="00640E68" w:rsidRPr="007406B5">
        <w:rPr>
          <w:rFonts w:ascii="Times New Roman" w:hAnsi="Times New Roman"/>
        </w:rPr>
        <w:t xml:space="preserve"> </w:t>
      </w:r>
      <w:r w:rsidR="007A4778" w:rsidRPr="007406B5">
        <w:rPr>
          <w:rFonts w:ascii="Times New Roman" w:hAnsi="Times New Roman"/>
        </w:rPr>
        <w:t xml:space="preserve">Net Zero Plan </w:t>
      </w:r>
      <w:r w:rsidR="00640E68" w:rsidRPr="007406B5">
        <w:rPr>
          <w:rFonts w:ascii="Times New Roman" w:hAnsi="Times New Roman"/>
        </w:rPr>
        <w:t>Stage 1: 2020-2030</w:t>
      </w:r>
      <w:r w:rsidR="002979BE" w:rsidRPr="007406B5">
        <w:rPr>
          <w:rFonts w:ascii="Times New Roman" w:hAnsi="Times New Roman"/>
        </w:rPr>
        <w:t>]</w:t>
      </w:r>
      <w:r w:rsidRPr="007406B5">
        <w:rPr>
          <w:rFonts w:ascii="Times New Roman" w:hAnsi="Times New Roman"/>
        </w:rPr>
        <w:t xml:space="preserve"> or Australia's current obligations under</w:t>
      </w:r>
      <w:r w:rsidR="007F003F" w:rsidRPr="007406B5">
        <w:rPr>
          <w:rFonts w:ascii="Times New Roman" w:hAnsi="Times New Roman"/>
        </w:rPr>
        <w:t xml:space="preserve"> </w:t>
      </w:r>
      <w:r w:rsidRPr="007406B5">
        <w:rPr>
          <w:rFonts w:ascii="Times New Roman" w:hAnsi="Times New Roman"/>
        </w:rPr>
        <w:t xml:space="preserve">the Paris Agreement in respect of Australia's current </w:t>
      </w:r>
      <w:r w:rsidR="0049435F" w:rsidRPr="007406B5">
        <w:rPr>
          <w:rFonts w:ascii="Times New Roman" w:hAnsi="Times New Roman"/>
        </w:rPr>
        <w:t>[</w:t>
      </w:r>
      <w:r w:rsidR="000A384E" w:rsidRPr="007406B5">
        <w:rPr>
          <w:rFonts w:ascii="Times New Roman" w:hAnsi="Times New Roman"/>
        </w:rPr>
        <w:t>Nationally Determined Contribution</w:t>
      </w:r>
      <w:r w:rsidR="00C62ECE" w:rsidRPr="007406B5">
        <w:rPr>
          <w:rFonts w:ascii="Times New Roman" w:hAnsi="Times New Roman"/>
        </w:rPr>
        <w:t>s</w:t>
      </w:r>
      <w:r w:rsidR="000A384E" w:rsidRPr="007406B5">
        <w:rPr>
          <w:rFonts w:ascii="Times New Roman" w:hAnsi="Times New Roman"/>
        </w:rPr>
        <w:t>]</w:t>
      </w:r>
      <w:r w:rsidRPr="007406B5">
        <w:rPr>
          <w:rFonts w:ascii="Times New Roman" w:hAnsi="Times New Roman"/>
        </w:rPr>
        <w:t>.</w:t>
      </w:r>
    </w:p>
    <w:p w14:paraId="1F6BF44D" w14:textId="490D473D" w:rsidR="00396FC2" w:rsidRPr="007406B5" w:rsidRDefault="00450FAE" w:rsidP="007406B5">
      <w:pPr>
        <w:pStyle w:val="LeftrightHanging"/>
        <w:spacing w:before="0" w:after="260" w:line="280" w:lineRule="exact"/>
        <w:ind w:right="0"/>
        <w:jc w:val="both"/>
        <w:rPr>
          <w:rFonts w:ascii="Times New Roman" w:hAnsi="Times New Roman"/>
        </w:rPr>
      </w:pPr>
      <w:r w:rsidRPr="007406B5">
        <w:rPr>
          <w:rFonts w:ascii="Times New Roman" w:hAnsi="Times New Roman"/>
        </w:rPr>
        <w:t xml:space="preserve">155. </w:t>
      </w:r>
      <w:r w:rsidR="00941CEC" w:rsidRPr="007406B5">
        <w:rPr>
          <w:rFonts w:ascii="Times New Roman" w:hAnsi="Times New Roman"/>
        </w:rPr>
        <w:tab/>
      </w:r>
      <w:r w:rsidRPr="007406B5">
        <w:rPr>
          <w:rFonts w:ascii="Times New Roman" w:hAnsi="Times New Roman"/>
        </w:rPr>
        <w:t>The Commission notes there is a growing body of international, national and State</w:t>
      </w:r>
      <w:r w:rsidR="007F003F" w:rsidRPr="007406B5">
        <w:rPr>
          <w:rFonts w:ascii="Times New Roman" w:hAnsi="Times New Roman"/>
        </w:rPr>
        <w:t xml:space="preserve"> </w:t>
      </w:r>
      <w:r w:rsidRPr="007406B5">
        <w:rPr>
          <w:rFonts w:ascii="Times New Roman" w:hAnsi="Times New Roman"/>
        </w:rPr>
        <w:t xml:space="preserve">policy that is aimed at reducing </w:t>
      </w:r>
      <w:r w:rsidR="00A643A2" w:rsidRPr="007406B5">
        <w:rPr>
          <w:rFonts w:ascii="Times New Roman" w:hAnsi="Times New Roman"/>
        </w:rPr>
        <w:t>[greenhouse gas]</w:t>
      </w:r>
      <w:r w:rsidRPr="007406B5">
        <w:rPr>
          <w:rFonts w:ascii="Times New Roman" w:hAnsi="Times New Roman"/>
        </w:rPr>
        <w:t xml:space="preserve"> emissions (see </w:t>
      </w:r>
      <w:r w:rsidR="00B958DC" w:rsidRPr="007406B5">
        <w:rPr>
          <w:rFonts w:ascii="Times New Roman" w:hAnsi="Times New Roman"/>
        </w:rPr>
        <w:t xml:space="preserve">paragraphs </w:t>
      </w:r>
      <w:r w:rsidRPr="007406B5">
        <w:rPr>
          <w:rFonts w:ascii="Times New Roman" w:hAnsi="Times New Roman"/>
        </w:rPr>
        <w:t>126</w:t>
      </w:r>
      <w:r w:rsidR="00740C5D" w:rsidRPr="007406B5">
        <w:rPr>
          <w:rFonts w:ascii="Times New Roman" w:hAnsi="Times New Roman"/>
        </w:rPr>
        <w:t> </w:t>
      </w:r>
      <w:r w:rsidR="00EB22C2" w:rsidRPr="007406B5">
        <w:rPr>
          <w:rFonts w:ascii="Times New Roman" w:hAnsi="Times New Roman"/>
        </w:rPr>
        <w:t>-</w:t>
      </w:r>
      <w:r w:rsidR="00740C5D" w:rsidRPr="007406B5">
        <w:rPr>
          <w:rFonts w:ascii="Times New Roman" w:hAnsi="Times New Roman"/>
        </w:rPr>
        <w:t> </w:t>
      </w:r>
      <w:r w:rsidRPr="007406B5">
        <w:rPr>
          <w:rFonts w:ascii="Times New Roman" w:hAnsi="Times New Roman"/>
        </w:rPr>
        <w:t>138 above),</w:t>
      </w:r>
      <w:r w:rsidR="007F003F" w:rsidRPr="007406B5">
        <w:rPr>
          <w:rFonts w:ascii="Times New Roman" w:hAnsi="Times New Roman"/>
        </w:rPr>
        <w:t xml:space="preserve"> </w:t>
      </w:r>
      <w:r w:rsidRPr="007406B5">
        <w:rPr>
          <w:rFonts w:ascii="Times New Roman" w:hAnsi="Times New Roman"/>
        </w:rPr>
        <w:t>particularly those associated with fugitive methane. The Commission is required to</w:t>
      </w:r>
      <w:r w:rsidR="007F003F" w:rsidRPr="007406B5">
        <w:rPr>
          <w:rFonts w:ascii="Times New Roman" w:hAnsi="Times New Roman"/>
        </w:rPr>
        <w:t xml:space="preserve"> </w:t>
      </w:r>
      <w:r w:rsidRPr="007406B5">
        <w:rPr>
          <w:rFonts w:ascii="Times New Roman" w:hAnsi="Times New Roman"/>
        </w:rPr>
        <w:t>have regard to such applicable polic</w:t>
      </w:r>
      <w:r w:rsidR="00B958DC" w:rsidRPr="007406B5">
        <w:rPr>
          <w:rFonts w:ascii="Times New Roman" w:hAnsi="Times New Roman"/>
        </w:rPr>
        <w:t>[i]</w:t>
      </w:r>
      <w:r w:rsidRPr="007406B5">
        <w:rPr>
          <w:rFonts w:ascii="Times New Roman" w:hAnsi="Times New Roman"/>
        </w:rPr>
        <w:t xml:space="preserve">es at the national and State level (under </w:t>
      </w:r>
      <w:r w:rsidR="00EA5264" w:rsidRPr="007406B5">
        <w:rPr>
          <w:rFonts w:ascii="Times New Roman" w:hAnsi="Times New Roman"/>
        </w:rPr>
        <w:t>section</w:t>
      </w:r>
      <w:r w:rsidR="006E6A61" w:rsidRPr="007406B5">
        <w:rPr>
          <w:rFonts w:ascii="Times New Roman" w:hAnsi="Times New Roman"/>
        </w:rPr>
        <w:t> </w:t>
      </w:r>
      <w:r w:rsidRPr="007406B5">
        <w:rPr>
          <w:rFonts w:ascii="Times New Roman" w:hAnsi="Times New Roman"/>
        </w:rPr>
        <w:t>2.20 of the Resource</w:t>
      </w:r>
      <w:r w:rsidR="00D8360A" w:rsidRPr="007406B5">
        <w:rPr>
          <w:rFonts w:ascii="Times New Roman" w:hAnsi="Times New Roman"/>
        </w:rPr>
        <w:t>[s]</w:t>
      </w:r>
      <w:r w:rsidRPr="007406B5">
        <w:rPr>
          <w:rFonts w:ascii="Times New Roman" w:hAnsi="Times New Roman"/>
        </w:rPr>
        <w:t xml:space="preserve"> SEPP). The Commission also notes that current national and</w:t>
      </w:r>
      <w:r w:rsidR="007F003F" w:rsidRPr="007406B5">
        <w:rPr>
          <w:rFonts w:ascii="Times New Roman" w:hAnsi="Times New Roman"/>
        </w:rPr>
        <w:t xml:space="preserve"> </w:t>
      </w:r>
      <w:r w:rsidRPr="007406B5">
        <w:rPr>
          <w:rFonts w:ascii="Times New Roman" w:hAnsi="Times New Roman"/>
        </w:rPr>
        <w:t>State policy recognises the ongoing demand for coal and its importance to the NSW</w:t>
      </w:r>
      <w:r w:rsidR="007F003F" w:rsidRPr="007406B5">
        <w:rPr>
          <w:rFonts w:ascii="Times New Roman" w:hAnsi="Times New Roman"/>
        </w:rPr>
        <w:t xml:space="preserve"> </w:t>
      </w:r>
      <w:r w:rsidRPr="007406B5">
        <w:rPr>
          <w:rFonts w:ascii="Times New Roman" w:hAnsi="Times New Roman"/>
        </w:rPr>
        <w:t>(and Australian) economy and the regions it is located in. The current strategic</w:t>
      </w:r>
      <w:r w:rsidR="007F003F" w:rsidRPr="007406B5">
        <w:rPr>
          <w:rFonts w:ascii="Times New Roman" w:hAnsi="Times New Roman"/>
        </w:rPr>
        <w:t xml:space="preserve"> </w:t>
      </w:r>
      <w:r w:rsidRPr="007406B5">
        <w:rPr>
          <w:rFonts w:ascii="Times New Roman" w:hAnsi="Times New Roman"/>
        </w:rPr>
        <w:t>direction of the NSW government, as set out in its policies, seeks to continue coal</w:t>
      </w:r>
      <w:r w:rsidR="007F003F" w:rsidRPr="007406B5">
        <w:rPr>
          <w:rFonts w:ascii="Times New Roman" w:hAnsi="Times New Roman"/>
        </w:rPr>
        <w:t xml:space="preserve"> </w:t>
      </w:r>
      <w:r w:rsidRPr="007406B5">
        <w:rPr>
          <w:rFonts w:ascii="Times New Roman" w:hAnsi="Times New Roman"/>
        </w:rPr>
        <w:t>exploration, extraction and export. Instead of prescribing the refusal of development for</w:t>
      </w:r>
      <w:r w:rsidR="007F003F" w:rsidRPr="007406B5">
        <w:rPr>
          <w:rFonts w:ascii="Times New Roman" w:hAnsi="Times New Roman"/>
        </w:rPr>
        <w:t xml:space="preserve"> </w:t>
      </w:r>
      <w:r w:rsidRPr="007406B5">
        <w:rPr>
          <w:rFonts w:ascii="Times New Roman" w:hAnsi="Times New Roman"/>
        </w:rPr>
        <w:t>projects such as the Project under consideration, the body of policy considered by the</w:t>
      </w:r>
      <w:r w:rsidR="007F003F" w:rsidRPr="007406B5">
        <w:rPr>
          <w:rFonts w:ascii="Times New Roman" w:hAnsi="Times New Roman"/>
        </w:rPr>
        <w:t xml:space="preserve"> </w:t>
      </w:r>
      <w:r w:rsidRPr="007406B5">
        <w:rPr>
          <w:rFonts w:ascii="Times New Roman" w:hAnsi="Times New Roman"/>
        </w:rPr>
        <w:t xml:space="preserve">Commission (particularly the Commonwealth's </w:t>
      </w:r>
      <w:r w:rsidRPr="007406B5">
        <w:rPr>
          <w:rFonts w:ascii="Times New Roman" w:hAnsi="Times New Roman"/>
          <w:i/>
          <w:iCs/>
        </w:rPr>
        <w:t>Australia's Long-Term Emissions</w:t>
      </w:r>
      <w:r w:rsidR="007F003F" w:rsidRPr="007406B5">
        <w:rPr>
          <w:rFonts w:ascii="Times New Roman" w:hAnsi="Times New Roman"/>
          <w:i/>
          <w:iCs/>
        </w:rPr>
        <w:t xml:space="preserve"> </w:t>
      </w:r>
      <w:r w:rsidRPr="007406B5">
        <w:rPr>
          <w:rFonts w:ascii="Times New Roman" w:hAnsi="Times New Roman"/>
          <w:i/>
          <w:iCs/>
        </w:rPr>
        <w:t>Reduction Plan</w:t>
      </w:r>
      <w:r w:rsidRPr="007406B5">
        <w:rPr>
          <w:rFonts w:ascii="Times New Roman" w:hAnsi="Times New Roman"/>
        </w:rPr>
        <w:t xml:space="preserve"> and </w:t>
      </w:r>
      <w:r w:rsidR="00AD4DD0" w:rsidRPr="007406B5">
        <w:rPr>
          <w:rFonts w:ascii="Times New Roman" w:hAnsi="Times New Roman"/>
        </w:rPr>
        <w:t>NSW's</w:t>
      </w:r>
      <w:r w:rsidRPr="007406B5">
        <w:rPr>
          <w:rFonts w:ascii="Times New Roman" w:hAnsi="Times New Roman"/>
        </w:rPr>
        <w:t xml:space="preserve"> </w:t>
      </w:r>
      <w:r w:rsidRPr="007406B5">
        <w:rPr>
          <w:rFonts w:ascii="Times New Roman" w:hAnsi="Times New Roman"/>
          <w:i/>
          <w:iCs/>
        </w:rPr>
        <w:t>Net Zero Plan Stage</w:t>
      </w:r>
      <w:r w:rsidR="00BE257F" w:rsidRPr="007406B5">
        <w:rPr>
          <w:rFonts w:ascii="Times New Roman" w:hAnsi="Times New Roman"/>
          <w:i/>
          <w:iCs/>
        </w:rPr>
        <w:t> </w:t>
      </w:r>
      <w:r w:rsidRPr="007406B5">
        <w:rPr>
          <w:rFonts w:ascii="Times New Roman" w:hAnsi="Times New Roman"/>
          <w:i/>
          <w:iCs/>
        </w:rPr>
        <w:t>1: 2020-2030</w:t>
      </w:r>
      <w:r w:rsidRPr="007406B5">
        <w:rPr>
          <w:rFonts w:ascii="Times New Roman" w:hAnsi="Times New Roman"/>
        </w:rPr>
        <w:t>) indicates that the</w:t>
      </w:r>
      <w:r w:rsidR="007F003F" w:rsidRPr="007406B5">
        <w:rPr>
          <w:rFonts w:ascii="Times New Roman" w:hAnsi="Times New Roman"/>
        </w:rPr>
        <w:t xml:space="preserve"> </w:t>
      </w:r>
      <w:r w:rsidRPr="007406B5">
        <w:rPr>
          <w:rFonts w:ascii="Times New Roman" w:hAnsi="Times New Roman"/>
        </w:rPr>
        <w:t>deployment of existing, emerging and future technologies to minimise and/or</w:t>
      </w:r>
      <w:r w:rsidR="007F003F" w:rsidRPr="007406B5">
        <w:rPr>
          <w:rFonts w:ascii="Times New Roman" w:hAnsi="Times New Roman"/>
        </w:rPr>
        <w:t xml:space="preserve"> </w:t>
      </w:r>
      <w:r w:rsidRPr="007406B5">
        <w:rPr>
          <w:rFonts w:ascii="Times New Roman" w:hAnsi="Times New Roman"/>
        </w:rPr>
        <w:t xml:space="preserve">beneficially use fugitive methane is an important part of reducing </w:t>
      </w:r>
      <w:r w:rsidR="006823FC" w:rsidRPr="007406B5">
        <w:rPr>
          <w:rFonts w:ascii="Times New Roman" w:hAnsi="Times New Roman"/>
        </w:rPr>
        <w:t>[greenhouse gas]</w:t>
      </w:r>
      <w:r w:rsidRPr="007406B5">
        <w:rPr>
          <w:rFonts w:ascii="Times New Roman" w:hAnsi="Times New Roman"/>
        </w:rPr>
        <w:t xml:space="preserve"> emissions from</w:t>
      </w:r>
      <w:r w:rsidR="007F003F" w:rsidRPr="007406B5">
        <w:rPr>
          <w:rFonts w:ascii="Times New Roman" w:hAnsi="Times New Roman"/>
        </w:rPr>
        <w:t xml:space="preserve"> </w:t>
      </w:r>
      <w:r w:rsidRPr="007406B5">
        <w:rPr>
          <w:rFonts w:ascii="Times New Roman" w:hAnsi="Times New Roman"/>
        </w:rPr>
        <w:t>developments such as the Project.</w:t>
      </w:r>
    </w:p>
    <w:p w14:paraId="64145912" w14:textId="4986F19C" w:rsidR="007F003F" w:rsidRPr="007406B5" w:rsidRDefault="007F003F" w:rsidP="007406B5">
      <w:pPr>
        <w:pStyle w:val="leftright"/>
        <w:spacing w:before="0" w:after="260" w:line="280" w:lineRule="exact"/>
        <w:ind w:right="0"/>
        <w:jc w:val="both"/>
        <w:rPr>
          <w:rFonts w:ascii="Times New Roman" w:hAnsi="Times New Roman"/>
        </w:rPr>
      </w:pPr>
      <w:r w:rsidRPr="007406B5">
        <w:rPr>
          <w:rFonts w:ascii="Times New Roman" w:hAnsi="Times New Roman"/>
        </w:rPr>
        <w:t>...</w:t>
      </w:r>
    </w:p>
    <w:p w14:paraId="14102522" w14:textId="77777777" w:rsidR="007406B5" w:rsidRDefault="007F003F" w:rsidP="007406B5">
      <w:pPr>
        <w:pStyle w:val="LeftrightHanging"/>
        <w:spacing w:before="0" w:after="260" w:line="280" w:lineRule="exact"/>
        <w:ind w:right="0"/>
        <w:jc w:val="both"/>
        <w:rPr>
          <w:rFonts w:ascii="Times New Roman" w:hAnsi="Times New Roman"/>
        </w:rPr>
      </w:pPr>
      <w:r w:rsidRPr="007406B5">
        <w:rPr>
          <w:rFonts w:ascii="Times New Roman" w:hAnsi="Times New Roman"/>
        </w:rPr>
        <w:lastRenderedPageBreak/>
        <w:t xml:space="preserve">161. </w:t>
      </w:r>
      <w:r w:rsidR="006823FC" w:rsidRPr="007406B5">
        <w:rPr>
          <w:rFonts w:ascii="Times New Roman" w:hAnsi="Times New Roman"/>
        </w:rPr>
        <w:tab/>
      </w:r>
      <w:r w:rsidRPr="007406B5">
        <w:rPr>
          <w:rFonts w:ascii="Times New Roman" w:hAnsi="Times New Roman"/>
        </w:rPr>
        <w:t xml:space="preserve">For the reasons set out above, the Commission finds that the </w:t>
      </w:r>
      <w:r w:rsidR="006823FC" w:rsidRPr="007406B5">
        <w:rPr>
          <w:rFonts w:ascii="Times New Roman" w:hAnsi="Times New Roman"/>
        </w:rPr>
        <w:t>[greenhouse gas]</w:t>
      </w:r>
      <w:r w:rsidRPr="007406B5">
        <w:rPr>
          <w:rFonts w:ascii="Times New Roman" w:hAnsi="Times New Roman"/>
        </w:rPr>
        <w:t xml:space="preserve"> emissions for the Project have been adequately assessed. Subject to the imposed conditions, the Commission is satisfied that the Project can achieve the requirements of the Resources SEPP, the </w:t>
      </w:r>
      <w:r w:rsidR="001C3518" w:rsidRPr="007406B5">
        <w:rPr>
          <w:rFonts w:ascii="Times New Roman" w:hAnsi="Times New Roman"/>
        </w:rPr>
        <w:t>[EPA Act]</w:t>
      </w:r>
      <w:r w:rsidRPr="007406B5">
        <w:rPr>
          <w:rFonts w:ascii="Times New Roman" w:hAnsi="Times New Roman"/>
        </w:rPr>
        <w:t xml:space="preserve"> and the relevant Commonwealth and NSW policy positions with respect to the reduction of fugitive emissions and the recognition of the importance of the continuation of the extraction and exportation of coal to the NSW economy."</w:t>
      </w:r>
    </w:p>
    <w:p w14:paraId="11C2B287" w14:textId="7EEE3910" w:rsidR="0038609E" w:rsidRPr="007406B5" w:rsidRDefault="0038609E" w:rsidP="007406B5">
      <w:pPr>
        <w:pStyle w:val="FixListStyle"/>
        <w:spacing w:after="260" w:line="280" w:lineRule="exact"/>
        <w:ind w:right="0"/>
        <w:jc w:val="both"/>
        <w:rPr>
          <w:rFonts w:ascii="Times New Roman" w:hAnsi="Times New Roman"/>
        </w:rPr>
      </w:pPr>
      <w:r w:rsidRPr="007406B5">
        <w:rPr>
          <w:rFonts w:ascii="Times New Roman" w:hAnsi="Times New Roman"/>
        </w:rPr>
        <w:tab/>
      </w:r>
      <w:r w:rsidR="005309B3" w:rsidRPr="007406B5">
        <w:rPr>
          <w:rFonts w:ascii="Times New Roman" w:hAnsi="Times New Roman"/>
        </w:rPr>
        <w:t>Paragraphs 126</w:t>
      </w:r>
      <w:r w:rsidR="00FB14A5" w:rsidRPr="007406B5">
        <w:rPr>
          <w:rFonts w:ascii="Times New Roman" w:hAnsi="Times New Roman"/>
        </w:rPr>
        <w:t>-</w:t>
      </w:r>
      <w:r w:rsidR="005309B3" w:rsidRPr="007406B5">
        <w:rPr>
          <w:rFonts w:ascii="Times New Roman" w:hAnsi="Times New Roman"/>
        </w:rPr>
        <w:t xml:space="preserve">138 of the </w:t>
      </w:r>
      <w:r w:rsidR="00CE3931" w:rsidRPr="007406B5">
        <w:rPr>
          <w:rFonts w:ascii="Times New Roman" w:hAnsi="Times New Roman"/>
        </w:rPr>
        <w:t>Commission's</w:t>
      </w:r>
      <w:r w:rsidR="005309B3" w:rsidRPr="007406B5">
        <w:rPr>
          <w:rFonts w:ascii="Times New Roman" w:hAnsi="Times New Roman"/>
        </w:rPr>
        <w:t xml:space="preserve"> reasons, as referred to in this extract, contain a </w:t>
      </w:r>
      <w:r w:rsidR="005309B3" w:rsidRPr="007406B5" w:rsidDel="008F38E2">
        <w:rPr>
          <w:rFonts w:ascii="Times New Roman" w:hAnsi="Times New Roman"/>
        </w:rPr>
        <w:t xml:space="preserve">detailed </w:t>
      </w:r>
      <w:r w:rsidR="005309B3" w:rsidRPr="007406B5">
        <w:rPr>
          <w:rFonts w:ascii="Times New Roman" w:hAnsi="Times New Roman"/>
        </w:rPr>
        <w:t xml:space="preserve">review of </w:t>
      </w:r>
      <w:r w:rsidR="005160F1" w:rsidRPr="007406B5">
        <w:rPr>
          <w:rFonts w:ascii="Times New Roman" w:hAnsi="Times New Roman"/>
        </w:rPr>
        <w:t xml:space="preserve">the international, national and </w:t>
      </w:r>
      <w:r w:rsidR="00CE34BF" w:rsidRPr="007406B5">
        <w:rPr>
          <w:rFonts w:ascii="Times New Roman" w:hAnsi="Times New Roman"/>
        </w:rPr>
        <w:t>S</w:t>
      </w:r>
      <w:r w:rsidR="005160F1" w:rsidRPr="007406B5">
        <w:rPr>
          <w:rFonts w:ascii="Times New Roman" w:hAnsi="Times New Roman"/>
        </w:rPr>
        <w:t xml:space="preserve">tate </w:t>
      </w:r>
      <w:r w:rsidR="00CE3931" w:rsidRPr="007406B5">
        <w:rPr>
          <w:rFonts w:ascii="Times New Roman" w:hAnsi="Times New Roman"/>
        </w:rPr>
        <w:t>regulation</w:t>
      </w:r>
      <w:r w:rsidR="005160F1" w:rsidRPr="007406B5">
        <w:rPr>
          <w:rFonts w:ascii="Times New Roman" w:hAnsi="Times New Roman"/>
        </w:rPr>
        <w:t xml:space="preserve"> of </w:t>
      </w:r>
      <w:r w:rsidR="00CE3931" w:rsidRPr="007406B5">
        <w:rPr>
          <w:rFonts w:ascii="Times New Roman" w:hAnsi="Times New Roman"/>
        </w:rPr>
        <w:t>greenhouse</w:t>
      </w:r>
      <w:r w:rsidR="005160F1" w:rsidRPr="007406B5">
        <w:rPr>
          <w:rFonts w:ascii="Times New Roman" w:hAnsi="Times New Roman"/>
        </w:rPr>
        <w:t xml:space="preserve"> gas emissions and </w:t>
      </w:r>
      <w:r w:rsidR="005160F1" w:rsidRPr="007406B5" w:rsidDel="00681E2C">
        <w:rPr>
          <w:rFonts w:ascii="Times New Roman" w:hAnsi="Times New Roman"/>
        </w:rPr>
        <w:t xml:space="preserve">their common </w:t>
      </w:r>
      <w:r w:rsidR="005160F1" w:rsidRPr="007406B5">
        <w:rPr>
          <w:rFonts w:ascii="Times New Roman" w:hAnsi="Times New Roman"/>
        </w:rPr>
        <w:t>objective</w:t>
      </w:r>
      <w:r w:rsidR="00C3692C" w:rsidRPr="007406B5">
        <w:rPr>
          <w:rFonts w:ascii="Times New Roman" w:hAnsi="Times New Roman"/>
        </w:rPr>
        <w:t>s, being</w:t>
      </w:r>
      <w:r w:rsidR="00CE3931" w:rsidRPr="007406B5">
        <w:rPr>
          <w:rFonts w:ascii="Times New Roman" w:hAnsi="Times New Roman"/>
        </w:rPr>
        <w:t xml:space="preserve"> each </w:t>
      </w:r>
      <w:r w:rsidR="00DE07A7" w:rsidRPr="007406B5">
        <w:rPr>
          <w:rFonts w:ascii="Times New Roman" w:hAnsi="Times New Roman"/>
        </w:rPr>
        <w:t xml:space="preserve">relevant country </w:t>
      </w:r>
      <w:r w:rsidR="00FE3C33" w:rsidRPr="007406B5">
        <w:rPr>
          <w:rFonts w:ascii="Times New Roman" w:hAnsi="Times New Roman"/>
        </w:rPr>
        <w:t xml:space="preserve">or </w:t>
      </w:r>
      <w:r w:rsidR="003845D1" w:rsidRPr="007406B5">
        <w:rPr>
          <w:rFonts w:ascii="Times New Roman" w:hAnsi="Times New Roman"/>
        </w:rPr>
        <w:t>State</w:t>
      </w:r>
      <w:r w:rsidR="00405B07" w:rsidRPr="007406B5">
        <w:rPr>
          <w:rFonts w:ascii="Times New Roman" w:hAnsi="Times New Roman"/>
        </w:rPr>
        <w:t xml:space="preserve"> </w:t>
      </w:r>
      <w:r w:rsidR="00DE07A7" w:rsidRPr="007406B5">
        <w:rPr>
          <w:rFonts w:ascii="Times New Roman" w:hAnsi="Times New Roman"/>
        </w:rPr>
        <w:t>reduc</w:t>
      </w:r>
      <w:r w:rsidR="006940E9" w:rsidRPr="007406B5">
        <w:rPr>
          <w:rFonts w:ascii="Times New Roman" w:hAnsi="Times New Roman"/>
        </w:rPr>
        <w:t>ing</w:t>
      </w:r>
      <w:r w:rsidR="00DE07A7" w:rsidRPr="007406B5">
        <w:rPr>
          <w:rFonts w:ascii="Times New Roman" w:hAnsi="Times New Roman"/>
        </w:rPr>
        <w:t xml:space="preserve"> greenhouse gas emissions by, amongst other things, investing in new technologies, </w:t>
      </w:r>
      <w:r w:rsidR="003039A3" w:rsidRPr="007406B5">
        <w:rPr>
          <w:rFonts w:ascii="Times New Roman" w:hAnsi="Times New Roman"/>
        </w:rPr>
        <w:t xml:space="preserve">and achieving </w:t>
      </w:r>
      <w:r w:rsidR="0092353B" w:rsidRPr="007406B5">
        <w:rPr>
          <w:rFonts w:ascii="Times New Roman" w:hAnsi="Times New Roman"/>
        </w:rPr>
        <w:t xml:space="preserve">the target of </w:t>
      </w:r>
      <w:r w:rsidR="0071052D" w:rsidRPr="007406B5">
        <w:rPr>
          <w:rFonts w:ascii="Times New Roman" w:hAnsi="Times New Roman"/>
        </w:rPr>
        <w:t xml:space="preserve">net </w:t>
      </w:r>
      <w:r w:rsidR="0092353B" w:rsidRPr="007406B5">
        <w:rPr>
          <w:rFonts w:ascii="Times New Roman" w:hAnsi="Times New Roman"/>
        </w:rPr>
        <w:t xml:space="preserve">zero greenhouse gas emissions by 2050, </w:t>
      </w:r>
      <w:r w:rsidR="006168C2" w:rsidRPr="007406B5">
        <w:rPr>
          <w:rFonts w:ascii="Times New Roman" w:hAnsi="Times New Roman"/>
        </w:rPr>
        <w:t>with</w:t>
      </w:r>
      <w:r w:rsidR="0092353B" w:rsidRPr="007406B5">
        <w:rPr>
          <w:rFonts w:ascii="Times New Roman" w:hAnsi="Times New Roman"/>
        </w:rPr>
        <w:t xml:space="preserve"> Australia specifically </w:t>
      </w:r>
      <w:r w:rsidR="00C03045" w:rsidRPr="007406B5">
        <w:rPr>
          <w:rFonts w:ascii="Times New Roman" w:hAnsi="Times New Roman"/>
        </w:rPr>
        <w:t xml:space="preserve">aiming to </w:t>
      </w:r>
      <w:r w:rsidR="0092353B" w:rsidRPr="007406B5">
        <w:rPr>
          <w:rFonts w:ascii="Times New Roman" w:hAnsi="Times New Roman"/>
        </w:rPr>
        <w:t>achiev</w:t>
      </w:r>
      <w:r w:rsidR="00C03045" w:rsidRPr="007406B5">
        <w:rPr>
          <w:rFonts w:ascii="Times New Roman" w:hAnsi="Times New Roman"/>
        </w:rPr>
        <w:t>e</w:t>
      </w:r>
      <w:r w:rsidR="0092353B" w:rsidRPr="007406B5">
        <w:rPr>
          <w:rFonts w:ascii="Times New Roman" w:hAnsi="Times New Roman"/>
        </w:rPr>
        <w:t xml:space="preserve"> a </w:t>
      </w:r>
      <w:r w:rsidR="006168C2" w:rsidRPr="007406B5">
        <w:rPr>
          <w:rFonts w:ascii="Times New Roman" w:hAnsi="Times New Roman"/>
        </w:rPr>
        <w:t xml:space="preserve">43% reduction </w:t>
      </w:r>
      <w:r w:rsidR="00355B1E" w:rsidRPr="007406B5">
        <w:rPr>
          <w:rFonts w:ascii="Times New Roman" w:hAnsi="Times New Roman"/>
        </w:rPr>
        <w:t xml:space="preserve">in greenhouse gas emissions </w:t>
      </w:r>
      <w:r w:rsidR="006168C2" w:rsidRPr="007406B5">
        <w:rPr>
          <w:rFonts w:ascii="Times New Roman" w:hAnsi="Times New Roman"/>
        </w:rPr>
        <w:t xml:space="preserve">by 2030. </w:t>
      </w:r>
    </w:p>
    <w:p w14:paraId="3DF10D62" w14:textId="5E035AA6" w:rsidR="005A4406" w:rsidRPr="007406B5" w:rsidRDefault="006168C2" w:rsidP="007406B5">
      <w:pPr>
        <w:pStyle w:val="FixListStyle"/>
        <w:spacing w:after="260" w:line="280" w:lineRule="exact"/>
        <w:ind w:right="0"/>
        <w:jc w:val="both"/>
        <w:rPr>
          <w:rFonts w:ascii="Times New Roman" w:hAnsi="Times New Roman"/>
        </w:rPr>
      </w:pPr>
      <w:r w:rsidRPr="007406B5">
        <w:rPr>
          <w:rFonts w:ascii="Times New Roman" w:hAnsi="Times New Roman"/>
        </w:rPr>
        <w:tab/>
        <w:t xml:space="preserve">Contrary to the submissions for DAMSHEG, the Commission's purpose in referring to </w:t>
      </w:r>
      <w:r w:rsidR="008B7781" w:rsidRPr="007406B5">
        <w:rPr>
          <w:rFonts w:ascii="Times New Roman" w:hAnsi="Times New Roman"/>
        </w:rPr>
        <w:t xml:space="preserve">the objects and operation of these </w:t>
      </w:r>
      <w:r w:rsidRPr="007406B5">
        <w:rPr>
          <w:rFonts w:ascii="Times New Roman" w:hAnsi="Times New Roman"/>
        </w:rPr>
        <w:t xml:space="preserve">international, national and </w:t>
      </w:r>
      <w:r w:rsidR="005E0BA4" w:rsidRPr="007406B5">
        <w:rPr>
          <w:rFonts w:ascii="Times New Roman" w:hAnsi="Times New Roman"/>
        </w:rPr>
        <w:t>S</w:t>
      </w:r>
      <w:r w:rsidRPr="007406B5">
        <w:rPr>
          <w:rFonts w:ascii="Times New Roman" w:hAnsi="Times New Roman"/>
        </w:rPr>
        <w:t xml:space="preserve">tate </w:t>
      </w:r>
      <w:r w:rsidR="003A1F10" w:rsidRPr="007406B5">
        <w:rPr>
          <w:rFonts w:ascii="Times New Roman" w:hAnsi="Times New Roman"/>
        </w:rPr>
        <w:t>agreements and</w:t>
      </w:r>
      <w:r w:rsidRPr="007406B5">
        <w:rPr>
          <w:rFonts w:ascii="Times New Roman" w:hAnsi="Times New Roman"/>
        </w:rPr>
        <w:t xml:space="preserve"> </w:t>
      </w:r>
      <w:r w:rsidRPr="007406B5" w:rsidDel="000B761C">
        <w:rPr>
          <w:rFonts w:ascii="Times New Roman" w:hAnsi="Times New Roman"/>
        </w:rPr>
        <w:t>policies</w:t>
      </w:r>
      <w:r w:rsidRPr="007406B5">
        <w:rPr>
          <w:rFonts w:ascii="Times New Roman" w:hAnsi="Times New Roman"/>
        </w:rPr>
        <w:t xml:space="preserve"> </w:t>
      </w:r>
      <w:r w:rsidR="008B7781" w:rsidRPr="007406B5">
        <w:rPr>
          <w:rFonts w:ascii="Times New Roman" w:hAnsi="Times New Roman"/>
        </w:rPr>
        <w:t>in respect of the overall reduction of greenhouse gas emissions was not to enable the Commission to put scope</w:t>
      </w:r>
      <w:r w:rsidR="00C37062" w:rsidRPr="007406B5">
        <w:rPr>
          <w:rFonts w:ascii="Times New Roman" w:hAnsi="Times New Roman"/>
        </w:rPr>
        <w:t> </w:t>
      </w:r>
      <w:r w:rsidR="008B7781" w:rsidRPr="007406B5">
        <w:rPr>
          <w:rFonts w:ascii="Times New Roman" w:hAnsi="Times New Roman"/>
        </w:rPr>
        <w:t xml:space="preserve">3 emissions to one side so that the Commission could avoid complying with </w:t>
      </w:r>
      <w:r w:rsidR="00275D60" w:rsidRPr="007406B5">
        <w:rPr>
          <w:rFonts w:ascii="Times New Roman" w:hAnsi="Times New Roman"/>
        </w:rPr>
        <w:t>s</w:t>
      </w:r>
      <w:r w:rsidR="008B7781" w:rsidRPr="007406B5">
        <w:rPr>
          <w:rFonts w:ascii="Times New Roman" w:hAnsi="Times New Roman"/>
        </w:rPr>
        <w:t xml:space="preserve"> 2.20(1)(c) of the Resources SEPP. Rather, the Commission was </w:t>
      </w:r>
      <w:r w:rsidR="008117B8" w:rsidRPr="007406B5">
        <w:rPr>
          <w:rFonts w:ascii="Times New Roman" w:hAnsi="Times New Roman"/>
        </w:rPr>
        <w:t xml:space="preserve">discharging its function under </w:t>
      </w:r>
      <w:r w:rsidR="00D51CDB" w:rsidRPr="007406B5">
        <w:rPr>
          <w:rFonts w:ascii="Times New Roman" w:hAnsi="Times New Roman"/>
        </w:rPr>
        <w:t>s</w:t>
      </w:r>
      <w:r w:rsidR="008117B8" w:rsidRPr="007406B5">
        <w:rPr>
          <w:rFonts w:ascii="Times New Roman" w:hAnsi="Times New Roman"/>
        </w:rPr>
        <w:t xml:space="preserve"> 2.20 as a whole. Under </w:t>
      </w:r>
      <w:r w:rsidR="00D51CDB" w:rsidRPr="007406B5">
        <w:rPr>
          <w:rFonts w:ascii="Times New Roman" w:hAnsi="Times New Roman"/>
        </w:rPr>
        <w:t>s</w:t>
      </w:r>
      <w:r w:rsidR="008117B8" w:rsidRPr="007406B5">
        <w:rPr>
          <w:rFonts w:ascii="Times New Roman" w:hAnsi="Times New Roman"/>
        </w:rPr>
        <w:t> 2.20(2) the Commission, in determining the development application, had to "consider an assessment of the greenhouse gas emissions (including downstream emissions) of the development, and must do so having regard to any applicable State or national policies, programs or guidelines concerning greenhouse gas emissions</w:t>
      </w:r>
      <w:r w:rsidR="00C26EAE" w:rsidRPr="007406B5">
        <w:rPr>
          <w:rFonts w:ascii="Times New Roman" w:hAnsi="Times New Roman"/>
        </w:rPr>
        <w:t>"</w:t>
      </w:r>
      <w:r w:rsidR="008117B8" w:rsidRPr="007406B5">
        <w:rPr>
          <w:rFonts w:ascii="Times New Roman" w:hAnsi="Times New Roman"/>
        </w:rPr>
        <w:t xml:space="preserve">. Given the </w:t>
      </w:r>
      <w:r w:rsidR="008150F8" w:rsidRPr="007406B5">
        <w:rPr>
          <w:rFonts w:ascii="Times New Roman" w:hAnsi="Times New Roman"/>
        </w:rPr>
        <w:t xml:space="preserve">content </w:t>
      </w:r>
      <w:r w:rsidR="008117B8" w:rsidRPr="007406B5">
        <w:rPr>
          <w:rFonts w:ascii="Times New Roman" w:hAnsi="Times New Roman"/>
        </w:rPr>
        <w:t xml:space="preserve">of those State and national </w:t>
      </w:r>
      <w:r w:rsidR="00594800" w:rsidRPr="007406B5">
        <w:rPr>
          <w:rFonts w:ascii="Times New Roman" w:hAnsi="Times New Roman"/>
        </w:rPr>
        <w:t xml:space="preserve">agreements and </w:t>
      </w:r>
      <w:r w:rsidR="008117B8" w:rsidRPr="007406B5">
        <w:rPr>
          <w:rFonts w:ascii="Times New Roman" w:hAnsi="Times New Roman"/>
        </w:rPr>
        <w:t>policies</w:t>
      </w:r>
      <w:r w:rsidR="00CE34BF" w:rsidRPr="007406B5">
        <w:rPr>
          <w:rFonts w:ascii="Times New Roman" w:hAnsi="Times New Roman"/>
        </w:rPr>
        <w:t xml:space="preserve">, it was appropriate for the Commission to explain their operation in the context of Australia's international commitments. </w:t>
      </w:r>
      <w:r w:rsidR="008150F8" w:rsidRPr="007406B5">
        <w:rPr>
          <w:rFonts w:ascii="Times New Roman" w:hAnsi="Times New Roman"/>
        </w:rPr>
        <w:t xml:space="preserve">The Commission's point was not that the operation of these agreements and policies made </w:t>
      </w:r>
      <w:r w:rsidR="001D19D6" w:rsidRPr="007406B5">
        <w:rPr>
          <w:rFonts w:ascii="Times New Roman" w:hAnsi="Times New Roman"/>
        </w:rPr>
        <w:t>s</w:t>
      </w:r>
      <w:r w:rsidR="008150F8" w:rsidRPr="007406B5">
        <w:rPr>
          <w:rFonts w:ascii="Times New Roman" w:hAnsi="Times New Roman"/>
        </w:rPr>
        <w:t xml:space="preserve"> 2.20(1)(c) irrelevant. The </w:t>
      </w:r>
      <w:r w:rsidR="00366F35" w:rsidRPr="007406B5">
        <w:rPr>
          <w:rFonts w:ascii="Times New Roman" w:hAnsi="Times New Roman"/>
        </w:rPr>
        <w:t xml:space="preserve">proper </w:t>
      </w:r>
      <w:r w:rsidR="00D92209" w:rsidRPr="007406B5">
        <w:rPr>
          <w:rFonts w:ascii="Times New Roman" w:hAnsi="Times New Roman"/>
        </w:rPr>
        <w:t xml:space="preserve">inference is that the </w:t>
      </w:r>
      <w:r w:rsidR="008150F8" w:rsidRPr="007406B5">
        <w:rPr>
          <w:rFonts w:ascii="Times New Roman" w:hAnsi="Times New Roman"/>
        </w:rPr>
        <w:t>Commission's point was that, in the context of these agreements and policies</w:t>
      </w:r>
      <w:r w:rsidR="00097DB1" w:rsidRPr="007406B5">
        <w:rPr>
          <w:rFonts w:ascii="Times New Roman" w:hAnsi="Times New Roman"/>
        </w:rPr>
        <w:t>,</w:t>
      </w:r>
      <w:r w:rsidR="008150F8" w:rsidRPr="007406B5">
        <w:rPr>
          <w:rFonts w:ascii="Times New Roman" w:hAnsi="Times New Roman"/>
        </w:rPr>
        <w:t xml:space="preserve"> </w:t>
      </w:r>
      <w:r w:rsidR="00055C77" w:rsidRPr="007406B5">
        <w:rPr>
          <w:rFonts w:ascii="Times New Roman" w:hAnsi="Times New Roman"/>
        </w:rPr>
        <w:t xml:space="preserve">which </w:t>
      </w:r>
      <w:r w:rsidR="002E3171" w:rsidRPr="007406B5">
        <w:rPr>
          <w:rFonts w:ascii="Times New Roman" w:hAnsi="Times New Roman"/>
        </w:rPr>
        <w:t xml:space="preserve">focus on </w:t>
      </w:r>
      <w:r w:rsidR="00055C77" w:rsidRPr="007406B5">
        <w:rPr>
          <w:rFonts w:ascii="Times New Roman" w:hAnsi="Times New Roman"/>
        </w:rPr>
        <w:t xml:space="preserve">global </w:t>
      </w:r>
      <w:r w:rsidR="002E3171" w:rsidRPr="007406B5">
        <w:rPr>
          <w:rFonts w:ascii="Times New Roman" w:hAnsi="Times New Roman"/>
        </w:rPr>
        <w:t xml:space="preserve">co-operation to achieve reductions in </w:t>
      </w:r>
      <w:r w:rsidR="00055C77" w:rsidRPr="007406B5">
        <w:rPr>
          <w:rFonts w:ascii="Times New Roman" w:hAnsi="Times New Roman"/>
        </w:rPr>
        <w:t xml:space="preserve">global </w:t>
      </w:r>
      <w:r w:rsidR="002E3171" w:rsidRPr="007406B5">
        <w:rPr>
          <w:rFonts w:ascii="Times New Roman" w:hAnsi="Times New Roman"/>
        </w:rPr>
        <w:t>greenhouse gas emissions</w:t>
      </w:r>
      <w:r w:rsidR="00D92209" w:rsidRPr="007406B5">
        <w:rPr>
          <w:rFonts w:ascii="Times New Roman" w:hAnsi="Times New Roman"/>
        </w:rPr>
        <w:t xml:space="preserve">, </w:t>
      </w:r>
      <w:r w:rsidR="0097048B" w:rsidRPr="007406B5">
        <w:rPr>
          <w:rFonts w:ascii="Times New Roman" w:hAnsi="Times New Roman"/>
        </w:rPr>
        <w:t>it was satisfied that the imposition of conditions regulating scope</w:t>
      </w:r>
      <w:r w:rsidR="00C37062" w:rsidRPr="007406B5">
        <w:rPr>
          <w:rFonts w:ascii="Times New Roman" w:hAnsi="Times New Roman"/>
        </w:rPr>
        <w:t> </w:t>
      </w:r>
      <w:r w:rsidR="0097048B" w:rsidRPr="007406B5">
        <w:rPr>
          <w:rFonts w:ascii="Times New Roman" w:hAnsi="Times New Roman"/>
        </w:rPr>
        <w:t xml:space="preserve">1 and 2 </w:t>
      </w:r>
      <w:r w:rsidR="00CE201F" w:rsidRPr="007406B5">
        <w:rPr>
          <w:rFonts w:ascii="Times New Roman" w:hAnsi="Times New Roman"/>
        </w:rPr>
        <w:t xml:space="preserve">greenhouse gas </w:t>
      </w:r>
      <w:r w:rsidR="0097048B" w:rsidRPr="007406B5">
        <w:rPr>
          <w:rFonts w:ascii="Times New Roman" w:hAnsi="Times New Roman"/>
        </w:rPr>
        <w:t xml:space="preserve">emissions </w:t>
      </w:r>
      <w:r w:rsidR="009D1CED" w:rsidRPr="007406B5">
        <w:rPr>
          <w:rFonts w:ascii="Times New Roman" w:hAnsi="Times New Roman"/>
        </w:rPr>
        <w:t xml:space="preserve">appropriately discharged its function of considering </w:t>
      </w:r>
      <w:r w:rsidR="0089795B" w:rsidRPr="007406B5">
        <w:rPr>
          <w:rFonts w:ascii="Times New Roman" w:hAnsi="Times New Roman"/>
        </w:rPr>
        <w:t>conditions to ensure that all greenhouse gas emissions (including scope</w:t>
      </w:r>
      <w:r w:rsidR="00C37062" w:rsidRPr="007406B5">
        <w:rPr>
          <w:rFonts w:ascii="Times New Roman" w:hAnsi="Times New Roman"/>
        </w:rPr>
        <w:t> </w:t>
      </w:r>
      <w:r w:rsidR="0089795B" w:rsidRPr="007406B5">
        <w:rPr>
          <w:rFonts w:ascii="Times New Roman" w:hAnsi="Times New Roman"/>
        </w:rPr>
        <w:t xml:space="preserve">3 emissions) of the development are minimised to the greatest extent practicable. </w:t>
      </w:r>
      <w:r w:rsidR="005632E0" w:rsidRPr="007406B5">
        <w:rPr>
          <w:rFonts w:ascii="Times New Roman" w:hAnsi="Times New Roman"/>
        </w:rPr>
        <w:t>By this means</w:t>
      </w:r>
      <w:r w:rsidR="00DD766F" w:rsidRPr="007406B5">
        <w:rPr>
          <w:rFonts w:ascii="Times New Roman" w:hAnsi="Times New Roman"/>
        </w:rPr>
        <w:t>,</w:t>
      </w:r>
      <w:r w:rsidR="005632E0" w:rsidRPr="007406B5">
        <w:rPr>
          <w:rFonts w:ascii="Times New Roman" w:hAnsi="Times New Roman"/>
        </w:rPr>
        <w:t xml:space="preserve"> the Commission also considered "whether or not the consent should be issued subject to conditions aimed at ensuring that the development is undertaken in an environmentally responsible manner</w:t>
      </w:r>
      <w:r w:rsidR="007A208F" w:rsidRPr="007406B5">
        <w:rPr>
          <w:rFonts w:ascii="Times New Roman" w:hAnsi="Times New Roman"/>
        </w:rPr>
        <w:t>"</w:t>
      </w:r>
      <w:r w:rsidR="005632E0" w:rsidRPr="007406B5">
        <w:rPr>
          <w:rFonts w:ascii="Times New Roman" w:hAnsi="Times New Roman"/>
        </w:rPr>
        <w:t>.</w:t>
      </w:r>
    </w:p>
    <w:p w14:paraId="2016CAC0" w14:textId="0DF7D619" w:rsidR="005632E0" w:rsidRPr="007406B5" w:rsidRDefault="005632E0" w:rsidP="007406B5">
      <w:pPr>
        <w:pStyle w:val="FixListStyle"/>
        <w:spacing w:after="260" w:line="280" w:lineRule="exact"/>
        <w:ind w:right="0"/>
        <w:jc w:val="both"/>
        <w:rPr>
          <w:rFonts w:ascii="Times New Roman" w:hAnsi="Times New Roman"/>
        </w:rPr>
      </w:pPr>
      <w:r w:rsidRPr="007406B5">
        <w:rPr>
          <w:rFonts w:ascii="Times New Roman" w:hAnsi="Times New Roman"/>
        </w:rPr>
        <w:tab/>
      </w:r>
      <w:r w:rsidR="00E43DC5" w:rsidRPr="007406B5">
        <w:rPr>
          <w:rFonts w:ascii="Times New Roman" w:hAnsi="Times New Roman"/>
        </w:rPr>
        <w:t>T</w:t>
      </w:r>
      <w:r w:rsidRPr="007406B5">
        <w:rPr>
          <w:rFonts w:ascii="Times New Roman" w:hAnsi="Times New Roman"/>
        </w:rPr>
        <w:t xml:space="preserve">hat this is the </w:t>
      </w:r>
      <w:r w:rsidR="001E49C6" w:rsidRPr="007406B5">
        <w:rPr>
          <w:rFonts w:ascii="Times New Roman" w:hAnsi="Times New Roman"/>
        </w:rPr>
        <w:t xml:space="preserve">proper </w:t>
      </w:r>
      <w:r w:rsidR="00E43DC5" w:rsidRPr="007406B5">
        <w:rPr>
          <w:rFonts w:ascii="Times New Roman" w:hAnsi="Times New Roman"/>
        </w:rPr>
        <w:t>inference</w:t>
      </w:r>
      <w:r w:rsidRPr="007406B5">
        <w:rPr>
          <w:rFonts w:ascii="Times New Roman" w:hAnsi="Times New Roman"/>
        </w:rPr>
        <w:t xml:space="preserve"> i</w:t>
      </w:r>
      <w:r w:rsidR="00E43DC5" w:rsidRPr="007406B5">
        <w:rPr>
          <w:rFonts w:ascii="Times New Roman" w:hAnsi="Times New Roman"/>
        </w:rPr>
        <w:t xml:space="preserve">s confirmed by the Commission's repeated references </w:t>
      </w:r>
      <w:r w:rsidR="00257F57" w:rsidRPr="007406B5">
        <w:rPr>
          <w:rFonts w:ascii="Times New Roman" w:hAnsi="Times New Roman"/>
        </w:rPr>
        <w:t xml:space="preserve">in the extract above from its reasons </w:t>
      </w:r>
      <w:r w:rsidR="00E43DC5" w:rsidRPr="007406B5">
        <w:rPr>
          <w:rFonts w:ascii="Times New Roman" w:hAnsi="Times New Roman"/>
        </w:rPr>
        <w:t xml:space="preserve">to </w:t>
      </w:r>
      <w:r w:rsidR="00A03284" w:rsidRPr="007406B5">
        <w:rPr>
          <w:rFonts w:ascii="Times New Roman" w:hAnsi="Times New Roman"/>
        </w:rPr>
        <w:t>s</w:t>
      </w:r>
      <w:r w:rsidR="00E43DC5" w:rsidRPr="007406B5">
        <w:rPr>
          <w:rFonts w:ascii="Times New Roman" w:hAnsi="Times New Roman"/>
        </w:rPr>
        <w:t xml:space="preserve"> 2.20 of the Resources SEPP </w:t>
      </w:r>
      <w:r w:rsidR="00257F57" w:rsidRPr="007406B5">
        <w:rPr>
          <w:rFonts w:ascii="Times New Roman" w:hAnsi="Times New Roman"/>
        </w:rPr>
        <w:t xml:space="preserve">and its </w:t>
      </w:r>
      <w:r w:rsidR="00082601" w:rsidRPr="007406B5">
        <w:rPr>
          <w:rFonts w:ascii="Times New Roman" w:hAnsi="Times New Roman"/>
        </w:rPr>
        <w:t>proposition</w:t>
      </w:r>
      <w:r w:rsidR="00EB5AF0" w:rsidRPr="007406B5">
        <w:rPr>
          <w:rFonts w:ascii="Times New Roman" w:hAnsi="Times New Roman"/>
        </w:rPr>
        <w:t>s</w:t>
      </w:r>
      <w:r w:rsidR="00082601" w:rsidRPr="007406B5">
        <w:rPr>
          <w:rFonts w:ascii="Times New Roman" w:hAnsi="Times New Roman"/>
        </w:rPr>
        <w:t xml:space="preserve"> that</w:t>
      </w:r>
      <w:r w:rsidR="003F2AC7" w:rsidRPr="007406B5">
        <w:rPr>
          <w:rFonts w:ascii="Times New Roman" w:hAnsi="Times New Roman"/>
        </w:rPr>
        <w:t>: (i) </w:t>
      </w:r>
      <w:r w:rsidR="00297B02" w:rsidRPr="007406B5">
        <w:rPr>
          <w:rFonts w:ascii="Times New Roman" w:hAnsi="Times New Roman"/>
        </w:rPr>
        <w:t>"[</w:t>
      </w:r>
      <w:r w:rsidR="003F2AC7" w:rsidRPr="007406B5">
        <w:rPr>
          <w:rFonts w:ascii="Times New Roman" w:hAnsi="Times New Roman"/>
        </w:rPr>
        <w:t>t</w:t>
      </w:r>
      <w:r w:rsidR="00297B02" w:rsidRPr="007406B5">
        <w:rPr>
          <w:rFonts w:ascii="Times New Roman" w:hAnsi="Times New Roman"/>
        </w:rPr>
        <w:t>]</w:t>
      </w:r>
      <w:r w:rsidR="003F2AC7" w:rsidRPr="007406B5">
        <w:rPr>
          <w:rFonts w:ascii="Times New Roman" w:hAnsi="Times New Roman"/>
        </w:rPr>
        <w:t xml:space="preserve">he Commission has considered the matters in </w:t>
      </w:r>
      <w:r w:rsidR="007846E8" w:rsidRPr="007406B5">
        <w:rPr>
          <w:rFonts w:ascii="Times New Roman" w:hAnsi="Times New Roman"/>
        </w:rPr>
        <w:lastRenderedPageBreak/>
        <w:t>[ss]</w:t>
      </w:r>
      <w:r w:rsidR="00240A07">
        <w:rPr>
          <w:rFonts w:ascii="Times New Roman" w:hAnsi="Times New Roman"/>
        </w:rPr>
        <w:t> </w:t>
      </w:r>
      <w:r w:rsidR="003F2AC7" w:rsidRPr="007406B5">
        <w:rPr>
          <w:rFonts w:ascii="Times New Roman" w:hAnsi="Times New Roman"/>
        </w:rPr>
        <w:t>2.20(1) and 2.20(2) of the Resources SEPP"; (ii) </w:t>
      </w:r>
      <w:r w:rsidR="00984F38" w:rsidRPr="007406B5">
        <w:rPr>
          <w:rFonts w:ascii="Times New Roman" w:hAnsi="Times New Roman"/>
        </w:rPr>
        <w:t>"[i]nstead of prescribing the refusal of development for projects such as the Project under consideration</w:t>
      </w:r>
      <w:r w:rsidR="0015228E" w:rsidRPr="007406B5">
        <w:rPr>
          <w:rFonts w:ascii="Times New Roman" w:hAnsi="Times New Roman"/>
        </w:rPr>
        <w:t xml:space="preserve">"; </w:t>
      </w:r>
      <w:r w:rsidR="00696142" w:rsidRPr="007406B5">
        <w:rPr>
          <w:rFonts w:ascii="Times New Roman" w:hAnsi="Times New Roman"/>
        </w:rPr>
        <w:t xml:space="preserve">and </w:t>
      </w:r>
      <w:r w:rsidR="0015228E" w:rsidRPr="007406B5">
        <w:rPr>
          <w:rFonts w:ascii="Times New Roman" w:hAnsi="Times New Roman"/>
        </w:rPr>
        <w:t>(iii) </w:t>
      </w:r>
      <w:r w:rsidR="00696142" w:rsidRPr="007406B5">
        <w:rPr>
          <w:rFonts w:ascii="Times New Roman" w:hAnsi="Times New Roman"/>
        </w:rPr>
        <w:t xml:space="preserve">"[s]ubject to the imposed conditions, the Commission is satisfied that the Project can achieve the requirements of the Resources SEPP". </w:t>
      </w:r>
      <w:r w:rsidR="009C0039" w:rsidRPr="007406B5">
        <w:rPr>
          <w:rFonts w:ascii="Times New Roman" w:hAnsi="Times New Roman"/>
        </w:rPr>
        <w:t>T</w:t>
      </w:r>
      <w:r w:rsidR="00696142" w:rsidRPr="007406B5">
        <w:rPr>
          <w:rFonts w:ascii="Times New Roman" w:hAnsi="Times New Roman"/>
        </w:rPr>
        <w:t>hat is, in the context of the applicable in</w:t>
      </w:r>
      <w:r w:rsidR="00731E70" w:rsidRPr="007406B5">
        <w:rPr>
          <w:rFonts w:ascii="Times New Roman" w:hAnsi="Times New Roman"/>
        </w:rPr>
        <w:t xml:space="preserve">ternational, national and State </w:t>
      </w:r>
      <w:r w:rsidR="009C0039" w:rsidRPr="007406B5" w:rsidDel="00F26407">
        <w:rPr>
          <w:rFonts w:ascii="Times New Roman" w:hAnsi="Times New Roman"/>
        </w:rPr>
        <w:t>agreements and policies</w:t>
      </w:r>
      <w:r w:rsidR="00731E70" w:rsidRPr="007406B5">
        <w:rPr>
          <w:rFonts w:ascii="Times New Roman" w:hAnsi="Times New Roman"/>
        </w:rPr>
        <w:t>, the Commission considered that the conditions it was imposing with respect to scope</w:t>
      </w:r>
      <w:r w:rsidR="00C37062" w:rsidRPr="007406B5">
        <w:rPr>
          <w:rFonts w:ascii="Times New Roman" w:hAnsi="Times New Roman"/>
        </w:rPr>
        <w:t> </w:t>
      </w:r>
      <w:r w:rsidR="00731E70" w:rsidRPr="007406B5">
        <w:rPr>
          <w:rFonts w:ascii="Times New Roman" w:hAnsi="Times New Roman"/>
        </w:rPr>
        <w:t xml:space="preserve">1 and 2 </w:t>
      </w:r>
      <w:r w:rsidR="0090730E" w:rsidRPr="007406B5">
        <w:rPr>
          <w:rFonts w:ascii="Times New Roman" w:hAnsi="Times New Roman"/>
        </w:rPr>
        <w:t xml:space="preserve">greenhouse gas </w:t>
      </w:r>
      <w:r w:rsidR="00731E70" w:rsidRPr="007406B5">
        <w:rPr>
          <w:rFonts w:ascii="Times New Roman" w:hAnsi="Times New Roman"/>
        </w:rPr>
        <w:t xml:space="preserve">emissions </w:t>
      </w:r>
      <w:r w:rsidR="009C0039" w:rsidRPr="007406B5">
        <w:rPr>
          <w:rFonts w:ascii="Times New Roman" w:hAnsi="Times New Roman"/>
        </w:rPr>
        <w:t>ensure</w:t>
      </w:r>
      <w:r w:rsidR="0090730E" w:rsidRPr="007406B5">
        <w:rPr>
          <w:rFonts w:ascii="Times New Roman" w:hAnsi="Times New Roman"/>
        </w:rPr>
        <w:t>d</w:t>
      </w:r>
      <w:r w:rsidR="009C0039" w:rsidRPr="007406B5">
        <w:rPr>
          <w:rFonts w:ascii="Times New Roman" w:hAnsi="Times New Roman"/>
        </w:rPr>
        <w:t xml:space="preserve"> that </w:t>
      </w:r>
      <w:r w:rsidR="00566DAA" w:rsidRPr="007406B5">
        <w:rPr>
          <w:rFonts w:ascii="Times New Roman" w:hAnsi="Times New Roman"/>
        </w:rPr>
        <w:t xml:space="preserve">all </w:t>
      </w:r>
      <w:r w:rsidR="009C0039" w:rsidRPr="007406B5">
        <w:rPr>
          <w:rFonts w:ascii="Times New Roman" w:hAnsi="Times New Roman"/>
        </w:rPr>
        <w:t xml:space="preserve">greenhouse gas emissions of the development </w:t>
      </w:r>
      <w:r w:rsidR="00B6270A" w:rsidRPr="007406B5">
        <w:rPr>
          <w:rFonts w:ascii="Times New Roman" w:hAnsi="Times New Roman"/>
        </w:rPr>
        <w:t xml:space="preserve">(including scope 3 emissions) </w:t>
      </w:r>
      <w:r w:rsidR="009C0039" w:rsidRPr="007406B5">
        <w:rPr>
          <w:rFonts w:ascii="Times New Roman" w:hAnsi="Times New Roman"/>
        </w:rPr>
        <w:t xml:space="preserve">would be minimised to the greatest extent practicable. Within this conceptual framework, the Commission's detailed consideration of the applicable international, national and State </w:t>
      </w:r>
      <w:r w:rsidR="009C0039" w:rsidRPr="007406B5" w:rsidDel="00CF60B2">
        <w:rPr>
          <w:rFonts w:ascii="Times New Roman" w:hAnsi="Times New Roman"/>
        </w:rPr>
        <w:t>agreements and policies</w:t>
      </w:r>
      <w:r w:rsidR="009C0039" w:rsidRPr="007406B5">
        <w:rPr>
          <w:rFonts w:ascii="Times New Roman" w:hAnsi="Times New Roman"/>
        </w:rPr>
        <w:t xml:space="preserve"> and of the imposition of conditions to minimise scope</w:t>
      </w:r>
      <w:r w:rsidR="00C37062" w:rsidRPr="007406B5">
        <w:rPr>
          <w:rFonts w:ascii="Times New Roman" w:hAnsi="Times New Roman"/>
        </w:rPr>
        <w:t> </w:t>
      </w:r>
      <w:r w:rsidR="009C0039" w:rsidRPr="007406B5">
        <w:rPr>
          <w:rFonts w:ascii="Times New Roman" w:hAnsi="Times New Roman"/>
        </w:rPr>
        <w:t xml:space="preserve">1 and 2 emissions is not </w:t>
      </w:r>
      <w:r w:rsidR="00337EDA" w:rsidRPr="007406B5">
        <w:rPr>
          <w:rFonts w:ascii="Times New Roman" w:hAnsi="Times New Roman"/>
        </w:rPr>
        <w:t>conveying a failure to consider the minimisation of scope</w:t>
      </w:r>
      <w:r w:rsidR="00C37062" w:rsidRPr="007406B5">
        <w:rPr>
          <w:rFonts w:ascii="Times New Roman" w:hAnsi="Times New Roman"/>
        </w:rPr>
        <w:t> </w:t>
      </w:r>
      <w:r w:rsidR="00337EDA" w:rsidRPr="007406B5">
        <w:rPr>
          <w:rFonts w:ascii="Times New Roman" w:hAnsi="Times New Roman"/>
        </w:rPr>
        <w:t xml:space="preserve">3 emissions. </w:t>
      </w:r>
      <w:r w:rsidR="00363207" w:rsidRPr="007406B5">
        <w:rPr>
          <w:rFonts w:ascii="Times New Roman" w:hAnsi="Times New Roman"/>
        </w:rPr>
        <w:t xml:space="preserve">The Commission's entire </w:t>
      </w:r>
      <w:r w:rsidR="00337EDA" w:rsidRPr="007406B5">
        <w:rPr>
          <w:rFonts w:ascii="Times New Roman" w:hAnsi="Times New Roman"/>
        </w:rPr>
        <w:t xml:space="preserve">consideration </w:t>
      </w:r>
      <w:r w:rsidR="00363207" w:rsidRPr="007406B5">
        <w:rPr>
          <w:rFonts w:ascii="Times New Roman" w:hAnsi="Times New Roman"/>
        </w:rPr>
        <w:t xml:space="preserve">of greenhouse gas emissions of the development </w:t>
      </w:r>
      <w:r w:rsidR="00694D50" w:rsidRPr="007406B5">
        <w:rPr>
          <w:rFonts w:ascii="Times New Roman" w:hAnsi="Times New Roman"/>
        </w:rPr>
        <w:t xml:space="preserve">was </w:t>
      </w:r>
      <w:r w:rsidR="00337EDA" w:rsidRPr="007406B5">
        <w:rPr>
          <w:rFonts w:ascii="Times New Roman" w:hAnsi="Times New Roman"/>
        </w:rPr>
        <w:t>directed to the Commission complying with its duty to consider imposing conditions to ensure that all greenhouse gas emissions of the development are minimised.</w:t>
      </w:r>
    </w:p>
    <w:p w14:paraId="6B4D6950" w14:textId="0E06E5A5" w:rsidR="00337EDA" w:rsidRPr="007406B5" w:rsidRDefault="00337EDA" w:rsidP="007406B5">
      <w:pPr>
        <w:pStyle w:val="FixListStyle"/>
        <w:spacing w:after="260" w:line="280" w:lineRule="exact"/>
        <w:ind w:right="0"/>
        <w:jc w:val="both"/>
        <w:rPr>
          <w:rFonts w:ascii="Times New Roman" w:hAnsi="Times New Roman"/>
        </w:rPr>
      </w:pPr>
      <w:r w:rsidRPr="007406B5">
        <w:rPr>
          <w:rFonts w:ascii="Times New Roman" w:hAnsi="Times New Roman"/>
        </w:rPr>
        <w:tab/>
      </w:r>
      <w:r w:rsidR="003858E4" w:rsidRPr="007406B5">
        <w:rPr>
          <w:rFonts w:ascii="Times New Roman" w:hAnsi="Times New Roman"/>
        </w:rPr>
        <w:t>For these reason</w:t>
      </w:r>
      <w:r w:rsidR="003C53A9" w:rsidRPr="007406B5">
        <w:rPr>
          <w:rFonts w:ascii="Times New Roman" w:hAnsi="Times New Roman"/>
        </w:rPr>
        <w:t>s,</w:t>
      </w:r>
      <w:r w:rsidR="003858E4" w:rsidRPr="007406B5">
        <w:rPr>
          <w:rFonts w:ascii="Times New Roman" w:hAnsi="Times New Roman"/>
        </w:rPr>
        <w:t xml:space="preserve"> this ground of DAMSHEG's notice of contention must also be rejected.</w:t>
      </w:r>
    </w:p>
    <w:p w14:paraId="5A1FDC27" w14:textId="78389E17" w:rsidR="003858E4" w:rsidRPr="007406B5" w:rsidRDefault="003858E4" w:rsidP="007406B5">
      <w:pPr>
        <w:pStyle w:val="HeadingL1"/>
        <w:spacing w:after="260" w:line="280" w:lineRule="exact"/>
        <w:ind w:right="0"/>
        <w:jc w:val="both"/>
        <w:rPr>
          <w:rFonts w:ascii="Times New Roman" w:hAnsi="Times New Roman"/>
        </w:rPr>
      </w:pPr>
      <w:r w:rsidRPr="007406B5">
        <w:rPr>
          <w:rFonts w:ascii="Times New Roman" w:hAnsi="Times New Roman"/>
        </w:rPr>
        <w:t>Conclusion and orders</w:t>
      </w:r>
    </w:p>
    <w:p w14:paraId="71A67459" w14:textId="5A2FAF29" w:rsidR="003858E4" w:rsidRPr="007406B5" w:rsidRDefault="003858E4" w:rsidP="007406B5">
      <w:pPr>
        <w:pStyle w:val="FixListStyle"/>
        <w:spacing w:after="260" w:line="280" w:lineRule="exact"/>
        <w:ind w:right="0"/>
        <w:jc w:val="both"/>
        <w:rPr>
          <w:rFonts w:ascii="Times New Roman" w:hAnsi="Times New Roman"/>
        </w:rPr>
      </w:pPr>
      <w:r w:rsidRPr="007406B5">
        <w:rPr>
          <w:rFonts w:ascii="Times New Roman" w:hAnsi="Times New Roman"/>
        </w:rPr>
        <w:tab/>
        <w:t xml:space="preserve">The Court of Appeal misconstrued and therefore misapplied s 4.15(1)(b) of the EPA Act. The Court of Appeal's orders </w:t>
      </w:r>
      <w:r w:rsidR="00ED75A0" w:rsidRPr="007406B5">
        <w:rPr>
          <w:rFonts w:ascii="Times New Roman" w:hAnsi="Times New Roman"/>
        </w:rPr>
        <w:t>allowing the appeal, accordingly, involved error. The orders that are to be made are:</w:t>
      </w:r>
    </w:p>
    <w:p w14:paraId="0FA55435" w14:textId="609886D2" w:rsidR="00ED75A0" w:rsidRPr="007406B5" w:rsidRDefault="00ED75A0" w:rsidP="007406B5">
      <w:pPr>
        <w:pStyle w:val="NormalBody"/>
        <w:spacing w:after="260" w:line="280" w:lineRule="exact"/>
        <w:ind w:right="0"/>
        <w:jc w:val="both"/>
        <w:rPr>
          <w:rFonts w:ascii="Times New Roman" w:hAnsi="Times New Roman"/>
        </w:rPr>
      </w:pPr>
      <w:r w:rsidRPr="007406B5">
        <w:rPr>
          <w:rFonts w:ascii="Times New Roman" w:hAnsi="Times New Roman"/>
        </w:rPr>
        <w:t>(1)</w:t>
      </w:r>
      <w:r w:rsidRPr="007406B5">
        <w:rPr>
          <w:rFonts w:ascii="Times New Roman" w:hAnsi="Times New Roman"/>
        </w:rPr>
        <w:tab/>
        <w:t>The appeal is allowed.</w:t>
      </w:r>
    </w:p>
    <w:p w14:paraId="7272EFB7" w14:textId="7A73C7C5" w:rsidR="00ED75A0" w:rsidRPr="007406B5" w:rsidRDefault="00ED75A0" w:rsidP="007406B5">
      <w:pPr>
        <w:pStyle w:val="NormalBody"/>
        <w:spacing w:after="260" w:line="280" w:lineRule="exact"/>
        <w:ind w:left="720" w:right="0" w:hanging="720"/>
        <w:jc w:val="both"/>
        <w:rPr>
          <w:rFonts w:ascii="Times New Roman" w:hAnsi="Times New Roman"/>
        </w:rPr>
      </w:pPr>
      <w:r w:rsidRPr="007406B5">
        <w:rPr>
          <w:rFonts w:ascii="Times New Roman" w:hAnsi="Times New Roman"/>
        </w:rPr>
        <w:t>(2)</w:t>
      </w:r>
      <w:r w:rsidRPr="007406B5">
        <w:rPr>
          <w:rFonts w:ascii="Times New Roman" w:hAnsi="Times New Roman"/>
        </w:rPr>
        <w:tab/>
      </w:r>
      <w:r w:rsidR="00C5263A" w:rsidRPr="007406B5">
        <w:rPr>
          <w:rFonts w:ascii="Times New Roman" w:hAnsi="Times New Roman"/>
        </w:rPr>
        <w:t>T</w:t>
      </w:r>
      <w:r w:rsidR="00487788" w:rsidRPr="007406B5">
        <w:rPr>
          <w:rFonts w:ascii="Times New Roman" w:hAnsi="Times New Roman"/>
        </w:rPr>
        <w:t xml:space="preserve">he orders of the </w:t>
      </w:r>
      <w:r w:rsidR="003A60F1" w:rsidRPr="007406B5">
        <w:rPr>
          <w:rFonts w:ascii="Times New Roman" w:hAnsi="Times New Roman"/>
        </w:rPr>
        <w:t>Court</w:t>
      </w:r>
      <w:r w:rsidR="00487788" w:rsidRPr="007406B5">
        <w:rPr>
          <w:rFonts w:ascii="Times New Roman" w:hAnsi="Times New Roman"/>
        </w:rPr>
        <w:t xml:space="preserve"> of </w:t>
      </w:r>
      <w:r w:rsidR="003A60F1" w:rsidRPr="007406B5">
        <w:rPr>
          <w:rFonts w:ascii="Times New Roman" w:hAnsi="Times New Roman"/>
        </w:rPr>
        <w:t>Appeal</w:t>
      </w:r>
      <w:r w:rsidR="00487788" w:rsidRPr="007406B5">
        <w:rPr>
          <w:rFonts w:ascii="Times New Roman" w:hAnsi="Times New Roman"/>
        </w:rPr>
        <w:t xml:space="preserve"> made on </w:t>
      </w:r>
      <w:r w:rsidR="003A60F1" w:rsidRPr="007406B5">
        <w:rPr>
          <w:rFonts w:ascii="Times New Roman" w:hAnsi="Times New Roman"/>
        </w:rPr>
        <w:t>24</w:t>
      </w:r>
      <w:r w:rsidR="0015689C" w:rsidRPr="007406B5">
        <w:rPr>
          <w:rFonts w:ascii="Times New Roman" w:hAnsi="Times New Roman"/>
        </w:rPr>
        <w:t> </w:t>
      </w:r>
      <w:r w:rsidR="003A60F1" w:rsidRPr="007406B5">
        <w:rPr>
          <w:rFonts w:ascii="Times New Roman" w:hAnsi="Times New Roman"/>
        </w:rPr>
        <w:t xml:space="preserve">July 2025 be set aside and in lieu </w:t>
      </w:r>
      <w:r w:rsidR="00C5263A" w:rsidRPr="007406B5">
        <w:rPr>
          <w:rFonts w:ascii="Times New Roman" w:hAnsi="Times New Roman"/>
        </w:rPr>
        <w:t xml:space="preserve">thereof </w:t>
      </w:r>
      <w:r w:rsidR="003A60F1" w:rsidRPr="007406B5">
        <w:rPr>
          <w:rFonts w:ascii="Times New Roman" w:hAnsi="Times New Roman"/>
        </w:rPr>
        <w:t>it be ordered that the appeal to that Court be dismissed</w:t>
      </w:r>
      <w:r w:rsidR="00FA68F0" w:rsidRPr="007406B5">
        <w:rPr>
          <w:rFonts w:ascii="Times New Roman" w:hAnsi="Times New Roman"/>
        </w:rPr>
        <w:t xml:space="preserve"> with costs</w:t>
      </w:r>
      <w:r w:rsidR="003A60F1" w:rsidRPr="007406B5">
        <w:rPr>
          <w:rFonts w:ascii="Times New Roman" w:hAnsi="Times New Roman"/>
        </w:rPr>
        <w:t>.</w:t>
      </w:r>
    </w:p>
    <w:p w14:paraId="0DDF38D7" w14:textId="77777777" w:rsidR="004D2653" w:rsidRDefault="003A60F1" w:rsidP="007406B5">
      <w:pPr>
        <w:pStyle w:val="NormalBody"/>
        <w:spacing w:after="260" w:line="280" w:lineRule="exact"/>
        <w:ind w:left="720" w:right="0" w:hanging="720"/>
        <w:jc w:val="both"/>
        <w:rPr>
          <w:rFonts w:ascii="Times New Roman" w:hAnsi="Times New Roman"/>
        </w:rPr>
      </w:pPr>
      <w:r w:rsidRPr="007406B5">
        <w:rPr>
          <w:rFonts w:ascii="Times New Roman" w:hAnsi="Times New Roman"/>
        </w:rPr>
        <w:t>(3)</w:t>
      </w:r>
      <w:r w:rsidRPr="007406B5">
        <w:rPr>
          <w:rFonts w:ascii="Times New Roman" w:hAnsi="Times New Roman"/>
        </w:rPr>
        <w:tab/>
        <w:t xml:space="preserve">The </w:t>
      </w:r>
      <w:r w:rsidR="00096B6A" w:rsidRPr="007406B5">
        <w:rPr>
          <w:rFonts w:ascii="Times New Roman" w:hAnsi="Times New Roman"/>
        </w:rPr>
        <w:t>first respondent is to pay the costs of the appellant in respect of the appeal to this Court.</w:t>
      </w:r>
    </w:p>
    <w:p w14:paraId="47945736" w14:textId="77777777" w:rsidR="004D2653" w:rsidRDefault="004D2653" w:rsidP="007406B5">
      <w:pPr>
        <w:pStyle w:val="NormalBody"/>
        <w:spacing w:after="260" w:line="280" w:lineRule="exact"/>
        <w:ind w:left="720" w:right="0" w:hanging="720"/>
        <w:jc w:val="both"/>
        <w:rPr>
          <w:rFonts w:ascii="Times New Roman" w:hAnsi="Times New Roman"/>
        </w:rPr>
        <w:sectPr w:rsidR="004D2653" w:rsidSect="00E97682">
          <w:headerReference w:type="even" r:id="rId17"/>
          <w:headerReference w:type="default" r:id="rId18"/>
          <w:footerReference w:type="even" r:id="rId19"/>
          <w:footerReference w:type="default" r:id="rId20"/>
          <w:headerReference w:type="first" r:id="rId21"/>
          <w:footerReference w:type="first" r:id="rId22"/>
          <w:pgSz w:w="11907" w:h="16839" w:code="9"/>
          <w:pgMar w:top="1440" w:right="1701" w:bottom="1984" w:left="1701" w:header="720" w:footer="720" w:gutter="0"/>
          <w:pgNumType w:start="1"/>
          <w:cols w:space="720"/>
          <w:titlePg/>
          <w:docGrid w:linePitch="354"/>
        </w:sectPr>
      </w:pPr>
    </w:p>
    <w:p w14:paraId="5329ED89" w14:textId="77777777" w:rsidR="004D2653" w:rsidRPr="00992F81" w:rsidRDefault="004D2653" w:rsidP="00992F81">
      <w:pPr>
        <w:pStyle w:val="FixListStyle"/>
        <w:tabs>
          <w:tab w:val="clear" w:pos="720"/>
          <w:tab w:val="left" w:pos="0"/>
        </w:tabs>
        <w:spacing w:after="260" w:line="280" w:lineRule="exact"/>
        <w:ind w:right="0"/>
        <w:jc w:val="both"/>
        <w:rPr>
          <w:rFonts w:ascii="Times New Roman" w:hAnsi="Times New Roman"/>
        </w:rPr>
      </w:pPr>
      <w:r w:rsidRPr="00992F81">
        <w:rPr>
          <w:rFonts w:ascii="Times New Roman" w:hAnsi="Times New Roman"/>
        </w:rPr>
        <w:lastRenderedPageBreak/>
        <w:t>GORDON J.   The Mount Pleasant coal mine is an open cut coal mine in the Hunter Valley, New South Wales ("NSW"). The appellant, MACH Energy Australia Pty Ltd ("MACH"), is the owner of the mine. Following public hearings, the second respondent, the Independent Planning Commission of NSW ("the Commission"), approved MACH's application to extend the life of the mine by 22 years and significantly expand its operations.</w:t>
      </w:r>
    </w:p>
    <w:p w14:paraId="0A8A8122" w14:textId="77777777" w:rsidR="004D2653" w:rsidRPr="00992F81" w:rsidRDefault="004D2653" w:rsidP="00992F81">
      <w:pPr>
        <w:pStyle w:val="FixListStyle"/>
        <w:spacing w:after="260" w:line="280" w:lineRule="exact"/>
        <w:ind w:right="0"/>
        <w:jc w:val="both"/>
        <w:rPr>
          <w:rFonts w:ascii="Times New Roman" w:hAnsi="Times New Roman"/>
        </w:rPr>
      </w:pPr>
      <w:r w:rsidRPr="00992F81">
        <w:rPr>
          <w:rFonts w:ascii="Times New Roman" w:hAnsi="Times New Roman"/>
        </w:rPr>
        <w:tab/>
        <w:t>The first respondent, Denman Aberdeen Muswellbrook Scone Healthy Environment Group Inc ("DAMSHEG"), applied for judicial review of that decision. The Land and Environment Court of NSW dismissed that application, but its decision was overturned by the Court of Appeal of the Supreme Court of New South Wales ("the NSWCA").</w:t>
      </w:r>
    </w:p>
    <w:p w14:paraId="7E889917" w14:textId="77777777" w:rsidR="004D2653" w:rsidRPr="00992F81" w:rsidRDefault="004D2653" w:rsidP="00992F81">
      <w:pPr>
        <w:pStyle w:val="FixListStyle"/>
        <w:spacing w:after="260" w:line="280" w:lineRule="exact"/>
        <w:ind w:right="0"/>
        <w:jc w:val="both"/>
        <w:rPr>
          <w:rFonts w:ascii="Times New Roman" w:hAnsi="Times New Roman"/>
        </w:rPr>
      </w:pPr>
      <w:r w:rsidRPr="00992F81">
        <w:rPr>
          <w:rFonts w:ascii="Times New Roman" w:hAnsi="Times New Roman"/>
        </w:rPr>
        <w:tab/>
        <w:t xml:space="preserve">The appeal raises three issues. </w:t>
      </w:r>
    </w:p>
    <w:p w14:paraId="5965F9D8" w14:textId="77777777" w:rsidR="004D2653" w:rsidRPr="00992F81" w:rsidRDefault="004D2653" w:rsidP="00992F81">
      <w:pPr>
        <w:pStyle w:val="FixListStyle"/>
        <w:spacing w:after="260" w:line="280" w:lineRule="exact"/>
        <w:ind w:right="0"/>
        <w:jc w:val="both"/>
        <w:rPr>
          <w:rFonts w:ascii="Times New Roman" w:hAnsi="Times New Roman"/>
        </w:rPr>
      </w:pPr>
      <w:r w:rsidRPr="00992F81">
        <w:rPr>
          <w:rFonts w:ascii="Times New Roman" w:hAnsi="Times New Roman"/>
        </w:rPr>
        <w:tab/>
        <w:t xml:space="preserve">The </w:t>
      </w:r>
      <w:r w:rsidRPr="00992F81">
        <w:rPr>
          <w:rFonts w:ascii="Times New Roman" w:hAnsi="Times New Roman"/>
          <w:i/>
        </w:rPr>
        <w:t>first</w:t>
      </w:r>
      <w:r w:rsidRPr="00992F81">
        <w:rPr>
          <w:rFonts w:ascii="Times New Roman" w:hAnsi="Times New Roman"/>
        </w:rPr>
        <w:t xml:space="preserve"> </w:t>
      </w:r>
      <w:r w:rsidRPr="00992F81">
        <w:rPr>
          <w:rFonts w:ascii="Times New Roman" w:hAnsi="Times New Roman"/>
          <w:i/>
        </w:rPr>
        <w:t>issue</w:t>
      </w:r>
      <w:r w:rsidRPr="00992F81">
        <w:rPr>
          <w:rFonts w:ascii="Times New Roman" w:hAnsi="Times New Roman"/>
        </w:rPr>
        <w:t xml:space="preserve"> is whether the Commission failed to take into consideration the "</w:t>
      </w:r>
      <w:r w:rsidRPr="00992F81">
        <w:rPr>
          <w:rFonts w:ascii="Times New Roman" w:hAnsi="Times New Roman"/>
          <w:shd w:val="clear" w:color="auto" w:fill="FFFFFF" w:themeFill="background1"/>
        </w:rPr>
        <w:t>likely impacts of that development, including environmental impacts on both the natural and</w:t>
      </w:r>
      <w:r w:rsidRPr="00992F81">
        <w:rPr>
          <w:rFonts w:ascii="Times New Roman" w:hAnsi="Times New Roman"/>
        </w:rPr>
        <w:t xml:space="preserve"> built environments, and social and economic impacts in the</w:t>
      </w:r>
      <w:r>
        <w:rPr>
          <w:rFonts w:ascii="Times New Roman" w:hAnsi="Times New Roman"/>
        </w:rPr>
        <w:t> </w:t>
      </w:r>
      <w:r w:rsidRPr="00992F81">
        <w:rPr>
          <w:rFonts w:ascii="Times New Roman" w:hAnsi="Times New Roman"/>
        </w:rPr>
        <w:t xml:space="preserve">locality", as </w:t>
      </w:r>
      <w:r w:rsidRPr="00992F81">
        <w:rPr>
          <w:rFonts w:ascii="Times New Roman" w:hAnsi="Times New Roman"/>
          <w:shd w:val="clear" w:color="auto" w:fill="FFFFFF" w:themeFill="background1"/>
        </w:rPr>
        <w:t xml:space="preserve">required by s 4.15(1)(b) of the </w:t>
      </w:r>
      <w:r w:rsidRPr="00992F81">
        <w:rPr>
          <w:rFonts w:ascii="Times New Roman" w:hAnsi="Times New Roman"/>
          <w:i/>
          <w:iCs/>
        </w:rPr>
        <w:t>Environmental Planning and Assessment Act 1979</w:t>
      </w:r>
      <w:r w:rsidRPr="00992F81">
        <w:rPr>
          <w:rFonts w:ascii="Times New Roman" w:hAnsi="Times New Roman"/>
        </w:rPr>
        <w:t xml:space="preserve"> (NSW)</w:t>
      </w:r>
      <w:r w:rsidRPr="00992F81">
        <w:rPr>
          <w:rFonts w:ascii="Times New Roman" w:hAnsi="Times New Roman"/>
          <w:shd w:val="clear" w:color="auto" w:fill="FFFFFF" w:themeFill="background1"/>
        </w:rPr>
        <w:t xml:space="preserve"> ("the EPA Act</w:t>
      </w:r>
      <w:r w:rsidRPr="00992F81" w:rsidDel="00DA3CEA">
        <w:rPr>
          <w:rFonts w:ascii="Times New Roman" w:hAnsi="Times New Roman"/>
          <w:shd w:val="clear" w:color="auto" w:fill="FFFFFF" w:themeFill="background1"/>
        </w:rPr>
        <w:t>")</w:t>
      </w:r>
      <w:r w:rsidRPr="00992F81">
        <w:rPr>
          <w:rFonts w:ascii="Times New Roman" w:hAnsi="Times New Roman"/>
          <w:shd w:val="clear" w:color="auto" w:fill="FFFFFF" w:themeFill="background1"/>
        </w:rPr>
        <w:t>.</w:t>
      </w:r>
      <w:r w:rsidRPr="00992F81">
        <w:rPr>
          <w:rStyle w:val="FootnoteReference"/>
          <w:rFonts w:ascii="Times New Roman" w:hAnsi="Times New Roman"/>
          <w:sz w:val="24"/>
        </w:rPr>
        <w:footnoteReference w:id="45"/>
      </w:r>
      <w:r w:rsidRPr="00992F81">
        <w:rPr>
          <w:rFonts w:ascii="Times New Roman" w:hAnsi="Times New Roman"/>
          <w:shd w:val="clear" w:color="auto" w:fill="FFFFFF" w:themeFill="background1"/>
        </w:rPr>
        <w:t xml:space="preserve"> That is a question of statutory construction. As will be explained, </w:t>
      </w:r>
      <w:r w:rsidRPr="00992F81">
        <w:rPr>
          <w:rFonts w:ascii="Times New Roman" w:hAnsi="Times New Roman"/>
        </w:rPr>
        <w:t>the NSWCA misconstrued s 4.15(1)(b) as</w:t>
      </w:r>
      <w:r>
        <w:rPr>
          <w:rFonts w:ascii="Times New Roman" w:hAnsi="Times New Roman"/>
        </w:rPr>
        <w:t> </w:t>
      </w:r>
      <w:r w:rsidRPr="00992F81">
        <w:rPr>
          <w:rFonts w:ascii="Times New Roman" w:hAnsi="Times New Roman"/>
        </w:rPr>
        <w:t>requiring the Commission to consider the likely impacts of the development in the locality, when s 4.15(1)(b) requires consideration of the "likely impacts of [the]</w:t>
      </w:r>
      <w:r>
        <w:rPr>
          <w:rFonts w:ascii="Times New Roman" w:hAnsi="Times New Roman"/>
        </w:rPr>
        <w:t> </w:t>
      </w:r>
      <w:r w:rsidRPr="00992F81">
        <w:rPr>
          <w:rFonts w:ascii="Times New Roman" w:hAnsi="Times New Roman"/>
        </w:rPr>
        <w:t>development". While those impacts may, and often will, include impacts</w:t>
      </w:r>
      <w:r w:rsidRPr="00992F81" w:rsidDel="002C36DB">
        <w:rPr>
          <w:rFonts w:ascii="Times New Roman" w:hAnsi="Times New Roman"/>
        </w:rPr>
        <w:t xml:space="preserve"> </w:t>
      </w:r>
      <w:r w:rsidRPr="00992F81">
        <w:rPr>
          <w:rFonts w:ascii="Times New Roman" w:hAnsi="Times New Roman"/>
        </w:rPr>
        <w:t>in the locality in question, their identification is a matter for the Commission, as</w:t>
      </w:r>
      <w:r>
        <w:rPr>
          <w:rFonts w:ascii="Times New Roman" w:hAnsi="Times New Roman"/>
        </w:rPr>
        <w:t> </w:t>
      </w:r>
      <w:r w:rsidRPr="00992F81">
        <w:rPr>
          <w:rFonts w:ascii="Times New Roman" w:hAnsi="Times New Roman"/>
        </w:rPr>
        <w:t>the</w:t>
      </w:r>
      <w:r>
        <w:rPr>
          <w:rFonts w:ascii="Times New Roman" w:hAnsi="Times New Roman"/>
        </w:rPr>
        <w:t> </w:t>
      </w:r>
      <w:r w:rsidRPr="00992F81">
        <w:rPr>
          <w:rFonts w:ascii="Times New Roman" w:hAnsi="Times New Roman"/>
        </w:rPr>
        <w:t>consent authority.</w:t>
      </w:r>
      <w:r w:rsidRPr="00992F81">
        <w:rPr>
          <w:rStyle w:val="FootnoteReference"/>
          <w:rFonts w:ascii="Times New Roman" w:hAnsi="Times New Roman"/>
          <w:sz w:val="24"/>
        </w:rPr>
        <w:footnoteReference w:id="46"/>
      </w:r>
    </w:p>
    <w:p w14:paraId="382EC24A" w14:textId="77777777" w:rsidR="004D2653" w:rsidRPr="00992F81" w:rsidRDefault="004D2653" w:rsidP="00992F81">
      <w:pPr>
        <w:pStyle w:val="FixListStyle"/>
        <w:spacing w:after="260" w:line="280" w:lineRule="exact"/>
        <w:ind w:right="0"/>
        <w:jc w:val="both"/>
        <w:rPr>
          <w:rFonts w:ascii="Times New Roman" w:hAnsi="Times New Roman"/>
        </w:rPr>
      </w:pPr>
      <w:r w:rsidRPr="00992F81">
        <w:rPr>
          <w:rFonts w:ascii="Times New Roman" w:hAnsi="Times New Roman"/>
        </w:rPr>
        <w:tab/>
        <w:t xml:space="preserve">The </w:t>
      </w:r>
      <w:r w:rsidRPr="00992F81">
        <w:rPr>
          <w:rFonts w:ascii="Times New Roman" w:hAnsi="Times New Roman"/>
          <w:i/>
        </w:rPr>
        <w:t>second</w:t>
      </w:r>
      <w:r w:rsidRPr="00992F81">
        <w:rPr>
          <w:rFonts w:ascii="Times New Roman" w:hAnsi="Times New Roman"/>
        </w:rPr>
        <w:t xml:space="preserve"> </w:t>
      </w:r>
      <w:r w:rsidRPr="00992F81">
        <w:rPr>
          <w:rFonts w:ascii="Times New Roman" w:hAnsi="Times New Roman"/>
          <w:i/>
        </w:rPr>
        <w:t>issue</w:t>
      </w:r>
      <w:r w:rsidRPr="00992F81">
        <w:rPr>
          <w:rFonts w:ascii="Times New Roman" w:hAnsi="Times New Roman"/>
        </w:rPr>
        <w:t xml:space="preserve"> is whether the NSWCA was correct to hold that the</w:t>
      </w:r>
      <w:r>
        <w:rPr>
          <w:rFonts w:ascii="Times New Roman" w:hAnsi="Times New Roman"/>
        </w:rPr>
        <w:t> </w:t>
      </w:r>
      <w:r w:rsidRPr="00992F81">
        <w:rPr>
          <w:rFonts w:ascii="Times New Roman" w:hAnsi="Times New Roman"/>
        </w:rPr>
        <w:t xml:space="preserve">Commission took into consideration cl 2.20(1)(c) of the </w:t>
      </w:r>
      <w:r w:rsidRPr="00992F81">
        <w:rPr>
          <w:rFonts w:ascii="Times New Roman" w:hAnsi="Times New Roman"/>
          <w:i/>
        </w:rPr>
        <w:t>State Environmental Planning Policy (Resources and Energy) 2021</w:t>
      </w:r>
      <w:r w:rsidRPr="00992F81">
        <w:rPr>
          <w:rFonts w:ascii="Times New Roman" w:hAnsi="Times New Roman"/>
        </w:rPr>
        <w:t xml:space="preserve"> (NSW) ("the Resources SEPP"), as</w:t>
      </w:r>
      <w:r>
        <w:rPr>
          <w:rFonts w:ascii="Times New Roman" w:hAnsi="Times New Roman"/>
        </w:rPr>
        <w:t> </w:t>
      </w:r>
      <w:r w:rsidRPr="00992F81">
        <w:rPr>
          <w:rFonts w:ascii="Times New Roman" w:hAnsi="Times New Roman"/>
        </w:rPr>
        <w:t>required by s 4.15(1)(a)(i) of the EPA Act.</w:t>
      </w:r>
      <w:r w:rsidRPr="00992F81">
        <w:rPr>
          <w:rStyle w:val="FootnoteReference"/>
          <w:rFonts w:ascii="Times New Roman" w:hAnsi="Times New Roman"/>
          <w:sz w:val="24"/>
        </w:rPr>
        <w:footnoteReference w:id="47"/>
      </w:r>
      <w:r w:rsidRPr="00992F81">
        <w:rPr>
          <w:rFonts w:ascii="Times New Roman" w:hAnsi="Times New Roman"/>
        </w:rPr>
        <w:t xml:space="preserve"> Clause 2.20(1)(c) required the</w:t>
      </w:r>
      <w:r>
        <w:rPr>
          <w:rFonts w:ascii="Times New Roman" w:hAnsi="Times New Roman"/>
        </w:rPr>
        <w:t> </w:t>
      </w:r>
      <w:r w:rsidRPr="00992F81">
        <w:rPr>
          <w:rFonts w:ascii="Times New Roman" w:hAnsi="Times New Roman"/>
        </w:rPr>
        <w:t>Commission to consider "whether or not</w:t>
      </w:r>
      <w:r w:rsidRPr="00992F81" w:rsidDel="00FA7F44">
        <w:rPr>
          <w:rFonts w:ascii="Times New Roman" w:hAnsi="Times New Roman"/>
        </w:rPr>
        <w:t xml:space="preserve"> </w:t>
      </w:r>
      <w:r w:rsidRPr="00992F81">
        <w:rPr>
          <w:rFonts w:ascii="Times New Roman" w:hAnsi="Times New Roman"/>
        </w:rPr>
        <w:t xml:space="preserve">the consent should be issued subject to conditions aimed at ensuring ... </w:t>
      </w:r>
      <w:r w:rsidRPr="00992F81">
        <w:rPr>
          <w:rFonts w:ascii="Times New Roman" w:hAnsi="Times New Roman"/>
          <w:i/>
        </w:rPr>
        <w:t>that greenhouse gas emissions are minimised to the greatest extent practicable</w:t>
      </w:r>
      <w:r w:rsidRPr="00992F81">
        <w:rPr>
          <w:rFonts w:ascii="Times New Roman" w:hAnsi="Times New Roman"/>
        </w:rPr>
        <w:t>" (emphasis added). Again, it is a question of construction of the applicable legislative framework. As will be explained, the</w:t>
      </w:r>
      <w:r>
        <w:rPr>
          <w:rFonts w:ascii="Times New Roman" w:hAnsi="Times New Roman"/>
        </w:rPr>
        <w:t> </w:t>
      </w:r>
      <w:r w:rsidRPr="00992F81">
        <w:rPr>
          <w:rFonts w:ascii="Times New Roman" w:hAnsi="Times New Roman"/>
        </w:rPr>
        <w:t xml:space="preserve">Commission was required to consider imposing conditions to minimise to </w:t>
      </w:r>
      <w:r w:rsidRPr="00992F81">
        <w:rPr>
          <w:rFonts w:ascii="Times New Roman" w:hAnsi="Times New Roman"/>
        </w:rPr>
        <w:lastRenderedPageBreak/>
        <w:t>the</w:t>
      </w:r>
      <w:r>
        <w:rPr>
          <w:rFonts w:ascii="Times New Roman" w:hAnsi="Times New Roman"/>
        </w:rPr>
        <w:t> </w:t>
      </w:r>
      <w:r w:rsidRPr="00992F81">
        <w:rPr>
          <w:rFonts w:ascii="Times New Roman" w:hAnsi="Times New Roman"/>
        </w:rPr>
        <w:t>greatest extent practicable all greenhouse gas emissions, being those emissions identified in MACH's environmental impact statement ("EIS").</w:t>
      </w:r>
      <w:r w:rsidRPr="00992F81">
        <w:rPr>
          <w:rStyle w:val="FootnoteReference"/>
          <w:rFonts w:ascii="Times New Roman" w:hAnsi="Times New Roman"/>
          <w:sz w:val="24"/>
        </w:rPr>
        <w:footnoteReference w:id="48"/>
      </w:r>
      <w:r w:rsidRPr="00992F81">
        <w:rPr>
          <w:rFonts w:ascii="Times New Roman" w:hAnsi="Times New Roman"/>
        </w:rPr>
        <w:t xml:space="preserve"> The Commission did not. Specifically, it failed to consider whether to impose conditions to minimise to the greatest extent practicable Scope 3 greenhouse gas emissions, which</w:t>
      </w:r>
      <w:r>
        <w:rPr>
          <w:rFonts w:ascii="Times New Roman" w:hAnsi="Times New Roman"/>
        </w:rPr>
        <w:t> </w:t>
      </w:r>
      <w:r w:rsidRPr="00992F81">
        <w:rPr>
          <w:rFonts w:ascii="Times New Roman" w:hAnsi="Times New Roman"/>
        </w:rPr>
        <w:t>constituted 98 per cent of the project's total greenhouse gas emissions. There</w:t>
      </w:r>
      <w:r>
        <w:rPr>
          <w:rFonts w:ascii="Times New Roman" w:hAnsi="Times New Roman"/>
        </w:rPr>
        <w:t> </w:t>
      </w:r>
      <w:r w:rsidRPr="00992F81">
        <w:rPr>
          <w:rFonts w:ascii="Times New Roman" w:hAnsi="Times New Roman"/>
        </w:rPr>
        <w:t xml:space="preserve">is no basis upon which it may be inferred that the Commission considered that issue. DAMSHEG discharged the onus of establishing that the Commission failed to do so. That error was "material" in the sense that there was a realistic possibility that the decision that was in fact made </w:t>
      </w:r>
      <w:r w:rsidRPr="00992F81">
        <w:rPr>
          <w:rFonts w:ascii="Times New Roman" w:hAnsi="Times New Roman"/>
          <w:i/>
          <w:iCs/>
        </w:rPr>
        <w:t>could</w:t>
      </w:r>
      <w:r w:rsidRPr="00992F81">
        <w:rPr>
          <w:rFonts w:ascii="Times New Roman" w:hAnsi="Times New Roman"/>
        </w:rPr>
        <w:t xml:space="preserve"> have been different if the</w:t>
      </w:r>
      <w:r>
        <w:rPr>
          <w:rFonts w:ascii="Times New Roman" w:hAnsi="Times New Roman"/>
        </w:rPr>
        <w:t> </w:t>
      </w:r>
      <w:r w:rsidRPr="00992F81">
        <w:rPr>
          <w:rFonts w:ascii="Times New Roman" w:hAnsi="Times New Roman"/>
        </w:rPr>
        <w:t xml:space="preserve">error had not occurred. </w:t>
      </w:r>
    </w:p>
    <w:p w14:paraId="74E05D28" w14:textId="77777777" w:rsidR="004D2653" w:rsidRPr="00992F81" w:rsidRDefault="004D2653" w:rsidP="00992F81">
      <w:pPr>
        <w:pStyle w:val="FixListStyle"/>
        <w:spacing w:after="260" w:line="280" w:lineRule="exact"/>
        <w:ind w:right="0"/>
        <w:jc w:val="both"/>
        <w:rPr>
          <w:rFonts w:ascii="Times New Roman" w:hAnsi="Times New Roman"/>
        </w:rPr>
      </w:pPr>
      <w:r w:rsidRPr="00992F81">
        <w:rPr>
          <w:rFonts w:ascii="Times New Roman" w:hAnsi="Times New Roman"/>
        </w:rPr>
        <w:tab/>
        <w:t xml:space="preserve">The Commission's approval was invalid. It will be necessary for the matter to be remitted to the Land and Environment Court of NSW to consider making orders under Div 3 of Pt 3 of the </w:t>
      </w:r>
      <w:r w:rsidRPr="00992F81">
        <w:rPr>
          <w:rFonts w:ascii="Times New Roman" w:hAnsi="Times New Roman"/>
          <w:i/>
          <w:iCs/>
        </w:rPr>
        <w:t xml:space="preserve">Land and Environment Court Act 1979 </w:t>
      </w:r>
      <w:r w:rsidRPr="00992F81">
        <w:rPr>
          <w:rFonts w:ascii="Times New Roman" w:hAnsi="Times New Roman"/>
        </w:rPr>
        <w:t>(NSW) ("the LEC Act"). The Land and Environment Court of NSW must consider making an order under Div 3 of Pt 3 instead of declaring or determining that the</w:t>
      </w:r>
      <w:r>
        <w:rPr>
          <w:rFonts w:ascii="Times New Roman" w:hAnsi="Times New Roman"/>
        </w:rPr>
        <w:t> </w:t>
      </w:r>
      <w:r w:rsidRPr="00992F81">
        <w:rPr>
          <w:rFonts w:ascii="Times New Roman" w:hAnsi="Times New Roman"/>
        </w:rPr>
        <w:t>development consent is invalid, in whole or in part.</w:t>
      </w:r>
      <w:r w:rsidRPr="00992F81">
        <w:rPr>
          <w:rStyle w:val="FootnoteReference"/>
          <w:rFonts w:ascii="Times New Roman" w:hAnsi="Times New Roman"/>
          <w:sz w:val="24"/>
        </w:rPr>
        <w:footnoteReference w:id="49"/>
      </w:r>
      <w:r w:rsidRPr="00992F81">
        <w:rPr>
          <w:rFonts w:ascii="Times New Roman" w:hAnsi="Times New Roman"/>
        </w:rPr>
        <w:t xml:space="preserve"> That Court may relevantly make orders "suspending the operation of the consent in whole or in part" and</w:t>
      </w:r>
      <w:r>
        <w:rPr>
          <w:rFonts w:ascii="Times New Roman" w:hAnsi="Times New Roman"/>
        </w:rPr>
        <w:t> </w:t>
      </w:r>
      <w:r w:rsidRPr="00992F81">
        <w:rPr>
          <w:rFonts w:ascii="Times New Roman" w:hAnsi="Times New Roman"/>
        </w:rPr>
        <w:t>"specifying terms compliance with which will validate the consent (whether</w:t>
      </w:r>
      <w:r>
        <w:rPr>
          <w:rFonts w:ascii="Times New Roman" w:hAnsi="Times New Roman"/>
        </w:rPr>
        <w:t> </w:t>
      </w:r>
      <w:r w:rsidRPr="00992F81">
        <w:rPr>
          <w:rFonts w:ascii="Times New Roman" w:hAnsi="Times New Roman"/>
        </w:rPr>
        <w:t>without alterations or on being regranted with alterations)".</w:t>
      </w:r>
      <w:r w:rsidRPr="00992F81">
        <w:rPr>
          <w:rStyle w:val="FootnoteReference"/>
          <w:rFonts w:ascii="Times New Roman" w:hAnsi="Times New Roman"/>
          <w:sz w:val="24"/>
        </w:rPr>
        <w:footnoteReference w:id="50"/>
      </w:r>
      <w:r w:rsidRPr="00992F81">
        <w:rPr>
          <w:rFonts w:ascii="Times New Roman" w:hAnsi="Times New Roman"/>
        </w:rPr>
        <w:t xml:space="preserve"> </w:t>
      </w:r>
    </w:p>
    <w:p w14:paraId="5E62C449" w14:textId="77777777" w:rsidR="004D2653" w:rsidRPr="00992F81" w:rsidRDefault="004D2653" w:rsidP="00992F81">
      <w:pPr>
        <w:pStyle w:val="FixListStyle"/>
        <w:spacing w:after="260" w:line="280" w:lineRule="exact"/>
        <w:ind w:right="0"/>
        <w:jc w:val="both"/>
        <w:rPr>
          <w:rFonts w:ascii="Times New Roman" w:hAnsi="Times New Roman"/>
        </w:rPr>
      </w:pPr>
      <w:r w:rsidRPr="00992F81">
        <w:rPr>
          <w:rFonts w:ascii="Times New Roman" w:hAnsi="Times New Roman"/>
        </w:rPr>
        <w:tab/>
        <w:t xml:space="preserve">Given the views formed on the second issue, this Court cannot and should not address the </w:t>
      </w:r>
      <w:r w:rsidRPr="00992F81">
        <w:rPr>
          <w:rFonts w:ascii="Times New Roman" w:hAnsi="Times New Roman"/>
          <w:i/>
        </w:rPr>
        <w:t>third</w:t>
      </w:r>
      <w:r w:rsidRPr="00992F81">
        <w:rPr>
          <w:rFonts w:ascii="Times New Roman" w:hAnsi="Times New Roman"/>
        </w:rPr>
        <w:t xml:space="preserve"> </w:t>
      </w:r>
      <w:r w:rsidRPr="00992F81">
        <w:rPr>
          <w:rFonts w:ascii="Times New Roman" w:hAnsi="Times New Roman"/>
          <w:i/>
        </w:rPr>
        <w:t>issue</w:t>
      </w:r>
      <w:r w:rsidRPr="00992F81">
        <w:rPr>
          <w:rFonts w:ascii="Times New Roman" w:hAnsi="Times New Roman"/>
        </w:rPr>
        <w:t xml:space="preserve"> raised by Ground 3 of MACH's appeal to this Court, namely whether the impact of climate change is capable of being an environmental impact in the locality of the development within the meaning of s 4.15(1)(b) of</w:t>
      </w:r>
      <w:r>
        <w:rPr>
          <w:rFonts w:ascii="Times New Roman" w:hAnsi="Times New Roman"/>
        </w:rPr>
        <w:t> </w:t>
      </w:r>
      <w:r w:rsidRPr="00992F81">
        <w:rPr>
          <w:rFonts w:ascii="Times New Roman" w:hAnsi="Times New Roman"/>
        </w:rPr>
        <w:t>the</w:t>
      </w:r>
      <w:r>
        <w:rPr>
          <w:rFonts w:ascii="Times New Roman" w:hAnsi="Times New Roman"/>
        </w:rPr>
        <w:t> </w:t>
      </w:r>
      <w:r w:rsidRPr="00992F81">
        <w:rPr>
          <w:rFonts w:ascii="Times New Roman" w:hAnsi="Times New Roman"/>
        </w:rPr>
        <w:t xml:space="preserve">EPA Act. </w:t>
      </w:r>
      <w:r w:rsidRPr="00992F81">
        <w:rPr>
          <w:rFonts w:ascii="Times New Roman" w:hAnsi="Times New Roman"/>
          <w:bCs/>
        </w:rPr>
        <w:t>The existence of climate change (and its negative impact on the</w:t>
      </w:r>
      <w:r>
        <w:rPr>
          <w:rFonts w:ascii="Times New Roman" w:hAnsi="Times New Roman"/>
          <w:bCs/>
        </w:rPr>
        <w:t> </w:t>
      </w:r>
      <w:r w:rsidRPr="00992F81">
        <w:rPr>
          <w:rFonts w:ascii="Times New Roman" w:hAnsi="Times New Roman"/>
          <w:bCs/>
        </w:rPr>
        <w:t>environment) did not need to be resolved by the Commission. As the primary judge identified, "[i]t is clear that much of the material before [the Commission] was predicated on an acceptance that greenhouse gas emissions, regardless of the</w:t>
      </w:r>
      <w:r>
        <w:rPr>
          <w:rFonts w:ascii="Times New Roman" w:hAnsi="Times New Roman"/>
          <w:bCs/>
        </w:rPr>
        <w:t> </w:t>
      </w:r>
      <w:r w:rsidRPr="00992F81">
        <w:rPr>
          <w:rFonts w:ascii="Times New Roman" w:hAnsi="Times New Roman"/>
          <w:bCs/>
        </w:rPr>
        <w:t>characterisation of the scope ascribed to such emissions, would have an</w:t>
      </w:r>
      <w:r>
        <w:rPr>
          <w:rFonts w:ascii="Times New Roman" w:hAnsi="Times New Roman"/>
          <w:bCs/>
        </w:rPr>
        <w:t> </w:t>
      </w:r>
      <w:r w:rsidRPr="00992F81">
        <w:rPr>
          <w:rFonts w:ascii="Times New Roman" w:hAnsi="Times New Roman"/>
          <w:bCs/>
        </w:rPr>
        <w:t>adverse impact on anthropogenic climate change".</w:t>
      </w:r>
    </w:p>
    <w:p w14:paraId="0E110EFF" w14:textId="77777777" w:rsidR="004D2653" w:rsidRPr="00992F81" w:rsidRDefault="004D2653" w:rsidP="00992F81">
      <w:pPr>
        <w:pStyle w:val="FixListStyle"/>
        <w:spacing w:after="260" w:line="280" w:lineRule="exact"/>
        <w:ind w:right="0"/>
        <w:jc w:val="both"/>
        <w:rPr>
          <w:rFonts w:ascii="Times New Roman" w:hAnsi="Times New Roman"/>
        </w:rPr>
      </w:pPr>
      <w:r w:rsidRPr="00992F81">
        <w:rPr>
          <w:rFonts w:ascii="Times New Roman" w:hAnsi="Times New Roman"/>
        </w:rPr>
        <w:tab/>
      </w:r>
      <w:bookmarkStart w:id="0" w:name="_Ref234500684"/>
      <w:r w:rsidRPr="00992F81">
        <w:rPr>
          <w:rFonts w:ascii="Times New Roman" w:hAnsi="Times New Roman"/>
        </w:rPr>
        <w:t>What this case decides, and does not decide, has been set out above. This</w:t>
      </w:r>
      <w:r>
        <w:rPr>
          <w:rFonts w:ascii="Times New Roman" w:hAnsi="Times New Roman"/>
        </w:rPr>
        <w:t> </w:t>
      </w:r>
      <w:r w:rsidRPr="00992F81">
        <w:rPr>
          <w:rFonts w:ascii="Times New Roman" w:hAnsi="Times New Roman"/>
        </w:rPr>
        <w:t xml:space="preserve">Court is not undertaking any form of merits review. The Court cannot and does not address what follows from the requirement for the Commission to consider whether to impose conditions to minimise to the greatest extent </w:t>
      </w:r>
      <w:r w:rsidRPr="00992F81">
        <w:rPr>
          <w:rFonts w:ascii="Times New Roman" w:hAnsi="Times New Roman"/>
        </w:rPr>
        <w:lastRenderedPageBreak/>
        <w:t>practicable greenhouse gas emissions of the development, including Scope 3 emissions, and what conditions, if any, might be imposed. The statutory requirement was for the Commission to do that and it did not.</w:t>
      </w:r>
      <w:bookmarkEnd w:id="0"/>
      <w:r w:rsidRPr="00992F81">
        <w:rPr>
          <w:rFonts w:ascii="Times New Roman" w:hAnsi="Times New Roman"/>
        </w:rPr>
        <w:t xml:space="preserve"> </w:t>
      </w:r>
    </w:p>
    <w:p w14:paraId="3F790462" w14:textId="77777777" w:rsidR="004D2653" w:rsidRPr="00992F81" w:rsidRDefault="004D2653" w:rsidP="00992F81">
      <w:pPr>
        <w:pStyle w:val="HeadingL1"/>
        <w:spacing w:after="260" w:line="280" w:lineRule="exact"/>
        <w:ind w:right="0"/>
        <w:jc w:val="both"/>
        <w:rPr>
          <w:rFonts w:ascii="Times New Roman" w:hAnsi="Times New Roman"/>
        </w:rPr>
      </w:pPr>
      <w:r w:rsidRPr="00992F81">
        <w:rPr>
          <w:rFonts w:ascii="Times New Roman" w:hAnsi="Times New Roman"/>
        </w:rPr>
        <w:t>Legislative framework</w:t>
      </w:r>
    </w:p>
    <w:p w14:paraId="20AA02D6" w14:textId="77777777" w:rsidR="004D2653" w:rsidRPr="00992F81" w:rsidRDefault="004D2653" w:rsidP="00992F81">
      <w:pPr>
        <w:pStyle w:val="FixListStyle"/>
        <w:spacing w:after="260" w:line="280" w:lineRule="exact"/>
        <w:ind w:right="0"/>
        <w:jc w:val="both"/>
        <w:rPr>
          <w:rFonts w:ascii="Times New Roman" w:hAnsi="Times New Roman"/>
        </w:rPr>
      </w:pPr>
      <w:r w:rsidRPr="00992F81">
        <w:rPr>
          <w:rFonts w:ascii="Times New Roman" w:hAnsi="Times New Roman"/>
        </w:rPr>
        <w:tab/>
        <w:t>The critical provision for the purposes of this appeal is s 4.15</w:t>
      </w:r>
      <w:r w:rsidRPr="00992F81" w:rsidDel="001420B5">
        <w:rPr>
          <w:rFonts w:ascii="Times New Roman" w:hAnsi="Times New Roman"/>
        </w:rPr>
        <w:t>(1)</w:t>
      </w:r>
      <w:r w:rsidRPr="00992F81">
        <w:rPr>
          <w:rFonts w:ascii="Times New Roman" w:hAnsi="Times New Roman"/>
        </w:rPr>
        <w:t xml:space="preserve"> of the</w:t>
      </w:r>
      <w:r>
        <w:rPr>
          <w:rFonts w:ascii="Times New Roman" w:hAnsi="Times New Roman"/>
        </w:rPr>
        <w:t> </w:t>
      </w:r>
      <w:r w:rsidRPr="00992F81">
        <w:rPr>
          <w:rFonts w:ascii="Times New Roman" w:hAnsi="Times New Roman"/>
        </w:rPr>
        <w:t>EPA</w:t>
      </w:r>
      <w:r>
        <w:rPr>
          <w:rFonts w:ascii="Times New Roman" w:hAnsi="Times New Roman"/>
        </w:rPr>
        <w:t> </w:t>
      </w:r>
      <w:r w:rsidRPr="00992F81">
        <w:rPr>
          <w:rFonts w:ascii="Times New Roman" w:hAnsi="Times New Roman"/>
        </w:rPr>
        <w:t xml:space="preserve">Act, which relevantly provides: </w:t>
      </w:r>
    </w:p>
    <w:p w14:paraId="353BA06A" w14:textId="77777777" w:rsidR="004D2653" w:rsidRPr="00992F81" w:rsidRDefault="004D2653" w:rsidP="00992F81">
      <w:pPr>
        <w:pStyle w:val="leftright"/>
        <w:spacing w:before="0" w:after="260" w:line="280" w:lineRule="exact"/>
        <w:ind w:right="0"/>
        <w:jc w:val="both"/>
        <w:rPr>
          <w:rFonts w:ascii="Times New Roman" w:eastAsia="Calibri" w:hAnsi="Times New Roman"/>
        </w:rPr>
      </w:pPr>
      <w:r w:rsidRPr="00992F81">
        <w:rPr>
          <w:rFonts w:ascii="Times New Roman" w:eastAsia="Calibri" w:hAnsi="Times New Roman"/>
        </w:rPr>
        <w:t>"</w:t>
      </w:r>
      <w:r w:rsidRPr="00992F81">
        <w:rPr>
          <w:rFonts w:ascii="Times New Roman" w:eastAsia="Calibri" w:hAnsi="Times New Roman"/>
          <w:b/>
          <w:bCs/>
        </w:rPr>
        <w:t xml:space="preserve">Matters for consideration </w:t>
      </w:r>
      <w:r>
        <w:rPr>
          <w:rFonts w:ascii="Times New Roman" w:eastAsia="Calibri" w:hAnsi="Times New Roman"/>
          <w:b/>
          <w:bCs/>
        </w:rPr>
        <w:t xml:space="preserve">– </w:t>
      </w:r>
      <w:r w:rsidRPr="00992F81">
        <w:rPr>
          <w:rFonts w:ascii="Times New Roman" w:eastAsia="Calibri" w:hAnsi="Times New Roman"/>
          <w:b/>
          <w:bCs/>
        </w:rPr>
        <w:t>general</w:t>
      </w:r>
      <w:r w:rsidRPr="00992F81">
        <w:rPr>
          <w:rFonts w:ascii="Times New Roman" w:eastAsia="Calibri" w:hAnsi="Times New Roman"/>
        </w:rPr>
        <w:t xml:space="preserve"> In determining a development application, a consent authority </w:t>
      </w:r>
      <w:r w:rsidRPr="00992F81">
        <w:rPr>
          <w:rFonts w:ascii="Times New Roman" w:eastAsia="Calibri" w:hAnsi="Times New Roman"/>
          <w:i/>
          <w:iCs/>
        </w:rPr>
        <w:t>is to take into consideration</w:t>
      </w:r>
      <w:r w:rsidRPr="00992F81">
        <w:rPr>
          <w:rFonts w:ascii="Times New Roman" w:eastAsia="Calibri" w:hAnsi="Times New Roman"/>
        </w:rPr>
        <w:t xml:space="preserve"> such of the</w:t>
      </w:r>
      <w:r>
        <w:rPr>
          <w:rFonts w:ascii="Times New Roman" w:eastAsia="Calibri" w:hAnsi="Times New Roman"/>
        </w:rPr>
        <w:t> </w:t>
      </w:r>
      <w:r w:rsidRPr="00992F81">
        <w:rPr>
          <w:rFonts w:ascii="Times New Roman" w:eastAsia="Calibri" w:hAnsi="Times New Roman"/>
        </w:rPr>
        <w:t xml:space="preserve">following matters as are of relevance to the development the subject of the development application </w:t>
      </w:r>
      <w:r>
        <w:rPr>
          <w:rFonts w:ascii="Times New Roman" w:eastAsia="Calibri" w:hAnsi="Times New Roman"/>
        </w:rPr>
        <w:t>–</w:t>
      </w:r>
      <w:r w:rsidRPr="00992F81">
        <w:rPr>
          <w:rFonts w:ascii="Times New Roman" w:eastAsia="Calibri" w:hAnsi="Times New Roman"/>
        </w:rPr>
        <w:t xml:space="preserve"> </w:t>
      </w:r>
    </w:p>
    <w:p w14:paraId="4B85BFB9" w14:textId="77777777" w:rsidR="004D2653" w:rsidRPr="00992F81" w:rsidRDefault="004D2653" w:rsidP="00992F81">
      <w:pPr>
        <w:pStyle w:val="leftright"/>
        <w:keepNext/>
        <w:spacing w:before="0" w:after="260" w:line="280" w:lineRule="exact"/>
        <w:ind w:right="0"/>
        <w:jc w:val="both"/>
        <w:rPr>
          <w:rFonts w:ascii="Times New Roman" w:eastAsia="Calibri" w:hAnsi="Times New Roman"/>
        </w:rPr>
      </w:pPr>
      <w:r w:rsidRPr="00992F81">
        <w:rPr>
          <w:rFonts w:ascii="Times New Roman" w:eastAsia="Calibri" w:hAnsi="Times New Roman"/>
        </w:rPr>
        <w:t xml:space="preserve">(a) </w:t>
      </w:r>
      <w:r w:rsidRPr="00992F81">
        <w:rPr>
          <w:rFonts w:ascii="Times New Roman" w:eastAsia="Calibri" w:hAnsi="Times New Roman"/>
        </w:rPr>
        <w:tab/>
        <w:t xml:space="preserve">the provisions of </w:t>
      </w:r>
      <w:r>
        <w:rPr>
          <w:rFonts w:ascii="Times New Roman" w:eastAsia="Calibri" w:hAnsi="Times New Roman"/>
        </w:rPr>
        <w:t>–</w:t>
      </w:r>
    </w:p>
    <w:p w14:paraId="65190568" w14:textId="77777777" w:rsidR="004D2653" w:rsidRPr="00992F81" w:rsidRDefault="004D2653" w:rsidP="00992F81">
      <w:pPr>
        <w:pStyle w:val="leftright"/>
        <w:spacing w:before="0" w:after="260" w:line="280" w:lineRule="exact"/>
        <w:ind w:left="1440" w:right="0"/>
        <w:jc w:val="both"/>
        <w:rPr>
          <w:rFonts w:ascii="Times New Roman" w:eastAsia="Calibri" w:hAnsi="Times New Roman"/>
        </w:rPr>
      </w:pPr>
      <w:r w:rsidRPr="00992F81">
        <w:rPr>
          <w:rFonts w:ascii="Times New Roman" w:eastAsia="Calibri" w:hAnsi="Times New Roman"/>
        </w:rPr>
        <w:t>(i)</w:t>
      </w:r>
      <w:r w:rsidRPr="00992F81">
        <w:rPr>
          <w:rFonts w:ascii="Times New Roman" w:eastAsia="Calibri" w:hAnsi="Times New Roman"/>
        </w:rPr>
        <w:tab/>
        <w:t>any environmental planning instrument, ...</w:t>
      </w:r>
    </w:p>
    <w:p w14:paraId="0BF14186" w14:textId="77777777" w:rsidR="004D2653" w:rsidRPr="00992F81" w:rsidRDefault="004D2653" w:rsidP="00992F81">
      <w:pPr>
        <w:pStyle w:val="leftright"/>
        <w:spacing w:before="0" w:after="260" w:line="280" w:lineRule="exact"/>
        <w:ind w:left="1440" w:right="0"/>
        <w:jc w:val="both"/>
        <w:rPr>
          <w:rFonts w:ascii="Times New Roman" w:eastAsia="Calibri" w:hAnsi="Times New Roman"/>
        </w:rPr>
      </w:pPr>
      <w:r w:rsidRPr="00992F81">
        <w:rPr>
          <w:rFonts w:ascii="Times New Roman" w:eastAsia="Calibri" w:hAnsi="Times New Roman"/>
        </w:rPr>
        <w:t>that apply to the land to which the development application relates,</w:t>
      </w:r>
    </w:p>
    <w:p w14:paraId="416B63E2" w14:textId="77777777" w:rsidR="004D2653" w:rsidRPr="00992F81" w:rsidRDefault="004D2653" w:rsidP="00992F81">
      <w:pPr>
        <w:pStyle w:val="leftright"/>
        <w:spacing w:before="0" w:after="260" w:line="280" w:lineRule="exact"/>
        <w:ind w:left="1440" w:right="0" w:hanging="720"/>
        <w:jc w:val="both"/>
        <w:rPr>
          <w:rFonts w:ascii="Times New Roman" w:eastAsia="Calibri" w:hAnsi="Times New Roman"/>
        </w:rPr>
      </w:pPr>
      <w:r w:rsidRPr="00992F81">
        <w:rPr>
          <w:rFonts w:ascii="Times New Roman" w:hAnsi="Times New Roman"/>
        </w:rPr>
        <w:t>(</w:t>
      </w:r>
      <w:r w:rsidRPr="00992F81">
        <w:rPr>
          <w:rFonts w:ascii="Times New Roman" w:eastAsia="Calibri" w:hAnsi="Times New Roman"/>
        </w:rPr>
        <w:t xml:space="preserve">b) </w:t>
      </w:r>
      <w:r w:rsidRPr="00992F81">
        <w:rPr>
          <w:rFonts w:ascii="Times New Roman" w:eastAsia="Calibri" w:hAnsi="Times New Roman"/>
        </w:rPr>
        <w:tab/>
        <w:t>the likely impacts of that development, including environmental impacts on both the natural and built environments, and social and economic impacts in the locality,</w:t>
      </w:r>
    </w:p>
    <w:p w14:paraId="4FE3A367" w14:textId="77777777" w:rsidR="004D2653" w:rsidRPr="00992F81" w:rsidRDefault="004D2653" w:rsidP="00992F81">
      <w:pPr>
        <w:pStyle w:val="leftright"/>
        <w:spacing w:before="0" w:after="260" w:line="280" w:lineRule="exact"/>
        <w:ind w:right="0"/>
        <w:jc w:val="both"/>
        <w:rPr>
          <w:rFonts w:ascii="Times New Roman" w:eastAsia="Calibri" w:hAnsi="Times New Roman"/>
        </w:rPr>
      </w:pPr>
      <w:r w:rsidRPr="00992F81">
        <w:rPr>
          <w:rFonts w:ascii="Times New Roman" w:eastAsia="Calibri" w:hAnsi="Times New Roman"/>
        </w:rPr>
        <w:t>(c)</w:t>
      </w:r>
      <w:r w:rsidRPr="00992F81">
        <w:rPr>
          <w:rFonts w:ascii="Times New Roman" w:eastAsia="Calibri" w:hAnsi="Times New Roman"/>
        </w:rPr>
        <w:tab/>
        <w:t>the suitability of the site for the development,</w:t>
      </w:r>
    </w:p>
    <w:p w14:paraId="6B007923" w14:textId="77777777" w:rsidR="004D2653" w:rsidRPr="00992F81" w:rsidRDefault="004D2653" w:rsidP="00992F81">
      <w:pPr>
        <w:pStyle w:val="leftright"/>
        <w:spacing w:before="0" w:after="260" w:line="280" w:lineRule="exact"/>
        <w:ind w:left="1440" w:right="0" w:hanging="720"/>
        <w:jc w:val="both"/>
        <w:rPr>
          <w:rFonts w:ascii="Times New Roman" w:eastAsia="Calibri" w:hAnsi="Times New Roman"/>
        </w:rPr>
      </w:pPr>
      <w:r w:rsidRPr="00992F81">
        <w:rPr>
          <w:rFonts w:ascii="Times New Roman" w:eastAsia="Calibri" w:hAnsi="Times New Roman"/>
        </w:rPr>
        <w:t>(d)</w:t>
      </w:r>
      <w:r w:rsidRPr="00992F81">
        <w:rPr>
          <w:rFonts w:ascii="Times New Roman" w:eastAsia="Calibri" w:hAnsi="Times New Roman"/>
        </w:rPr>
        <w:tab/>
        <w:t>any submissions made in accordance with this Act or the regulations,</w:t>
      </w:r>
    </w:p>
    <w:p w14:paraId="0C3421F0" w14:textId="77777777" w:rsidR="004D2653" w:rsidRPr="00992F81" w:rsidRDefault="004D2653" w:rsidP="00992F81">
      <w:pPr>
        <w:pStyle w:val="leftright"/>
        <w:spacing w:before="0" w:after="260" w:line="280" w:lineRule="exact"/>
        <w:ind w:right="0"/>
        <w:jc w:val="both"/>
        <w:rPr>
          <w:rFonts w:ascii="Times New Roman" w:eastAsia="Calibri" w:hAnsi="Times New Roman"/>
        </w:rPr>
      </w:pPr>
      <w:r w:rsidRPr="00992F81">
        <w:rPr>
          <w:rFonts w:ascii="Times New Roman" w:eastAsia="Calibri" w:hAnsi="Times New Roman"/>
        </w:rPr>
        <w:t xml:space="preserve">(e) </w:t>
      </w:r>
      <w:r w:rsidRPr="00992F81">
        <w:rPr>
          <w:rFonts w:ascii="Times New Roman" w:eastAsia="Calibri" w:hAnsi="Times New Roman"/>
        </w:rPr>
        <w:tab/>
        <w:t>the public interest." (emphasis added)</w:t>
      </w:r>
    </w:p>
    <w:p w14:paraId="4706AF28" w14:textId="77777777" w:rsidR="004D2653" w:rsidRPr="00992F81" w:rsidRDefault="004D2653" w:rsidP="00B50172">
      <w:pPr>
        <w:pStyle w:val="FixListStyle"/>
        <w:numPr>
          <w:ilvl w:val="0"/>
          <w:numId w:val="0"/>
        </w:numPr>
        <w:spacing w:after="260" w:line="280" w:lineRule="exact"/>
        <w:ind w:right="0"/>
        <w:jc w:val="both"/>
        <w:rPr>
          <w:rFonts w:ascii="Times New Roman" w:hAnsi="Times New Roman"/>
        </w:rPr>
      </w:pPr>
      <w:r w:rsidRPr="00992F81">
        <w:rPr>
          <w:rFonts w:ascii="Times New Roman" w:hAnsi="Times New Roman"/>
        </w:rPr>
        <w:t>The matters listed in s 4.15(1) are matters that the consent authority, here</w:t>
      </w:r>
      <w:r>
        <w:rPr>
          <w:rFonts w:ascii="Times New Roman" w:hAnsi="Times New Roman"/>
        </w:rPr>
        <w:t> </w:t>
      </w:r>
      <w:r w:rsidRPr="00992F81">
        <w:rPr>
          <w:rFonts w:ascii="Times New Roman" w:hAnsi="Times New Roman"/>
        </w:rPr>
        <w:t>the</w:t>
      </w:r>
      <w:r>
        <w:rPr>
          <w:rFonts w:ascii="Times New Roman" w:hAnsi="Times New Roman"/>
        </w:rPr>
        <w:t> </w:t>
      </w:r>
      <w:r w:rsidRPr="00992F81">
        <w:rPr>
          <w:rFonts w:ascii="Times New Roman" w:hAnsi="Times New Roman"/>
        </w:rPr>
        <w:t xml:space="preserve">Commission, </w:t>
      </w:r>
      <w:r w:rsidRPr="00992F81" w:rsidDel="00A90594">
        <w:rPr>
          <w:rFonts w:ascii="Times New Roman" w:hAnsi="Times New Roman"/>
        </w:rPr>
        <w:t>"is to</w:t>
      </w:r>
      <w:r w:rsidRPr="00992F81">
        <w:rPr>
          <w:rFonts w:ascii="Times New Roman" w:hAnsi="Times New Roman"/>
        </w:rPr>
        <w:t xml:space="preserve"> take into consideration</w:t>
      </w:r>
      <w:r w:rsidRPr="00992F81" w:rsidDel="00A90594">
        <w:rPr>
          <w:rFonts w:ascii="Times New Roman" w:hAnsi="Times New Roman"/>
        </w:rPr>
        <w:t>"</w:t>
      </w:r>
      <w:r w:rsidRPr="00992F81">
        <w:rPr>
          <w:rFonts w:ascii="Times New Roman" w:hAnsi="Times New Roman"/>
        </w:rPr>
        <w:t>, provided that they are "of</w:t>
      </w:r>
      <w:r>
        <w:rPr>
          <w:rFonts w:ascii="Times New Roman" w:hAnsi="Times New Roman"/>
        </w:rPr>
        <w:t> </w:t>
      </w:r>
      <w:r w:rsidRPr="00992F81">
        <w:rPr>
          <w:rFonts w:ascii="Times New Roman" w:hAnsi="Times New Roman"/>
        </w:rPr>
        <w:t>relevance" to the particular development that is the subject of a development application.</w:t>
      </w:r>
      <w:r w:rsidRPr="00992F81">
        <w:rPr>
          <w:rStyle w:val="FootnoteReference"/>
          <w:rFonts w:ascii="Times New Roman" w:hAnsi="Times New Roman"/>
          <w:sz w:val="24"/>
        </w:rPr>
        <w:footnoteReference w:id="51"/>
      </w:r>
      <w:r w:rsidRPr="00992F81">
        <w:rPr>
          <w:rFonts w:ascii="Times New Roman" w:hAnsi="Times New Roman"/>
        </w:rPr>
        <w:t xml:space="preserve"> </w:t>
      </w:r>
      <w:r w:rsidRPr="00992F81" w:rsidDel="00A90594">
        <w:rPr>
          <w:rFonts w:ascii="Times New Roman" w:hAnsi="Times New Roman"/>
        </w:rPr>
        <w:t xml:space="preserve">Put simply, the consent authority </w:t>
      </w:r>
      <w:r w:rsidRPr="00992F81" w:rsidDel="00A90594">
        <w:rPr>
          <w:rFonts w:ascii="Times New Roman" w:hAnsi="Times New Roman"/>
          <w:i/>
          <w:iCs/>
        </w:rPr>
        <w:t xml:space="preserve">must </w:t>
      </w:r>
      <w:r w:rsidRPr="00992F81" w:rsidDel="00A90594">
        <w:rPr>
          <w:rFonts w:ascii="Times New Roman" w:hAnsi="Times New Roman"/>
        </w:rPr>
        <w:t>take the listed matters into consideration, provided they are "of relevance".</w:t>
      </w:r>
      <w:r w:rsidRPr="00992F81">
        <w:rPr>
          <w:rStyle w:val="FootnoteReference"/>
          <w:rFonts w:ascii="Times New Roman" w:hAnsi="Times New Roman"/>
          <w:sz w:val="24"/>
        </w:rPr>
        <w:footnoteReference w:id="52"/>
      </w:r>
      <w:r w:rsidRPr="00992F81" w:rsidDel="00A90594">
        <w:rPr>
          <w:rFonts w:ascii="Times New Roman" w:hAnsi="Times New Roman"/>
        </w:rPr>
        <w:t xml:space="preserve"> </w:t>
      </w:r>
    </w:p>
    <w:p w14:paraId="667A697F" w14:textId="77777777" w:rsidR="004D2653" w:rsidRPr="00992F81" w:rsidRDefault="004D2653" w:rsidP="00992F81">
      <w:pPr>
        <w:pStyle w:val="FixListStyle"/>
        <w:spacing w:after="260" w:line="280" w:lineRule="exact"/>
        <w:ind w:right="0"/>
        <w:jc w:val="both"/>
        <w:rPr>
          <w:rFonts w:ascii="Times New Roman" w:hAnsi="Times New Roman"/>
        </w:rPr>
      </w:pPr>
      <w:r w:rsidRPr="00992F81">
        <w:rPr>
          <w:rFonts w:ascii="Times New Roman" w:hAnsi="Times New Roman"/>
        </w:rPr>
        <w:tab/>
        <w:t>Not all of the matters listed in s 4.15(1) will be "of relevance" to every development. There may, for example, be no submissions.</w:t>
      </w:r>
      <w:r w:rsidRPr="00992F81">
        <w:rPr>
          <w:rStyle w:val="FootnoteReference"/>
          <w:rFonts w:ascii="Times New Roman" w:hAnsi="Times New Roman"/>
          <w:sz w:val="24"/>
        </w:rPr>
        <w:footnoteReference w:id="53"/>
      </w:r>
      <w:r w:rsidRPr="00992F81">
        <w:rPr>
          <w:rFonts w:ascii="Times New Roman" w:hAnsi="Times New Roman"/>
        </w:rPr>
        <w:t xml:space="preserve"> </w:t>
      </w:r>
      <w:r w:rsidRPr="00992F81">
        <w:rPr>
          <w:rStyle w:val="cf01"/>
          <w:rFonts w:ascii="Times New Roman" w:hAnsi="Times New Roman" w:cs="Times New Roman"/>
          <w:sz w:val="26"/>
          <w:szCs w:val="26"/>
        </w:rPr>
        <w:t xml:space="preserve">The Commission must therefore, as a preliminary step, determine which of the matters listed in s 4.15(1) are "of relevance" to the development being </w:t>
      </w:r>
      <w:r w:rsidRPr="00992F81">
        <w:rPr>
          <w:rFonts w:ascii="Times New Roman" w:hAnsi="Times New Roman"/>
        </w:rPr>
        <w:t>considered</w:t>
      </w:r>
      <w:r w:rsidRPr="00992F81">
        <w:rPr>
          <w:rStyle w:val="cf01"/>
          <w:rFonts w:ascii="Times New Roman" w:hAnsi="Times New Roman" w:cs="Times New Roman"/>
          <w:sz w:val="26"/>
          <w:szCs w:val="26"/>
        </w:rPr>
        <w:t xml:space="preserve">. The Commission's </w:t>
      </w:r>
      <w:r w:rsidRPr="00992F81">
        <w:rPr>
          <w:rStyle w:val="cf01"/>
          <w:rFonts w:ascii="Times New Roman" w:hAnsi="Times New Roman" w:cs="Times New Roman"/>
          <w:sz w:val="26"/>
          <w:szCs w:val="26"/>
        </w:rPr>
        <w:lastRenderedPageBreak/>
        <w:t>assessment at this preliminary stage is a jurisdictional fact or essential pre</w:t>
      </w:r>
      <w:r>
        <w:rPr>
          <w:rStyle w:val="cf01"/>
          <w:rFonts w:ascii="Times New Roman" w:hAnsi="Times New Roman" w:cs="Times New Roman"/>
          <w:sz w:val="26"/>
          <w:szCs w:val="26"/>
        </w:rPr>
        <w:noBreakHyphen/>
      </w:r>
      <w:r w:rsidRPr="00992F81">
        <w:rPr>
          <w:rStyle w:val="cf01"/>
          <w:rFonts w:ascii="Times New Roman" w:hAnsi="Times New Roman" w:cs="Times New Roman"/>
          <w:sz w:val="26"/>
          <w:szCs w:val="26"/>
        </w:rPr>
        <w:t>condition qualifying the power of the Commission. In this case, all parties accepted that the Commission was correct to conclude that the Resources SEPP and the "likely impacts of [the] development" were "of relevance" within</w:t>
      </w:r>
      <w:r>
        <w:rPr>
          <w:rStyle w:val="cf01"/>
          <w:rFonts w:ascii="Times New Roman" w:hAnsi="Times New Roman" w:cs="Times New Roman"/>
          <w:sz w:val="26"/>
          <w:szCs w:val="26"/>
        </w:rPr>
        <w:t> </w:t>
      </w:r>
      <w:r w:rsidRPr="00992F81">
        <w:rPr>
          <w:rStyle w:val="cf01"/>
          <w:rFonts w:ascii="Times New Roman" w:hAnsi="Times New Roman" w:cs="Times New Roman"/>
          <w:sz w:val="26"/>
          <w:szCs w:val="26"/>
        </w:rPr>
        <w:t>s 4.15(1)(a)(i) and (b) respectively.</w:t>
      </w:r>
    </w:p>
    <w:p w14:paraId="012E106C" w14:textId="77777777" w:rsidR="004D2653" w:rsidRPr="00992F81" w:rsidRDefault="004D2653" w:rsidP="00992F81">
      <w:pPr>
        <w:pStyle w:val="FixListStyle"/>
        <w:spacing w:after="260" w:line="280" w:lineRule="exact"/>
        <w:ind w:right="0"/>
        <w:jc w:val="both"/>
        <w:rPr>
          <w:rFonts w:ascii="Times New Roman" w:hAnsi="Times New Roman"/>
        </w:rPr>
      </w:pPr>
      <w:r w:rsidRPr="00992F81">
        <w:rPr>
          <w:rFonts w:ascii="Times New Roman" w:hAnsi="Times New Roman"/>
        </w:rPr>
        <w:tab/>
      </w:r>
      <w:r w:rsidRPr="00992F81" w:rsidDel="00655714">
        <w:rPr>
          <w:rFonts w:ascii="Times New Roman" w:hAnsi="Times New Roman"/>
        </w:rPr>
        <w:t>That obligation to "take into consideration" the matters listed in s 4.15(1) is</w:t>
      </w:r>
      <w:r>
        <w:rPr>
          <w:rFonts w:ascii="Times New Roman" w:hAnsi="Times New Roman"/>
        </w:rPr>
        <w:t> </w:t>
      </w:r>
      <w:r w:rsidRPr="00992F81" w:rsidDel="00655714">
        <w:rPr>
          <w:rFonts w:ascii="Times New Roman" w:hAnsi="Times New Roman"/>
        </w:rPr>
        <w:t>properly construed as an obligation to take those matters "into account and to give weight to them as a fundamental element" in making the determination.</w:t>
      </w:r>
      <w:r w:rsidRPr="00992F81">
        <w:rPr>
          <w:rStyle w:val="FootnoteReference"/>
          <w:rFonts w:ascii="Times New Roman" w:hAnsi="Times New Roman"/>
          <w:sz w:val="24"/>
        </w:rPr>
        <w:footnoteReference w:id="54"/>
      </w:r>
      <w:r w:rsidRPr="00992F81" w:rsidDel="00655714">
        <w:rPr>
          <w:rFonts w:ascii="Times New Roman" w:hAnsi="Times New Roman"/>
        </w:rPr>
        <w:t xml:space="preserve"> </w:t>
      </w:r>
      <w:r w:rsidRPr="00992F81">
        <w:rPr>
          <w:rFonts w:ascii="Times New Roman" w:hAnsi="Times New Roman"/>
        </w:rPr>
        <w:t>Given that there is no statutory indication of the weight to be given to the various matters, it is for the decision-maker and not the court to determine the appropriate weight to be given to the relevant matters,</w:t>
      </w:r>
      <w:r w:rsidRPr="00992F81">
        <w:rPr>
          <w:rStyle w:val="FootnoteReference"/>
          <w:rFonts w:ascii="Times New Roman" w:hAnsi="Times New Roman"/>
          <w:sz w:val="24"/>
        </w:rPr>
        <w:footnoteReference w:id="55"/>
      </w:r>
      <w:r w:rsidRPr="00992F81">
        <w:rPr>
          <w:rFonts w:ascii="Times New Roman" w:hAnsi="Times New Roman"/>
        </w:rPr>
        <w:t xml:space="preserve"> although that determination will be subject to an implied requirement of reasonableness.</w:t>
      </w:r>
      <w:r w:rsidRPr="00992F81">
        <w:rPr>
          <w:rStyle w:val="FootnoteReference"/>
          <w:rFonts w:ascii="Times New Roman" w:hAnsi="Times New Roman"/>
          <w:sz w:val="24"/>
        </w:rPr>
        <w:footnoteReference w:id="56"/>
      </w:r>
      <w:r w:rsidRPr="00992F81">
        <w:rPr>
          <w:rFonts w:ascii="Times New Roman" w:hAnsi="Times New Roman"/>
        </w:rPr>
        <w:t xml:space="preserve"> As Beech-Jones JA said in relation to the construction of s 4.15(1)(a) of the EPA Act in </w:t>
      </w:r>
      <w:r w:rsidRPr="00992F81">
        <w:rPr>
          <w:rFonts w:ascii="Times New Roman" w:hAnsi="Times New Roman"/>
          <w:i/>
          <w:iCs/>
        </w:rPr>
        <w:t>Ross v Lane</w:t>
      </w:r>
      <w:r w:rsidRPr="00992F81">
        <w:rPr>
          <w:rFonts w:ascii="Times New Roman" w:hAnsi="Times New Roman"/>
        </w:rPr>
        <w:t>:</w:t>
      </w:r>
      <w:r w:rsidRPr="00992F81">
        <w:rPr>
          <w:rStyle w:val="FootnoteReference"/>
          <w:rFonts w:ascii="Times New Roman" w:hAnsi="Times New Roman"/>
          <w:sz w:val="24"/>
        </w:rPr>
        <w:footnoteReference w:id="57"/>
      </w:r>
      <w:r w:rsidRPr="00992F81">
        <w:rPr>
          <w:rFonts w:ascii="Times New Roman" w:hAnsi="Times New Roman"/>
        </w:rPr>
        <w:t xml:space="preserve"> </w:t>
      </w:r>
    </w:p>
    <w:p w14:paraId="5F38A632" w14:textId="77777777" w:rsidR="004D2653" w:rsidRDefault="004D2653" w:rsidP="00992F81">
      <w:pPr>
        <w:pStyle w:val="leftright"/>
        <w:spacing w:before="0" w:after="260" w:line="280" w:lineRule="exact"/>
        <w:ind w:right="0"/>
        <w:jc w:val="both"/>
        <w:rPr>
          <w:rFonts w:ascii="Times New Roman" w:hAnsi="Times New Roman"/>
        </w:rPr>
      </w:pPr>
      <w:r w:rsidRPr="00992F81">
        <w:rPr>
          <w:rFonts w:ascii="Times New Roman" w:eastAsia="Calibri" w:hAnsi="Times New Roman"/>
        </w:rPr>
        <w:t>"Section 4.15(1)(a)(i) only requires that the consent authority 'take into consideration' the provisions of the relevant environmental planning instrument. A statutory requirement to 'take into account' a factor in making an administrative decision means it must be 'give[n] weight … as</w:t>
      </w:r>
      <w:r>
        <w:rPr>
          <w:rFonts w:ascii="Times New Roman" w:eastAsia="Calibri" w:hAnsi="Times New Roman"/>
        </w:rPr>
        <w:t> </w:t>
      </w:r>
      <w:r w:rsidRPr="00992F81">
        <w:rPr>
          <w:rFonts w:ascii="Times New Roman" w:eastAsia="Calibri" w:hAnsi="Times New Roman"/>
        </w:rPr>
        <w:t>a</w:t>
      </w:r>
      <w:r>
        <w:rPr>
          <w:rFonts w:ascii="Times New Roman" w:eastAsia="Calibri" w:hAnsi="Times New Roman"/>
        </w:rPr>
        <w:t> </w:t>
      </w:r>
      <w:r w:rsidRPr="00992F81">
        <w:rPr>
          <w:rFonts w:ascii="Times New Roman" w:eastAsia="Calibri" w:hAnsi="Times New Roman"/>
        </w:rPr>
        <w:t>fundamental element in making' the relevant determination (</w:t>
      </w:r>
      <w:r w:rsidRPr="00992F81">
        <w:rPr>
          <w:rFonts w:ascii="Times New Roman" w:eastAsia="Calibri" w:hAnsi="Times New Roman"/>
          <w:i/>
        </w:rPr>
        <w:t xml:space="preserve">R v Hunt; Ex parte Sean Investments Pty Ltd </w:t>
      </w:r>
      <w:r w:rsidRPr="00992F81">
        <w:rPr>
          <w:rFonts w:ascii="Times New Roman" w:eastAsia="Calibri" w:hAnsi="Times New Roman"/>
        </w:rPr>
        <w:t>(1979) 180 CLR 322 at 329 per Mason</w:t>
      </w:r>
      <w:r>
        <w:rPr>
          <w:rFonts w:ascii="Times New Roman" w:eastAsia="Calibri" w:hAnsi="Times New Roman"/>
        </w:rPr>
        <w:t> </w:t>
      </w:r>
      <w:r w:rsidRPr="00992F81">
        <w:rPr>
          <w:rFonts w:ascii="Times New Roman" w:eastAsia="Calibri" w:hAnsi="Times New Roman"/>
        </w:rPr>
        <w:t>J). A statutory requirement to take an instrument 'into consideration' is not relevantly different. However, neither phrase requires the</w:t>
      </w:r>
      <w:r>
        <w:rPr>
          <w:rFonts w:ascii="Times New Roman" w:eastAsia="Calibri" w:hAnsi="Times New Roman"/>
        </w:rPr>
        <w:t> </w:t>
      </w:r>
      <w:r w:rsidRPr="00992F81">
        <w:rPr>
          <w:rFonts w:ascii="Times New Roman" w:eastAsia="Calibri" w:hAnsi="Times New Roman"/>
        </w:rPr>
        <w:t>decision</w:t>
      </w:r>
      <w:r>
        <w:rPr>
          <w:rFonts w:ascii="Times New Roman" w:eastAsia="Calibri" w:hAnsi="Times New Roman"/>
        </w:rPr>
        <w:noBreakHyphen/>
      </w:r>
      <w:r w:rsidRPr="00992F81">
        <w:rPr>
          <w:rFonts w:ascii="Times New Roman" w:eastAsia="Calibri" w:hAnsi="Times New Roman"/>
        </w:rPr>
        <w:t>maker to apply the instrument as though it were a binding statute."</w:t>
      </w:r>
    </w:p>
    <w:p w14:paraId="1B4CB764" w14:textId="77777777" w:rsidR="004D2653" w:rsidRPr="00992F81" w:rsidRDefault="004D2653" w:rsidP="00992F81">
      <w:pPr>
        <w:pStyle w:val="FixListStyle"/>
        <w:spacing w:after="260" w:line="280" w:lineRule="exact"/>
        <w:ind w:right="0"/>
        <w:jc w:val="both"/>
        <w:rPr>
          <w:rFonts w:ascii="Times New Roman" w:hAnsi="Times New Roman"/>
        </w:rPr>
      </w:pPr>
      <w:r w:rsidRPr="00992F81">
        <w:rPr>
          <w:rFonts w:ascii="Times New Roman" w:hAnsi="Times New Roman"/>
        </w:rPr>
        <w:tab/>
        <w:t>Section 4.15(1)(a)(i) of the EPA Act requires a consent authority to "take</w:t>
      </w:r>
      <w:r>
        <w:rPr>
          <w:rFonts w:ascii="Times New Roman" w:hAnsi="Times New Roman"/>
        </w:rPr>
        <w:t> </w:t>
      </w:r>
      <w:r w:rsidRPr="00992F81">
        <w:rPr>
          <w:rFonts w:ascii="Times New Roman" w:hAnsi="Times New Roman"/>
        </w:rPr>
        <w:t>into consideration" the provisions of "any environmental planning instrument". The Resources SEPP is an "environmental planning instrument ... that</w:t>
      </w:r>
      <w:r>
        <w:rPr>
          <w:rFonts w:ascii="Times New Roman" w:hAnsi="Times New Roman"/>
        </w:rPr>
        <w:t> </w:t>
      </w:r>
      <w:r w:rsidRPr="00992F81">
        <w:rPr>
          <w:rFonts w:ascii="Times New Roman" w:hAnsi="Times New Roman"/>
        </w:rPr>
        <w:t>[applies] to the land to which the development application relates" for</w:t>
      </w:r>
      <w:r>
        <w:rPr>
          <w:rFonts w:ascii="Times New Roman" w:hAnsi="Times New Roman"/>
        </w:rPr>
        <w:t> </w:t>
      </w:r>
      <w:r w:rsidRPr="00992F81">
        <w:rPr>
          <w:rFonts w:ascii="Times New Roman" w:hAnsi="Times New Roman"/>
        </w:rPr>
        <w:t>the</w:t>
      </w:r>
      <w:r>
        <w:rPr>
          <w:rFonts w:ascii="Times New Roman" w:hAnsi="Times New Roman"/>
        </w:rPr>
        <w:t> </w:t>
      </w:r>
      <w:r w:rsidRPr="00992F81">
        <w:rPr>
          <w:rFonts w:ascii="Times New Roman" w:hAnsi="Times New Roman"/>
        </w:rPr>
        <w:t>purposes of the EPA Act.</w:t>
      </w:r>
      <w:r w:rsidRPr="00992F81">
        <w:rPr>
          <w:rStyle w:val="FootnoteReference"/>
          <w:rFonts w:ascii="Times New Roman" w:hAnsi="Times New Roman"/>
          <w:sz w:val="24"/>
        </w:rPr>
        <w:footnoteReference w:id="58"/>
      </w:r>
      <w:r w:rsidRPr="00992F81">
        <w:rPr>
          <w:rFonts w:ascii="Times New Roman" w:hAnsi="Times New Roman"/>
        </w:rPr>
        <w:t xml:space="preserve"> </w:t>
      </w:r>
    </w:p>
    <w:p w14:paraId="6924337E" w14:textId="77777777" w:rsidR="004D2653" w:rsidRPr="00992F81" w:rsidRDefault="004D2653" w:rsidP="007F26B4">
      <w:pPr>
        <w:pStyle w:val="FixListStyle"/>
        <w:keepNext/>
        <w:spacing w:after="260" w:line="280" w:lineRule="exact"/>
        <w:ind w:right="0"/>
        <w:jc w:val="both"/>
        <w:rPr>
          <w:rFonts w:ascii="Times New Roman" w:hAnsi="Times New Roman"/>
        </w:rPr>
      </w:pPr>
      <w:r w:rsidRPr="00992F81">
        <w:rPr>
          <w:rFonts w:ascii="Times New Roman" w:hAnsi="Times New Roman"/>
        </w:rPr>
        <w:lastRenderedPageBreak/>
        <w:tab/>
        <w:t>Clause 2.20 of the Resources SEPP provides:</w:t>
      </w:r>
      <w:r w:rsidRPr="00992F81" w:rsidDel="00FC7939">
        <w:rPr>
          <w:rFonts w:ascii="Times New Roman" w:hAnsi="Times New Roman"/>
        </w:rPr>
        <w:t xml:space="preserve"> </w:t>
      </w:r>
    </w:p>
    <w:p w14:paraId="2CD86382" w14:textId="77777777" w:rsidR="004D2653" w:rsidRPr="00992F81" w:rsidRDefault="004D2653" w:rsidP="00992F81">
      <w:pPr>
        <w:pStyle w:val="leftright"/>
        <w:spacing w:before="0" w:after="260" w:line="280" w:lineRule="exact"/>
        <w:ind w:left="1440" w:right="0" w:hanging="720"/>
        <w:jc w:val="both"/>
        <w:rPr>
          <w:rFonts w:ascii="Times New Roman" w:hAnsi="Times New Roman"/>
        </w:rPr>
      </w:pPr>
      <w:r w:rsidRPr="00992F81">
        <w:rPr>
          <w:rFonts w:ascii="Times New Roman" w:hAnsi="Times New Roman"/>
        </w:rPr>
        <w:t xml:space="preserve">"(1) </w:t>
      </w:r>
      <w:r w:rsidRPr="00992F81">
        <w:rPr>
          <w:rFonts w:ascii="Times New Roman" w:hAnsi="Times New Roman"/>
        </w:rPr>
        <w:tab/>
        <w:t xml:space="preserve">Before granting consent for development for the purposes of mining, petroleum production or extractive industry, </w:t>
      </w:r>
      <w:r w:rsidRPr="00992F81">
        <w:rPr>
          <w:rFonts w:ascii="Times New Roman" w:hAnsi="Times New Roman"/>
          <w:i/>
          <w:iCs/>
        </w:rPr>
        <w:t>the consent authority must consider whether or not the consent should be issued subject to conditions aimed at ensuring that the development is undertaken in an environmentally responsible manner, including conditions to ensure the following</w:t>
      </w:r>
      <w:r w:rsidRPr="00992F81">
        <w:rPr>
          <w:rFonts w:ascii="Times New Roman" w:hAnsi="Times New Roman"/>
        </w:rPr>
        <w:t xml:space="preserve"> </w:t>
      </w:r>
      <w:r>
        <w:rPr>
          <w:rFonts w:ascii="Times New Roman" w:hAnsi="Times New Roman"/>
        </w:rPr>
        <w:t>–</w:t>
      </w:r>
    </w:p>
    <w:p w14:paraId="046E39F0" w14:textId="77777777" w:rsidR="004D2653" w:rsidRPr="00992F81" w:rsidRDefault="004D2653" w:rsidP="00992F81">
      <w:pPr>
        <w:pStyle w:val="leftright"/>
        <w:spacing w:before="0" w:after="260" w:line="280" w:lineRule="exact"/>
        <w:ind w:left="2160" w:right="0" w:hanging="720"/>
        <w:jc w:val="both"/>
        <w:rPr>
          <w:rFonts w:ascii="Times New Roman" w:hAnsi="Times New Roman"/>
        </w:rPr>
      </w:pPr>
      <w:r w:rsidRPr="00992F81">
        <w:rPr>
          <w:rFonts w:ascii="Times New Roman" w:hAnsi="Times New Roman"/>
        </w:rPr>
        <w:t xml:space="preserve">(a) </w:t>
      </w:r>
      <w:r w:rsidRPr="00992F81">
        <w:rPr>
          <w:rFonts w:ascii="Times New Roman" w:hAnsi="Times New Roman"/>
        </w:rPr>
        <w:tab/>
        <w:t xml:space="preserve">that impacts on significant water resources, including surface and groundwater resources, are avoided, or are minimised to the greatest extent practicable, </w:t>
      </w:r>
    </w:p>
    <w:p w14:paraId="13B15926" w14:textId="77777777" w:rsidR="004D2653" w:rsidRPr="00992F81" w:rsidRDefault="004D2653" w:rsidP="00992F81">
      <w:pPr>
        <w:pStyle w:val="leftright"/>
        <w:spacing w:before="0" w:after="260" w:line="280" w:lineRule="exact"/>
        <w:ind w:left="2160" w:right="0" w:hanging="720"/>
        <w:jc w:val="both"/>
        <w:rPr>
          <w:rFonts w:ascii="Times New Roman" w:hAnsi="Times New Roman"/>
        </w:rPr>
      </w:pPr>
      <w:r w:rsidRPr="00992F81">
        <w:rPr>
          <w:rFonts w:ascii="Times New Roman" w:hAnsi="Times New Roman"/>
        </w:rPr>
        <w:t xml:space="preserve">(b) </w:t>
      </w:r>
      <w:r w:rsidRPr="00992F81">
        <w:rPr>
          <w:rFonts w:ascii="Times New Roman" w:hAnsi="Times New Roman"/>
        </w:rPr>
        <w:tab/>
        <w:t>that impacts on threatened species and biodiversity, are</w:t>
      </w:r>
      <w:r>
        <w:rPr>
          <w:rFonts w:ascii="Times New Roman" w:hAnsi="Times New Roman"/>
        </w:rPr>
        <w:t> </w:t>
      </w:r>
      <w:r w:rsidRPr="00992F81">
        <w:rPr>
          <w:rFonts w:ascii="Times New Roman" w:hAnsi="Times New Roman"/>
        </w:rPr>
        <w:t>avoided, or are minimised to the greatest extent practicable,</w:t>
      </w:r>
    </w:p>
    <w:p w14:paraId="15B5B9AF" w14:textId="77777777" w:rsidR="004D2653" w:rsidRPr="00992F81" w:rsidRDefault="004D2653" w:rsidP="00992F81">
      <w:pPr>
        <w:pStyle w:val="leftright"/>
        <w:spacing w:before="0" w:after="260" w:line="280" w:lineRule="exact"/>
        <w:ind w:left="2160" w:right="0" w:hanging="720"/>
        <w:jc w:val="both"/>
        <w:rPr>
          <w:rFonts w:ascii="Times New Roman" w:hAnsi="Times New Roman"/>
        </w:rPr>
      </w:pPr>
      <w:r w:rsidRPr="00992F81">
        <w:rPr>
          <w:rFonts w:ascii="Times New Roman" w:hAnsi="Times New Roman"/>
        </w:rPr>
        <w:t xml:space="preserve">(c) </w:t>
      </w:r>
      <w:r w:rsidRPr="00992F81">
        <w:rPr>
          <w:rFonts w:ascii="Times New Roman" w:hAnsi="Times New Roman"/>
        </w:rPr>
        <w:tab/>
      </w:r>
      <w:r w:rsidRPr="00992F81">
        <w:rPr>
          <w:rFonts w:ascii="Times New Roman" w:hAnsi="Times New Roman"/>
          <w:i/>
          <w:iCs/>
        </w:rPr>
        <w:t>that greenhouse gas emissions are minimised to the greatest extent practicable.</w:t>
      </w:r>
    </w:p>
    <w:p w14:paraId="77A12EDC" w14:textId="77777777" w:rsidR="004D2653" w:rsidRDefault="004D2653" w:rsidP="00992F81">
      <w:pPr>
        <w:pStyle w:val="leftright"/>
        <w:spacing w:before="0" w:after="260" w:line="280" w:lineRule="exact"/>
        <w:ind w:left="1440" w:right="0" w:hanging="720"/>
        <w:jc w:val="both"/>
        <w:rPr>
          <w:rFonts w:ascii="Times New Roman" w:hAnsi="Times New Roman"/>
        </w:rPr>
      </w:pPr>
      <w:r w:rsidRPr="00992F81">
        <w:rPr>
          <w:rFonts w:ascii="Times New Roman" w:hAnsi="Times New Roman"/>
        </w:rPr>
        <w:t xml:space="preserve">(2) </w:t>
      </w:r>
      <w:r w:rsidRPr="00992F81">
        <w:rPr>
          <w:rFonts w:ascii="Times New Roman" w:hAnsi="Times New Roman"/>
        </w:rPr>
        <w:tab/>
        <w:t>Without limiting [cl 2.20(1)], in determining a development application for development for the purposes of mining, petroleum</w:t>
      </w:r>
      <w:r>
        <w:rPr>
          <w:rFonts w:ascii="Times New Roman" w:hAnsi="Times New Roman"/>
        </w:rPr>
        <w:t> </w:t>
      </w:r>
      <w:r w:rsidRPr="00992F81">
        <w:rPr>
          <w:rFonts w:ascii="Times New Roman" w:hAnsi="Times New Roman"/>
        </w:rPr>
        <w:t xml:space="preserve">production or extractive industry, </w:t>
      </w:r>
      <w:r w:rsidRPr="00992F81">
        <w:rPr>
          <w:rFonts w:ascii="Times New Roman" w:hAnsi="Times New Roman"/>
          <w:i/>
          <w:iCs/>
        </w:rPr>
        <w:t xml:space="preserve">the consent authority must consider </w:t>
      </w:r>
      <w:r w:rsidRPr="00992F81">
        <w:rPr>
          <w:rFonts w:ascii="Times New Roman" w:hAnsi="Times New Roman"/>
          <w:i/>
        </w:rPr>
        <w:t>an assessment of the greenhouse gas emissions (including downstream emissions) of the development</w:t>
      </w:r>
      <w:r w:rsidRPr="00992F81">
        <w:rPr>
          <w:rFonts w:ascii="Times New Roman" w:hAnsi="Times New Roman"/>
          <w:i/>
          <w:iCs/>
        </w:rPr>
        <w:t>, and must do so having regard to any applicable State or national policies, programs or guidelines concerning greenhouse gas emissions</w:t>
      </w:r>
      <w:r w:rsidRPr="00992F81">
        <w:rPr>
          <w:rFonts w:ascii="Times New Roman" w:hAnsi="Times New Roman"/>
        </w:rPr>
        <w:t>." (emphasis added)</w:t>
      </w:r>
    </w:p>
    <w:p w14:paraId="7D8FA847" w14:textId="77777777" w:rsidR="004D2653" w:rsidRPr="00992F81" w:rsidRDefault="004D2653" w:rsidP="00992F81">
      <w:pPr>
        <w:pStyle w:val="NormalBody"/>
        <w:spacing w:after="260" w:line="280" w:lineRule="exact"/>
        <w:ind w:right="0"/>
        <w:jc w:val="both"/>
        <w:rPr>
          <w:rFonts w:ascii="Times New Roman" w:hAnsi="Times New Roman"/>
        </w:rPr>
      </w:pPr>
      <w:r w:rsidRPr="00992F81">
        <w:rPr>
          <w:rFonts w:ascii="Times New Roman" w:hAnsi="Times New Roman"/>
        </w:rPr>
        <w:t>As will be explained, the "assessment of the greenhouse gas emissions (including</w:t>
      </w:r>
      <w:r>
        <w:rPr>
          <w:rFonts w:ascii="Times New Roman" w:hAnsi="Times New Roman"/>
        </w:rPr>
        <w:t> </w:t>
      </w:r>
      <w:r w:rsidRPr="00992F81">
        <w:rPr>
          <w:rFonts w:ascii="Times New Roman" w:hAnsi="Times New Roman"/>
        </w:rPr>
        <w:t>downstream emissions) of the development" is in MACH's EIS and, in</w:t>
      </w:r>
      <w:r>
        <w:rPr>
          <w:rFonts w:ascii="Times New Roman" w:hAnsi="Times New Roman"/>
        </w:rPr>
        <w:t> </w:t>
      </w:r>
      <w:r w:rsidRPr="00992F81">
        <w:rPr>
          <w:rFonts w:ascii="Times New Roman" w:hAnsi="Times New Roman"/>
        </w:rPr>
        <w:t>particular, in the Greenhouse Gas Assessment ("the GHG Assessment") attached to the EIS as Appendix S and which was summarised in Sections 7.21 and 8 of the EIS.</w:t>
      </w:r>
    </w:p>
    <w:p w14:paraId="0B379D76" w14:textId="77777777" w:rsidR="004D2653" w:rsidRPr="00992F81" w:rsidRDefault="004D2653" w:rsidP="00992F81">
      <w:pPr>
        <w:pStyle w:val="FixListStyle"/>
        <w:spacing w:after="260" w:line="280" w:lineRule="exact"/>
        <w:ind w:right="0"/>
        <w:jc w:val="both"/>
        <w:rPr>
          <w:rFonts w:ascii="Times New Roman" w:hAnsi="Times New Roman"/>
        </w:rPr>
      </w:pPr>
      <w:r w:rsidRPr="00992F81">
        <w:rPr>
          <w:rFonts w:ascii="Times New Roman" w:hAnsi="Times New Roman"/>
        </w:rPr>
        <w:tab/>
        <w:t>The next section of this judgment addresses the facts, including the contents of the EIS, the assessment report of the Department of Planning and Environment ("the Department") and the Commission's consent and statement of reasons. Given</w:t>
      </w:r>
      <w:r>
        <w:rPr>
          <w:rFonts w:ascii="Times New Roman" w:hAnsi="Times New Roman"/>
        </w:rPr>
        <w:t> </w:t>
      </w:r>
      <w:r w:rsidRPr="00992F81">
        <w:rPr>
          <w:rFonts w:ascii="Times New Roman" w:hAnsi="Times New Roman"/>
        </w:rPr>
        <w:t xml:space="preserve">the issues raised it is necessary to set out each of those documents in some detail. Each of the three issues is then addressed in turn. </w:t>
      </w:r>
    </w:p>
    <w:p w14:paraId="6FA08078" w14:textId="77777777" w:rsidR="004D2653" w:rsidRPr="00992F81" w:rsidRDefault="004D2653" w:rsidP="00992F81">
      <w:pPr>
        <w:pStyle w:val="HeadingL1"/>
        <w:spacing w:after="260" w:line="280" w:lineRule="exact"/>
        <w:ind w:right="0"/>
        <w:jc w:val="both"/>
        <w:rPr>
          <w:rFonts w:ascii="Times New Roman" w:hAnsi="Times New Roman"/>
        </w:rPr>
      </w:pPr>
      <w:r w:rsidRPr="00992F81">
        <w:rPr>
          <w:rFonts w:ascii="Times New Roman" w:hAnsi="Times New Roman"/>
        </w:rPr>
        <w:t>Facts</w:t>
      </w:r>
    </w:p>
    <w:p w14:paraId="7B6D7C2B" w14:textId="77777777" w:rsidR="004D2653" w:rsidRPr="00992F81" w:rsidRDefault="004D2653" w:rsidP="00992F81">
      <w:pPr>
        <w:pStyle w:val="HeadingL2"/>
        <w:spacing w:after="260" w:line="280" w:lineRule="exact"/>
        <w:ind w:right="0"/>
        <w:jc w:val="both"/>
        <w:rPr>
          <w:rFonts w:ascii="Times New Roman" w:hAnsi="Times New Roman"/>
        </w:rPr>
      </w:pPr>
      <w:r w:rsidRPr="00992F81">
        <w:rPr>
          <w:rFonts w:ascii="Times New Roman" w:hAnsi="Times New Roman"/>
        </w:rPr>
        <w:t xml:space="preserve">Mount Pleasant coal mine </w:t>
      </w:r>
    </w:p>
    <w:p w14:paraId="32417223" w14:textId="77777777" w:rsidR="004D2653" w:rsidRPr="00992F81" w:rsidRDefault="004D2653" w:rsidP="00992F81">
      <w:pPr>
        <w:pStyle w:val="FixListStyle"/>
        <w:spacing w:after="260" w:line="280" w:lineRule="exact"/>
        <w:ind w:right="0"/>
        <w:jc w:val="both"/>
        <w:rPr>
          <w:rFonts w:ascii="Times New Roman" w:hAnsi="Times New Roman"/>
        </w:rPr>
      </w:pPr>
      <w:r w:rsidRPr="00992F81">
        <w:rPr>
          <w:rFonts w:ascii="Times New Roman" w:hAnsi="Times New Roman"/>
        </w:rPr>
        <w:tab/>
        <w:t xml:space="preserve">Development consent for the mine was first granted on 22 December 1999 and has since been the subject of five modifications, with the most recent </w:t>
      </w:r>
      <w:r w:rsidRPr="00992F81">
        <w:rPr>
          <w:rFonts w:ascii="Times New Roman" w:hAnsi="Times New Roman"/>
        </w:rPr>
        <w:lastRenderedPageBreak/>
        <w:t>modification granted on 29 June 2022. The existing consent authorises the</w:t>
      </w:r>
      <w:r>
        <w:rPr>
          <w:rFonts w:ascii="Times New Roman" w:hAnsi="Times New Roman"/>
        </w:rPr>
        <w:t> </w:t>
      </w:r>
      <w:r w:rsidRPr="00992F81">
        <w:rPr>
          <w:rFonts w:ascii="Times New Roman" w:hAnsi="Times New Roman"/>
        </w:rPr>
        <w:t xml:space="preserve">extraction of up to 10.5 million tonnes ("Mt") per annum of run-of-mine coal, until 22 December 2026. </w:t>
      </w:r>
      <w:r w:rsidRPr="00992F81">
        <w:rPr>
          <w:rFonts w:ascii="Times New Roman" w:hAnsi="Times New Roman"/>
          <w:bCs/>
        </w:rPr>
        <w:t>MACH purchased the mine in 2016 and commenced mining in 2018.</w:t>
      </w:r>
    </w:p>
    <w:p w14:paraId="13C46D94" w14:textId="77777777" w:rsidR="004D2653" w:rsidRPr="00992F81" w:rsidRDefault="004D2653" w:rsidP="00992F81">
      <w:pPr>
        <w:pStyle w:val="HeadingL2"/>
        <w:spacing w:after="260" w:line="280" w:lineRule="exact"/>
        <w:ind w:right="0"/>
        <w:jc w:val="both"/>
        <w:rPr>
          <w:rFonts w:ascii="Times New Roman" w:hAnsi="Times New Roman"/>
        </w:rPr>
      </w:pPr>
      <w:r w:rsidRPr="00992F81">
        <w:rPr>
          <w:rFonts w:ascii="Times New Roman" w:hAnsi="Times New Roman"/>
        </w:rPr>
        <w:t>Project, the EIS and the GHG Assessment</w:t>
      </w:r>
    </w:p>
    <w:p w14:paraId="71AC7777" w14:textId="77777777" w:rsidR="004D2653" w:rsidRPr="00992F81" w:rsidRDefault="004D2653" w:rsidP="00992F81">
      <w:pPr>
        <w:pStyle w:val="FixListStyle"/>
        <w:spacing w:after="260" w:line="280" w:lineRule="exact"/>
        <w:ind w:right="0"/>
        <w:jc w:val="both"/>
        <w:rPr>
          <w:rFonts w:ascii="Times New Roman" w:hAnsi="Times New Roman"/>
        </w:rPr>
      </w:pPr>
      <w:r w:rsidRPr="00992F81">
        <w:rPr>
          <w:rFonts w:ascii="Times New Roman" w:hAnsi="Times New Roman"/>
        </w:rPr>
        <w:tab/>
        <w:t>On 19 January 2021, MACH lodged a "State significant development" application</w:t>
      </w:r>
      <w:r w:rsidRPr="00992F81">
        <w:rPr>
          <w:rStyle w:val="FootnoteReference"/>
          <w:rFonts w:ascii="Times New Roman" w:hAnsi="Times New Roman"/>
          <w:sz w:val="24"/>
        </w:rPr>
        <w:footnoteReference w:id="59"/>
      </w:r>
      <w:r w:rsidRPr="00992F81">
        <w:rPr>
          <w:rFonts w:ascii="Times New Roman" w:hAnsi="Times New Roman"/>
        </w:rPr>
        <w:t xml:space="preserve"> for the Mount Pleasant Optimisation Project ("the Project"). The</w:t>
      </w:r>
      <w:r>
        <w:rPr>
          <w:rFonts w:ascii="Times New Roman" w:hAnsi="Times New Roman"/>
        </w:rPr>
        <w:t> </w:t>
      </w:r>
      <w:r w:rsidRPr="00992F81">
        <w:rPr>
          <w:rFonts w:ascii="Times New Roman" w:hAnsi="Times New Roman"/>
        </w:rPr>
        <w:t>application sought to: (1) extend the life of the mine by 22 years to 22</w:t>
      </w:r>
      <w:r>
        <w:rPr>
          <w:rFonts w:ascii="Times New Roman" w:hAnsi="Times New Roman"/>
        </w:rPr>
        <w:t> </w:t>
      </w:r>
      <w:r w:rsidRPr="00992F81">
        <w:rPr>
          <w:rFonts w:ascii="Times New Roman" w:hAnsi="Times New Roman"/>
        </w:rPr>
        <w:t>December 2048; and (2) deepen part of the open cut mining area, allowing for an increase in the mine's peak annual production rate from 10.5 to 21 Mt per annum of run-of-mine coal.</w:t>
      </w:r>
    </w:p>
    <w:p w14:paraId="007012FC" w14:textId="77777777" w:rsidR="004D2653" w:rsidRPr="00992F81" w:rsidRDefault="004D2653" w:rsidP="00992F81">
      <w:pPr>
        <w:pStyle w:val="FixListStyle"/>
        <w:spacing w:after="260" w:line="280" w:lineRule="exact"/>
        <w:ind w:right="0"/>
        <w:jc w:val="both"/>
        <w:rPr>
          <w:rFonts w:ascii="Times New Roman" w:hAnsi="Times New Roman"/>
        </w:rPr>
      </w:pPr>
      <w:r w:rsidRPr="00992F81">
        <w:rPr>
          <w:rFonts w:ascii="Times New Roman" w:hAnsi="Times New Roman"/>
        </w:rPr>
        <w:tab/>
        <w:t xml:space="preserve">On 22 January 2021, MACH lodged an </w:t>
      </w:r>
      <w:r w:rsidRPr="00992F81">
        <w:rPr>
          <w:rFonts w:ascii="Times New Roman" w:hAnsi="Times New Roman"/>
          <w:bCs/>
        </w:rPr>
        <w:t>EIS</w:t>
      </w:r>
      <w:r w:rsidRPr="00992F81">
        <w:rPr>
          <w:rFonts w:ascii="Times New Roman" w:hAnsi="Times New Roman"/>
        </w:rPr>
        <w:t xml:space="preserve"> with the Department. </w:t>
      </w:r>
      <w:r w:rsidRPr="00F9137B">
        <w:rPr>
          <w:rFonts w:ascii="Times New Roman" w:hAnsi="Times New Roman"/>
          <w:spacing w:val="-2"/>
        </w:rPr>
        <w:t>For the purposes of this appeal, the critical section of the EIS is Section 7.21 (headed "Greenhouse Gas Emissions"), which is part of the "Environmental Assessment" in Section 7. Section 7.21 summarised, and was</w:t>
      </w:r>
      <w:r w:rsidRPr="00992F81">
        <w:rPr>
          <w:rFonts w:ascii="Times New Roman" w:hAnsi="Times New Roman"/>
        </w:rPr>
        <w:t xml:space="preserve"> to be read with, the GHG Assessment, which provided an "assessment of the potential greenhouse gas emissions and climate change impacts of the Project, and potential impacts of climate change on the Project".</w:t>
      </w:r>
      <w:r w:rsidRPr="00992F81">
        <w:rPr>
          <w:rStyle w:val="FootnoteReference"/>
          <w:rFonts w:ascii="Times New Roman" w:hAnsi="Times New Roman"/>
          <w:bCs/>
          <w:sz w:val="24"/>
        </w:rPr>
        <w:footnoteReference w:id="60"/>
      </w:r>
      <w:r w:rsidRPr="00992F81">
        <w:rPr>
          <w:rFonts w:ascii="Times New Roman" w:hAnsi="Times New Roman"/>
        </w:rPr>
        <w:t xml:space="preserve"> The conclusions in Section 7.21 were further summarised in Section</w:t>
      </w:r>
      <w:r>
        <w:rPr>
          <w:rFonts w:ascii="Times New Roman" w:hAnsi="Times New Roman"/>
        </w:rPr>
        <w:t> </w:t>
      </w:r>
      <w:r w:rsidRPr="00992F81">
        <w:rPr>
          <w:rFonts w:ascii="Times New Roman" w:hAnsi="Times New Roman"/>
        </w:rPr>
        <w:t>8 of the EIS (headed "Evaluation and Conclusion"). It is necessary to set out the relevant provisions of the EIS in some detail.</w:t>
      </w:r>
    </w:p>
    <w:p w14:paraId="6694FFAC" w14:textId="77777777" w:rsidR="004D2653" w:rsidRPr="00992F81" w:rsidRDefault="004D2653" w:rsidP="00992F81">
      <w:pPr>
        <w:pStyle w:val="HeadingL3"/>
        <w:spacing w:after="260" w:line="280" w:lineRule="exact"/>
        <w:ind w:right="0"/>
        <w:jc w:val="both"/>
        <w:rPr>
          <w:rFonts w:ascii="Times New Roman" w:hAnsi="Times New Roman"/>
        </w:rPr>
      </w:pPr>
      <w:r w:rsidRPr="00992F81">
        <w:rPr>
          <w:rFonts w:ascii="Times New Roman" w:hAnsi="Times New Roman"/>
        </w:rPr>
        <w:t>Section 7.21 of the EIS – Greenhouse Gas Emissions</w:t>
      </w:r>
    </w:p>
    <w:p w14:paraId="7D21572D" w14:textId="77777777" w:rsidR="004D2653" w:rsidRPr="00992F81" w:rsidRDefault="004D2653" w:rsidP="00992F81">
      <w:pPr>
        <w:pStyle w:val="FixListStyle"/>
        <w:spacing w:after="260" w:line="280" w:lineRule="exact"/>
        <w:ind w:right="0"/>
        <w:jc w:val="both"/>
        <w:rPr>
          <w:rFonts w:ascii="Times New Roman" w:hAnsi="Times New Roman"/>
        </w:rPr>
      </w:pPr>
      <w:r w:rsidRPr="00992F81">
        <w:rPr>
          <w:rFonts w:ascii="Times New Roman" w:hAnsi="Times New Roman"/>
          <w:bCs/>
        </w:rPr>
        <w:tab/>
      </w:r>
      <w:r w:rsidRPr="008B75C3">
        <w:rPr>
          <w:rFonts w:ascii="Times New Roman" w:hAnsi="Times New Roman"/>
          <w:bCs/>
          <w:spacing w:val="6"/>
        </w:rPr>
        <w:t>Section 7.21 was divided into six sub-sections, which:</w:t>
      </w:r>
      <w:r>
        <w:rPr>
          <w:rFonts w:ascii="Times New Roman" w:hAnsi="Times New Roman"/>
          <w:bCs/>
          <w:spacing w:val="6"/>
        </w:rPr>
        <w:t> </w:t>
      </w:r>
      <w:r w:rsidRPr="008B75C3">
        <w:rPr>
          <w:rFonts w:ascii="Times New Roman" w:hAnsi="Times New Roman"/>
          <w:spacing w:val="6"/>
        </w:rPr>
        <w:t>described the relevant greenhouse gas policies (Section 7.21.</w:t>
      </w:r>
      <w:r w:rsidRPr="00CC34E5">
        <w:rPr>
          <w:rFonts w:ascii="Times New Roman" w:hAnsi="Times New Roman"/>
          <w:spacing w:val="4"/>
        </w:rPr>
        <w:t>1);</w:t>
      </w:r>
      <w:r w:rsidRPr="00992F81">
        <w:rPr>
          <w:rFonts w:ascii="Times New Roman" w:hAnsi="Times New Roman"/>
        </w:rPr>
        <w:t xml:space="preserve"> described</w:t>
      </w:r>
      <w:r>
        <w:rPr>
          <w:rFonts w:ascii="Times New Roman" w:hAnsi="Times New Roman"/>
        </w:rPr>
        <w:t> </w:t>
      </w:r>
      <w:r w:rsidRPr="00992F81">
        <w:rPr>
          <w:rFonts w:ascii="Times New Roman" w:hAnsi="Times New Roman"/>
        </w:rPr>
        <w:t>the</w:t>
      </w:r>
      <w:r>
        <w:rPr>
          <w:rFonts w:ascii="Times New Roman" w:hAnsi="Times New Roman"/>
        </w:rPr>
        <w:t> </w:t>
      </w:r>
      <w:r w:rsidRPr="00992F81">
        <w:rPr>
          <w:rFonts w:ascii="Times New Roman" w:hAnsi="Times New Roman"/>
        </w:rPr>
        <w:t>concept of greenhouse gas emission "scopes" (Section 7.21.2); provided</w:t>
      </w:r>
      <w:r w:rsidRPr="00992F81">
        <w:rPr>
          <w:rFonts w:ascii="Times New Roman" w:hAnsi="Times New Roman"/>
          <w:bCs/>
        </w:rPr>
        <w:t xml:space="preserve"> </w:t>
      </w:r>
      <w:r w:rsidRPr="00992F81">
        <w:rPr>
          <w:rFonts w:ascii="Times New Roman" w:hAnsi="Times New Roman"/>
        </w:rPr>
        <w:t>a</w:t>
      </w:r>
      <w:r>
        <w:rPr>
          <w:rFonts w:ascii="Times New Roman" w:hAnsi="Times New Roman"/>
        </w:rPr>
        <w:t> </w:t>
      </w:r>
      <w:r w:rsidRPr="00992F81">
        <w:rPr>
          <w:rFonts w:ascii="Times New Roman" w:hAnsi="Times New Roman"/>
        </w:rPr>
        <w:t>quantitative assessment of potential direct and indirect greenhouse gas emissions of the Project (Section 7.21.3); summarised potential mitigation and abatement measures (Section 7.21.4); summarised the potential impacts of climate change on the Project (Section 7.21.5); and summarised adaptive management measures (Section 7.21.6).</w:t>
      </w:r>
    </w:p>
    <w:p w14:paraId="031A6205" w14:textId="77777777" w:rsidR="004D2653" w:rsidRPr="00992F81" w:rsidRDefault="004D2653" w:rsidP="00992F81">
      <w:pPr>
        <w:pStyle w:val="FixListStyle"/>
        <w:spacing w:after="260" w:line="280" w:lineRule="exact"/>
        <w:ind w:right="0"/>
        <w:jc w:val="both"/>
        <w:rPr>
          <w:rFonts w:ascii="Times New Roman" w:hAnsi="Times New Roman"/>
        </w:rPr>
      </w:pPr>
      <w:r w:rsidRPr="00992F81">
        <w:rPr>
          <w:rFonts w:ascii="Times New Roman" w:hAnsi="Times New Roman"/>
        </w:rPr>
        <w:tab/>
        <w:t>Section 7.21.1 (headed "Relevant Greenhouse Gas Policies") addressed</w:t>
      </w:r>
      <w:r>
        <w:rPr>
          <w:rFonts w:ascii="Times New Roman" w:hAnsi="Times New Roman"/>
        </w:rPr>
        <w:t> </w:t>
      </w:r>
      <w:r w:rsidRPr="00151363">
        <w:rPr>
          <w:rFonts w:ascii="Times New Roman" w:hAnsi="Times New Roman"/>
          <w:spacing w:val="4"/>
        </w:rPr>
        <w:t>the issue under three headings: "Global", "National" and "New South Wales". At the global level, the EIS summarised international agreements that regulate greenhouse gas emissions, including the Kyoto Protocol</w:t>
      </w:r>
      <w:r w:rsidRPr="00151363">
        <w:rPr>
          <w:rFonts w:ascii="Times New Roman" w:hAnsi="Times New Roman"/>
          <w:i/>
          <w:iCs/>
          <w:spacing w:val="4"/>
        </w:rPr>
        <w:t xml:space="preserve"> </w:t>
      </w:r>
      <w:r w:rsidRPr="00151363">
        <w:rPr>
          <w:rFonts w:ascii="Times New Roman" w:hAnsi="Times New Roman"/>
          <w:spacing w:val="4"/>
        </w:rPr>
        <w:t xml:space="preserve">to the United Nations Framework Convention on Climate Change ("the UNFCCC") </w:t>
      </w:r>
      <w:r w:rsidRPr="00151363">
        <w:rPr>
          <w:rFonts w:ascii="Times New Roman" w:hAnsi="Times New Roman"/>
          <w:spacing w:val="4"/>
        </w:rPr>
        <w:lastRenderedPageBreak/>
        <w:t>and the Paris Agreement to the UNFCCC.</w:t>
      </w:r>
      <w:r w:rsidRPr="00151363">
        <w:rPr>
          <w:rStyle w:val="FootnoteReference"/>
          <w:rFonts w:ascii="Times New Roman" w:hAnsi="Times New Roman"/>
          <w:spacing w:val="4"/>
          <w:sz w:val="24"/>
        </w:rPr>
        <w:footnoteReference w:id="61"/>
      </w:r>
      <w:r w:rsidRPr="00151363">
        <w:rPr>
          <w:rFonts w:ascii="Times New Roman" w:hAnsi="Times New Roman"/>
          <w:spacing w:val="4"/>
        </w:rPr>
        <w:t xml:space="preserve"> Relevantly, parties to the Paris Agreement committed to pursuing efforts to limit global warming by reducing their greenhouse gas emissions. These commitments are known as Nationally Determined Contributions ("NDCs"). At the national level, the EIS recorded that Australia was a party to both the Kyoto Protocol and the Paris Agreement, as well as national legislation and policies that give effect to these agreements, including the </w:t>
      </w:r>
      <w:r w:rsidRPr="00151363">
        <w:rPr>
          <w:rFonts w:ascii="Times New Roman" w:hAnsi="Times New Roman"/>
          <w:i/>
          <w:iCs/>
          <w:spacing w:val="4"/>
        </w:rPr>
        <w:t>National Greenhouse and Energy Reporting Act 2007</w:t>
      </w:r>
      <w:r w:rsidRPr="00151363">
        <w:rPr>
          <w:rFonts w:ascii="Times New Roman" w:hAnsi="Times New Roman"/>
          <w:spacing w:val="4"/>
        </w:rPr>
        <w:t xml:space="preserve"> (Cth) ("the NGER Act"), which regulates reporting on greenhouse gas emissions. The</w:t>
      </w:r>
      <w:r>
        <w:rPr>
          <w:rFonts w:ascii="Times New Roman" w:hAnsi="Times New Roman"/>
          <w:spacing w:val="4"/>
        </w:rPr>
        <w:t xml:space="preserve"> </w:t>
      </w:r>
      <w:r w:rsidRPr="00151363">
        <w:rPr>
          <w:rFonts w:ascii="Times New Roman" w:hAnsi="Times New Roman"/>
          <w:spacing w:val="4"/>
        </w:rPr>
        <w:t>EIS recorded that the NGER Act establishes a "Safeguard Mechanism", which sets a baseline level of emissions for certain facilities.</w:t>
      </w:r>
      <w:r w:rsidRPr="00151363">
        <w:rPr>
          <w:rStyle w:val="FootnoteReference"/>
          <w:rFonts w:ascii="Times New Roman" w:hAnsi="Times New Roman"/>
          <w:bCs/>
          <w:spacing w:val="4"/>
          <w:sz w:val="24"/>
        </w:rPr>
        <w:footnoteReference w:id="62"/>
      </w:r>
      <w:r w:rsidRPr="00151363" w:rsidDel="003F2391">
        <w:rPr>
          <w:rFonts w:ascii="Times New Roman" w:hAnsi="Times New Roman"/>
          <w:spacing w:val="4"/>
        </w:rPr>
        <w:t xml:space="preserve"> </w:t>
      </w:r>
      <w:r w:rsidRPr="00151363">
        <w:rPr>
          <w:rFonts w:ascii="Times New Roman" w:hAnsi="Times New Roman"/>
          <w:spacing w:val="4"/>
        </w:rPr>
        <w:t>For the Mount Pleasant Operation, the baseline emissions value was approximately 0.664 Mt of carbon dioxide equivalent ("CO</w:t>
      </w:r>
      <w:r w:rsidRPr="00151363">
        <w:rPr>
          <w:rFonts w:ascii="Times New Roman" w:hAnsi="Times New Roman"/>
          <w:spacing w:val="4"/>
          <w:vertAlign w:val="subscript"/>
        </w:rPr>
        <w:t>2</w:t>
      </w:r>
      <w:r w:rsidRPr="00151363">
        <w:rPr>
          <w:rFonts w:ascii="Times New Roman" w:hAnsi="Times New Roman"/>
          <w:spacing w:val="4"/>
        </w:rPr>
        <w:t>-e"). At the State level, the EIS set out NSW Government policies committing to an "aspirational long</w:t>
      </w:r>
      <w:r w:rsidRPr="00151363">
        <w:rPr>
          <w:rFonts w:ascii="Times New Roman" w:hAnsi="Times New Roman"/>
          <w:spacing w:val="4"/>
        </w:rPr>
        <w:noBreakHyphen/>
        <w:t>term objective" of achieving net-zero emissions by 2050.</w:t>
      </w:r>
    </w:p>
    <w:p w14:paraId="262F1948" w14:textId="77777777" w:rsidR="004D2653" w:rsidRPr="00992F81" w:rsidRDefault="004D2653" w:rsidP="00992F81">
      <w:pPr>
        <w:pStyle w:val="FixListStyle"/>
        <w:spacing w:after="260" w:line="280" w:lineRule="exact"/>
        <w:ind w:right="0"/>
        <w:jc w:val="both"/>
        <w:rPr>
          <w:rFonts w:ascii="Times New Roman" w:hAnsi="Times New Roman"/>
        </w:rPr>
      </w:pPr>
      <w:r w:rsidRPr="00992F81">
        <w:rPr>
          <w:rFonts w:ascii="Times New Roman" w:hAnsi="Times New Roman"/>
        </w:rPr>
        <w:tab/>
        <w:t>Section 7.21.2 was headed "Greenhouse Gas Emission Scopes". The EIS adopted the Greenhouse Gas Protocol ("the GHG Protocol").</w:t>
      </w:r>
      <w:r w:rsidRPr="00992F81">
        <w:rPr>
          <w:rStyle w:val="FootnoteReference"/>
          <w:rFonts w:ascii="Times New Roman" w:hAnsi="Times New Roman"/>
          <w:sz w:val="24"/>
        </w:rPr>
        <w:footnoteReference w:id="63"/>
      </w:r>
      <w:r w:rsidRPr="00992F81">
        <w:rPr>
          <w:rFonts w:ascii="Times New Roman" w:hAnsi="Times New Roman"/>
        </w:rPr>
        <w:t xml:space="preserve"> </w:t>
      </w:r>
      <w:r w:rsidRPr="00992F81">
        <w:rPr>
          <w:rFonts w:ascii="Times New Roman" w:hAnsi="Times New Roman"/>
          <w:bCs/>
        </w:rPr>
        <w:t xml:space="preserve">The GHG Protocol provides standards and guidance for companies and other organisations preparing greenhouse gas emission inventories. It defines </w:t>
      </w:r>
      <w:r w:rsidRPr="00992F81">
        <w:rPr>
          <w:rFonts w:ascii="Times New Roman" w:hAnsi="Times New Roman"/>
        </w:rPr>
        <w:t>three "scopes" of emissions (Scopes 1, 2 and 3) for greenhouse gas accounting and reporting purposes, including in the international context.</w:t>
      </w:r>
    </w:p>
    <w:p w14:paraId="77E9B33A" w14:textId="77777777" w:rsidR="004D2653" w:rsidRPr="00992F81" w:rsidRDefault="004D2653" w:rsidP="00992F81">
      <w:pPr>
        <w:pStyle w:val="FixListStyle"/>
        <w:spacing w:after="260" w:line="280" w:lineRule="exact"/>
        <w:ind w:right="0"/>
        <w:jc w:val="both"/>
        <w:rPr>
          <w:rFonts w:ascii="Times New Roman" w:hAnsi="Times New Roman"/>
        </w:rPr>
      </w:pPr>
      <w:r w:rsidRPr="00992F81">
        <w:rPr>
          <w:rFonts w:ascii="Times New Roman" w:hAnsi="Times New Roman"/>
          <w:bCs/>
        </w:rPr>
        <w:tab/>
        <w:t>The EIS defined Scope 1 emissions as "[d]irect greenhouse gas emissions ... that occur from sources that are owned or controlled by the entity" and are released to the atmosphere principally as the result of an activity, or series of activities, undertaken by the entity at a facility level, such as physical or chemical processing or transportation of materials. The EIS defined Scope 2 emissions as "a</w:t>
      </w:r>
      <w:r>
        <w:rPr>
          <w:rFonts w:ascii="Times New Roman" w:hAnsi="Times New Roman"/>
          <w:bCs/>
        </w:rPr>
        <w:t> </w:t>
      </w:r>
      <w:r w:rsidRPr="00992F81">
        <w:rPr>
          <w:rFonts w:ascii="Times New Roman" w:hAnsi="Times New Roman"/>
          <w:bCs/>
        </w:rPr>
        <w:t>category of indirect emissions ... associated with the generation of purchased electricity consumed by the entity".</w:t>
      </w:r>
    </w:p>
    <w:p w14:paraId="5B8DA145" w14:textId="77777777" w:rsidR="004D2653" w:rsidRPr="00992F81" w:rsidRDefault="004D2653" w:rsidP="00992F81">
      <w:pPr>
        <w:pStyle w:val="FixListStyle"/>
        <w:spacing w:after="260" w:line="280" w:lineRule="exact"/>
        <w:ind w:right="0"/>
        <w:jc w:val="both"/>
        <w:rPr>
          <w:rFonts w:ascii="Times New Roman" w:hAnsi="Times New Roman"/>
        </w:rPr>
      </w:pPr>
      <w:r w:rsidRPr="00992F81">
        <w:rPr>
          <w:rFonts w:ascii="Times New Roman" w:hAnsi="Times New Roman"/>
          <w:bCs/>
        </w:rPr>
        <w:lastRenderedPageBreak/>
        <w:tab/>
        <w:t>The EIS defined Scope 3 emissions as "those emissions that are the</w:t>
      </w:r>
      <w:r>
        <w:rPr>
          <w:rFonts w:ascii="Times New Roman" w:hAnsi="Times New Roman"/>
          <w:bCs/>
        </w:rPr>
        <w:t> </w:t>
      </w:r>
      <w:r w:rsidRPr="00992F81">
        <w:rPr>
          <w:rFonts w:ascii="Times New Roman" w:hAnsi="Times New Roman"/>
          <w:bCs/>
        </w:rPr>
        <w:t>consequence of the activities of an entity, but which arise from sources not owned or controlled by that entity". The EIS stated:</w:t>
      </w:r>
    </w:p>
    <w:p w14:paraId="6370AECD" w14:textId="77777777" w:rsidR="004D2653" w:rsidRDefault="004D2653" w:rsidP="00992F81">
      <w:pPr>
        <w:pStyle w:val="leftright"/>
        <w:spacing w:before="0" w:after="260" w:line="280" w:lineRule="exact"/>
        <w:ind w:right="0"/>
        <w:jc w:val="both"/>
        <w:rPr>
          <w:rFonts w:ascii="Times New Roman" w:hAnsi="Times New Roman"/>
        </w:rPr>
      </w:pPr>
      <w:r w:rsidRPr="00992F81">
        <w:rPr>
          <w:rFonts w:ascii="Times New Roman" w:hAnsi="Times New Roman"/>
        </w:rPr>
        <w:t>"The GHG Protocol notes that reporting Scope 3 emissions can result in double counting of emissions. For example, greenhouse gas emissions from the burning of coal to produce energy are the Scope 3 emissions of the</w:t>
      </w:r>
      <w:r>
        <w:rPr>
          <w:rFonts w:ascii="Times New Roman" w:hAnsi="Times New Roman"/>
        </w:rPr>
        <w:t> </w:t>
      </w:r>
      <w:r w:rsidRPr="00992F81">
        <w:rPr>
          <w:rFonts w:ascii="Times New Roman" w:hAnsi="Times New Roman"/>
        </w:rPr>
        <w:t>mines approved to produce the coal, as well as the Scope 1 emissions of the businesses that burn the coal to generate electricity. Those emissions will also be the Scope 2 emissions of the businesses that purchase the</w:t>
      </w:r>
      <w:r>
        <w:rPr>
          <w:rFonts w:ascii="Times New Roman" w:hAnsi="Times New Roman"/>
        </w:rPr>
        <w:t> </w:t>
      </w:r>
      <w:r w:rsidRPr="00992F81">
        <w:rPr>
          <w:rFonts w:ascii="Times New Roman" w:hAnsi="Times New Roman"/>
        </w:rPr>
        <w:t>electricity."</w:t>
      </w:r>
    </w:p>
    <w:p w14:paraId="74EEED66" w14:textId="77777777" w:rsidR="004D2653" w:rsidRPr="00992F81" w:rsidRDefault="004D2653" w:rsidP="00992F81">
      <w:pPr>
        <w:pStyle w:val="FixListStyle"/>
        <w:spacing w:after="260" w:line="280" w:lineRule="exact"/>
        <w:ind w:right="0"/>
        <w:jc w:val="both"/>
        <w:rPr>
          <w:rFonts w:ascii="Times New Roman" w:hAnsi="Times New Roman"/>
        </w:rPr>
      </w:pPr>
      <w:r w:rsidRPr="00992F81">
        <w:rPr>
          <w:rFonts w:ascii="Times New Roman" w:hAnsi="Times New Roman"/>
        </w:rPr>
        <w:tab/>
      </w:r>
      <w:bookmarkStart w:id="1" w:name="_Ref234303528"/>
      <w:r w:rsidRPr="00992F81">
        <w:rPr>
          <w:rFonts w:ascii="Times New Roman" w:hAnsi="Times New Roman"/>
        </w:rPr>
        <w:t>Section 7.21.3, headed "Quantitative Assessment of Potential Greenhouse Gas Emissions", set out the key potential Project greenhouse gas emission sources and their respective scopes. The list appeared to derive from a table in the</w:t>
      </w:r>
      <w:r>
        <w:rPr>
          <w:rFonts w:ascii="Times New Roman" w:hAnsi="Times New Roman"/>
        </w:rPr>
        <w:t> </w:t>
      </w:r>
      <w:r w:rsidRPr="00992F81">
        <w:rPr>
          <w:rFonts w:ascii="Times New Roman" w:hAnsi="Times New Roman"/>
        </w:rPr>
        <w:t>GHG</w:t>
      </w:r>
      <w:r>
        <w:rPr>
          <w:rFonts w:ascii="Times New Roman" w:hAnsi="Times New Roman"/>
        </w:rPr>
        <w:t> </w:t>
      </w:r>
      <w:r w:rsidRPr="00992F81">
        <w:rPr>
          <w:rFonts w:ascii="Times New Roman" w:hAnsi="Times New Roman"/>
        </w:rPr>
        <w:t>Assessment and described each source as a Scope 1, 2 or 3 emission. The</w:t>
      </w:r>
      <w:r>
        <w:rPr>
          <w:rFonts w:ascii="Times New Roman" w:hAnsi="Times New Roman"/>
        </w:rPr>
        <w:t> </w:t>
      </w:r>
      <w:r w:rsidRPr="00992F81">
        <w:rPr>
          <w:rFonts w:ascii="Times New Roman" w:hAnsi="Times New Roman"/>
        </w:rPr>
        <w:t>list included, for example, for Scope 1 emissions, direct emissions from the</w:t>
      </w:r>
      <w:r>
        <w:rPr>
          <w:rFonts w:ascii="Times New Roman" w:hAnsi="Times New Roman"/>
        </w:rPr>
        <w:t> </w:t>
      </w:r>
      <w:r w:rsidRPr="00992F81">
        <w:rPr>
          <w:rFonts w:ascii="Times New Roman" w:hAnsi="Times New Roman"/>
        </w:rPr>
        <w:t>use of explosives or the combustion of diesel, and fugitive</w:t>
      </w:r>
      <w:r w:rsidRPr="00992F81">
        <w:rPr>
          <w:rStyle w:val="FootnoteReference"/>
          <w:rFonts w:ascii="Times New Roman" w:hAnsi="Times New Roman"/>
          <w:sz w:val="24"/>
        </w:rPr>
        <w:footnoteReference w:id="64"/>
      </w:r>
      <w:r w:rsidRPr="00992F81">
        <w:rPr>
          <w:rFonts w:ascii="Times New Roman" w:hAnsi="Times New Roman"/>
        </w:rPr>
        <w:t xml:space="preserve"> emissions from the extraction of coal. Scope 2 emissions included the consumption of purchased electricity used at the Project. Scope 3 emissions included:</w:t>
      </w:r>
      <w:bookmarkEnd w:id="1"/>
    </w:p>
    <w:p w14:paraId="0D1656B9" w14:textId="77777777" w:rsidR="004D2653" w:rsidRPr="00992F81" w:rsidRDefault="004D2653" w:rsidP="00992F81">
      <w:pPr>
        <w:pStyle w:val="leftright"/>
        <w:spacing w:before="0" w:after="260" w:line="280" w:lineRule="exact"/>
        <w:ind w:left="1440" w:right="0" w:hanging="720"/>
        <w:jc w:val="both"/>
        <w:rPr>
          <w:rFonts w:ascii="Times New Roman" w:hAnsi="Times New Roman"/>
        </w:rPr>
      </w:pPr>
      <w:r w:rsidRPr="00992F81">
        <w:rPr>
          <w:rFonts w:ascii="Times New Roman" w:hAnsi="Times New Roman"/>
        </w:rPr>
        <w:t>"•</w:t>
      </w:r>
      <w:r w:rsidRPr="00992F81">
        <w:rPr>
          <w:rFonts w:ascii="Times New Roman" w:hAnsi="Times New Roman"/>
        </w:rPr>
        <w:tab/>
        <w:t>upstream emissions from the extraction, production and transport of fuel burned for the generation of electricity consumed, and</w:t>
      </w:r>
      <w:r>
        <w:rPr>
          <w:rFonts w:ascii="Times New Roman" w:hAnsi="Times New Roman"/>
        </w:rPr>
        <w:t> </w:t>
      </w:r>
      <w:r w:rsidRPr="00992F81">
        <w:rPr>
          <w:rFonts w:ascii="Times New Roman" w:hAnsi="Times New Roman"/>
        </w:rPr>
        <w:t>the</w:t>
      </w:r>
      <w:r>
        <w:rPr>
          <w:rFonts w:ascii="Times New Roman" w:hAnsi="Times New Roman"/>
        </w:rPr>
        <w:t> </w:t>
      </w:r>
      <w:r w:rsidRPr="00992F81">
        <w:rPr>
          <w:rFonts w:ascii="Times New Roman" w:hAnsi="Times New Roman"/>
        </w:rPr>
        <w:t>electricity lost in delivery in the transmission and distribution network (Scope 3);</w:t>
      </w:r>
    </w:p>
    <w:p w14:paraId="2D09A3A4" w14:textId="77777777" w:rsidR="004D2653" w:rsidRPr="00992F81" w:rsidRDefault="004D2653" w:rsidP="00992F81">
      <w:pPr>
        <w:pStyle w:val="leftright"/>
        <w:spacing w:before="0" w:after="260" w:line="280" w:lineRule="exact"/>
        <w:ind w:left="1440" w:right="0" w:hanging="720"/>
        <w:jc w:val="both"/>
        <w:rPr>
          <w:rFonts w:ascii="Times New Roman" w:hAnsi="Times New Roman"/>
        </w:rPr>
      </w:pPr>
      <w:r w:rsidRPr="00992F81">
        <w:rPr>
          <w:rFonts w:ascii="Times New Roman" w:hAnsi="Times New Roman"/>
          <w:iCs/>
        </w:rPr>
        <w:t>•</w:t>
      </w:r>
      <w:r w:rsidRPr="00992F81">
        <w:rPr>
          <w:rFonts w:ascii="Times New Roman" w:hAnsi="Times New Roman"/>
          <w:iCs/>
        </w:rPr>
        <w:tab/>
      </w:r>
      <w:r w:rsidRPr="00992F81">
        <w:rPr>
          <w:rFonts w:ascii="Times New Roman" w:hAnsi="Times New Roman"/>
        </w:rPr>
        <w:t>upstream emissions attributable to the extraction, production and transport of diesel consumed at the Project (Scope 3);</w:t>
      </w:r>
    </w:p>
    <w:p w14:paraId="65D79967" w14:textId="77777777" w:rsidR="004D2653" w:rsidRPr="00992F81" w:rsidRDefault="004D2653" w:rsidP="00992F81">
      <w:pPr>
        <w:pStyle w:val="leftright"/>
        <w:spacing w:before="0" w:after="260" w:line="280" w:lineRule="exact"/>
        <w:ind w:left="1440" w:right="0" w:hanging="720"/>
        <w:jc w:val="both"/>
        <w:rPr>
          <w:rFonts w:ascii="Times New Roman" w:hAnsi="Times New Roman"/>
        </w:rPr>
      </w:pPr>
      <w:r w:rsidRPr="00992F81">
        <w:rPr>
          <w:rFonts w:ascii="Times New Roman" w:hAnsi="Times New Roman"/>
          <w:iCs/>
        </w:rPr>
        <w:t>•</w:t>
      </w:r>
      <w:r w:rsidRPr="00992F81">
        <w:rPr>
          <w:rFonts w:ascii="Times New Roman" w:hAnsi="Times New Roman"/>
          <w:iCs/>
        </w:rPr>
        <w:tab/>
      </w:r>
      <w:r w:rsidRPr="00992F81">
        <w:rPr>
          <w:rFonts w:ascii="Times New Roman" w:hAnsi="Times New Roman"/>
        </w:rPr>
        <w:t>upstream emissions attributable to the extraction, production and transport of oil and grease consumed at the Project (Scope 3);</w:t>
      </w:r>
    </w:p>
    <w:p w14:paraId="1B24E18E" w14:textId="77777777" w:rsidR="004D2653" w:rsidRPr="00992F81" w:rsidRDefault="004D2653" w:rsidP="00992F81">
      <w:pPr>
        <w:pStyle w:val="leftright"/>
        <w:spacing w:before="0" w:after="260" w:line="280" w:lineRule="exact"/>
        <w:ind w:left="1440" w:right="0" w:hanging="720"/>
        <w:jc w:val="both"/>
        <w:rPr>
          <w:rFonts w:ascii="Times New Roman" w:hAnsi="Times New Roman"/>
        </w:rPr>
      </w:pPr>
      <w:r w:rsidRPr="00992F81">
        <w:rPr>
          <w:rFonts w:ascii="Times New Roman" w:hAnsi="Times New Roman"/>
          <w:iCs/>
        </w:rPr>
        <w:t>•</w:t>
      </w:r>
      <w:r w:rsidRPr="00992F81">
        <w:rPr>
          <w:rFonts w:ascii="Times New Roman" w:hAnsi="Times New Roman"/>
          <w:iCs/>
        </w:rPr>
        <w:tab/>
      </w:r>
      <w:r w:rsidRPr="00992F81">
        <w:rPr>
          <w:rFonts w:ascii="Times New Roman" w:hAnsi="Times New Roman"/>
        </w:rPr>
        <w:t>downstream emissions from the combustion of diesel used during domestic rail transport and shipping (Scope 3) ...; and</w:t>
      </w:r>
    </w:p>
    <w:p w14:paraId="70EDD5F5" w14:textId="77777777" w:rsidR="004D2653" w:rsidRDefault="004D2653" w:rsidP="00992F81">
      <w:pPr>
        <w:pStyle w:val="leftright"/>
        <w:spacing w:before="0" w:after="260" w:line="280" w:lineRule="exact"/>
        <w:ind w:left="1440" w:right="0" w:hanging="720"/>
        <w:jc w:val="both"/>
        <w:rPr>
          <w:rFonts w:ascii="Times New Roman" w:hAnsi="Times New Roman"/>
        </w:rPr>
      </w:pPr>
      <w:r w:rsidRPr="00992F81">
        <w:rPr>
          <w:rFonts w:ascii="Times New Roman" w:hAnsi="Times New Roman"/>
          <w:iCs/>
        </w:rPr>
        <w:t>•</w:t>
      </w:r>
      <w:r w:rsidRPr="00992F81">
        <w:rPr>
          <w:rFonts w:ascii="Times New Roman" w:hAnsi="Times New Roman"/>
          <w:iCs/>
        </w:rPr>
        <w:tab/>
      </w:r>
      <w:r w:rsidRPr="00992F81">
        <w:rPr>
          <w:rFonts w:ascii="Times New Roman" w:hAnsi="Times New Roman"/>
        </w:rPr>
        <w:t>downstream third-party emissions from the combustion of product coal from the Project (Scope 3)."</w:t>
      </w:r>
    </w:p>
    <w:p w14:paraId="6F35FBE1" w14:textId="77777777" w:rsidR="004D2653" w:rsidRDefault="004D2653" w:rsidP="00992F81">
      <w:pPr>
        <w:pStyle w:val="FixListStyle"/>
        <w:spacing w:after="260" w:line="280" w:lineRule="exact"/>
        <w:ind w:right="0"/>
        <w:jc w:val="both"/>
        <w:rPr>
          <w:rFonts w:ascii="Times New Roman" w:hAnsi="Times New Roman"/>
        </w:rPr>
      </w:pPr>
      <w:r w:rsidRPr="00992F81">
        <w:rPr>
          <w:rFonts w:ascii="Times New Roman" w:hAnsi="Times New Roman"/>
          <w:noProof/>
        </w:rPr>
        <w:lastRenderedPageBreak/>
        <w:drawing>
          <wp:anchor distT="0" distB="0" distL="114300" distR="114300" simplePos="0" relativeHeight="251659264" behindDoc="0" locked="0" layoutInCell="1" allowOverlap="1" wp14:anchorId="5A2EA1C6" wp14:editId="4A010B76">
            <wp:simplePos x="0" y="0"/>
            <wp:positionH relativeFrom="margin">
              <wp:align>right</wp:align>
            </wp:positionH>
            <wp:positionV relativeFrom="paragraph">
              <wp:posOffset>414074</wp:posOffset>
            </wp:positionV>
            <wp:extent cx="5400040" cy="3465195"/>
            <wp:effectExtent l="0" t="0" r="0" b="1905"/>
            <wp:wrapTopAndBottom/>
            <wp:docPr id="8137397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3739703" name=""/>
                    <pic:cNvPicPr/>
                  </pic:nvPicPr>
                  <pic:blipFill>
                    <a:blip r:embed="rId23">
                      <a:extLst>
                        <a:ext uri="{28A0092B-C50C-407E-A947-70E740481C1C}">
                          <a14:useLocalDpi xmlns:a14="http://schemas.microsoft.com/office/drawing/2010/main" val="0"/>
                        </a:ext>
                      </a:extLst>
                    </a:blip>
                    <a:stretch>
                      <a:fillRect/>
                    </a:stretch>
                  </pic:blipFill>
                  <pic:spPr>
                    <a:xfrm>
                      <a:off x="0" y="0"/>
                      <a:ext cx="5400040" cy="3465195"/>
                    </a:xfrm>
                    <a:prstGeom prst="rect">
                      <a:avLst/>
                    </a:prstGeom>
                  </pic:spPr>
                </pic:pic>
              </a:graphicData>
            </a:graphic>
            <wp14:sizeRelH relativeFrom="page">
              <wp14:pctWidth>0</wp14:pctWidth>
            </wp14:sizeRelH>
            <wp14:sizeRelV relativeFrom="page">
              <wp14:pctHeight>0</wp14:pctHeight>
            </wp14:sizeRelV>
          </wp:anchor>
        </w:drawing>
      </w:r>
      <w:r w:rsidRPr="00992F81">
        <w:rPr>
          <w:rFonts w:ascii="Times New Roman" w:hAnsi="Times New Roman"/>
        </w:rPr>
        <w:tab/>
      </w:r>
      <w:bookmarkStart w:id="2" w:name="_Ref234303535"/>
      <w:r w:rsidRPr="00992F81">
        <w:rPr>
          <w:rFonts w:ascii="Times New Roman" w:hAnsi="Times New Roman"/>
        </w:rPr>
        <w:t>The different sources of Scope 1, 2 and 3 emissions were reflected in the</w:t>
      </w:r>
      <w:r>
        <w:rPr>
          <w:rFonts w:ascii="Times New Roman" w:hAnsi="Times New Roman"/>
        </w:rPr>
        <w:t> </w:t>
      </w:r>
      <w:r w:rsidRPr="00992F81">
        <w:rPr>
          <w:rFonts w:ascii="Times New Roman" w:hAnsi="Times New Roman"/>
        </w:rPr>
        <w:t>following diagram in the GHG Assessment:</w:t>
      </w:r>
      <w:bookmarkEnd w:id="2"/>
      <w:r w:rsidRPr="00992F81">
        <w:rPr>
          <w:rFonts w:ascii="Times New Roman" w:hAnsi="Times New Roman"/>
        </w:rPr>
        <w:t xml:space="preserve"> </w:t>
      </w:r>
    </w:p>
    <w:p w14:paraId="050CEBE4" w14:textId="77777777" w:rsidR="004D2653" w:rsidRPr="00992F81" w:rsidRDefault="004D2653" w:rsidP="00CF1376">
      <w:pPr>
        <w:pStyle w:val="FixListStyle"/>
        <w:numPr>
          <w:ilvl w:val="0"/>
          <w:numId w:val="0"/>
        </w:numPr>
        <w:spacing w:after="260" w:line="280" w:lineRule="exact"/>
        <w:ind w:right="0"/>
        <w:jc w:val="both"/>
        <w:rPr>
          <w:rFonts w:ascii="Times New Roman" w:hAnsi="Times New Roman"/>
        </w:rPr>
      </w:pPr>
      <w:r w:rsidRPr="00992F81">
        <w:rPr>
          <w:rFonts w:ascii="Times New Roman" w:hAnsi="Times New Roman"/>
        </w:rPr>
        <w:t>As is self-evident, the key potential Project greenhouse gas emission sources included Scope 3 emissions that comprised both upstream and downstream emissions. Those which were within the "assessment boundary" for the Project were specifically identified and included in the table and in the list in the EIS.</w:t>
      </w:r>
      <w:r w:rsidRPr="00992F81">
        <w:rPr>
          <w:rStyle w:val="FootnoteReference"/>
          <w:rFonts w:ascii="Times New Roman" w:hAnsi="Times New Roman"/>
          <w:sz w:val="24"/>
        </w:rPr>
        <w:footnoteReference w:id="65"/>
      </w:r>
      <w:r w:rsidRPr="00992F81">
        <w:rPr>
          <w:rFonts w:ascii="Times New Roman" w:hAnsi="Times New Roman"/>
        </w:rPr>
        <w:t xml:space="preserve"> </w:t>
      </w:r>
    </w:p>
    <w:p w14:paraId="5BC234C3" w14:textId="77777777" w:rsidR="004D2653" w:rsidRPr="00992F81" w:rsidRDefault="004D2653" w:rsidP="00992F81">
      <w:pPr>
        <w:pStyle w:val="FixListStyle"/>
        <w:spacing w:after="260" w:line="280" w:lineRule="exact"/>
        <w:ind w:right="0"/>
        <w:jc w:val="both"/>
        <w:rPr>
          <w:rFonts w:ascii="Times New Roman" w:hAnsi="Times New Roman"/>
        </w:rPr>
      </w:pPr>
      <w:r w:rsidRPr="00992F81">
        <w:rPr>
          <w:rFonts w:ascii="Times New Roman" w:hAnsi="Times New Roman"/>
        </w:rPr>
        <w:tab/>
        <w:t xml:space="preserve">The EIS then set out the estimated total of each of Scope 1, 2 and 3 emissions over the life of the Project, and the estimated greenhouse gas emissions intensity for Scope 1 and 2 emissions. </w:t>
      </w:r>
      <w:r w:rsidRPr="00992F81" w:rsidDel="00956C9C">
        <w:rPr>
          <w:rFonts w:ascii="Times New Roman" w:hAnsi="Times New Roman"/>
        </w:rPr>
        <w:t>In addressing greenhouse gas emission intensity, the EIS did not address Scope 3 emissions.</w:t>
      </w:r>
      <w:r w:rsidRPr="00992F81" w:rsidDel="00EA2154">
        <w:rPr>
          <w:rFonts w:ascii="Times New Roman" w:hAnsi="Times New Roman"/>
        </w:rPr>
        <w:t xml:space="preserve"> </w:t>
      </w:r>
    </w:p>
    <w:p w14:paraId="446EF9C0" w14:textId="77777777" w:rsidR="004D2653" w:rsidRPr="00992F81" w:rsidRDefault="004D2653" w:rsidP="00992F81">
      <w:pPr>
        <w:pStyle w:val="FixListStyle"/>
        <w:spacing w:after="260" w:line="280" w:lineRule="exact"/>
        <w:ind w:right="0"/>
        <w:jc w:val="both"/>
        <w:rPr>
          <w:rFonts w:ascii="Times New Roman" w:hAnsi="Times New Roman"/>
        </w:rPr>
      </w:pPr>
      <w:r w:rsidRPr="00992F81">
        <w:rPr>
          <w:rFonts w:ascii="Times New Roman" w:hAnsi="Times New Roman"/>
        </w:rPr>
        <w:tab/>
        <w:t>Under the sub-heading "Potential Impacts of Greenhouse Gas Emissions on the Environment", the EIS considered the extent of Scope 1 and 2 emissions and their consistency with the Safeguard Mechanism baseline emissions established under the NGER Act, explaining:</w:t>
      </w:r>
    </w:p>
    <w:p w14:paraId="70701D94" w14:textId="77777777" w:rsidR="004D2653" w:rsidRPr="00992F81" w:rsidRDefault="004D2653" w:rsidP="00992F81">
      <w:pPr>
        <w:pStyle w:val="leftright"/>
        <w:spacing w:before="0" w:after="260" w:line="280" w:lineRule="exact"/>
        <w:ind w:right="0"/>
        <w:jc w:val="both"/>
        <w:rPr>
          <w:rFonts w:ascii="Times New Roman" w:hAnsi="Times New Roman"/>
        </w:rPr>
      </w:pPr>
      <w:r w:rsidRPr="00992F81">
        <w:rPr>
          <w:rFonts w:ascii="Times New Roman" w:hAnsi="Times New Roman"/>
        </w:rPr>
        <w:t>"The estimated annual average and maximum annual Scope 1 greenhouse gas emissions of the Project are within the Mount Pleasant Operation's current Safeguard Mechanism baseline emissions value of approximately 0.664 Mt CO</w:t>
      </w:r>
      <w:r w:rsidRPr="00992F81">
        <w:rPr>
          <w:rFonts w:ascii="Times New Roman" w:hAnsi="Times New Roman"/>
          <w:vertAlign w:val="subscript"/>
        </w:rPr>
        <w:t>2</w:t>
      </w:r>
      <w:r w:rsidRPr="00992F81">
        <w:rPr>
          <w:rFonts w:ascii="Times New Roman" w:hAnsi="Times New Roman"/>
        </w:rPr>
        <w:t>-e.</w:t>
      </w:r>
    </w:p>
    <w:p w14:paraId="182BA703" w14:textId="77777777" w:rsidR="004D2653" w:rsidRPr="00992F81" w:rsidRDefault="004D2653" w:rsidP="00992F81">
      <w:pPr>
        <w:pStyle w:val="leftright"/>
        <w:spacing w:before="0" w:after="260" w:line="280" w:lineRule="exact"/>
        <w:ind w:right="0"/>
        <w:jc w:val="both"/>
        <w:rPr>
          <w:rFonts w:ascii="Times New Roman" w:hAnsi="Times New Roman"/>
        </w:rPr>
      </w:pPr>
      <w:r w:rsidRPr="00992F81">
        <w:rPr>
          <w:rFonts w:ascii="Times New Roman" w:hAnsi="Times New Roman"/>
        </w:rPr>
        <w:lastRenderedPageBreak/>
        <w:t>...</w:t>
      </w:r>
    </w:p>
    <w:p w14:paraId="5DB2D576" w14:textId="77777777" w:rsidR="004D2653" w:rsidRPr="00992F81" w:rsidRDefault="004D2653" w:rsidP="00992F81">
      <w:pPr>
        <w:pStyle w:val="leftright"/>
        <w:spacing w:before="0" w:after="260" w:line="280" w:lineRule="exact"/>
        <w:ind w:right="0"/>
        <w:jc w:val="both"/>
        <w:rPr>
          <w:rFonts w:ascii="Times New Roman" w:hAnsi="Times New Roman"/>
        </w:rPr>
      </w:pPr>
      <w:r w:rsidRPr="00992F81">
        <w:rPr>
          <w:rFonts w:ascii="Times New Roman" w:hAnsi="Times New Roman"/>
        </w:rPr>
        <w:t>Notwithstanding, it is anticipated that MACH's implementation of various mitigation measures to minimise the overall generation of greenhouse gas emissions from the Project ... would result in greenhouse gas emissions being maintained within any varied Safeguard Mechanism baseline emissions value. ...</w:t>
      </w:r>
    </w:p>
    <w:p w14:paraId="30B3F2A0" w14:textId="77777777" w:rsidR="004D2653" w:rsidRPr="00992F81" w:rsidRDefault="004D2653" w:rsidP="00992F81">
      <w:pPr>
        <w:pStyle w:val="leftright"/>
        <w:spacing w:before="0" w:after="260" w:line="280" w:lineRule="exact"/>
        <w:ind w:right="0"/>
        <w:jc w:val="both"/>
        <w:rPr>
          <w:rFonts w:ascii="Times New Roman" w:hAnsi="Times New Roman"/>
        </w:rPr>
      </w:pPr>
      <w:r w:rsidRPr="00992F81">
        <w:rPr>
          <w:rFonts w:ascii="Times New Roman" w:hAnsi="Times New Roman"/>
        </w:rPr>
        <w:t xml:space="preserve">The Project's Scope 1 and Scope 2 emissions have together been estimated </w:t>
      </w:r>
      <w:r w:rsidRPr="00953270">
        <w:rPr>
          <w:rFonts w:ascii="Times New Roman" w:hAnsi="Times New Roman"/>
          <w:spacing w:val="-4"/>
        </w:rPr>
        <w:t>at approximately 0.54 Mt CO</w:t>
      </w:r>
      <w:r w:rsidRPr="00953270">
        <w:rPr>
          <w:rFonts w:ascii="Times New Roman" w:hAnsi="Times New Roman"/>
          <w:spacing w:val="-4"/>
          <w:vertAlign w:val="subscript"/>
        </w:rPr>
        <w:t>2</w:t>
      </w:r>
      <w:r w:rsidRPr="00953270">
        <w:rPr>
          <w:rFonts w:ascii="Times New Roman" w:hAnsi="Times New Roman"/>
          <w:spacing w:val="-4"/>
        </w:rPr>
        <w:t>-e per year during operations. This is a relatively small contribution to Australian emissions, representing approximately 0.4% of the estimated total greenhouse gas</w:t>
      </w:r>
      <w:r w:rsidRPr="00992F81">
        <w:rPr>
          <w:rFonts w:ascii="Times New Roman" w:hAnsi="Times New Roman"/>
        </w:rPr>
        <w:t xml:space="preserve"> emissions in NSW from 2017 (131.5</w:t>
      </w:r>
      <w:r>
        <w:rPr>
          <w:rFonts w:ascii="Times New Roman" w:hAnsi="Times New Roman"/>
        </w:rPr>
        <w:t> </w:t>
      </w:r>
      <w:r w:rsidRPr="00992F81">
        <w:rPr>
          <w:rFonts w:ascii="Times New Roman" w:hAnsi="Times New Roman"/>
        </w:rPr>
        <w:t>Mt CO</w:t>
      </w:r>
      <w:r w:rsidRPr="00992F81">
        <w:rPr>
          <w:rFonts w:ascii="Times New Roman" w:hAnsi="Times New Roman"/>
          <w:vertAlign w:val="subscript"/>
        </w:rPr>
        <w:t>2</w:t>
      </w:r>
      <w:r w:rsidRPr="00992F81">
        <w:rPr>
          <w:rFonts w:ascii="Times New Roman" w:hAnsi="Times New Roman"/>
        </w:rPr>
        <w:t>-e) and approximately 0.1% of Australia's annual greenhouse gas emissions from 2017 (534.7 Mt CO</w:t>
      </w:r>
      <w:r w:rsidRPr="00992F81">
        <w:rPr>
          <w:rFonts w:ascii="Times New Roman" w:hAnsi="Times New Roman"/>
          <w:vertAlign w:val="subscript"/>
        </w:rPr>
        <w:t>2</w:t>
      </w:r>
      <w:r>
        <w:rPr>
          <w:rFonts w:ascii="Times New Roman" w:hAnsi="Times New Roman"/>
        </w:rPr>
        <w:noBreakHyphen/>
      </w:r>
      <w:r w:rsidRPr="00992F81">
        <w:rPr>
          <w:rFonts w:ascii="Times New Roman" w:hAnsi="Times New Roman"/>
        </w:rPr>
        <w:t>e) ...</w:t>
      </w:r>
    </w:p>
    <w:p w14:paraId="026FA70A" w14:textId="77777777" w:rsidR="004D2653" w:rsidRDefault="004D2653" w:rsidP="00992F81">
      <w:pPr>
        <w:pStyle w:val="leftright"/>
        <w:spacing w:before="0" w:after="260" w:line="280" w:lineRule="exact"/>
        <w:ind w:right="0"/>
        <w:jc w:val="both"/>
        <w:rPr>
          <w:rFonts w:ascii="Times New Roman" w:hAnsi="Times New Roman"/>
          <w:b/>
        </w:rPr>
      </w:pPr>
      <w:r w:rsidRPr="00992F81">
        <w:rPr>
          <w:rFonts w:ascii="Times New Roman" w:hAnsi="Times New Roman"/>
          <w:bCs/>
        </w:rPr>
        <w:t xml:space="preserve">The Project greenhouse gas emissions would make some contribution to global greenhouse gas emissions. The Project's contribution to climate change, including the associated environmental impacts, would be in proportion with its contribution to global greenhouse gas emissions." </w:t>
      </w:r>
    </w:p>
    <w:p w14:paraId="1067E5FB" w14:textId="77777777" w:rsidR="004D2653" w:rsidRPr="00992F81" w:rsidRDefault="004D2653" w:rsidP="00992F81">
      <w:pPr>
        <w:pStyle w:val="FixListStyle"/>
        <w:spacing w:after="260" w:line="280" w:lineRule="exact"/>
        <w:ind w:right="0"/>
        <w:jc w:val="both"/>
        <w:rPr>
          <w:rFonts w:ascii="Times New Roman" w:hAnsi="Times New Roman"/>
        </w:rPr>
      </w:pPr>
      <w:r w:rsidRPr="00992F81">
        <w:rPr>
          <w:rFonts w:ascii="Times New Roman" w:hAnsi="Times New Roman"/>
        </w:rPr>
        <w:tab/>
        <w:t>The EIS then considered the extent of Scope 3 emissions, stressing that "a</w:t>
      </w:r>
      <w:r>
        <w:rPr>
          <w:rFonts w:ascii="Times New Roman" w:hAnsi="Times New Roman"/>
        </w:rPr>
        <w:t> </w:t>
      </w:r>
      <w:r w:rsidRPr="00992F81">
        <w:rPr>
          <w:rFonts w:ascii="Times New Roman" w:hAnsi="Times New Roman"/>
        </w:rPr>
        <w:t>significant majority" of Scope 3 emissions would occur overseas and would therefore not be counted towards Australia's emissions for the purpose of the</w:t>
      </w:r>
      <w:r>
        <w:rPr>
          <w:rFonts w:ascii="Times New Roman" w:hAnsi="Times New Roman"/>
        </w:rPr>
        <w:t> </w:t>
      </w:r>
      <w:r w:rsidRPr="00992F81">
        <w:rPr>
          <w:rFonts w:ascii="Times New Roman" w:hAnsi="Times New Roman"/>
        </w:rPr>
        <w:t>Paris</w:t>
      </w:r>
      <w:r>
        <w:rPr>
          <w:rFonts w:ascii="Times New Roman" w:hAnsi="Times New Roman"/>
        </w:rPr>
        <w:t> </w:t>
      </w:r>
      <w:r w:rsidRPr="00992F81">
        <w:rPr>
          <w:rFonts w:ascii="Times New Roman" w:hAnsi="Times New Roman"/>
        </w:rPr>
        <w:t>Agreement:</w:t>
      </w:r>
    </w:p>
    <w:p w14:paraId="7CEE7C43" w14:textId="77777777" w:rsidR="004D2653" w:rsidRPr="00992F81" w:rsidRDefault="004D2653" w:rsidP="00992F81">
      <w:pPr>
        <w:pStyle w:val="leftright"/>
        <w:spacing w:before="0" w:after="260" w:line="280" w:lineRule="exact"/>
        <w:ind w:right="0"/>
        <w:jc w:val="both"/>
        <w:rPr>
          <w:rFonts w:ascii="Times New Roman" w:hAnsi="Times New Roman"/>
          <w:bCs/>
        </w:rPr>
      </w:pPr>
      <w:r w:rsidRPr="00992F81">
        <w:rPr>
          <w:rFonts w:ascii="Times New Roman" w:hAnsi="Times New Roman"/>
          <w:bCs/>
        </w:rPr>
        <w:t>"The Project's Scope 1 and 2 emissions would be significantly less than the</w:t>
      </w:r>
      <w:r>
        <w:rPr>
          <w:rFonts w:ascii="Times New Roman" w:hAnsi="Times New Roman"/>
          <w:bCs/>
        </w:rPr>
        <w:t> </w:t>
      </w:r>
      <w:r w:rsidRPr="00992F81">
        <w:rPr>
          <w:rFonts w:ascii="Times New Roman" w:hAnsi="Times New Roman"/>
          <w:bCs/>
        </w:rPr>
        <w:t xml:space="preserve">Scope 3 emissions produced by customers using Project product coal. </w:t>
      </w:r>
      <w:r w:rsidRPr="00992F81">
        <w:rPr>
          <w:rFonts w:ascii="Times New Roman" w:hAnsi="Times New Roman"/>
          <w:i/>
        </w:rPr>
        <w:t>The estimated Scope 3 emissions would represent approximately 0.065% of the total anthropogenic greenhouse gas emissions globally (excluding land use change) in 2017 ... It is anticipated that a significant majority of the</w:t>
      </w:r>
      <w:r>
        <w:rPr>
          <w:rFonts w:ascii="Times New Roman" w:hAnsi="Times New Roman"/>
          <w:i/>
        </w:rPr>
        <w:t> </w:t>
      </w:r>
      <w:r w:rsidRPr="00992F81">
        <w:rPr>
          <w:rFonts w:ascii="Times New Roman" w:hAnsi="Times New Roman"/>
          <w:i/>
        </w:rPr>
        <w:t>Scope 3 emissions from the use of Project coal would occur overseas</w:t>
      </w:r>
      <w:r w:rsidRPr="00992F81">
        <w:rPr>
          <w:rFonts w:ascii="Times New Roman" w:hAnsi="Times New Roman"/>
          <w:bCs/>
        </w:rPr>
        <w:t>.</w:t>
      </w:r>
    </w:p>
    <w:p w14:paraId="64222261" w14:textId="77777777" w:rsidR="004D2653" w:rsidRPr="00992F81" w:rsidRDefault="004D2653" w:rsidP="00992F81">
      <w:pPr>
        <w:pStyle w:val="leftright"/>
        <w:spacing w:before="0" w:after="260" w:line="280" w:lineRule="exact"/>
        <w:ind w:right="0"/>
        <w:jc w:val="both"/>
        <w:rPr>
          <w:rFonts w:ascii="Times New Roman" w:hAnsi="Times New Roman"/>
          <w:bCs/>
        </w:rPr>
      </w:pPr>
      <w:r w:rsidRPr="00992F81">
        <w:rPr>
          <w:rFonts w:ascii="Times New Roman" w:hAnsi="Times New Roman"/>
          <w:bCs/>
        </w:rPr>
        <w:t xml:space="preserve">Under the </w:t>
      </w:r>
      <w:r w:rsidRPr="00992F81">
        <w:rPr>
          <w:rFonts w:ascii="Times New Roman" w:hAnsi="Times New Roman"/>
          <w:bCs/>
          <w:i/>
          <w:iCs/>
        </w:rPr>
        <w:t>Paris Agreement</w:t>
      </w:r>
      <w:r w:rsidRPr="00992F81">
        <w:rPr>
          <w:rFonts w:ascii="Times New Roman" w:hAnsi="Times New Roman"/>
          <w:bCs/>
        </w:rPr>
        <w:t>, each Party is required to prepare, communicate</w:t>
      </w:r>
      <w:r>
        <w:rPr>
          <w:rFonts w:ascii="Times New Roman" w:hAnsi="Times New Roman"/>
          <w:bCs/>
        </w:rPr>
        <w:t> </w:t>
      </w:r>
      <w:r w:rsidRPr="00992F81">
        <w:rPr>
          <w:rFonts w:ascii="Times New Roman" w:hAnsi="Times New Roman"/>
          <w:bCs/>
        </w:rPr>
        <w:t>and maintain [NDCs] that will contribute to the long-term goals of the</w:t>
      </w:r>
      <w:r>
        <w:rPr>
          <w:rFonts w:ascii="Times New Roman" w:hAnsi="Times New Roman"/>
          <w:bCs/>
        </w:rPr>
        <w:t> </w:t>
      </w:r>
      <w:r w:rsidRPr="00992F81">
        <w:rPr>
          <w:rFonts w:ascii="Times New Roman" w:hAnsi="Times New Roman"/>
          <w:bCs/>
          <w:i/>
          <w:iCs/>
        </w:rPr>
        <w:t>Paris</w:t>
      </w:r>
      <w:r>
        <w:rPr>
          <w:rFonts w:ascii="Times New Roman" w:hAnsi="Times New Roman"/>
          <w:bCs/>
          <w:i/>
          <w:iCs/>
        </w:rPr>
        <w:t> </w:t>
      </w:r>
      <w:r w:rsidRPr="00992F81">
        <w:rPr>
          <w:rFonts w:ascii="Times New Roman" w:hAnsi="Times New Roman"/>
          <w:bCs/>
          <w:i/>
          <w:iCs/>
        </w:rPr>
        <w:t>Agreement</w:t>
      </w:r>
      <w:r w:rsidRPr="00992F81">
        <w:rPr>
          <w:rFonts w:ascii="Times New Roman" w:hAnsi="Times New Roman"/>
          <w:bCs/>
        </w:rPr>
        <w:t xml:space="preserve"> ...</w:t>
      </w:r>
    </w:p>
    <w:p w14:paraId="0C8DCFD0" w14:textId="77777777" w:rsidR="004D2653" w:rsidRPr="00992F81" w:rsidRDefault="004D2653" w:rsidP="00992F81">
      <w:pPr>
        <w:pStyle w:val="leftright"/>
        <w:spacing w:before="0" w:after="260" w:line="280" w:lineRule="exact"/>
        <w:ind w:right="0"/>
        <w:jc w:val="both"/>
        <w:rPr>
          <w:rFonts w:ascii="Times New Roman" w:hAnsi="Times New Roman"/>
        </w:rPr>
      </w:pPr>
      <w:r w:rsidRPr="00992F81">
        <w:rPr>
          <w:rFonts w:ascii="Times New Roman" w:hAnsi="Times New Roman"/>
        </w:rPr>
        <w:t xml:space="preserve">Scope 3 emissions from the use of Project coal in overseas customer </w:t>
      </w:r>
      <w:r w:rsidRPr="00953270">
        <w:rPr>
          <w:rFonts w:ascii="Times New Roman" w:hAnsi="Times New Roman"/>
          <w:spacing w:val="-4"/>
        </w:rPr>
        <w:t xml:space="preserve">countries would be managed in accordance with customer countries commitments under the </w:t>
      </w:r>
      <w:r w:rsidRPr="00953270">
        <w:rPr>
          <w:rFonts w:ascii="Times New Roman" w:hAnsi="Times New Roman"/>
          <w:i/>
          <w:iCs/>
          <w:spacing w:val="-4"/>
        </w:rPr>
        <w:t xml:space="preserve">Paris Agreement </w:t>
      </w:r>
      <w:r w:rsidRPr="00953270">
        <w:rPr>
          <w:rFonts w:ascii="Times New Roman" w:hAnsi="Times New Roman"/>
          <w:spacing w:val="-4"/>
        </w:rPr>
        <w:t>(</w:t>
      </w:r>
      <w:r w:rsidRPr="00953270">
        <w:rPr>
          <w:rFonts w:ascii="Times New Roman" w:hAnsi="Times New Roman"/>
          <w:i/>
          <w:spacing w:val="-4"/>
        </w:rPr>
        <w:t>detailed in [the GHG Assessment</w:t>
      </w:r>
      <w:r w:rsidRPr="00575910">
        <w:rPr>
          <w:rFonts w:ascii="Times New Roman" w:hAnsi="Times New Roman"/>
          <w:bCs/>
          <w:i/>
          <w:spacing w:val="-4"/>
        </w:rPr>
        <w:t>]</w:t>
      </w:r>
      <w:r w:rsidRPr="00575910">
        <w:rPr>
          <w:rFonts w:ascii="Times New Roman" w:hAnsi="Times New Roman"/>
          <w:bCs/>
          <w:spacing w:val="-4"/>
        </w:rPr>
        <w:t xml:space="preserve">) </w:t>
      </w:r>
      <w:r w:rsidRPr="00953270">
        <w:rPr>
          <w:rFonts w:ascii="Times New Roman" w:hAnsi="Times New Roman"/>
          <w:spacing w:val="-4"/>
        </w:rPr>
        <w:t>and would not contribute to Australian greenhouse</w:t>
      </w:r>
      <w:r w:rsidRPr="00992F81">
        <w:rPr>
          <w:rFonts w:ascii="Times New Roman" w:hAnsi="Times New Roman"/>
        </w:rPr>
        <w:t xml:space="preserve"> gas emissions or factor into Australian greenhouse gas reduction targets.</w:t>
      </w:r>
    </w:p>
    <w:p w14:paraId="376A199B" w14:textId="77777777" w:rsidR="004D2653" w:rsidRDefault="004D2653" w:rsidP="00992F81">
      <w:pPr>
        <w:pStyle w:val="leftright"/>
        <w:spacing w:before="0" w:after="260" w:line="280" w:lineRule="exact"/>
        <w:ind w:right="0"/>
        <w:jc w:val="both"/>
        <w:rPr>
          <w:rFonts w:ascii="Times New Roman" w:hAnsi="Times New Roman"/>
        </w:rPr>
      </w:pPr>
      <w:r w:rsidRPr="00992F81">
        <w:rPr>
          <w:rFonts w:ascii="Times New Roman" w:hAnsi="Times New Roman"/>
        </w:rPr>
        <w:t>Any small quantities of Project product coal sold on the domestic market ... would likely be substituting or augmenting supply from existing coal sources. It is therefore anticipated these emissions would not increase Australia's current greenhouse gas emissions." (emphasis added)</w:t>
      </w:r>
    </w:p>
    <w:p w14:paraId="7C652E3D" w14:textId="77777777" w:rsidR="004D2653" w:rsidRPr="00992F81" w:rsidRDefault="004D2653" w:rsidP="00992F81">
      <w:pPr>
        <w:pStyle w:val="FixListStyle"/>
        <w:spacing w:after="260" w:line="280" w:lineRule="exact"/>
        <w:ind w:right="0"/>
        <w:jc w:val="both"/>
        <w:rPr>
          <w:rFonts w:ascii="Times New Roman" w:hAnsi="Times New Roman"/>
        </w:rPr>
      </w:pPr>
      <w:r w:rsidRPr="00992F81">
        <w:rPr>
          <w:rFonts w:ascii="Times New Roman" w:hAnsi="Times New Roman"/>
        </w:rPr>
        <w:lastRenderedPageBreak/>
        <w:tab/>
        <w:t>The reference to the GHG Assessment is important. Section 5.4 of the</w:t>
      </w:r>
      <w:r>
        <w:rPr>
          <w:rFonts w:ascii="Times New Roman" w:hAnsi="Times New Roman"/>
        </w:rPr>
        <w:t> </w:t>
      </w:r>
      <w:r w:rsidRPr="00992F81">
        <w:rPr>
          <w:rFonts w:ascii="Times New Roman" w:hAnsi="Times New Roman"/>
        </w:rPr>
        <w:t>GHG</w:t>
      </w:r>
      <w:r>
        <w:rPr>
          <w:rFonts w:ascii="Times New Roman" w:hAnsi="Times New Roman"/>
        </w:rPr>
        <w:t> </w:t>
      </w:r>
      <w:r w:rsidRPr="00992F81">
        <w:rPr>
          <w:rFonts w:ascii="Times New Roman" w:hAnsi="Times New Roman"/>
        </w:rPr>
        <w:t xml:space="preserve">Assessment was headed "Potential Impacts </w:t>
      </w:r>
      <w:r w:rsidRPr="00992F81">
        <w:rPr>
          <w:rFonts w:ascii="Times New Roman" w:hAnsi="Times New Roman"/>
          <w:i/>
          <w:iCs/>
        </w:rPr>
        <w:t>of</w:t>
      </w:r>
      <w:r w:rsidRPr="00992F81">
        <w:rPr>
          <w:rFonts w:ascii="Times New Roman" w:hAnsi="Times New Roman"/>
        </w:rPr>
        <w:t xml:space="preserve"> the Project" (emphasis</w:t>
      </w:r>
      <w:r>
        <w:rPr>
          <w:rFonts w:ascii="Times New Roman" w:hAnsi="Times New Roman"/>
        </w:rPr>
        <w:t> </w:t>
      </w:r>
      <w:r w:rsidRPr="00992F81">
        <w:rPr>
          <w:rFonts w:ascii="Times New Roman" w:hAnsi="Times New Roman"/>
        </w:rPr>
        <w:t>added). It stated, as repeated in Section 7.21.3, that Scope 1 and 2 emissions would be significantly less than Scope 3 emissions, and that most Scope</w:t>
      </w:r>
      <w:r>
        <w:rPr>
          <w:rFonts w:ascii="Times New Roman" w:hAnsi="Times New Roman"/>
        </w:rPr>
        <w:t> </w:t>
      </w:r>
      <w:r w:rsidRPr="00992F81">
        <w:rPr>
          <w:rFonts w:ascii="Times New Roman" w:hAnsi="Times New Roman"/>
        </w:rPr>
        <w:t>3 emissions would occur overseas, representing 0.065 per cent of the total anthropogenic greenhouse gas emissions globally.</w:t>
      </w:r>
      <w:r w:rsidRPr="00992F81">
        <w:rPr>
          <w:rStyle w:val="FootnoteReference"/>
          <w:rFonts w:ascii="Times New Roman" w:hAnsi="Times New Roman"/>
          <w:sz w:val="24"/>
        </w:rPr>
        <w:footnoteReference w:id="66"/>
      </w:r>
      <w:r w:rsidRPr="00992F81">
        <w:rPr>
          <w:rFonts w:ascii="Times New Roman" w:hAnsi="Times New Roman"/>
        </w:rPr>
        <w:t xml:space="preserve"> The GHG Assessment also noted countries' obligations under the Paris Agreement, and then stated that each country will have its own range of options to reduce emissions, having regard to its economic priorities and physical attributes.</w:t>
      </w:r>
    </w:p>
    <w:p w14:paraId="50ABDFAF" w14:textId="77777777" w:rsidR="004D2653" w:rsidRPr="00992F81" w:rsidRDefault="004D2653" w:rsidP="00992F81">
      <w:pPr>
        <w:pStyle w:val="FixListStyle"/>
        <w:spacing w:after="260" w:line="280" w:lineRule="exact"/>
        <w:ind w:right="0"/>
        <w:jc w:val="both"/>
        <w:rPr>
          <w:rFonts w:ascii="Times New Roman" w:hAnsi="Times New Roman"/>
        </w:rPr>
      </w:pPr>
      <w:r w:rsidRPr="00992F81">
        <w:rPr>
          <w:rFonts w:ascii="Times New Roman" w:hAnsi="Times New Roman"/>
        </w:rPr>
        <w:tab/>
        <w:t>Section 7.21.4 of the EIS, headed "Project Greenhouse Gas Mitigation Measures", provided that "[e]xisting greenhouse gas mitigation and management measures implemented at the Mount Pleasant Operation in accordance with the Air Quality and Greenhouse Gas Management Plan would continue for the Project". The EIS explained that, as diesel fuel consumption represented more than half of estimated "direct" (or Scope 1) emissions, the existing measures generally focused on minimising greenhouse gas emissions through the efficient use of diesel. The</w:t>
      </w:r>
      <w:r>
        <w:rPr>
          <w:rFonts w:ascii="Times New Roman" w:hAnsi="Times New Roman"/>
        </w:rPr>
        <w:t> </w:t>
      </w:r>
      <w:r w:rsidRPr="00992F81">
        <w:rPr>
          <w:rFonts w:ascii="Times New Roman" w:hAnsi="Times New Roman"/>
        </w:rPr>
        <w:t>EIS went on to state that as part of the Project, MACH would review and update existing Scope 1 greenhouse gas minimisation measures, and investigate whether it was reasonable and feasible to also reduce Scope 2 greenhouse gas emissions associated with on-site electricity use. Scope 3 emissions were not addressed.</w:t>
      </w:r>
    </w:p>
    <w:p w14:paraId="6CB10A6C" w14:textId="77777777" w:rsidR="004D2653" w:rsidRPr="00992F81" w:rsidRDefault="004D2653" w:rsidP="00992F81">
      <w:pPr>
        <w:pStyle w:val="FixListStyle"/>
        <w:spacing w:after="260" w:line="280" w:lineRule="exact"/>
        <w:ind w:right="0"/>
        <w:jc w:val="both"/>
        <w:rPr>
          <w:rFonts w:ascii="Times New Roman" w:hAnsi="Times New Roman"/>
        </w:rPr>
      </w:pPr>
      <w:r w:rsidRPr="00992F81">
        <w:rPr>
          <w:rFonts w:ascii="Times New Roman" w:hAnsi="Times New Roman"/>
          <w:b/>
        </w:rPr>
        <w:tab/>
      </w:r>
      <w:r w:rsidRPr="00992F81">
        <w:rPr>
          <w:rFonts w:ascii="Times New Roman" w:hAnsi="Times New Roman"/>
        </w:rPr>
        <w:t xml:space="preserve">Section 7.21.5, headed "Potential Impacts of Climate Change </w:t>
      </w:r>
      <w:r w:rsidRPr="00992F81">
        <w:rPr>
          <w:rFonts w:ascii="Times New Roman" w:hAnsi="Times New Roman"/>
          <w:i/>
          <w:iCs/>
        </w:rPr>
        <w:t xml:space="preserve">on </w:t>
      </w:r>
      <w:r w:rsidRPr="00992F81">
        <w:rPr>
          <w:rFonts w:ascii="Times New Roman" w:hAnsi="Times New Roman"/>
        </w:rPr>
        <w:t>the</w:t>
      </w:r>
      <w:r>
        <w:rPr>
          <w:rFonts w:ascii="Times New Roman" w:hAnsi="Times New Roman"/>
        </w:rPr>
        <w:t> </w:t>
      </w:r>
      <w:r w:rsidRPr="00992F81">
        <w:rPr>
          <w:rFonts w:ascii="Times New Roman" w:hAnsi="Times New Roman"/>
        </w:rPr>
        <w:t>Project" (emphasis added), stated:</w:t>
      </w:r>
    </w:p>
    <w:p w14:paraId="5EE9C6DF" w14:textId="77777777" w:rsidR="004D2653" w:rsidRPr="00992F81" w:rsidRDefault="004D2653" w:rsidP="00992F81">
      <w:pPr>
        <w:pStyle w:val="leftright"/>
        <w:spacing w:before="0" w:after="260" w:line="280" w:lineRule="exact"/>
        <w:ind w:right="0"/>
        <w:jc w:val="both"/>
        <w:rPr>
          <w:rFonts w:ascii="Times New Roman" w:hAnsi="Times New Roman"/>
        </w:rPr>
      </w:pPr>
      <w:r w:rsidRPr="00992F81">
        <w:rPr>
          <w:rFonts w:ascii="Times New Roman" w:hAnsi="Times New Roman"/>
        </w:rPr>
        <w:t xml:space="preserve">"Due to the inherent uncertainties associated with climate change projections, the potential impacts of climate change </w:t>
      </w:r>
      <w:r w:rsidRPr="00992F81">
        <w:rPr>
          <w:rFonts w:ascii="Times New Roman" w:hAnsi="Times New Roman"/>
          <w:i/>
          <w:iCs/>
        </w:rPr>
        <w:t xml:space="preserve">on </w:t>
      </w:r>
      <w:r w:rsidRPr="00992F81">
        <w:rPr>
          <w:rFonts w:ascii="Times New Roman" w:hAnsi="Times New Roman"/>
        </w:rPr>
        <w:t>the Project cannot be determined with a high degree of confidence.</w:t>
      </w:r>
    </w:p>
    <w:p w14:paraId="497F39BE" w14:textId="77777777" w:rsidR="004D2653" w:rsidRDefault="004D2653" w:rsidP="00992F81">
      <w:pPr>
        <w:pStyle w:val="leftright"/>
        <w:spacing w:before="0" w:after="260" w:line="280" w:lineRule="exact"/>
        <w:ind w:right="0"/>
        <w:jc w:val="both"/>
        <w:rPr>
          <w:rFonts w:ascii="Times New Roman" w:hAnsi="Times New Roman"/>
          <w:bCs/>
        </w:rPr>
      </w:pPr>
      <w:r w:rsidRPr="00992F81">
        <w:rPr>
          <w:rFonts w:ascii="Times New Roman" w:hAnsi="Times New Roman"/>
          <w:bCs/>
        </w:rPr>
        <w:t xml:space="preserve">Notwithstanding, climate change projections indicate average temperatures are likely to rise in the vicinity of the Project, and extreme temperature events may increase in frequency. This suggests that bushfire activity may become more prevalent in the region. In addition, rainfall has the potential to both increase and decrease, particularly seasonally, with heavier rainfall events likely to become more frequent." (emphasis added) </w:t>
      </w:r>
    </w:p>
    <w:p w14:paraId="30D71AF8" w14:textId="77777777" w:rsidR="004D2653" w:rsidRPr="00992F81" w:rsidRDefault="004D2653" w:rsidP="00992F81">
      <w:pPr>
        <w:pStyle w:val="NormalBody"/>
        <w:spacing w:after="260" w:line="280" w:lineRule="exact"/>
        <w:ind w:right="0"/>
        <w:jc w:val="both"/>
        <w:rPr>
          <w:rFonts w:ascii="Times New Roman" w:hAnsi="Times New Roman"/>
        </w:rPr>
      </w:pPr>
      <w:r w:rsidRPr="00992F81">
        <w:rPr>
          <w:rFonts w:ascii="Times New Roman" w:hAnsi="Times New Roman"/>
          <w:bCs/>
        </w:rPr>
        <w:t>Section 7.21.5</w:t>
      </w:r>
      <w:r w:rsidRPr="00992F81">
        <w:rPr>
          <w:rFonts w:ascii="Times New Roman" w:hAnsi="Times New Roman"/>
        </w:rPr>
        <w:t xml:space="preserve"> repeated statements found in Section 5.5 of the GHG Assessment, which addressed "Potential Impacts </w:t>
      </w:r>
      <w:r w:rsidRPr="00992F81">
        <w:rPr>
          <w:rFonts w:ascii="Times New Roman" w:hAnsi="Times New Roman"/>
          <w:i/>
          <w:iCs/>
        </w:rPr>
        <w:t>on</w:t>
      </w:r>
      <w:r w:rsidRPr="00992F81">
        <w:rPr>
          <w:rFonts w:ascii="Times New Roman" w:hAnsi="Times New Roman"/>
        </w:rPr>
        <w:t xml:space="preserve"> the Project" (emphasis added), </w:t>
      </w:r>
      <w:r w:rsidRPr="00992F81">
        <w:rPr>
          <w:rFonts w:ascii="Times New Roman" w:hAnsi="Times New Roman"/>
          <w:bCs/>
        </w:rPr>
        <w:t>and</w:t>
      </w:r>
      <w:r>
        <w:rPr>
          <w:rFonts w:ascii="Times New Roman" w:hAnsi="Times New Roman"/>
        </w:rPr>
        <w:t> </w:t>
      </w:r>
      <w:r w:rsidRPr="00992F81">
        <w:rPr>
          <w:rFonts w:ascii="Times New Roman" w:hAnsi="Times New Roman"/>
        </w:rPr>
        <w:t>Section</w:t>
      </w:r>
      <w:r>
        <w:rPr>
          <w:rFonts w:ascii="Times New Roman" w:hAnsi="Times New Roman"/>
        </w:rPr>
        <w:t> </w:t>
      </w:r>
      <w:r w:rsidRPr="00992F81">
        <w:rPr>
          <w:rFonts w:ascii="Times New Roman" w:hAnsi="Times New Roman"/>
        </w:rPr>
        <w:t xml:space="preserve">5.3 of the GHG Assessment. </w:t>
      </w:r>
    </w:p>
    <w:p w14:paraId="473279FB" w14:textId="77777777" w:rsidR="004D2653" w:rsidRPr="00992F81" w:rsidRDefault="004D2653" w:rsidP="00992F81">
      <w:pPr>
        <w:pStyle w:val="FixListStyle"/>
        <w:spacing w:after="260" w:line="280" w:lineRule="exact"/>
        <w:ind w:right="0"/>
        <w:jc w:val="both"/>
        <w:rPr>
          <w:rFonts w:ascii="Times New Roman" w:hAnsi="Times New Roman"/>
        </w:rPr>
      </w:pPr>
      <w:r w:rsidRPr="00992F81">
        <w:rPr>
          <w:rFonts w:ascii="Times New Roman" w:hAnsi="Times New Roman"/>
        </w:rPr>
        <w:tab/>
        <w:t xml:space="preserve">Section 7.21.6, headed "Adaptive Management", specified how MACH would manage its contribution to Australian greenhouse gas emissions, </w:t>
      </w:r>
      <w:r w:rsidRPr="00992F81">
        <w:rPr>
          <w:rFonts w:ascii="Times New Roman" w:hAnsi="Times New Roman"/>
        </w:rPr>
        <w:lastRenderedPageBreak/>
        <w:t>including</w:t>
      </w:r>
      <w:r>
        <w:rPr>
          <w:rFonts w:ascii="Times New Roman" w:hAnsi="Times New Roman"/>
        </w:rPr>
        <w:t> </w:t>
      </w:r>
      <w:r w:rsidRPr="00992F81">
        <w:rPr>
          <w:rFonts w:ascii="Times New Roman" w:hAnsi="Times New Roman"/>
        </w:rPr>
        <w:t xml:space="preserve">through reporting under the NGER Act. It also stated that "MACH has considered the key potential climate change risks </w:t>
      </w:r>
      <w:r w:rsidRPr="00992F81">
        <w:rPr>
          <w:rFonts w:ascii="Times New Roman" w:hAnsi="Times New Roman"/>
          <w:i/>
          <w:iCs/>
        </w:rPr>
        <w:t xml:space="preserve">to </w:t>
      </w:r>
      <w:r w:rsidRPr="00992F81">
        <w:rPr>
          <w:rFonts w:ascii="Times New Roman" w:hAnsi="Times New Roman"/>
        </w:rPr>
        <w:t>the Project (namely increased frequency of bushfires, water reliability during dry periods and storm surges) in</w:t>
      </w:r>
      <w:r>
        <w:rPr>
          <w:rFonts w:ascii="Times New Roman" w:hAnsi="Times New Roman"/>
        </w:rPr>
        <w:t> </w:t>
      </w:r>
      <w:r w:rsidRPr="00992F81">
        <w:rPr>
          <w:rFonts w:ascii="Times New Roman" w:hAnsi="Times New Roman"/>
        </w:rPr>
        <w:t>the</w:t>
      </w:r>
      <w:r>
        <w:rPr>
          <w:rFonts w:ascii="Times New Roman" w:hAnsi="Times New Roman"/>
        </w:rPr>
        <w:t> </w:t>
      </w:r>
      <w:r w:rsidRPr="00992F81">
        <w:rPr>
          <w:rFonts w:ascii="Times New Roman" w:hAnsi="Times New Roman"/>
        </w:rPr>
        <w:t>design of the Project. MACH would continue to assess climate change risks on an ongoing basis via implementation of an adaptive management approach" (emphasis added).</w:t>
      </w:r>
    </w:p>
    <w:p w14:paraId="767E5C82" w14:textId="77777777" w:rsidR="004D2653" w:rsidRPr="00992F81" w:rsidRDefault="004D2653" w:rsidP="00992F81">
      <w:pPr>
        <w:pStyle w:val="HeadingL3"/>
        <w:spacing w:after="260" w:line="280" w:lineRule="exact"/>
        <w:ind w:right="0"/>
        <w:jc w:val="both"/>
        <w:rPr>
          <w:rFonts w:ascii="Times New Roman" w:hAnsi="Times New Roman"/>
        </w:rPr>
      </w:pPr>
      <w:r w:rsidRPr="00992F81">
        <w:rPr>
          <w:rFonts w:ascii="Times New Roman" w:hAnsi="Times New Roman"/>
        </w:rPr>
        <w:t>Section 8 of the EIS – Evaluation and Conclusion</w:t>
      </w:r>
    </w:p>
    <w:p w14:paraId="68AFEE9F" w14:textId="77777777" w:rsidR="004D2653" w:rsidRPr="00992F81" w:rsidRDefault="004D2653" w:rsidP="00992F81">
      <w:pPr>
        <w:pStyle w:val="FixListStyle"/>
        <w:spacing w:after="260" w:line="280" w:lineRule="exact"/>
        <w:ind w:right="0"/>
        <w:jc w:val="both"/>
        <w:rPr>
          <w:rFonts w:ascii="Times New Roman" w:hAnsi="Times New Roman"/>
        </w:rPr>
      </w:pPr>
      <w:r w:rsidRPr="00992F81">
        <w:rPr>
          <w:rFonts w:ascii="Times New Roman" w:hAnsi="Times New Roman"/>
        </w:rPr>
        <w:tab/>
        <w:t>Section 8 provided a summary evaluation and conclusion for the EIS, including, relevantly, the "relevant planning considerations and policy objectives" (Section 8.3) and "key potential biophysical, economic and social impacts and benefits" (Section 8.4).</w:t>
      </w:r>
    </w:p>
    <w:p w14:paraId="40622C4B" w14:textId="77777777" w:rsidR="004D2653" w:rsidRPr="00992F81" w:rsidRDefault="004D2653" w:rsidP="00992F81">
      <w:pPr>
        <w:pStyle w:val="FixListStyle"/>
        <w:spacing w:after="260" w:line="280" w:lineRule="exact"/>
        <w:ind w:right="0"/>
        <w:jc w:val="both"/>
        <w:rPr>
          <w:rFonts w:ascii="Times New Roman" w:hAnsi="Times New Roman"/>
        </w:rPr>
      </w:pPr>
      <w:r w:rsidRPr="00992F81">
        <w:rPr>
          <w:rFonts w:ascii="Times New Roman" w:hAnsi="Times New Roman"/>
        </w:rPr>
        <w:tab/>
        <w:t>Section 8.3.3 acknowledged that, in evaluating the development application for the Project, the consent authority was required to take into consideration the</w:t>
      </w:r>
      <w:r>
        <w:rPr>
          <w:rFonts w:ascii="Times New Roman" w:hAnsi="Times New Roman"/>
        </w:rPr>
        <w:t> </w:t>
      </w:r>
      <w:r w:rsidRPr="00992F81">
        <w:rPr>
          <w:rFonts w:ascii="Times New Roman" w:hAnsi="Times New Roman"/>
        </w:rPr>
        <w:t>matters listed in s 4.15(1) of the EPA Act. It stated that the EIS had been prepared to "address the requirements of section 4.15(1) to assist the Minister or the [Commission] in evaluating the Project".</w:t>
      </w:r>
      <w:r w:rsidRPr="00992F81">
        <w:rPr>
          <w:rFonts w:ascii="Times New Roman" w:hAnsi="Times New Roman"/>
          <w:b/>
          <w:bCs/>
        </w:rPr>
        <w:t xml:space="preserve"> </w:t>
      </w:r>
    </w:p>
    <w:p w14:paraId="114A0D9E" w14:textId="77777777" w:rsidR="004D2653" w:rsidRPr="00992F81" w:rsidRDefault="004D2653" w:rsidP="00992F81">
      <w:pPr>
        <w:pStyle w:val="FixListStyle"/>
        <w:spacing w:after="260" w:line="280" w:lineRule="exact"/>
        <w:ind w:right="0"/>
        <w:jc w:val="both"/>
        <w:rPr>
          <w:rFonts w:ascii="Times New Roman" w:hAnsi="Times New Roman"/>
        </w:rPr>
      </w:pPr>
      <w:r w:rsidRPr="00992F81">
        <w:rPr>
          <w:rFonts w:ascii="Times New Roman" w:hAnsi="Times New Roman"/>
        </w:rPr>
        <w:tab/>
        <w:t>Section 8.3.4, headed "Potential Implications of Climate Change", reiterated earlier statements that the Project's contribution to global climate change effects would be proportionate to its contribution to greenhouse gas emissions,</w:t>
      </w:r>
      <w:r w:rsidRPr="00992F81">
        <w:rPr>
          <w:rStyle w:val="FootnoteReference"/>
          <w:rFonts w:ascii="Times New Roman" w:hAnsi="Times New Roman"/>
          <w:sz w:val="24"/>
        </w:rPr>
        <w:footnoteReference w:id="67"/>
      </w:r>
      <w:r w:rsidRPr="00992F81">
        <w:rPr>
          <w:rFonts w:ascii="Times New Roman" w:hAnsi="Times New Roman"/>
        </w:rPr>
        <w:t xml:space="preserve"> and also repeated earlier estimations of the Project's Scope 1 and Scope 2 emissions</w:t>
      </w:r>
      <w:r w:rsidRPr="00992F81">
        <w:rPr>
          <w:rStyle w:val="FootnoteReference"/>
          <w:rFonts w:ascii="Times New Roman" w:hAnsi="Times New Roman"/>
          <w:sz w:val="24"/>
        </w:rPr>
        <w:footnoteReference w:id="68"/>
      </w:r>
      <w:r w:rsidRPr="00992F81">
        <w:rPr>
          <w:rFonts w:ascii="Times New Roman" w:hAnsi="Times New Roman"/>
        </w:rPr>
        <w:t xml:space="preserve"> and Scope 3 emissions.</w:t>
      </w:r>
      <w:r w:rsidRPr="00992F81">
        <w:rPr>
          <w:rStyle w:val="FootnoteReference"/>
          <w:rFonts w:ascii="Times New Roman" w:hAnsi="Times New Roman"/>
          <w:sz w:val="24"/>
        </w:rPr>
        <w:footnoteReference w:id="69"/>
      </w:r>
      <w:r w:rsidRPr="00992F81">
        <w:rPr>
          <w:rFonts w:ascii="Times New Roman" w:hAnsi="Times New Roman"/>
        </w:rPr>
        <w:t xml:space="preserve"> Section 8.3.4 then repeated the statement that MACH had considered the key potential climate change risks </w:t>
      </w:r>
      <w:r w:rsidRPr="00992F81">
        <w:rPr>
          <w:rFonts w:ascii="Times New Roman" w:hAnsi="Times New Roman"/>
          <w:i/>
          <w:iCs/>
        </w:rPr>
        <w:t>to</w:t>
      </w:r>
      <w:r w:rsidRPr="00992F81">
        <w:rPr>
          <w:rFonts w:ascii="Times New Roman" w:hAnsi="Times New Roman"/>
        </w:rPr>
        <w:t xml:space="preserve"> the Project.</w:t>
      </w:r>
      <w:r w:rsidRPr="00992F81">
        <w:rPr>
          <w:rStyle w:val="FootnoteReference"/>
          <w:rFonts w:ascii="Times New Roman" w:hAnsi="Times New Roman"/>
          <w:sz w:val="24"/>
        </w:rPr>
        <w:footnoteReference w:id="70"/>
      </w:r>
    </w:p>
    <w:p w14:paraId="60F92E1A" w14:textId="77777777" w:rsidR="004D2653" w:rsidRPr="00992F81" w:rsidRDefault="004D2653" w:rsidP="00992F81">
      <w:pPr>
        <w:pStyle w:val="FixListStyle"/>
        <w:spacing w:after="260" w:line="280" w:lineRule="exact"/>
        <w:ind w:right="0"/>
        <w:jc w:val="both"/>
        <w:rPr>
          <w:rFonts w:ascii="Times New Roman" w:hAnsi="Times New Roman"/>
        </w:rPr>
      </w:pPr>
      <w:r w:rsidRPr="00992F81">
        <w:rPr>
          <w:rFonts w:ascii="Times New Roman" w:hAnsi="Times New Roman"/>
          <w:bCs/>
        </w:rPr>
        <w:tab/>
        <w:t>Section</w:t>
      </w:r>
      <w:r w:rsidRPr="00992F81">
        <w:rPr>
          <w:rFonts w:ascii="Times New Roman" w:hAnsi="Times New Roman"/>
        </w:rPr>
        <w:t xml:space="preserve"> 8.3.5 was headed "Ecologically Sustainable Development Considerations". Under the sub-heading "Greenhouse Gas Emissions, Biological</w:t>
      </w:r>
      <w:r>
        <w:rPr>
          <w:rFonts w:ascii="Times New Roman" w:hAnsi="Times New Roman"/>
        </w:rPr>
        <w:t> </w:t>
      </w:r>
      <w:r w:rsidRPr="00992F81">
        <w:rPr>
          <w:rFonts w:ascii="Times New Roman" w:hAnsi="Times New Roman"/>
        </w:rPr>
        <w:t xml:space="preserve">Diversity and Ecological Integrity", the </w:t>
      </w:r>
      <w:r w:rsidRPr="00992F81">
        <w:rPr>
          <w:rFonts w:ascii="Times New Roman" w:hAnsi="Times New Roman"/>
          <w:bCs/>
        </w:rPr>
        <w:t xml:space="preserve">EIS "acknowledged </w:t>
      </w:r>
      <w:r w:rsidRPr="00992F81">
        <w:rPr>
          <w:rFonts w:ascii="Times New Roman" w:hAnsi="Times New Roman"/>
        </w:rPr>
        <w:t>that (subject to the efficacy of national and international greenhouse gas abatement measures) all sources of greenhouse gas emissions in NSW, irrespective of their scale, will contribute in some way towards the potential global, national, state and regional effects of climate change".</w:t>
      </w:r>
    </w:p>
    <w:p w14:paraId="526A9521" w14:textId="77777777" w:rsidR="004D2653" w:rsidRPr="00992F81" w:rsidRDefault="004D2653" w:rsidP="00992F81">
      <w:pPr>
        <w:pStyle w:val="FixListStyle"/>
        <w:spacing w:after="260" w:line="280" w:lineRule="exact"/>
        <w:ind w:right="0"/>
        <w:jc w:val="both"/>
        <w:rPr>
          <w:rFonts w:ascii="Times New Roman" w:hAnsi="Times New Roman"/>
        </w:rPr>
      </w:pPr>
      <w:r w:rsidRPr="00992F81">
        <w:rPr>
          <w:rFonts w:ascii="Times New Roman" w:hAnsi="Times New Roman"/>
        </w:rPr>
        <w:tab/>
        <w:t xml:space="preserve">The EIS then identified that "approximately 96% of the estimated total Scopes 1, 2 and 3 emissions are associated with the end use of the Project product coal by customer organisations (i.e. primarily for electricity generation). </w:t>
      </w:r>
      <w:r w:rsidRPr="00992F81">
        <w:rPr>
          <w:rFonts w:ascii="Times New Roman" w:hAnsi="Times New Roman"/>
        </w:rPr>
        <w:lastRenderedPageBreak/>
        <w:t>Emissions</w:t>
      </w:r>
      <w:r>
        <w:rPr>
          <w:rFonts w:ascii="Times New Roman" w:hAnsi="Times New Roman"/>
        </w:rPr>
        <w:t> </w:t>
      </w:r>
      <w:r w:rsidRPr="00992F81">
        <w:rPr>
          <w:rFonts w:ascii="Times New Roman" w:hAnsi="Times New Roman"/>
        </w:rPr>
        <w:t>associated with the end use of Project coal would, therefore, be</w:t>
      </w:r>
      <w:r>
        <w:rPr>
          <w:rFonts w:ascii="Times New Roman" w:hAnsi="Times New Roman"/>
        </w:rPr>
        <w:t> </w:t>
      </w:r>
      <w:r w:rsidRPr="00992F81">
        <w:rPr>
          <w:rFonts w:ascii="Times New Roman" w:hAnsi="Times New Roman"/>
        </w:rPr>
        <w:t>managed under the NDCs of these countries". It acknowledged that the potential impacts of Scope 1 and 2 emissions of the Project had been valued in an</w:t>
      </w:r>
      <w:r>
        <w:rPr>
          <w:rFonts w:ascii="Times New Roman" w:hAnsi="Times New Roman"/>
        </w:rPr>
        <w:t> </w:t>
      </w:r>
      <w:r w:rsidRPr="00992F81">
        <w:rPr>
          <w:rFonts w:ascii="Times New Roman" w:hAnsi="Times New Roman"/>
        </w:rPr>
        <w:t>"Economic</w:t>
      </w:r>
      <w:r>
        <w:rPr>
          <w:rFonts w:ascii="Times New Roman" w:hAnsi="Times New Roman"/>
        </w:rPr>
        <w:t> </w:t>
      </w:r>
      <w:r w:rsidRPr="00992F81">
        <w:rPr>
          <w:rFonts w:ascii="Times New Roman" w:hAnsi="Times New Roman"/>
        </w:rPr>
        <w:t>Assessment", and that "[f]urther consideration of the Scope 3 emissions associated with the use of Project product coal" was in Section 8.4.1.</w:t>
      </w:r>
    </w:p>
    <w:p w14:paraId="5DE7EC3A" w14:textId="77777777" w:rsidR="004D2653" w:rsidRPr="00992F81" w:rsidRDefault="004D2653" w:rsidP="00992F81">
      <w:pPr>
        <w:pStyle w:val="FixListStyle"/>
        <w:spacing w:after="260" w:line="280" w:lineRule="exact"/>
        <w:ind w:right="0"/>
        <w:jc w:val="both"/>
        <w:rPr>
          <w:rFonts w:ascii="Times New Roman" w:hAnsi="Times New Roman"/>
        </w:rPr>
      </w:pPr>
      <w:r w:rsidRPr="00992F81">
        <w:rPr>
          <w:rFonts w:ascii="Times New Roman" w:hAnsi="Times New Roman"/>
        </w:rPr>
        <w:tab/>
        <w:t>The EIS then explained that the Economic Assessment indicated that "a net benefit of $855 million" in net present value would be forgone if the Project was not implemented (where the net benefit was "net of the value of externalities including Scope 1 and 2 greenhouse gas emissions"). It then stated that Scope 3 emissions were not included in the calculation, consistent with economic assessment convention (where economic impacts of an activity are considered in the country where the activity takes place). The EIS emphasised that the</w:t>
      </w:r>
      <w:r>
        <w:rPr>
          <w:rFonts w:ascii="Times New Roman" w:hAnsi="Times New Roman"/>
        </w:rPr>
        <w:t> </w:t>
      </w:r>
      <w:r w:rsidRPr="00992F81">
        <w:rPr>
          <w:rFonts w:ascii="Times New Roman" w:hAnsi="Times New Roman"/>
        </w:rPr>
        <w:t>Paris</w:t>
      </w:r>
      <w:r>
        <w:rPr>
          <w:rFonts w:ascii="Times New Roman" w:hAnsi="Times New Roman"/>
        </w:rPr>
        <w:t> </w:t>
      </w:r>
      <w:r w:rsidRPr="00992F81">
        <w:rPr>
          <w:rFonts w:ascii="Times New Roman" w:hAnsi="Times New Roman"/>
        </w:rPr>
        <w:t>Agreement seeks to avoid double counting of emissions, and then stated:</w:t>
      </w:r>
    </w:p>
    <w:p w14:paraId="255E53B9" w14:textId="77777777" w:rsidR="004D2653" w:rsidRPr="00992F81" w:rsidRDefault="004D2653" w:rsidP="00992F81">
      <w:pPr>
        <w:pStyle w:val="leftright"/>
        <w:spacing w:before="0" w:after="260" w:line="280" w:lineRule="exact"/>
        <w:ind w:right="0"/>
        <w:jc w:val="both"/>
        <w:rPr>
          <w:rFonts w:ascii="Times New Roman" w:hAnsi="Times New Roman"/>
        </w:rPr>
      </w:pPr>
      <w:r w:rsidRPr="00992F81">
        <w:rPr>
          <w:rFonts w:ascii="Times New Roman" w:hAnsi="Times New Roman"/>
        </w:rPr>
        <w:t>"</w:t>
      </w:r>
      <w:r w:rsidRPr="00992F81">
        <w:rPr>
          <w:rFonts w:ascii="Times New Roman" w:hAnsi="Times New Roman"/>
          <w:i/>
          <w:iCs/>
        </w:rPr>
        <w:t xml:space="preserve">Notwithstanding, Scope 3 greenhouse gas emissions that may be emitted by other parties, </w:t>
      </w:r>
      <w:r w:rsidRPr="00992F81">
        <w:rPr>
          <w:rFonts w:ascii="Times New Roman" w:hAnsi="Times New Roman"/>
          <w:i/>
        </w:rPr>
        <w:t>such as from the use of the product coal produced by the</w:t>
      </w:r>
      <w:r>
        <w:rPr>
          <w:rFonts w:ascii="Times New Roman" w:hAnsi="Times New Roman"/>
          <w:i/>
        </w:rPr>
        <w:t> </w:t>
      </w:r>
      <w:r w:rsidRPr="00992F81">
        <w:rPr>
          <w:rFonts w:ascii="Times New Roman" w:hAnsi="Times New Roman"/>
          <w:i/>
        </w:rPr>
        <w:t>Project</w:t>
      </w:r>
      <w:r w:rsidRPr="00992F81">
        <w:rPr>
          <w:rFonts w:ascii="Times New Roman" w:hAnsi="Times New Roman"/>
          <w:i/>
          <w:iCs/>
        </w:rPr>
        <w:t>, are considered in this EIS. On average, over the life of the</w:t>
      </w:r>
      <w:r>
        <w:rPr>
          <w:rFonts w:ascii="Times New Roman" w:hAnsi="Times New Roman"/>
          <w:i/>
          <w:iCs/>
        </w:rPr>
        <w:t> </w:t>
      </w:r>
      <w:r w:rsidRPr="00992F81">
        <w:rPr>
          <w:rFonts w:ascii="Times New Roman" w:hAnsi="Times New Roman"/>
          <w:i/>
          <w:iCs/>
        </w:rPr>
        <w:t>Project, the indirect (i.e. Scope 3) emissions from these activities are estimated to be approximately 33.1 Mt CO</w:t>
      </w:r>
      <w:r w:rsidRPr="00992F81">
        <w:rPr>
          <w:rFonts w:ascii="Times New Roman" w:hAnsi="Times New Roman"/>
          <w:i/>
          <w:vertAlign w:val="subscript"/>
        </w:rPr>
        <w:t>2</w:t>
      </w:r>
      <w:r w:rsidRPr="00992F81">
        <w:rPr>
          <w:rFonts w:ascii="Times New Roman" w:hAnsi="Times New Roman"/>
          <w:i/>
          <w:iCs/>
        </w:rPr>
        <w:t>-e per year</w:t>
      </w:r>
      <w:r w:rsidRPr="00992F81">
        <w:rPr>
          <w:rFonts w:ascii="Times New Roman" w:hAnsi="Times New Roman"/>
        </w:rPr>
        <w:t xml:space="preserve"> ...</w:t>
      </w:r>
    </w:p>
    <w:p w14:paraId="2EBEB434" w14:textId="77777777" w:rsidR="004D2653" w:rsidRDefault="004D2653" w:rsidP="00992F81">
      <w:pPr>
        <w:pStyle w:val="leftright"/>
        <w:spacing w:before="0" w:after="260" w:line="280" w:lineRule="exact"/>
        <w:ind w:right="0"/>
        <w:jc w:val="both"/>
        <w:rPr>
          <w:rFonts w:ascii="Times New Roman" w:hAnsi="Times New Roman"/>
        </w:rPr>
      </w:pPr>
      <w:r w:rsidRPr="006220D4">
        <w:rPr>
          <w:rFonts w:ascii="Times New Roman" w:hAnsi="Times New Roman"/>
          <w:spacing w:val="4"/>
        </w:rPr>
        <w:t>These (typically electricity generation) greenhouse gas emissions would be accounted for under the customer countries NDCs under the </w:t>
      </w:r>
      <w:r w:rsidRPr="006220D4">
        <w:rPr>
          <w:rFonts w:ascii="Times New Roman" w:hAnsi="Times New Roman"/>
          <w:i/>
          <w:iCs/>
          <w:spacing w:val="4"/>
        </w:rPr>
        <w:t>Paris Agreement</w:t>
      </w:r>
      <w:r w:rsidRPr="00992F81">
        <w:rPr>
          <w:rFonts w:ascii="Times New Roman" w:hAnsi="Times New Roman"/>
          <w:i/>
          <w:iCs/>
        </w:rPr>
        <w:t xml:space="preserve"> ...</w:t>
      </w:r>
      <w:r w:rsidRPr="00992F81">
        <w:rPr>
          <w:rFonts w:ascii="Times New Roman" w:hAnsi="Times New Roman"/>
        </w:rPr>
        <w:t>" (emphasis added)</w:t>
      </w:r>
    </w:p>
    <w:p w14:paraId="6513FA1E" w14:textId="77777777" w:rsidR="004D2653" w:rsidRPr="00992F81" w:rsidRDefault="004D2653" w:rsidP="00992F81">
      <w:pPr>
        <w:pStyle w:val="FixListStyle"/>
        <w:spacing w:after="260" w:line="280" w:lineRule="exact"/>
        <w:ind w:right="0"/>
        <w:jc w:val="both"/>
        <w:rPr>
          <w:rFonts w:ascii="Times New Roman" w:hAnsi="Times New Roman"/>
        </w:rPr>
      </w:pPr>
      <w:r w:rsidRPr="00992F81">
        <w:rPr>
          <w:rFonts w:ascii="Times New Roman" w:hAnsi="Times New Roman"/>
        </w:rPr>
        <w:tab/>
        <w:t>Section 8.4 was headed "Evaluation of Key Impacts and Benefits". In</w:t>
      </w:r>
      <w:r>
        <w:rPr>
          <w:rFonts w:ascii="Times New Roman" w:hAnsi="Times New Roman"/>
        </w:rPr>
        <w:t> </w:t>
      </w:r>
      <w:r w:rsidRPr="00992F81">
        <w:rPr>
          <w:rFonts w:ascii="Times New Roman" w:hAnsi="Times New Roman"/>
        </w:rPr>
        <w:t>Section 8.4.1, headed "Key Potential Impacts", the EIS relevantly summarised the "Potential Indirect Adverse Impacts" associated with the Project as including greenhouse gas emissions:</w:t>
      </w:r>
    </w:p>
    <w:p w14:paraId="4A6F38D3" w14:textId="77777777" w:rsidR="004D2653" w:rsidRDefault="004D2653" w:rsidP="00992F81">
      <w:pPr>
        <w:pStyle w:val="leftright"/>
        <w:spacing w:before="0" w:after="260" w:line="280" w:lineRule="exact"/>
        <w:ind w:right="0"/>
        <w:jc w:val="both"/>
        <w:rPr>
          <w:rFonts w:ascii="Times New Roman" w:hAnsi="Times New Roman"/>
        </w:rPr>
      </w:pPr>
      <w:r w:rsidRPr="00992F81">
        <w:rPr>
          <w:rFonts w:ascii="Times New Roman" w:hAnsi="Times New Roman"/>
        </w:rPr>
        <w:t>"[C]onsultation has also identified concerns regarding Scope 1 and Scope 2 greenhouse gas emissions from NSW coal mining developments, and Scope</w:t>
      </w:r>
      <w:r>
        <w:rPr>
          <w:rFonts w:ascii="Times New Roman" w:hAnsi="Times New Roman"/>
        </w:rPr>
        <w:t> </w:t>
      </w:r>
      <w:r w:rsidRPr="00992F81">
        <w:rPr>
          <w:rFonts w:ascii="Times New Roman" w:hAnsi="Times New Roman"/>
        </w:rPr>
        <w:t>3 greenhouse gas emissions (e.g. overseas greenhouse gas emissions from the use of Project product coal) potentially contributing to global climate change effects".</w:t>
      </w:r>
    </w:p>
    <w:p w14:paraId="27E3CE05" w14:textId="77777777" w:rsidR="004D2653" w:rsidRPr="00992F81" w:rsidRDefault="004D2653" w:rsidP="00992F81">
      <w:pPr>
        <w:pStyle w:val="NormalBody"/>
        <w:spacing w:after="260" w:line="280" w:lineRule="exact"/>
        <w:ind w:right="0"/>
        <w:jc w:val="both"/>
        <w:rPr>
          <w:rFonts w:ascii="Times New Roman" w:hAnsi="Times New Roman"/>
          <w:b/>
        </w:rPr>
      </w:pPr>
      <w:r w:rsidRPr="00992F81">
        <w:rPr>
          <w:rFonts w:ascii="Times New Roman" w:hAnsi="Times New Roman"/>
        </w:rPr>
        <w:t>The EIS again acknowledged that, subject to the efficacy of abatement measures, all sources of greenhouse gas emissions would contribute in some way to the</w:t>
      </w:r>
      <w:r>
        <w:rPr>
          <w:rFonts w:ascii="Times New Roman" w:hAnsi="Times New Roman"/>
        </w:rPr>
        <w:t> </w:t>
      </w:r>
      <w:r w:rsidRPr="00992F81">
        <w:rPr>
          <w:rFonts w:ascii="Times New Roman" w:hAnsi="Times New Roman"/>
        </w:rPr>
        <w:t>effects of climate change.</w:t>
      </w:r>
    </w:p>
    <w:p w14:paraId="696367B6" w14:textId="77777777" w:rsidR="004D2653" w:rsidRPr="00992F81" w:rsidRDefault="004D2653" w:rsidP="00992F81">
      <w:pPr>
        <w:pStyle w:val="FixListStyle"/>
        <w:spacing w:after="260" w:line="280" w:lineRule="exact"/>
        <w:ind w:right="0"/>
        <w:jc w:val="both"/>
        <w:rPr>
          <w:rFonts w:ascii="Times New Roman" w:hAnsi="Times New Roman"/>
        </w:rPr>
      </w:pPr>
      <w:r w:rsidRPr="00992F81">
        <w:rPr>
          <w:rFonts w:ascii="Times New Roman" w:hAnsi="Times New Roman"/>
        </w:rPr>
        <w:tab/>
        <w:t xml:space="preserve">The EIS reiterated that the Project's relative contribution to global climate change effects would be proportional to its contribution to greenhouse gas emissions. The EIS also repeated that Project product coal sold on the domestic </w:t>
      </w:r>
      <w:r w:rsidRPr="00992F81">
        <w:rPr>
          <w:rFonts w:ascii="Times New Roman" w:hAnsi="Times New Roman"/>
        </w:rPr>
        <w:lastRenderedPageBreak/>
        <w:t>market would be substituting existing supply, thus not increasing Australia's greenhouse gas emissions.</w:t>
      </w:r>
      <w:r w:rsidRPr="00992F81">
        <w:rPr>
          <w:rStyle w:val="FootnoteReference"/>
          <w:rFonts w:ascii="Times New Roman" w:hAnsi="Times New Roman"/>
          <w:sz w:val="24"/>
        </w:rPr>
        <w:footnoteReference w:id="71"/>
      </w:r>
      <w:r w:rsidRPr="00992F81">
        <w:rPr>
          <w:rFonts w:ascii="Times New Roman" w:hAnsi="Times New Roman"/>
        </w:rPr>
        <w:t xml:space="preserve"> The EIS then stated:</w:t>
      </w:r>
    </w:p>
    <w:p w14:paraId="258E9F6A" w14:textId="77777777" w:rsidR="004D2653" w:rsidRDefault="004D2653" w:rsidP="00992F81">
      <w:pPr>
        <w:pStyle w:val="leftright"/>
        <w:spacing w:before="0" w:after="260" w:line="280" w:lineRule="exact"/>
        <w:ind w:right="0"/>
        <w:jc w:val="both"/>
        <w:rPr>
          <w:rFonts w:ascii="Times New Roman" w:hAnsi="Times New Roman"/>
        </w:rPr>
      </w:pPr>
      <w:r w:rsidRPr="00992F81">
        <w:rPr>
          <w:rFonts w:ascii="Times New Roman" w:hAnsi="Times New Roman"/>
        </w:rPr>
        <w:t>"MACH would manage its contribution to Australian greenhouse gas emissions inventories through reporting under the NGER Act, as well as other applicable government initiatives and policies implemented to manage emissions at the national level under Australia's progressive NDCs."</w:t>
      </w:r>
    </w:p>
    <w:p w14:paraId="6B86675E" w14:textId="77777777" w:rsidR="004D2653" w:rsidRPr="00992F81" w:rsidRDefault="004D2653" w:rsidP="00992F81">
      <w:pPr>
        <w:pStyle w:val="HeadingL2"/>
        <w:spacing w:after="260" w:line="280" w:lineRule="exact"/>
        <w:ind w:right="0"/>
        <w:jc w:val="both"/>
        <w:rPr>
          <w:rFonts w:ascii="Times New Roman" w:hAnsi="Times New Roman"/>
        </w:rPr>
      </w:pPr>
      <w:bookmarkStart w:id="3" w:name="_Toc229142997"/>
      <w:r w:rsidRPr="00992F81">
        <w:rPr>
          <w:rFonts w:ascii="Times New Roman" w:hAnsi="Times New Roman"/>
        </w:rPr>
        <w:t xml:space="preserve">Department's assessment </w:t>
      </w:r>
      <w:bookmarkEnd w:id="3"/>
      <w:r w:rsidRPr="00992F81">
        <w:rPr>
          <w:rFonts w:ascii="Times New Roman" w:hAnsi="Times New Roman"/>
        </w:rPr>
        <w:t>report</w:t>
      </w:r>
    </w:p>
    <w:p w14:paraId="1E387464" w14:textId="77777777" w:rsidR="004D2653" w:rsidRPr="00992F81" w:rsidRDefault="004D2653" w:rsidP="00992F81">
      <w:pPr>
        <w:pStyle w:val="FixListStyle"/>
        <w:spacing w:after="260" w:line="280" w:lineRule="exact"/>
        <w:ind w:right="0"/>
        <w:jc w:val="both"/>
        <w:rPr>
          <w:rFonts w:ascii="Times New Roman" w:hAnsi="Times New Roman"/>
        </w:rPr>
      </w:pPr>
      <w:r w:rsidRPr="00992F81">
        <w:rPr>
          <w:rFonts w:ascii="Times New Roman" w:hAnsi="Times New Roman"/>
        </w:rPr>
        <w:tab/>
        <w:t>The Department prepared an assessment report addressing the Project,</w:t>
      </w:r>
      <w:r w:rsidRPr="00992F81" w:rsidDel="001D6BA4">
        <w:rPr>
          <w:rFonts w:ascii="Times New Roman" w:hAnsi="Times New Roman"/>
        </w:rPr>
        <w:t xml:space="preserve"> </w:t>
      </w:r>
      <w:r w:rsidRPr="00992F81">
        <w:rPr>
          <w:rFonts w:ascii="Times New Roman" w:hAnsi="Times New Roman"/>
        </w:rPr>
        <w:t xml:space="preserve">which it submitted to the Commission on 31 May 2022. In the executive summary, regarding the assessment of greenhouse gases, the </w:t>
      </w:r>
      <w:r w:rsidRPr="00992F81" w:rsidDel="001D6BA4">
        <w:rPr>
          <w:rFonts w:ascii="Times New Roman" w:hAnsi="Times New Roman"/>
        </w:rPr>
        <w:t xml:space="preserve">Department's </w:t>
      </w:r>
      <w:r w:rsidRPr="00992F81">
        <w:rPr>
          <w:rFonts w:ascii="Times New Roman" w:hAnsi="Times New Roman"/>
        </w:rPr>
        <w:t>assessment report stated:</w:t>
      </w:r>
    </w:p>
    <w:p w14:paraId="76D5E1E3" w14:textId="77777777" w:rsidR="004D2653" w:rsidRPr="00992F81" w:rsidRDefault="004D2653" w:rsidP="00992F81">
      <w:pPr>
        <w:pStyle w:val="leftright"/>
        <w:spacing w:before="0" w:after="260" w:line="280" w:lineRule="exact"/>
        <w:ind w:right="0"/>
        <w:jc w:val="both"/>
        <w:rPr>
          <w:rFonts w:ascii="Times New Roman" w:eastAsia="Calibri" w:hAnsi="Times New Roman"/>
        </w:rPr>
      </w:pPr>
      <w:r w:rsidRPr="00992F81">
        <w:rPr>
          <w:rFonts w:ascii="Times New Roman" w:eastAsia="Calibri" w:hAnsi="Times New Roman"/>
        </w:rPr>
        <w:t>"The Department recognises that [greenhouse gas] emissions and climate change is a matter of interest to many members of the broader community, and was raised in many public submissions.</w:t>
      </w:r>
    </w:p>
    <w:p w14:paraId="0647BF33" w14:textId="77777777" w:rsidR="004D2653" w:rsidRPr="007E5FF7" w:rsidRDefault="004D2653" w:rsidP="00992F81">
      <w:pPr>
        <w:pStyle w:val="leftright"/>
        <w:spacing w:before="0" w:after="260" w:line="280" w:lineRule="exact"/>
        <w:ind w:right="0"/>
        <w:jc w:val="both"/>
        <w:rPr>
          <w:rFonts w:ascii="Times New Roman" w:eastAsia="Calibri" w:hAnsi="Times New Roman"/>
          <w:spacing w:val="4"/>
        </w:rPr>
      </w:pPr>
      <w:r w:rsidRPr="007E5FF7">
        <w:rPr>
          <w:rFonts w:ascii="Times New Roman" w:eastAsia="Calibri" w:hAnsi="Times New Roman"/>
          <w:spacing w:val="4"/>
        </w:rPr>
        <w:t>The [GHG Assessment] indicates that the majority (98%) of [greenhouse gas] emissions generated by the [P]roject comprise Scope 3 emissions that would arise from the downstream consumption of coal by end users. Under the Paris Agreement accounting rules and Australian legislation, Scope 3 emissions are not included in Project emission reporting, to avoid double counting."</w:t>
      </w:r>
    </w:p>
    <w:p w14:paraId="097EB337" w14:textId="77777777" w:rsidR="004D2653" w:rsidRPr="00992F81" w:rsidRDefault="004D2653" w:rsidP="00992F81">
      <w:pPr>
        <w:pStyle w:val="FixListStyle"/>
        <w:spacing w:after="260" w:line="280" w:lineRule="exact"/>
        <w:ind w:right="0"/>
        <w:jc w:val="both"/>
        <w:rPr>
          <w:rFonts w:ascii="Times New Roman" w:eastAsia="Calibri" w:hAnsi="Times New Roman"/>
        </w:rPr>
      </w:pPr>
      <w:r w:rsidRPr="00992F81">
        <w:rPr>
          <w:rFonts w:ascii="Times New Roman" w:eastAsia="Calibri" w:hAnsi="Times New Roman"/>
        </w:rPr>
        <w:tab/>
        <w:t>The</w:t>
      </w:r>
      <w:r w:rsidRPr="00992F81" w:rsidDel="00D36784">
        <w:rPr>
          <w:rFonts w:ascii="Times New Roman" w:eastAsia="Calibri" w:hAnsi="Times New Roman"/>
        </w:rPr>
        <w:t xml:space="preserve"> </w:t>
      </w:r>
      <w:r w:rsidRPr="00992F81">
        <w:rPr>
          <w:rFonts w:ascii="Times New Roman" w:eastAsia="Calibri" w:hAnsi="Times New Roman"/>
        </w:rPr>
        <w:t>assessment report explained that Scope 1 and Scope 2 emissions associated with the Project would have a relatively low emissions intensity compared to other coal mining projects. It then stated:</w:t>
      </w:r>
    </w:p>
    <w:p w14:paraId="5CADF47C" w14:textId="77777777" w:rsidR="004D2653" w:rsidRPr="00992F81" w:rsidRDefault="004D2653" w:rsidP="00992F81">
      <w:pPr>
        <w:pStyle w:val="leftright"/>
        <w:spacing w:before="0" w:after="260" w:line="280" w:lineRule="exact"/>
        <w:ind w:right="0"/>
        <w:jc w:val="both"/>
        <w:rPr>
          <w:rFonts w:ascii="Times New Roman" w:hAnsi="Times New Roman"/>
        </w:rPr>
      </w:pPr>
      <w:r w:rsidRPr="00992F81">
        <w:rPr>
          <w:rFonts w:ascii="Times New Roman" w:hAnsi="Times New Roman"/>
        </w:rPr>
        <w:t xml:space="preserve">"The [P]roject's emissions have been accounted for in the NSW </w:t>
      </w:r>
      <w:r w:rsidRPr="00992F81">
        <w:rPr>
          <w:rFonts w:ascii="Times New Roman" w:eastAsia="Calibri" w:hAnsi="Times New Roman"/>
        </w:rPr>
        <w:t xml:space="preserve">[greenhouse gas] </w:t>
      </w:r>
      <w:r w:rsidRPr="00992F81">
        <w:rPr>
          <w:rFonts w:ascii="Times New Roman" w:hAnsi="Times New Roman"/>
        </w:rPr>
        <w:t>emissions projections in the NSW Government's Net Zero Plan.</w:t>
      </w:r>
    </w:p>
    <w:p w14:paraId="18891908" w14:textId="77777777" w:rsidR="004D2653" w:rsidRDefault="004D2653" w:rsidP="00992F81">
      <w:pPr>
        <w:pStyle w:val="leftright"/>
        <w:spacing w:before="0" w:after="260" w:line="280" w:lineRule="exact"/>
        <w:ind w:right="0"/>
        <w:jc w:val="both"/>
        <w:rPr>
          <w:rFonts w:ascii="Times New Roman" w:hAnsi="Times New Roman"/>
        </w:rPr>
      </w:pPr>
      <w:r w:rsidRPr="00992F81">
        <w:rPr>
          <w:rFonts w:ascii="Times New Roman" w:hAnsi="Times New Roman"/>
        </w:rPr>
        <w:t>The Department accepts that the [P]roject is consistent with the objectives of Australia's</w:t>
      </w:r>
      <w:r w:rsidRPr="00992F81">
        <w:rPr>
          <w:rFonts w:ascii="Times New Roman" w:hAnsi="Times New Roman"/>
          <w:i/>
          <w:iCs/>
        </w:rPr>
        <w:t xml:space="preserve"> Long-Term Emissions Reduction Plan</w:t>
      </w:r>
      <w:r w:rsidRPr="00992F81">
        <w:rPr>
          <w:rFonts w:ascii="Times New Roman" w:hAnsi="Times New Roman"/>
        </w:rPr>
        <w:t xml:space="preserve"> and the NSW Government's </w:t>
      </w:r>
      <w:r w:rsidRPr="00992F81">
        <w:rPr>
          <w:rFonts w:ascii="Times New Roman" w:hAnsi="Times New Roman"/>
          <w:i/>
          <w:iCs/>
        </w:rPr>
        <w:t>Strategic Statement on Coal Exploration and Mining in NSW</w:t>
      </w:r>
      <w:r w:rsidRPr="00992F81">
        <w:rPr>
          <w:rFonts w:ascii="Times New Roman" w:hAnsi="Times New Roman"/>
        </w:rPr>
        <w:t xml:space="preserve"> </w:t>
      </w:r>
      <w:r w:rsidRPr="00992F81">
        <w:rPr>
          <w:rFonts w:ascii="Times New Roman" w:hAnsi="Times New Roman"/>
          <w:i/>
        </w:rPr>
        <w:t>(2020)</w:t>
      </w:r>
      <w:r w:rsidRPr="00992F81">
        <w:rPr>
          <w:rFonts w:ascii="Times New Roman" w:hAnsi="Times New Roman"/>
        </w:rPr>
        <w:t>, which recognise that in the short to medium term there will still be a strong global demand for thermal coal."</w:t>
      </w:r>
    </w:p>
    <w:p w14:paraId="5E921588" w14:textId="77777777" w:rsidR="004D2653" w:rsidRPr="00992F81" w:rsidRDefault="004D2653" w:rsidP="00992F81">
      <w:pPr>
        <w:pStyle w:val="FixListStyle"/>
        <w:spacing w:after="260" w:line="280" w:lineRule="exact"/>
        <w:ind w:right="0"/>
        <w:jc w:val="both"/>
        <w:rPr>
          <w:rFonts w:ascii="Times New Roman" w:hAnsi="Times New Roman"/>
        </w:rPr>
      </w:pPr>
      <w:r w:rsidRPr="00992F81">
        <w:rPr>
          <w:rFonts w:ascii="Times New Roman" w:hAnsi="Times New Roman"/>
        </w:rPr>
        <w:tab/>
        <w:t xml:space="preserve">In the evaluation section of the executive summary, the Department recorded that it had undertaken a comprehensive assessment of the Project in </w:t>
      </w:r>
      <w:r w:rsidRPr="00992F81">
        <w:rPr>
          <w:rFonts w:ascii="Times New Roman" w:hAnsi="Times New Roman"/>
        </w:rPr>
        <w:lastRenderedPageBreak/>
        <w:t>accordance with the requirements of the EPA Act. The Department re</w:t>
      </w:r>
      <w:r>
        <w:rPr>
          <w:rFonts w:ascii="Times New Roman" w:hAnsi="Times New Roman"/>
        </w:rPr>
        <w:noBreakHyphen/>
      </w:r>
      <w:r w:rsidRPr="00992F81">
        <w:rPr>
          <w:rFonts w:ascii="Times New Roman" w:hAnsi="Times New Roman"/>
        </w:rPr>
        <w:t xml:space="preserve">acknowledged community concerns about greenhouse gas emissions and climate change and stated that it had "carefully considered the additional emissions over the life of the mine ... in the context of international, Commonwealth and State policy settings". The Department recommended a "comprehensive and precautionary suite of conditions to ensure that the [P]roject would comply with acceptable criteria and standards, that the impacts would be consistent with MACH's predictions, and that residual impacts would be effectively minimised, managed and/or at least compensated". </w:t>
      </w:r>
    </w:p>
    <w:p w14:paraId="2550E324" w14:textId="77777777" w:rsidR="004D2653" w:rsidRPr="00992F81" w:rsidRDefault="004D2653" w:rsidP="00992F81">
      <w:pPr>
        <w:pStyle w:val="FixListStyle"/>
        <w:spacing w:after="260" w:line="280" w:lineRule="exact"/>
        <w:ind w:right="0"/>
        <w:jc w:val="both"/>
        <w:rPr>
          <w:rFonts w:ascii="Times New Roman" w:hAnsi="Times New Roman"/>
        </w:rPr>
      </w:pPr>
      <w:r w:rsidRPr="00992F81">
        <w:rPr>
          <w:rFonts w:ascii="Times New Roman" w:hAnsi="Times New Roman"/>
        </w:rPr>
        <w:tab/>
        <w:t>In the body of the assessment report, after recording that</w:t>
      </w:r>
      <w:r w:rsidRPr="00992F81" w:rsidDel="003F69F2">
        <w:rPr>
          <w:rFonts w:ascii="Times New Roman" w:hAnsi="Times New Roman"/>
        </w:rPr>
        <w:t xml:space="preserve"> </w:t>
      </w:r>
      <w:r w:rsidRPr="00992F81">
        <w:rPr>
          <w:rFonts w:ascii="Times New Roman" w:hAnsi="Times New Roman"/>
        </w:rPr>
        <w:t>greenhouse gas emissions are divided into Scopes 1, 2 and 3, the assessment report recorded, again, that 98 per cent of emissions generated due to the Project were those associated with the downstream burning of the product,</w:t>
      </w:r>
      <w:r w:rsidRPr="00992F81">
        <w:rPr>
          <w:rStyle w:val="FootnoteReference"/>
          <w:rFonts w:ascii="Times New Roman" w:hAnsi="Times New Roman"/>
          <w:sz w:val="24"/>
        </w:rPr>
        <w:footnoteReference w:id="72"/>
      </w:r>
      <w:r w:rsidRPr="00992F81">
        <w:rPr>
          <w:rFonts w:ascii="Times New Roman" w:hAnsi="Times New Roman"/>
        </w:rPr>
        <w:t xml:space="preserve"> expressly identified as "Scope 3 indirect emissions". It recorded that the Scope 3 emissions represented a very small proportion (approximately 0.06 per cent) of yearly global emissions.</w:t>
      </w:r>
    </w:p>
    <w:p w14:paraId="2B26A2AA" w14:textId="77777777" w:rsidR="004D2653" w:rsidRPr="00992F81" w:rsidRDefault="004D2653" w:rsidP="00992F81">
      <w:pPr>
        <w:pStyle w:val="FixListStyle"/>
        <w:spacing w:after="260" w:line="280" w:lineRule="exact"/>
        <w:ind w:right="0"/>
        <w:jc w:val="both"/>
        <w:rPr>
          <w:rFonts w:ascii="Times New Roman" w:hAnsi="Times New Roman"/>
        </w:rPr>
      </w:pPr>
      <w:r w:rsidRPr="00992F81">
        <w:rPr>
          <w:rFonts w:ascii="Times New Roman" w:hAnsi="Times New Roman"/>
        </w:rPr>
        <w:tab/>
        <w:t>Next, the Department explained that the Climate and Atmospheric Science ("CAS") branch (within the Environment, Energy and Science group within the</w:t>
      </w:r>
      <w:r>
        <w:rPr>
          <w:rFonts w:ascii="Times New Roman" w:hAnsi="Times New Roman"/>
        </w:rPr>
        <w:t> </w:t>
      </w:r>
      <w:r w:rsidRPr="00992F81">
        <w:rPr>
          <w:rFonts w:ascii="Times New Roman" w:hAnsi="Times New Roman"/>
        </w:rPr>
        <w:t>Department) had confirmed the Project had been accounted for in the NSW Government's Net Zero Plan, but that CAS nonetheless recommended "that</w:t>
      </w:r>
      <w:r>
        <w:rPr>
          <w:rFonts w:ascii="Times New Roman" w:hAnsi="Times New Roman"/>
        </w:rPr>
        <w:t> </w:t>
      </w:r>
      <w:r w:rsidRPr="00992F81">
        <w:rPr>
          <w:rFonts w:ascii="Times New Roman" w:hAnsi="Times New Roman"/>
        </w:rPr>
        <w:t>MACH be required to provide a more detailed consideration of Scope 1 and</w:t>
      </w:r>
      <w:r>
        <w:rPr>
          <w:rFonts w:ascii="Times New Roman" w:hAnsi="Times New Roman"/>
        </w:rPr>
        <w:t> </w:t>
      </w:r>
      <w:r w:rsidRPr="00992F81">
        <w:rPr>
          <w:rFonts w:ascii="Times New Roman" w:hAnsi="Times New Roman"/>
        </w:rPr>
        <w:t xml:space="preserve">2 </w:t>
      </w:r>
      <w:r w:rsidRPr="00992F81">
        <w:rPr>
          <w:rFonts w:ascii="Times New Roman" w:eastAsia="Calibri" w:hAnsi="Times New Roman"/>
        </w:rPr>
        <w:t xml:space="preserve">[greenhouse gas] </w:t>
      </w:r>
      <w:r w:rsidRPr="00992F81">
        <w:rPr>
          <w:rFonts w:ascii="Times New Roman" w:hAnsi="Times New Roman"/>
        </w:rPr>
        <w:t>mitigation measures, particularly in regard to diesel consumption, fugitive methane emissions ... and the feasibility of purchasing offsets for emissions". The Department recorded that the EIS was "relatively light" on the detail of the mitigation measures proposed by MACH.</w:t>
      </w:r>
      <w:r w:rsidRPr="00992F81">
        <w:rPr>
          <w:rStyle w:val="FootnoteReference"/>
          <w:rFonts w:ascii="Times New Roman" w:hAnsi="Times New Roman"/>
          <w:sz w:val="24"/>
        </w:rPr>
        <w:footnoteReference w:id="73"/>
      </w:r>
    </w:p>
    <w:p w14:paraId="043B0B49" w14:textId="77777777" w:rsidR="004D2653" w:rsidRPr="00992F81" w:rsidRDefault="004D2653" w:rsidP="00992F81">
      <w:pPr>
        <w:pStyle w:val="FixListStyle"/>
        <w:spacing w:after="260" w:line="280" w:lineRule="exact"/>
        <w:ind w:right="0"/>
        <w:jc w:val="both"/>
        <w:rPr>
          <w:rFonts w:ascii="Times New Roman" w:hAnsi="Times New Roman"/>
        </w:rPr>
      </w:pPr>
      <w:r w:rsidRPr="00992F81">
        <w:rPr>
          <w:rFonts w:ascii="Times New Roman" w:hAnsi="Times New Roman"/>
        </w:rPr>
        <w:tab/>
        <w:t>The Department recommended conditions to minimise Scope 1 and 2 emissions:</w:t>
      </w:r>
      <w:r w:rsidRPr="00992F81">
        <w:rPr>
          <w:rFonts w:ascii="Times New Roman" w:hAnsi="Times New Roman"/>
          <w:b/>
          <w:bCs/>
        </w:rPr>
        <w:t xml:space="preserve"> </w:t>
      </w:r>
    </w:p>
    <w:p w14:paraId="682C937C" w14:textId="77777777" w:rsidR="004D2653" w:rsidRPr="00992F81" w:rsidRDefault="004D2653" w:rsidP="00992F81">
      <w:pPr>
        <w:pStyle w:val="leftright"/>
        <w:spacing w:before="0" w:after="260" w:line="280" w:lineRule="exact"/>
        <w:ind w:right="0"/>
        <w:jc w:val="both"/>
        <w:rPr>
          <w:rFonts w:ascii="Times New Roman" w:hAnsi="Times New Roman"/>
        </w:rPr>
      </w:pPr>
      <w:r w:rsidRPr="00992F81">
        <w:rPr>
          <w:rFonts w:ascii="Times New Roman" w:hAnsi="Times New Roman"/>
        </w:rPr>
        <w:t xml:space="preserve">"To ensure that </w:t>
      </w:r>
      <w:r w:rsidRPr="00992F81">
        <w:rPr>
          <w:rFonts w:ascii="Times New Roman" w:eastAsia="Calibri" w:hAnsi="Times New Roman"/>
        </w:rPr>
        <w:t xml:space="preserve">[greenhouse gas] </w:t>
      </w:r>
      <w:r w:rsidRPr="00992F81">
        <w:rPr>
          <w:rFonts w:ascii="Times New Roman" w:hAnsi="Times New Roman"/>
        </w:rPr>
        <w:t>emissions are minimised to the greatest extent practicable, the Department has recommended conditions requiring MACH to:</w:t>
      </w:r>
    </w:p>
    <w:p w14:paraId="1122DD15" w14:textId="77777777" w:rsidR="004D2653" w:rsidRPr="00992F81" w:rsidRDefault="004D2653" w:rsidP="00992F81">
      <w:pPr>
        <w:pStyle w:val="leftright"/>
        <w:spacing w:before="0" w:after="260" w:line="280" w:lineRule="exact"/>
        <w:ind w:left="1440" w:right="0" w:hanging="720"/>
        <w:jc w:val="both"/>
        <w:rPr>
          <w:rFonts w:ascii="Times New Roman" w:hAnsi="Times New Roman"/>
        </w:rPr>
      </w:pPr>
      <w:r w:rsidRPr="00992F81">
        <w:rPr>
          <w:rFonts w:ascii="Times New Roman" w:hAnsi="Times New Roman"/>
        </w:rPr>
        <w:t>•</w:t>
      </w:r>
      <w:r w:rsidRPr="00992F81">
        <w:rPr>
          <w:rFonts w:ascii="Times New Roman" w:hAnsi="Times New Roman"/>
        </w:rPr>
        <w:tab/>
        <w:t xml:space="preserve">limit </w:t>
      </w:r>
      <w:r w:rsidRPr="00992F81">
        <w:rPr>
          <w:rFonts w:ascii="Times New Roman" w:eastAsia="Calibri" w:hAnsi="Times New Roman"/>
        </w:rPr>
        <w:t xml:space="preserve">[greenhouse gas] </w:t>
      </w:r>
      <w:r w:rsidRPr="00992F81">
        <w:rPr>
          <w:rFonts w:ascii="Times New Roman" w:hAnsi="Times New Roman"/>
        </w:rPr>
        <w:t>emissions to no greater than predicted in the</w:t>
      </w:r>
      <w:r>
        <w:rPr>
          <w:rFonts w:ascii="Times New Roman" w:hAnsi="Times New Roman"/>
        </w:rPr>
        <w:t> </w:t>
      </w:r>
      <w:r w:rsidRPr="00992F81">
        <w:rPr>
          <w:rFonts w:ascii="Times New Roman" w:hAnsi="Times New Roman"/>
        </w:rPr>
        <w:t>EIS and subsequent additional information ..., through strict Scope 1 and 2 performance measures; and</w:t>
      </w:r>
    </w:p>
    <w:p w14:paraId="01882ABA" w14:textId="77777777" w:rsidR="004D2653" w:rsidRDefault="004D2653" w:rsidP="00992F81">
      <w:pPr>
        <w:pStyle w:val="leftright"/>
        <w:spacing w:before="0" w:after="260" w:line="280" w:lineRule="exact"/>
        <w:ind w:left="1440" w:right="0" w:hanging="720"/>
        <w:jc w:val="both"/>
        <w:rPr>
          <w:rFonts w:ascii="Times New Roman" w:hAnsi="Times New Roman"/>
        </w:rPr>
      </w:pPr>
      <w:r w:rsidRPr="00992F81">
        <w:rPr>
          <w:rFonts w:ascii="Times New Roman" w:hAnsi="Times New Roman"/>
        </w:rPr>
        <w:t>•</w:t>
      </w:r>
      <w:r w:rsidRPr="00992F81">
        <w:rPr>
          <w:rFonts w:ascii="Times New Roman" w:hAnsi="Times New Roman"/>
        </w:rPr>
        <w:tab/>
        <w:t xml:space="preserve">regularly review new technologies and other options to further reduce Scope 1 and 2 </w:t>
      </w:r>
      <w:r w:rsidRPr="00992F81">
        <w:rPr>
          <w:rFonts w:ascii="Times New Roman" w:eastAsia="Calibri" w:hAnsi="Times New Roman"/>
        </w:rPr>
        <w:t xml:space="preserve">[greenhouse gas] </w:t>
      </w:r>
      <w:r w:rsidRPr="00992F81">
        <w:rPr>
          <w:rFonts w:ascii="Times New Roman" w:hAnsi="Times New Roman"/>
        </w:rPr>
        <w:t xml:space="preserve">emissions, and implement </w:t>
      </w:r>
      <w:r w:rsidRPr="00992F81">
        <w:rPr>
          <w:rFonts w:ascii="Times New Roman" w:hAnsi="Times New Roman"/>
        </w:rPr>
        <w:lastRenderedPageBreak/>
        <w:t xml:space="preserve">these measures where reasonable and feasible to continually reduce </w:t>
      </w:r>
      <w:r w:rsidRPr="00992F81">
        <w:rPr>
          <w:rFonts w:ascii="Times New Roman" w:eastAsia="Calibri" w:hAnsi="Times New Roman"/>
        </w:rPr>
        <w:t xml:space="preserve">[greenhouse gas] </w:t>
      </w:r>
      <w:r w:rsidRPr="00992F81">
        <w:rPr>
          <w:rFonts w:ascii="Times New Roman" w:hAnsi="Times New Roman"/>
        </w:rPr>
        <w:t>emissions over the duration of the [P]roject."</w:t>
      </w:r>
    </w:p>
    <w:p w14:paraId="5FDBC89B" w14:textId="77777777" w:rsidR="004D2653" w:rsidRPr="00992F81" w:rsidRDefault="004D2653" w:rsidP="00992F81">
      <w:pPr>
        <w:pStyle w:val="NormalBody"/>
        <w:spacing w:after="260" w:line="280" w:lineRule="exact"/>
        <w:ind w:right="0"/>
        <w:jc w:val="both"/>
        <w:rPr>
          <w:rFonts w:ascii="Times New Roman" w:hAnsi="Times New Roman"/>
        </w:rPr>
      </w:pPr>
      <w:r w:rsidRPr="00992F81">
        <w:rPr>
          <w:rFonts w:ascii="Times New Roman" w:hAnsi="Times New Roman"/>
        </w:rPr>
        <w:t>The Department did not recommend conditions be imposed in relation to Scope 3 emissions.</w:t>
      </w:r>
    </w:p>
    <w:p w14:paraId="0DABD481" w14:textId="77777777" w:rsidR="004D2653" w:rsidRPr="00992F81" w:rsidRDefault="004D2653" w:rsidP="00992F81">
      <w:pPr>
        <w:pStyle w:val="FixListStyle"/>
        <w:spacing w:after="260" w:line="280" w:lineRule="exact"/>
        <w:ind w:right="0"/>
        <w:jc w:val="both"/>
        <w:rPr>
          <w:rFonts w:ascii="Times New Roman" w:hAnsi="Times New Roman"/>
        </w:rPr>
      </w:pPr>
      <w:r w:rsidRPr="00992F81">
        <w:rPr>
          <w:rFonts w:ascii="Times New Roman" w:hAnsi="Times New Roman"/>
        </w:rPr>
        <w:tab/>
        <w:t>In its conclusion on greenhouse gases, the Department stated that it considered that MACH had appropriately assessed the potential air quality and greenhouse gas impacts associated with the Project. It is to be recalled that MACH had identified in the EIS the greenhouse gas</w:t>
      </w:r>
      <w:r w:rsidRPr="00992F81" w:rsidDel="00F260CD">
        <w:rPr>
          <w:rFonts w:ascii="Times New Roman" w:hAnsi="Times New Roman"/>
        </w:rPr>
        <w:t xml:space="preserve"> </w:t>
      </w:r>
      <w:r w:rsidRPr="00992F81">
        <w:rPr>
          <w:rFonts w:ascii="Times New Roman" w:hAnsi="Times New Roman"/>
        </w:rPr>
        <w:t>impacts associated with the Project, including Scope 3 emissions.</w:t>
      </w:r>
      <w:r w:rsidRPr="00992F81">
        <w:rPr>
          <w:rStyle w:val="FootnoteReference"/>
          <w:rFonts w:ascii="Times New Roman" w:hAnsi="Times New Roman"/>
          <w:sz w:val="24"/>
        </w:rPr>
        <w:footnoteReference w:id="74"/>
      </w:r>
      <w:r w:rsidRPr="00992F81">
        <w:rPr>
          <w:rFonts w:ascii="Times New Roman" w:hAnsi="Times New Roman"/>
        </w:rPr>
        <w:t xml:space="preserve"> However, although the Department considered that the EIS was "light on detail of </w:t>
      </w:r>
      <w:r w:rsidRPr="00992F81">
        <w:rPr>
          <w:rFonts w:ascii="Times New Roman" w:eastAsia="Calibri" w:hAnsi="Times New Roman"/>
        </w:rPr>
        <w:t xml:space="preserve">[greenhouse gas] </w:t>
      </w:r>
      <w:r w:rsidRPr="00992F81">
        <w:rPr>
          <w:rFonts w:ascii="Times New Roman" w:hAnsi="Times New Roman"/>
        </w:rPr>
        <w:t>mitigation measures", the</w:t>
      </w:r>
      <w:r>
        <w:rPr>
          <w:rFonts w:ascii="Times New Roman" w:hAnsi="Times New Roman"/>
        </w:rPr>
        <w:t> </w:t>
      </w:r>
      <w:r w:rsidRPr="00992F81">
        <w:rPr>
          <w:rFonts w:ascii="Times New Roman" w:hAnsi="Times New Roman"/>
        </w:rPr>
        <w:t>Department only recommended conditions be imposed in relation to Scope 1 and 2 emissions. Other than to record that the Project's Scope 3 emissions represented a very small proportion of yearly global emissions and that those emissions were counted by a country other than Australia, the Department did not consider or recommend conditions in relation to Scope 3 emissions.</w:t>
      </w:r>
    </w:p>
    <w:p w14:paraId="140410EA" w14:textId="77777777" w:rsidR="004D2653" w:rsidRPr="00992F81" w:rsidRDefault="004D2653" w:rsidP="00992F81">
      <w:pPr>
        <w:pStyle w:val="HeadingL2"/>
        <w:spacing w:after="260" w:line="280" w:lineRule="exact"/>
        <w:ind w:right="0"/>
        <w:jc w:val="both"/>
        <w:rPr>
          <w:rFonts w:ascii="Times New Roman" w:hAnsi="Times New Roman"/>
          <w:i w:val="0"/>
          <w:iCs/>
        </w:rPr>
      </w:pPr>
      <w:r w:rsidRPr="00992F81">
        <w:rPr>
          <w:rFonts w:ascii="Times New Roman" w:hAnsi="Times New Roman"/>
        </w:rPr>
        <w:t>Commission consent</w:t>
      </w:r>
    </w:p>
    <w:p w14:paraId="7B098F63" w14:textId="77777777" w:rsidR="004D2653" w:rsidRPr="00992F81" w:rsidRDefault="004D2653" w:rsidP="00992F81">
      <w:pPr>
        <w:pStyle w:val="FixListStyle"/>
        <w:spacing w:after="260" w:line="280" w:lineRule="exact"/>
        <w:ind w:right="0"/>
        <w:jc w:val="both"/>
        <w:rPr>
          <w:rFonts w:ascii="Times New Roman" w:hAnsi="Times New Roman"/>
        </w:rPr>
      </w:pPr>
      <w:r w:rsidRPr="00992F81">
        <w:rPr>
          <w:rFonts w:ascii="Times New Roman" w:hAnsi="Times New Roman"/>
        </w:rPr>
        <w:tab/>
        <w:t>On 6 September 2022, the Commission, as the consent authority, approved</w:t>
      </w:r>
      <w:r>
        <w:rPr>
          <w:rFonts w:ascii="Times New Roman" w:hAnsi="Times New Roman"/>
        </w:rPr>
        <w:t> </w:t>
      </w:r>
      <w:r w:rsidRPr="00992F81">
        <w:rPr>
          <w:rFonts w:ascii="Times New Roman" w:hAnsi="Times New Roman"/>
        </w:rPr>
        <w:t>the development application, and issued the consent subject to conditions in an attached Schedule 2. Those conditions were summarised as being required to:</w:t>
      </w:r>
    </w:p>
    <w:p w14:paraId="38CEB383" w14:textId="77777777" w:rsidR="004D2653" w:rsidRPr="00992F81" w:rsidRDefault="004D2653" w:rsidP="00992F81">
      <w:pPr>
        <w:pStyle w:val="leftright"/>
        <w:spacing w:before="0" w:after="260" w:line="280" w:lineRule="exact"/>
        <w:ind w:left="1440" w:right="0" w:hanging="720"/>
        <w:jc w:val="both"/>
        <w:rPr>
          <w:rFonts w:ascii="Times New Roman" w:hAnsi="Times New Roman"/>
        </w:rPr>
      </w:pPr>
      <w:r w:rsidRPr="00992F81">
        <w:rPr>
          <w:rFonts w:ascii="Times New Roman" w:hAnsi="Times New Roman"/>
        </w:rPr>
        <w:t>"•</w:t>
      </w:r>
      <w:r w:rsidRPr="00992F81">
        <w:rPr>
          <w:rFonts w:ascii="Times New Roman" w:hAnsi="Times New Roman"/>
        </w:rPr>
        <w:tab/>
        <w:t>prevent, minimise, or offset adverse environmental impacts;</w:t>
      </w:r>
    </w:p>
    <w:p w14:paraId="6CC98DD1" w14:textId="77777777" w:rsidR="004D2653" w:rsidRPr="00992F81" w:rsidRDefault="004D2653" w:rsidP="00992F81">
      <w:pPr>
        <w:pStyle w:val="leftright"/>
        <w:spacing w:before="0" w:after="260" w:line="280" w:lineRule="exact"/>
        <w:ind w:left="1440" w:right="0" w:hanging="720"/>
        <w:jc w:val="both"/>
        <w:rPr>
          <w:rFonts w:ascii="Times New Roman" w:hAnsi="Times New Roman"/>
        </w:rPr>
      </w:pPr>
      <w:r w:rsidRPr="00992F81">
        <w:rPr>
          <w:rFonts w:ascii="Times New Roman" w:hAnsi="Times New Roman"/>
        </w:rPr>
        <w:t>•</w:t>
      </w:r>
      <w:r w:rsidRPr="00992F81">
        <w:rPr>
          <w:rFonts w:ascii="Times New Roman" w:hAnsi="Times New Roman"/>
        </w:rPr>
        <w:tab/>
        <w:t>set standards and performance measures for acceptable environmental performance;</w:t>
      </w:r>
    </w:p>
    <w:p w14:paraId="0B5273FB" w14:textId="77777777" w:rsidR="004D2653" w:rsidRPr="00992F81" w:rsidRDefault="004D2653" w:rsidP="00992F81">
      <w:pPr>
        <w:pStyle w:val="leftright"/>
        <w:spacing w:before="0" w:after="260" w:line="280" w:lineRule="exact"/>
        <w:ind w:right="0"/>
        <w:jc w:val="both"/>
        <w:rPr>
          <w:rFonts w:ascii="Times New Roman" w:hAnsi="Times New Roman"/>
        </w:rPr>
      </w:pPr>
      <w:r w:rsidRPr="00992F81">
        <w:rPr>
          <w:rFonts w:ascii="Times New Roman" w:hAnsi="Times New Roman"/>
        </w:rPr>
        <w:t>•</w:t>
      </w:r>
      <w:r w:rsidRPr="00992F81">
        <w:rPr>
          <w:rFonts w:ascii="Times New Roman" w:hAnsi="Times New Roman"/>
        </w:rPr>
        <w:tab/>
        <w:t>require regular monitoring and reporting; and</w:t>
      </w:r>
    </w:p>
    <w:p w14:paraId="75380AC5" w14:textId="77777777" w:rsidR="004D2653" w:rsidRDefault="004D2653" w:rsidP="00992F81">
      <w:pPr>
        <w:pStyle w:val="leftright"/>
        <w:spacing w:before="0" w:after="260" w:line="280" w:lineRule="exact"/>
        <w:ind w:left="1440" w:right="0" w:hanging="720"/>
        <w:jc w:val="both"/>
        <w:rPr>
          <w:rFonts w:ascii="Times New Roman" w:hAnsi="Times New Roman"/>
        </w:rPr>
      </w:pPr>
      <w:r w:rsidRPr="00992F81">
        <w:rPr>
          <w:rFonts w:ascii="Times New Roman" w:hAnsi="Times New Roman"/>
        </w:rPr>
        <w:t>•</w:t>
      </w:r>
      <w:r w:rsidRPr="00992F81">
        <w:rPr>
          <w:rFonts w:ascii="Times New Roman" w:hAnsi="Times New Roman"/>
        </w:rPr>
        <w:tab/>
        <w:t>provide for the ongoing environmental management of the</w:t>
      </w:r>
      <w:r>
        <w:rPr>
          <w:rFonts w:ascii="Times New Roman" w:hAnsi="Times New Roman"/>
        </w:rPr>
        <w:t> </w:t>
      </w:r>
      <w:r w:rsidRPr="00992F81">
        <w:rPr>
          <w:rFonts w:ascii="Times New Roman" w:hAnsi="Times New Roman"/>
        </w:rPr>
        <w:t>development."</w:t>
      </w:r>
    </w:p>
    <w:p w14:paraId="02021651" w14:textId="77777777" w:rsidR="004D2653" w:rsidRPr="00992F81" w:rsidRDefault="004D2653" w:rsidP="00992F81">
      <w:pPr>
        <w:pStyle w:val="FixListStyle"/>
        <w:spacing w:after="260" w:line="280" w:lineRule="exact"/>
        <w:ind w:right="0"/>
        <w:jc w:val="both"/>
        <w:rPr>
          <w:rFonts w:ascii="Times New Roman" w:hAnsi="Times New Roman"/>
        </w:rPr>
      </w:pPr>
      <w:r w:rsidRPr="00992F81">
        <w:rPr>
          <w:rFonts w:ascii="Times New Roman" w:hAnsi="Times New Roman"/>
        </w:rPr>
        <w:tab/>
      </w:r>
      <w:r w:rsidRPr="00C94720">
        <w:rPr>
          <w:rFonts w:ascii="Times New Roman" w:hAnsi="Times New Roman"/>
          <w:spacing w:val="4"/>
        </w:rPr>
        <w:t>Schedule 2 was divided into parts. Part A addressed "administrative conditions", the first of which was an "obligation to minimise harm to the environment</w:t>
      </w:r>
      <w:r w:rsidRPr="00992F81">
        <w:rPr>
          <w:rFonts w:ascii="Times New Roman" w:hAnsi="Times New Roman"/>
        </w:rPr>
        <w:t>":</w:t>
      </w:r>
    </w:p>
    <w:p w14:paraId="251EC086" w14:textId="77777777" w:rsidR="004D2653" w:rsidRDefault="004D2653" w:rsidP="00992F81">
      <w:pPr>
        <w:pStyle w:val="leftright"/>
        <w:spacing w:before="0" w:after="260" w:line="280" w:lineRule="exact"/>
        <w:ind w:right="0"/>
        <w:jc w:val="both"/>
        <w:rPr>
          <w:rFonts w:ascii="Times New Roman" w:hAnsi="Times New Roman"/>
        </w:rPr>
      </w:pPr>
      <w:r w:rsidRPr="00992F81">
        <w:rPr>
          <w:rFonts w:ascii="Times New Roman" w:hAnsi="Times New Roman"/>
        </w:rPr>
        <w:t xml:space="preserve">"In addition to meeting the specific performance measures and criteria established under this consent, [MACH] must implement all reasonable and </w:t>
      </w:r>
      <w:r w:rsidRPr="00992F81">
        <w:rPr>
          <w:rFonts w:ascii="Times New Roman" w:hAnsi="Times New Roman"/>
        </w:rPr>
        <w:lastRenderedPageBreak/>
        <w:t>feasible measures to prevent, and if prevention is not reasonable and feasible, minimise, any material harm to the environment that may result from the construction and operation of the development, and any rehabilitation required under this consent."</w:t>
      </w:r>
    </w:p>
    <w:p w14:paraId="27CC96C5" w14:textId="77777777" w:rsidR="004D2653" w:rsidRPr="00992F81" w:rsidRDefault="004D2653" w:rsidP="00992F81">
      <w:pPr>
        <w:pStyle w:val="FixListStyle"/>
        <w:spacing w:after="260" w:line="280" w:lineRule="exact"/>
        <w:ind w:right="0"/>
        <w:jc w:val="both"/>
        <w:rPr>
          <w:rFonts w:ascii="Times New Roman" w:hAnsi="Times New Roman"/>
        </w:rPr>
      </w:pPr>
      <w:r w:rsidRPr="00992F81">
        <w:rPr>
          <w:rFonts w:ascii="Times New Roman" w:hAnsi="Times New Roman"/>
        </w:rPr>
        <w:tab/>
        <w:t>The next conditions (conditions A2 to A10) addressed the terms of consent and the limits of the consent. Relevantly, the conditions stated that the</w:t>
      </w:r>
      <w:r>
        <w:rPr>
          <w:rFonts w:ascii="Times New Roman" w:hAnsi="Times New Roman"/>
        </w:rPr>
        <w:t> </w:t>
      </w:r>
      <w:r w:rsidRPr="00992F81">
        <w:rPr>
          <w:rFonts w:ascii="Times New Roman" w:hAnsi="Times New Roman"/>
        </w:rPr>
        <w:t>development may only be carried out "in compliance with the conditions of this consent" and "generally in accordance with the EIS". The limits of the consent included geographic and temporal limitations (conditions A5 and A10), as well as limits on the quantity of coal that could be extracted and transported from the site (conditions A6 to A9).</w:t>
      </w:r>
      <w:r w:rsidRPr="00992F81">
        <w:rPr>
          <w:rFonts w:ascii="Times New Roman" w:hAnsi="Times New Roman"/>
          <w:b/>
          <w:bCs/>
        </w:rPr>
        <w:t xml:space="preserve"> </w:t>
      </w:r>
    </w:p>
    <w:p w14:paraId="6EC0D5FC" w14:textId="77777777" w:rsidR="004D2653" w:rsidRPr="00992F81" w:rsidRDefault="004D2653" w:rsidP="00992F81">
      <w:pPr>
        <w:pStyle w:val="FixListStyle"/>
        <w:spacing w:after="260" w:line="280" w:lineRule="exact"/>
        <w:ind w:right="0"/>
        <w:jc w:val="both"/>
        <w:rPr>
          <w:rFonts w:ascii="Times New Roman" w:hAnsi="Times New Roman"/>
        </w:rPr>
      </w:pPr>
      <w:r w:rsidRPr="00992F81">
        <w:rPr>
          <w:rFonts w:ascii="Times New Roman" w:hAnsi="Times New Roman"/>
        </w:rPr>
        <w:tab/>
        <w:t>Part B of Schedule 2 contained "specific environmental conditions". In</w:t>
      </w:r>
      <w:r>
        <w:rPr>
          <w:rFonts w:ascii="Times New Roman" w:hAnsi="Times New Roman"/>
        </w:rPr>
        <w:t> </w:t>
      </w:r>
      <w:r w:rsidRPr="00992F81">
        <w:rPr>
          <w:rFonts w:ascii="Times New Roman" w:hAnsi="Times New Roman"/>
        </w:rPr>
        <w:t>relation to greenhouse gas emissions, the consent set out seven conditions (conditions B31 to B37). The content of those conditions was extensive, but</w:t>
      </w:r>
      <w:r>
        <w:rPr>
          <w:rFonts w:ascii="Times New Roman" w:hAnsi="Times New Roman"/>
        </w:rPr>
        <w:t> </w:t>
      </w:r>
      <w:r w:rsidRPr="00992F81">
        <w:rPr>
          <w:rFonts w:ascii="Times New Roman" w:hAnsi="Times New Roman"/>
        </w:rPr>
        <w:t>critically, the conditions only addressed Scope 1 and Scope 2 emissions. None</w:t>
      </w:r>
      <w:r>
        <w:rPr>
          <w:rFonts w:ascii="Times New Roman" w:hAnsi="Times New Roman"/>
        </w:rPr>
        <w:t> </w:t>
      </w:r>
      <w:r w:rsidRPr="00992F81">
        <w:rPr>
          <w:rFonts w:ascii="Times New Roman" w:hAnsi="Times New Roman"/>
        </w:rPr>
        <w:t xml:space="preserve">of the conditions addressed Scope 3 emissions, and no party contended otherwise. </w:t>
      </w:r>
    </w:p>
    <w:p w14:paraId="76DE1D41" w14:textId="77777777" w:rsidR="004D2653" w:rsidRPr="00992F81" w:rsidRDefault="004D2653" w:rsidP="00992F81">
      <w:pPr>
        <w:pStyle w:val="HeadingL2"/>
        <w:spacing w:after="260" w:line="280" w:lineRule="exact"/>
        <w:ind w:right="0"/>
        <w:jc w:val="both"/>
        <w:rPr>
          <w:rFonts w:ascii="Times New Roman" w:hAnsi="Times New Roman"/>
        </w:rPr>
      </w:pPr>
      <w:r w:rsidRPr="00992F81">
        <w:rPr>
          <w:rFonts w:ascii="Times New Roman" w:hAnsi="Times New Roman"/>
        </w:rPr>
        <w:t>Commission's statement of reasons</w:t>
      </w:r>
    </w:p>
    <w:p w14:paraId="4215386E" w14:textId="77777777" w:rsidR="004D2653" w:rsidRPr="00992F81" w:rsidRDefault="004D2653" w:rsidP="00992F81">
      <w:pPr>
        <w:pStyle w:val="FixListStyle"/>
        <w:spacing w:after="260" w:line="280" w:lineRule="exact"/>
        <w:ind w:right="0"/>
        <w:jc w:val="both"/>
        <w:rPr>
          <w:rFonts w:ascii="Times New Roman" w:hAnsi="Times New Roman"/>
        </w:rPr>
      </w:pPr>
      <w:r w:rsidRPr="00992F81">
        <w:rPr>
          <w:rFonts w:ascii="Times New Roman" w:hAnsi="Times New Roman"/>
        </w:rPr>
        <w:tab/>
        <w:t>Section 3 of the Commission's statement of reasons contained "The</w:t>
      </w:r>
      <w:r>
        <w:rPr>
          <w:rFonts w:ascii="Times New Roman" w:hAnsi="Times New Roman"/>
        </w:rPr>
        <w:t> </w:t>
      </w:r>
      <w:r w:rsidRPr="00992F81">
        <w:rPr>
          <w:rFonts w:ascii="Times New Roman" w:hAnsi="Times New Roman"/>
        </w:rPr>
        <w:t>Commission's Consideration". In Section 3.1, headed "Material Considered by the Commission", the Commission recorded that it considered, relevantly: the</w:t>
      </w:r>
      <w:r>
        <w:rPr>
          <w:rFonts w:ascii="Times New Roman" w:hAnsi="Times New Roman"/>
        </w:rPr>
        <w:t> </w:t>
      </w:r>
      <w:r w:rsidRPr="00992F81">
        <w:rPr>
          <w:rFonts w:ascii="Times New Roman" w:hAnsi="Times New Roman"/>
        </w:rPr>
        <w:t xml:space="preserve">EIS, public submissions and written comments, the Department's assessment report and the Department's recommended conditions of consent. Relevantly, DAMSHEG had submitted written submissions to the Commission on 20 July 2022, drawing attention to the fact that MACH had "not identified any measures to minimise the </w:t>
      </w:r>
      <w:r w:rsidRPr="00992F81">
        <w:rPr>
          <w:rFonts w:ascii="Times New Roman" w:eastAsia="Calibri" w:hAnsi="Times New Roman"/>
        </w:rPr>
        <w:t xml:space="preserve">[greenhouse gas] </w:t>
      </w:r>
      <w:r w:rsidRPr="00992F81">
        <w:rPr>
          <w:rFonts w:ascii="Times New Roman" w:hAnsi="Times New Roman"/>
        </w:rPr>
        <w:t>emissions, including the Scope 3 emissions, of</w:t>
      </w:r>
      <w:r>
        <w:rPr>
          <w:rFonts w:ascii="Times New Roman" w:hAnsi="Times New Roman"/>
        </w:rPr>
        <w:t> </w:t>
      </w:r>
      <w:r w:rsidRPr="00992F81">
        <w:rPr>
          <w:rFonts w:ascii="Times New Roman" w:hAnsi="Times New Roman"/>
        </w:rPr>
        <w:t>the Project to the greatest extent practicable".</w:t>
      </w:r>
    </w:p>
    <w:p w14:paraId="4322AA81" w14:textId="77777777" w:rsidR="004D2653" w:rsidRPr="00992F81" w:rsidRDefault="004D2653" w:rsidP="00992F81">
      <w:pPr>
        <w:pStyle w:val="FixListStyle"/>
        <w:spacing w:after="260" w:line="280" w:lineRule="exact"/>
        <w:ind w:right="0"/>
        <w:jc w:val="both"/>
        <w:rPr>
          <w:rFonts w:ascii="Times New Roman" w:hAnsi="Times New Roman"/>
        </w:rPr>
      </w:pPr>
      <w:r w:rsidRPr="00992F81">
        <w:rPr>
          <w:rFonts w:ascii="Times New Roman" w:hAnsi="Times New Roman"/>
        </w:rPr>
        <w:tab/>
        <w:t>Under the heading "Mandatory Considerations", the Commission stated that it was "required by section 4.15(1) of the [EPA Act] to take into consideration such of the listed matters as are of relevance to the development the subject of the</w:t>
      </w:r>
      <w:r>
        <w:rPr>
          <w:rFonts w:ascii="Times New Roman" w:hAnsi="Times New Roman"/>
        </w:rPr>
        <w:t> </w:t>
      </w:r>
      <w:r w:rsidRPr="00992F81">
        <w:rPr>
          <w:rFonts w:ascii="Times New Roman" w:hAnsi="Times New Roman"/>
        </w:rPr>
        <w:t>[a]pplication". In a table titled "Mandatory Considerations", the Commission then identified the Resources SEPP as a relevant environmental planning instrument and stated that the likely impacts of the application</w:t>
      </w:r>
      <w:r w:rsidRPr="00992F81" w:rsidDel="00CB2F42">
        <w:rPr>
          <w:rFonts w:ascii="Times New Roman" w:hAnsi="Times New Roman"/>
        </w:rPr>
        <w:t xml:space="preserve"> </w:t>
      </w:r>
      <w:r w:rsidRPr="00992F81">
        <w:rPr>
          <w:rFonts w:ascii="Times New Roman" w:hAnsi="Times New Roman"/>
        </w:rPr>
        <w:t>had been considered in Section 5 of the statement of reasons.</w:t>
      </w:r>
      <w:r w:rsidRPr="00992F81">
        <w:rPr>
          <w:rStyle w:val="FootnoteReference"/>
          <w:rFonts w:ascii="Times New Roman" w:hAnsi="Times New Roman"/>
          <w:sz w:val="24"/>
        </w:rPr>
        <w:footnoteReference w:id="75"/>
      </w:r>
      <w:r w:rsidRPr="00992F81">
        <w:rPr>
          <w:rFonts w:ascii="Times New Roman" w:hAnsi="Times New Roman"/>
          <w:b/>
          <w:bCs/>
        </w:rPr>
        <w:t xml:space="preserve"> </w:t>
      </w:r>
    </w:p>
    <w:p w14:paraId="23F3E8D6" w14:textId="77777777" w:rsidR="004D2653" w:rsidRPr="00992F81" w:rsidRDefault="004D2653" w:rsidP="00992F81">
      <w:pPr>
        <w:pStyle w:val="FixListStyle"/>
        <w:spacing w:after="260" w:line="280" w:lineRule="exact"/>
        <w:ind w:right="0"/>
        <w:jc w:val="both"/>
        <w:rPr>
          <w:rFonts w:ascii="Times New Roman" w:hAnsi="Times New Roman"/>
        </w:rPr>
      </w:pPr>
      <w:r w:rsidRPr="00992F81">
        <w:rPr>
          <w:rFonts w:ascii="Times New Roman" w:hAnsi="Times New Roman"/>
        </w:rPr>
        <w:lastRenderedPageBreak/>
        <w:tab/>
        <w:t>Under the heading "Additional Considerations", the Commission recorded that it had also considered, among other things, the</w:t>
      </w:r>
      <w:r w:rsidRPr="00992F81">
        <w:rPr>
          <w:rFonts w:ascii="Times New Roman" w:hAnsi="Times New Roman"/>
          <w:i/>
          <w:iCs/>
        </w:rPr>
        <w:t xml:space="preserve"> </w:t>
      </w:r>
      <w:r w:rsidRPr="00992F81">
        <w:rPr>
          <w:rFonts w:ascii="Times New Roman" w:hAnsi="Times New Roman"/>
        </w:rPr>
        <w:t>Paris Agreement</w:t>
      </w:r>
      <w:r w:rsidRPr="00992F81" w:rsidDel="008E5108">
        <w:rPr>
          <w:rFonts w:ascii="Times New Roman" w:hAnsi="Times New Roman"/>
        </w:rPr>
        <w:t xml:space="preserve"> </w:t>
      </w:r>
      <w:r w:rsidRPr="00992F81">
        <w:rPr>
          <w:rFonts w:ascii="Times New Roman" w:hAnsi="Times New Roman"/>
        </w:rPr>
        <w:t>and the</w:t>
      </w:r>
      <w:r>
        <w:rPr>
          <w:rFonts w:ascii="Times New Roman" w:hAnsi="Times New Roman"/>
        </w:rPr>
        <w:t> </w:t>
      </w:r>
      <w:r w:rsidRPr="00992F81">
        <w:rPr>
          <w:rFonts w:ascii="Times New Roman" w:hAnsi="Times New Roman"/>
        </w:rPr>
        <w:t>Commonwealth Government's Long-Term Emissions Reduction Plan.</w:t>
      </w:r>
    </w:p>
    <w:p w14:paraId="5F3828A4" w14:textId="77777777" w:rsidR="004D2653" w:rsidRPr="00992F81" w:rsidRDefault="004D2653" w:rsidP="00992F81">
      <w:pPr>
        <w:pStyle w:val="FixListStyle"/>
        <w:spacing w:after="260" w:line="280" w:lineRule="exact"/>
        <w:ind w:right="0"/>
        <w:jc w:val="both"/>
        <w:rPr>
          <w:rFonts w:ascii="Times New Roman" w:hAnsi="Times New Roman"/>
        </w:rPr>
      </w:pPr>
      <w:r w:rsidRPr="00992F81">
        <w:rPr>
          <w:rFonts w:ascii="Times New Roman" w:hAnsi="Times New Roman"/>
        </w:rPr>
        <w:tab/>
        <w:t>Under the heading "Key Issues Raised", the Commission provided a</w:t>
      </w:r>
      <w:r>
        <w:rPr>
          <w:rFonts w:ascii="Times New Roman" w:hAnsi="Times New Roman"/>
        </w:rPr>
        <w:t> </w:t>
      </w:r>
      <w:r w:rsidRPr="00992F81">
        <w:rPr>
          <w:rFonts w:ascii="Times New Roman" w:hAnsi="Times New Roman"/>
        </w:rPr>
        <w:t>non</w:t>
      </w:r>
      <w:r>
        <w:rPr>
          <w:rFonts w:ascii="Times New Roman" w:hAnsi="Times New Roman"/>
        </w:rPr>
        <w:noBreakHyphen/>
      </w:r>
      <w:r w:rsidRPr="00992F81">
        <w:rPr>
          <w:rFonts w:ascii="Times New Roman" w:hAnsi="Times New Roman"/>
        </w:rPr>
        <w:t>exhaustive summary of the submissions it had received and the key issues they raised. In relation to one of those issues, greenhouse gas emissions and climate change, the Commission stated:</w:t>
      </w:r>
    </w:p>
    <w:p w14:paraId="087BFFB0" w14:textId="77777777" w:rsidR="004D2653" w:rsidRPr="00992F81" w:rsidRDefault="004D2653" w:rsidP="00992F81">
      <w:pPr>
        <w:pStyle w:val="leftright"/>
        <w:spacing w:before="0" w:after="260" w:line="280" w:lineRule="exact"/>
        <w:ind w:left="1440" w:right="0" w:hanging="720"/>
        <w:jc w:val="both"/>
        <w:rPr>
          <w:rFonts w:ascii="Times New Roman" w:hAnsi="Times New Roman"/>
        </w:rPr>
      </w:pPr>
      <w:r w:rsidRPr="00992F81">
        <w:rPr>
          <w:rFonts w:ascii="Times New Roman" w:hAnsi="Times New Roman"/>
        </w:rPr>
        <w:t>"70.</w:t>
      </w:r>
      <w:r w:rsidRPr="00992F81">
        <w:rPr>
          <w:rFonts w:ascii="Times New Roman" w:hAnsi="Times New Roman"/>
        </w:rPr>
        <w:tab/>
        <w:t xml:space="preserve">The Commission received submissions that raised </w:t>
      </w:r>
      <w:r w:rsidRPr="00992F81">
        <w:rPr>
          <w:rFonts w:ascii="Times New Roman" w:eastAsia="Calibri" w:hAnsi="Times New Roman"/>
        </w:rPr>
        <w:t xml:space="preserve">[greenhouse gas] </w:t>
      </w:r>
      <w:r w:rsidRPr="00992F81">
        <w:rPr>
          <w:rFonts w:ascii="Times New Roman" w:hAnsi="Times New Roman"/>
        </w:rPr>
        <w:t xml:space="preserve">emissions and the impact the increase in mining would have on climate change. Submissions noted the cumulative impact that </w:t>
      </w:r>
      <w:r w:rsidRPr="00992F81">
        <w:rPr>
          <w:rFonts w:ascii="Times New Roman" w:eastAsia="Calibri" w:hAnsi="Times New Roman"/>
        </w:rPr>
        <w:t xml:space="preserve">[greenhouse gas] </w:t>
      </w:r>
      <w:r w:rsidRPr="00992F81">
        <w:rPr>
          <w:rFonts w:ascii="Times New Roman" w:hAnsi="Times New Roman"/>
        </w:rPr>
        <w:t>emissions would have and noted that while Scope</w:t>
      </w:r>
      <w:r>
        <w:rPr>
          <w:rFonts w:ascii="Times New Roman" w:hAnsi="Times New Roman"/>
        </w:rPr>
        <w:t> </w:t>
      </w:r>
      <w:r w:rsidRPr="00992F81">
        <w:rPr>
          <w:rFonts w:ascii="Times New Roman" w:hAnsi="Times New Roman"/>
        </w:rPr>
        <w:t>3 emissions are not counted towards NSW's emissions under the</w:t>
      </w:r>
      <w:r>
        <w:rPr>
          <w:rFonts w:ascii="Times New Roman" w:hAnsi="Times New Roman"/>
        </w:rPr>
        <w:t> </w:t>
      </w:r>
      <w:r w:rsidRPr="00992F81">
        <w:rPr>
          <w:rFonts w:ascii="Times New Roman" w:hAnsi="Times New Roman"/>
        </w:rPr>
        <w:t>Paris</w:t>
      </w:r>
      <w:r>
        <w:rPr>
          <w:rFonts w:ascii="Times New Roman" w:hAnsi="Times New Roman"/>
        </w:rPr>
        <w:t> </w:t>
      </w:r>
      <w:r w:rsidRPr="00992F81">
        <w:rPr>
          <w:rFonts w:ascii="Times New Roman" w:hAnsi="Times New Roman"/>
        </w:rPr>
        <w:t xml:space="preserve">Agreement, the impact is still felt globally. </w:t>
      </w:r>
    </w:p>
    <w:p w14:paraId="180CA9D4" w14:textId="77777777" w:rsidR="004D2653" w:rsidRPr="00992F81" w:rsidRDefault="004D2653" w:rsidP="00992F81">
      <w:pPr>
        <w:pStyle w:val="leftright"/>
        <w:spacing w:before="0" w:after="260" w:line="280" w:lineRule="exact"/>
        <w:ind w:left="1440" w:right="0" w:hanging="720"/>
        <w:jc w:val="both"/>
        <w:rPr>
          <w:rFonts w:ascii="Times New Roman" w:hAnsi="Times New Roman"/>
        </w:rPr>
      </w:pPr>
      <w:r w:rsidRPr="00992F81">
        <w:rPr>
          <w:rFonts w:ascii="Times New Roman" w:hAnsi="Times New Roman"/>
        </w:rPr>
        <w:t>71.</w:t>
      </w:r>
      <w:r w:rsidRPr="00992F81">
        <w:rPr>
          <w:rFonts w:ascii="Times New Roman" w:hAnsi="Times New Roman"/>
        </w:rPr>
        <w:tab/>
        <w:t>Submissions were received by the Commission that noted that while they were concerned for environmental impacts and climate change, they were also concerned that, should the mine close, nearby towns, communities and families would suffer. Some submissions commented that the reliance on coal would continue to be important over the next 20 years until appropriate alternative energy supplies are available to Australia, noting a need for a transition period away from coal.</w:t>
      </w:r>
    </w:p>
    <w:p w14:paraId="38DBE7E8" w14:textId="77777777" w:rsidR="004D2653" w:rsidRDefault="004D2653" w:rsidP="00992F81">
      <w:pPr>
        <w:pStyle w:val="leftright"/>
        <w:spacing w:before="0" w:after="260" w:line="280" w:lineRule="exact"/>
        <w:ind w:left="1440" w:right="0" w:hanging="720"/>
        <w:jc w:val="both"/>
        <w:rPr>
          <w:rFonts w:ascii="Times New Roman" w:hAnsi="Times New Roman"/>
        </w:rPr>
      </w:pPr>
      <w:r w:rsidRPr="00992F81">
        <w:rPr>
          <w:rFonts w:ascii="Times New Roman" w:hAnsi="Times New Roman"/>
        </w:rPr>
        <w:t>72.</w:t>
      </w:r>
      <w:r w:rsidRPr="00992F81">
        <w:rPr>
          <w:rFonts w:ascii="Times New Roman" w:hAnsi="Times New Roman"/>
        </w:rPr>
        <w:tab/>
        <w:t xml:space="preserve">The Commission received submissions that put forward their support for the [a]pplication, stating that high-quality and low emission coal from the mine results in overall lower </w:t>
      </w:r>
      <w:r w:rsidRPr="00992F81">
        <w:rPr>
          <w:rFonts w:ascii="Times New Roman" w:eastAsia="Calibri" w:hAnsi="Times New Roman"/>
        </w:rPr>
        <w:t xml:space="preserve">[greenhouse gas] </w:t>
      </w:r>
      <w:r w:rsidRPr="00992F81">
        <w:rPr>
          <w:rFonts w:ascii="Times New Roman" w:hAnsi="Times New Roman"/>
        </w:rPr>
        <w:t>emissions."</w:t>
      </w:r>
    </w:p>
    <w:p w14:paraId="675C8A78" w14:textId="77777777" w:rsidR="004D2653" w:rsidRPr="00992F81" w:rsidRDefault="004D2653" w:rsidP="00992F81">
      <w:pPr>
        <w:pStyle w:val="FixListStyle"/>
        <w:spacing w:after="260" w:line="280" w:lineRule="exact"/>
        <w:ind w:right="0"/>
        <w:jc w:val="both"/>
        <w:rPr>
          <w:rFonts w:ascii="Times New Roman" w:hAnsi="Times New Roman"/>
        </w:rPr>
      </w:pPr>
      <w:r w:rsidRPr="00992F81">
        <w:rPr>
          <w:rFonts w:ascii="Times New Roman" w:hAnsi="Times New Roman"/>
        </w:rPr>
        <w:tab/>
        <w:t>Section 5, headed "Key Issues", had separate sub-sections addressing each of the "likely impacts" the Commission identified, including Section 5.3, which</w:t>
      </w:r>
      <w:r>
        <w:rPr>
          <w:rFonts w:ascii="Times New Roman" w:hAnsi="Times New Roman"/>
        </w:rPr>
        <w:t> </w:t>
      </w:r>
      <w:r w:rsidRPr="00992F81">
        <w:rPr>
          <w:rFonts w:ascii="Times New Roman" w:hAnsi="Times New Roman"/>
        </w:rPr>
        <w:t>addressed greenhouse gas emissions specifically.</w:t>
      </w:r>
      <w:r w:rsidRPr="00992F81">
        <w:rPr>
          <w:rStyle w:val="FootnoteReference"/>
          <w:rFonts w:ascii="Times New Roman" w:hAnsi="Times New Roman"/>
          <w:sz w:val="24"/>
        </w:rPr>
        <w:footnoteReference w:id="76"/>
      </w:r>
      <w:r w:rsidRPr="00992F81">
        <w:rPr>
          <w:rFonts w:ascii="Times New Roman" w:hAnsi="Times New Roman"/>
        </w:rPr>
        <w:t xml:space="preserve"> As will be explained below, the structure of Section 5.3 is important. </w:t>
      </w:r>
    </w:p>
    <w:p w14:paraId="6438F99B" w14:textId="77777777" w:rsidR="004D2653" w:rsidRPr="00992F81" w:rsidRDefault="004D2653" w:rsidP="00992F81">
      <w:pPr>
        <w:pStyle w:val="FixListStyle"/>
        <w:spacing w:after="260" w:line="280" w:lineRule="exact"/>
        <w:ind w:right="0"/>
        <w:jc w:val="both"/>
        <w:rPr>
          <w:rFonts w:ascii="Times New Roman" w:hAnsi="Times New Roman"/>
        </w:rPr>
      </w:pPr>
      <w:r w:rsidRPr="00992F81">
        <w:rPr>
          <w:rFonts w:ascii="Times New Roman" w:hAnsi="Times New Roman"/>
        </w:rPr>
        <w:tab/>
        <w:t>The Commission defined Scope 1, 2 and 3 emissions in a manner consistent with the GHG Protocol and the EIS.</w:t>
      </w:r>
      <w:r w:rsidRPr="00992F81">
        <w:rPr>
          <w:rStyle w:val="FootnoteReference"/>
          <w:rFonts w:ascii="Times New Roman" w:hAnsi="Times New Roman"/>
          <w:sz w:val="24"/>
        </w:rPr>
        <w:footnoteReference w:id="77"/>
      </w:r>
      <w:r w:rsidRPr="00992F81">
        <w:rPr>
          <w:rFonts w:ascii="Times New Roman" w:hAnsi="Times New Roman"/>
        </w:rPr>
        <w:t xml:space="preserve"> The Commission then addressed international, national and State initiatives to address greenhouse gas emissions. The Commission identified, at the international level, that Australia was a</w:t>
      </w:r>
      <w:r>
        <w:rPr>
          <w:rFonts w:ascii="Times New Roman" w:hAnsi="Times New Roman"/>
        </w:rPr>
        <w:t> </w:t>
      </w:r>
      <w:r w:rsidRPr="00992F81">
        <w:rPr>
          <w:rFonts w:ascii="Times New Roman" w:hAnsi="Times New Roman"/>
        </w:rPr>
        <w:t>signatory to the Paris Agreement, and had committed under the Paris Agreement to reduce national greenhouse gas emissions by 2030. The Commission stated:</w:t>
      </w:r>
    </w:p>
    <w:p w14:paraId="78CC8B3E" w14:textId="77777777" w:rsidR="004D2653" w:rsidRPr="00992F81" w:rsidRDefault="004D2653" w:rsidP="00992F81">
      <w:pPr>
        <w:pStyle w:val="leftright"/>
        <w:spacing w:before="0" w:after="260" w:line="280" w:lineRule="exact"/>
        <w:ind w:right="0"/>
        <w:jc w:val="both"/>
        <w:rPr>
          <w:rFonts w:ascii="Times New Roman" w:hAnsi="Times New Roman"/>
        </w:rPr>
      </w:pPr>
      <w:r w:rsidRPr="00992F81">
        <w:rPr>
          <w:rFonts w:ascii="Times New Roman" w:hAnsi="Times New Roman"/>
        </w:rPr>
        <w:lastRenderedPageBreak/>
        <w:t>"The UNFCCC and related articles specify that all emissions associated with an activity within Australia's border count towards Australia's total emissions.</w:t>
      </w:r>
    </w:p>
    <w:p w14:paraId="5A06C4DB" w14:textId="77777777" w:rsidR="004D2653" w:rsidRDefault="004D2653" w:rsidP="00992F81">
      <w:pPr>
        <w:pStyle w:val="leftright"/>
        <w:spacing w:before="0" w:after="260" w:line="280" w:lineRule="exact"/>
        <w:ind w:right="0"/>
        <w:jc w:val="both"/>
        <w:rPr>
          <w:rFonts w:ascii="Times New Roman" w:hAnsi="Times New Roman"/>
        </w:rPr>
      </w:pPr>
      <w:r w:rsidRPr="00992F81">
        <w:rPr>
          <w:rFonts w:ascii="Times New Roman" w:hAnsi="Times New Roman"/>
        </w:rPr>
        <w:t xml:space="preserve">The Commission notes that the Project's Scope 3 emissions will be accounted for in the consumer countries' </w:t>
      </w:r>
      <w:r w:rsidRPr="00992F81">
        <w:rPr>
          <w:rFonts w:ascii="Times New Roman" w:eastAsia="Calibri" w:hAnsi="Times New Roman"/>
        </w:rPr>
        <w:t xml:space="preserve">[greenhouse gas] </w:t>
      </w:r>
      <w:r w:rsidRPr="00992F81">
        <w:rPr>
          <w:rFonts w:ascii="Times New Roman" w:hAnsi="Times New Roman"/>
        </w:rPr>
        <w:t>emissions. The</w:t>
      </w:r>
      <w:r>
        <w:rPr>
          <w:rFonts w:ascii="Times New Roman" w:hAnsi="Times New Roman"/>
        </w:rPr>
        <w:t> </w:t>
      </w:r>
      <w:r w:rsidRPr="00992F81">
        <w:rPr>
          <w:rFonts w:ascii="Times New Roman" w:hAnsi="Times New Roman"/>
        </w:rPr>
        <w:t xml:space="preserve">Commission also notes that with the adoption of the Paris Agreement, almost all countries have committed to reduce their </w:t>
      </w:r>
      <w:r w:rsidRPr="00992F81">
        <w:rPr>
          <w:rFonts w:ascii="Times New Roman" w:eastAsia="Calibri" w:hAnsi="Times New Roman"/>
        </w:rPr>
        <w:t xml:space="preserve">[greenhouse gas] </w:t>
      </w:r>
      <w:r w:rsidRPr="00992F81">
        <w:rPr>
          <w:rFonts w:ascii="Times New Roman" w:hAnsi="Times New Roman"/>
        </w:rPr>
        <w:t>emissions and track their progress in doing so."</w:t>
      </w:r>
    </w:p>
    <w:p w14:paraId="50BADECC" w14:textId="77777777" w:rsidR="004D2653" w:rsidRPr="00992F81" w:rsidRDefault="004D2653" w:rsidP="00992F81">
      <w:pPr>
        <w:pStyle w:val="FixListStyle"/>
        <w:spacing w:after="260" w:line="280" w:lineRule="exact"/>
        <w:ind w:right="0"/>
        <w:jc w:val="both"/>
        <w:rPr>
          <w:rFonts w:ascii="Times New Roman" w:hAnsi="Times New Roman"/>
        </w:rPr>
      </w:pPr>
      <w:r w:rsidRPr="00992F81">
        <w:rPr>
          <w:rFonts w:ascii="Times New Roman" w:hAnsi="Times New Roman"/>
        </w:rPr>
        <w:tab/>
        <w:t>The Commission then addressed national measures. The Commission referred to the Commonwealth Government's National Greenhouse and Energy Reporting Scheme, the framework established by the NGER Act, but noted that</w:t>
      </w:r>
      <w:r w:rsidRPr="00992F81" w:rsidDel="00DB156B">
        <w:rPr>
          <w:rFonts w:ascii="Times New Roman" w:hAnsi="Times New Roman"/>
        </w:rPr>
        <w:t xml:space="preserve"> </w:t>
      </w:r>
      <w:r w:rsidRPr="00992F81">
        <w:rPr>
          <w:rFonts w:ascii="Times New Roman" w:hAnsi="Times New Roman"/>
        </w:rPr>
        <w:t>the Scheme does not require the reporting of Scope 3 emissions. The Commission also acknowledged the previous Commonwealth Government's</w:t>
      </w:r>
      <w:r w:rsidRPr="00992F81" w:rsidDel="00FA09B8">
        <w:rPr>
          <w:rFonts w:ascii="Times New Roman" w:hAnsi="Times New Roman"/>
        </w:rPr>
        <w:t xml:space="preserve"> </w:t>
      </w:r>
      <w:r w:rsidRPr="00992F81">
        <w:rPr>
          <w:rFonts w:ascii="Times New Roman" w:hAnsi="Times New Roman"/>
        </w:rPr>
        <w:t xml:space="preserve">Long-Term Emissions Reduction Plan, as well as the commitment by the current Commonwealth Government to "legislating a 43% reduction in </w:t>
      </w:r>
      <w:r w:rsidRPr="00992F81">
        <w:rPr>
          <w:rFonts w:ascii="Times New Roman" w:eastAsia="Calibri" w:hAnsi="Times New Roman"/>
        </w:rPr>
        <w:t xml:space="preserve">[greenhouse gas] </w:t>
      </w:r>
      <w:r w:rsidRPr="00992F81">
        <w:rPr>
          <w:rFonts w:ascii="Times New Roman" w:hAnsi="Times New Roman"/>
        </w:rPr>
        <w:t>emissions by 2030".</w:t>
      </w:r>
    </w:p>
    <w:p w14:paraId="2C021EC3" w14:textId="77777777" w:rsidR="004D2653" w:rsidRPr="00992F81" w:rsidRDefault="004D2653" w:rsidP="00992F81">
      <w:pPr>
        <w:pStyle w:val="FixListStyle"/>
        <w:spacing w:after="260" w:line="280" w:lineRule="exact"/>
        <w:ind w:right="0"/>
        <w:jc w:val="both"/>
        <w:rPr>
          <w:rFonts w:ascii="Times New Roman" w:hAnsi="Times New Roman"/>
        </w:rPr>
      </w:pPr>
      <w:r w:rsidRPr="00992F81">
        <w:rPr>
          <w:rFonts w:ascii="Times New Roman" w:hAnsi="Times New Roman"/>
        </w:rPr>
        <w:tab/>
        <w:t>At the State level, the Commission acknowledged that there was a range of relevant NSW climate change policy and guidance, including a target of net zero emissions by 2050, and a focus on limiting fugitive emissions from coal mining. The Commission observed that the NSW Government: had entered into a</w:t>
      </w:r>
      <w:r>
        <w:rPr>
          <w:rFonts w:ascii="Times New Roman" w:hAnsi="Times New Roman"/>
        </w:rPr>
        <w:t> </w:t>
      </w:r>
      <w:r w:rsidRPr="00992F81">
        <w:rPr>
          <w:rFonts w:ascii="Times New Roman" w:hAnsi="Times New Roman"/>
        </w:rPr>
        <w:t>memorandum of understanding with the Commonwealth Government which aimed, in part, to achieve emissions reductions; had established th</w:t>
      </w:r>
      <w:r>
        <w:rPr>
          <w:rFonts w:ascii="Times New Roman" w:hAnsi="Times New Roman"/>
        </w:rPr>
        <w:t>e </w:t>
      </w:r>
      <w:r w:rsidRPr="00992F81">
        <w:rPr>
          <w:rFonts w:ascii="Times New Roman" w:hAnsi="Times New Roman"/>
        </w:rPr>
        <w:t>"Coal</w:t>
      </w:r>
      <w:r>
        <w:rPr>
          <w:rFonts w:ascii="Times New Roman" w:hAnsi="Times New Roman"/>
        </w:rPr>
        <w:t> </w:t>
      </w:r>
      <w:r w:rsidRPr="00992F81">
        <w:rPr>
          <w:rFonts w:ascii="Times New Roman" w:hAnsi="Times New Roman"/>
        </w:rPr>
        <w:t>Innovation Fund" to support research, development and demonstration of low emissions coal technologies; and had released its Net Zero Plan. Acknowledging that fugitive emissions from coal and gas made up approximately nine per cent of NSW greenhouse gas emissions as of 2018-2019, the Commission observed that limiting fugitive emissions from coal mining was important to reduce the State's emissions under the Net Zero Plan. Critically, the Commission recorded that "[i]n the NSW policy context", the Commission was expressly required to consider the matters in cl 2.20(1) and (2) of the Resources SEPP.</w:t>
      </w:r>
    </w:p>
    <w:p w14:paraId="6862F2D5" w14:textId="77777777" w:rsidR="004D2653" w:rsidRPr="00992F81" w:rsidRDefault="004D2653" w:rsidP="00992F81">
      <w:pPr>
        <w:pStyle w:val="FixListStyle"/>
        <w:spacing w:after="260" w:line="280" w:lineRule="exact"/>
        <w:ind w:right="0"/>
        <w:jc w:val="both"/>
        <w:rPr>
          <w:rFonts w:ascii="Times New Roman" w:hAnsi="Times New Roman"/>
        </w:rPr>
      </w:pPr>
      <w:r w:rsidRPr="00992F81">
        <w:rPr>
          <w:rFonts w:ascii="Times New Roman" w:hAnsi="Times New Roman"/>
        </w:rPr>
        <w:tab/>
        <w:t>The Commission summarised the estimated greenhouse gas emissions of the Project, based on MACH's EIS and set out in the Department's assessment report.</w:t>
      </w:r>
      <w:r w:rsidRPr="00992F81">
        <w:rPr>
          <w:rStyle w:val="FootnoteReference"/>
          <w:rFonts w:ascii="Times New Roman" w:hAnsi="Times New Roman"/>
          <w:sz w:val="24"/>
        </w:rPr>
        <w:footnoteReference w:id="78"/>
      </w:r>
      <w:r w:rsidRPr="00992F81">
        <w:rPr>
          <w:rFonts w:ascii="Times New Roman" w:hAnsi="Times New Roman"/>
        </w:rPr>
        <w:t xml:space="preserve"> The Commission set out the estimated Scope 1, 2 and 3 emissions for the</w:t>
      </w:r>
      <w:r>
        <w:rPr>
          <w:rFonts w:ascii="Times New Roman" w:hAnsi="Times New Roman"/>
        </w:rPr>
        <w:t> </w:t>
      </w:r>
      <w:r w:rsidRPr="00992F81">
        <w:rPr>
          <w:rFonts w:ascii="Times New Roman" w:hAnsi="Times New Roman"/>
        </w:rPr>
        <w:t>Project, and noted again that 98 per cent of the total emissions generated due to the Project were those associated with the downstream burning of the product.</w:t>
      </w:r>
      <w:r w:rsidRPr="00992F81">
        <w:rPr>
          <w:rStyle w:val="FootnoteReference"/>
          <w:rFonts w:ascii="Times New Roman" w:hAnsi="Times New Roman"/>
          <w:sz w:val="24"/>
        </w:rPr>
        <w:footnoteReference w:id="79"/>
      </w:r>
    </w:p>
    <w:p w14:paraId="370AC6F9" w14:textId="77777777" w:rsidR="004D2653" w:rsidRPr="00992F81" w:rsidRDefault="004D2653" w:rsidP="00992F81">
      <w:pPr>
        <w:pStyle w:val="FixListStyle"/>
        <w:spacing w:after="260" w:line="280" w:lineRule="exact"/>
        <w:ind w:right="0"/>
        <w:jc w:val="both"/>
        <w:rPr>
          <w:rFonts w:ascii="Times New Roman" w:hAnsi="Times New Roman"/>
        </w:rPr>
      </w:pPr>
      <w:r w:rsidRPr="00992F81">
        <w:rPr>
          <w:rFonts w:ascii="Times New Roman" w:hAnsi="Times New Roman"/>
        </w:rPr>
        <w:lastRenderedPageBreak/>
        <w:tab/>
        <w:t>The Commission then provided a detailed summary of the nature and extent of the anticipated Scope 1 and 2 emissions of the Project, highlighting that they would be within the current Safeguard Mechanism baseline emissions for the</w:t>
      </w:r>
      <w:r>
        <w:rPr>
          <w:rFonts w:ascii="Times New Roman" w:hAnsi="Times New Roman"/>
        </w:rPr>
        <w:t> </w:t>
      </w:r>
      <w:r w:rsidRPr="00992F81">
        <w:rPr>
          <w:rFonts w:ascii="Times New Roman" w:hAnsi="Times New Roman"/>
        </w:rPr>
        <w:t>Project. After this, the Commission stated:</w:t>
      </w:r>
    </w:p>
    <w:p w14:paraId="33800005" w14:textId="77777777" w:rsidR="004D2653" w:rsidRPr="00992F81" w:rsidRDefault="004D2653" w:rsidP="00992F81">
      <w:pPr>
        <w:pStyle w:val="leftright"/>
        <w:spacing w:before="0" w:after="260" w:line="280" w:lineRule="exact"/>
        <w:ind w:left="1440" w:right="0" w:hanging="720"/>
        <w:jc w:val="both"/>
        <w:rPr>
          <w:rFonts w:ascii="Times New Roman" w:hAnsi="Times New Roman"/>
        </w:rPr>
      </w:pPr>
      <w:r w:rsidRPr="00992F81">
        <w:rPr>
          <w:rFonts w:ascii="Times New Roman" w:hAnsi="Times New Roman"/>
        </w:rPr>
        <w:t>"150.</w:t>
      </w:r>
      <w:r w:rsidRPr="00992F81">
        <w:rPr>
          <w:rFonts w:ascii="Times New Roman" w:hAnsi="Times New Roman"/>
        </w:rPr>
        <w:tab/>
        <w:t>The Commission acknowledges that the mining of coal and its combustion is a major contributor to anthropogenic climate change, which has the potential to impact future generations. The</w:t>
      </w:r>
      <w:r>
        <w:rPr>
          <w:rFonts w:ascii="Times New Roman" w:hAnsi="Times New Roman"/>
        </w:rPr>
        <w:t> </w:t>
      </w:r>
      <w:r w:rsidRPr="00992F81">
        <w:rPr>
          <w:rFonts w:ascii="Times New Roman" w:hAnsi="Times New Roman"/>
        </w:rPr>
        <w:t xml:space="preserve">Commission acknowledges that </w:t>
      </w:r>
      <w:r w:rsidRPr="00992F81">
        <w:rPr>
          <w:rFonts w:ascii="Times New Roman" w:hAnsi="Times New Roman"/>
          <w:i/>
          <w:iCs/>
        </w:rPr>
        <w:t>although the Project's Scope 3 emissions would contribute to anthropogenic climate change,</w:t>
      </w:r>
      <w:r w:rsidRPr="00992F81">
        <w:rPr>
          <w:rFonts w:ascii="Times New Roman" w:hAnsi="Times New Roman"/>
        </w:rPr>
        <w:t xml:space="preserve"> </w:t>
      </w:r>
      <w:r w:rsidRPr="00992F81">
        <w:rPr>
          <w:rFonts w:ascii="Times New Roman" w:hAnsi="Times New Roman"/>
          <w:i/>
          <w:iCs/>
        </w:rPr>
        <w:t>these</w:t>
      </w:r>
      <w:r>
        <w:rPr>
          <w:rFonts w:ascii="Times New Roman" w:hAnsi="Times New Roman"/>
          <w:i/>
          <w:iCs/>
        </w:rPr>
        <w:t> </w:t>
      </w:r>
      <w:r w:rsidRPr="00992F81">
        <w:rPr>
          <w:rFonts w:ascii="Times New Roman" w:hAnsi="Times New Roman"/>
          <w:i/>
          <w:iCs/>
        </w:rPr>
        <w:t>are appropriately regulated and accounted for through broader national policies and international agreements (such as the</w:t>
      </w:r>
      <w:r>
        <w:rPr>
          <w:rFonts w:ascii="Times New Roman" w:hAnsi="Times New Roman"/>
          <w:i/>
          <w:iCs/>
        </w:rPr>
        <w:t> </w:t>
      </w:r>
      <w:r w:rsidRPr="00992F81">
        <w:rPr>
          <w:rFonts w:ascii="Times New Roman" w:hAnsi="Times New Roman"/>
          <w:i/>
          <w:iCs/>
        </w:rPr>
        <w:t>Paris Agreement)</w:t>
      </w:r>
      <w:r w:rsidRPr="00992F81">
        <w:rPr>
          <w:rFonts w:ascii="Times New Roman" w:hAnsi="Times New Roman"/>
        </w:rPr>
        <w:t>.</w:t>
      </w:r>
    </w:p>
    <w:p w14:paraId="508D972F" w14:textId="77777777" w:rsidR="004D2653" w:rsidRDefault="004D2653" w:rsidP="00992F81">
      <w:pPr>
        <w:pStyle w:val="leftright"/>
        <w:spacing w:before="0" w:after="260" w:line="280" w:lineRule="exact"/>
        <w:ind w:left="1440" w:right="0" w:hanging="720"/>
        <w:jc w:val="both"/>
        <w:rPr>
          <w:rFonts w:ascii="Times New Roman" w:hAnsi="Times New Roman"/>
        </w:rPr>
      </w:pPr>
      <w:r w:rsidRPr="00992F81">
        <w:rPr>
          <w:rFonts w:ascii="Times New Roman" w:hAnsi="Times New Roman"/>
        </w:rPr>
        <w:t>151.</w:t>
      </w:r>
      <w:r w:rsidRPr="00992F81">
        <w:rPr>
          <w:rFonts w:ascii="Times New Roman" w:hAnsi="Times New Roman"/>
        </w:rPr>
        <w:tab/>
        <w:t xml:space="preserve">The Commission notes that the </w:t>
      </w:r>
      <w:r w:rsidRPr="00992F81">
        <w:rPr>
          <w:rFonts w:ascii="Times New Roman" w:eastAsia="Calibri" w:hAnsi="Times New Roman"/>
        </w:rPr>
        <w:t>[greenhouse gas]</w:t>
      </w:r>
      <w:r w:rsidRPr="00992F81" w:rsidDel="00204F70">
        <w:rPr>
          <w:rFonts w:ascii="Times New Roman" w:hAnsi="Times New Roman"/>
        </w:rPr>
        <w:t xml:space="preserve"> </w:t>
      </w:r>
      <w:r w:rsidRPr="00992F81">
        <w:rPr>
          <w:rFonts w:ascii="Times New Roman" w:hAnsi="Times New Roman"/>
        </w:rPr>
        <w:t xml:space="preserve">emissions associated with burning coal to produce energy are accounted for at the international powerplants where that combustion takes place. The Commission agrees with the Department and acknowledges that under the Paris Agreement accounting rules and Australian legislation, Scope 3 emissions are not included in Project emission reporting, to avoid double counting. </w:t>
      </w:r>
      <w:r w:rsidRPr="00992F81">
        <w:rPr>
          <w:rFonts w:ascii="Times New Roman" w:hAnsi="Times New Roman"/>
          <w:i/>
          <w:iCs/>
        </w:rPr>
        <w:t>However, the</w:t>
      </w:r>
      <w:r w:rsidRPr="00992F81">
        <w:rPr>
          <w:rFonts w:ascii="Times New Roman" w:hAnsi="Times New Roman"/>
        </w:rPr>
        <w:t xml:space="preserve"> </w:t>
      </w:r>
      <w:r w:rsidRPr="00992F81">
        <w:rPr>
          <w:rFonts w:ascii="Times New Roman" w:hAnsi="Times New Roman"/>
          <w:i/>
          <w:iCs/>
        </w:rPr>
        <w:t>Commission has considered all emissions associated with the Project (including</w:t>
      </w:r>
      <w:r>
        <w:rPr>
          <w:rFonts w:ascii="Times New Roman" w:hAnsi="Times New Roman"/>
          <w:i/>
          <w:iCs/>
        </w:rPr>
        <w:t> </w:t>
      </w:r>
      <w:r w:rsidRPr="00992F81">
        <w:rPr>
          <w:rFonts w:ascii="Times New Roman" w:hAnsi="Times New Roman"/>
          <w:i/>
          <w:iCs/>
        </w:rPr>
        <w:t>Scope 3 emissions) in its assessment and determination</w:t>
      </w:r>
      <w:r w:rsidRPr="00992F81">
        <w:rPr>
          <w:rFonts w:ascii="Times New Roman" w:hAnsi="Times New Roman"/>
        </w:rPr>
        <w:t xml:space="preserve">." (emphasis added) </w:t>
      </w:r>
    </w:p>
    <w:p w14:paraId="62EDB7F8" w14:textId="77777777" w:rsidR="004D2653" w:rsidRPr="00992F81" w:rsidRDefault="004D2653" w:rsidP="00992F81">
      <w:pPr>
        <w:pStyle w:val="FixListStyle"/>
        <w:spacing w:after="260" w:line="280" w:lineRule="exact"/>
        <w:ind w:right="0"/>
        <w:jc w:val="both"/>
        <w:rPr>
          <w:rFonts w:ascii="Times New Roman" w:hAnsi="Times New Roman"/>
        </w:rPr>
      </w:pPr>
      <w:r w:rsidRPr="00992F81">
        <w:rPr>
          <w:rFonts w:ascii="Times New Roman" w:hAnsi="Times New Roman"/>
        </w:rPr>
        <w:tab/>
        <w:t>The Commission then</w:t>
      </w:r>
      <w:r w:rsidRPr="00992F81" w:rsidDel="00E90BA2">
        <w:rPr>
          <w:rFonts w:ascii="Times New Roman" w:hAnsi="Times New Roman"/>
        </w:rPr>
        <w:t xml:space="preserve"> </w:t>
      </w:r>
      <w:r w:rsidRPr="00992F81">
        <w:rPr>
          <w:rFonts w:ascii="Times New Roman" w:hAnsi="Times New Roman"/>
        </w:rPr>
        <w:t xml:space="preserve">summarised its findings, first in relation to Scope 3 emissions, emphasising that: </w:t>
      </w:r>
    </w:p>
    <w:p w14:paraId="54B79363" w14:textId="77777777" w:rsidR="004D2653" w:rsidRPr="00992F81" w:rsidRDefault="004D2653" w:rsidP="00992F81">
      <w:pPr>
        <w:pStyle w:val="leftright"/>
        <w:spacing w:before="0" w:after="260" w:line="280" w:lineRule="exact"/>
        <w:ind w:left="1440" w:right="0" w:hanging="720"/>
        <w:jc w:val="both"/>
        <w:rPr>
          <w:rFonts w:ascii="Times New Roman" w:hAnsi="Times New Roman"/>
        </w:rPr>
      </w:pPr>
      <w:r w:rsidRPr="00992F81">
        <w:rPr>
          <w:rFonts w:ascii="Times New Roman" w:hAnsi="Times New Roman"/>
        </w:rPr>
        <w:t>"152.</w:t>
      </w:r>
      <w:r w:rsidRPr="00992F81">
        <w:rPr>
          <w:rFonts w:ascii="Times New Roman" w:hAnsi="Times New Roman"/>
        </w:rPr>
        <w:tab/>
        <w:t xml:space="preserve">The Commission received submissions that raised concerns regarding the Project's </w:t>
      </w:r>
      <w:r w:rsidRPr="00992F81">
        <w:rPr>
          <w:rFonts w:ascii="Times New Roman" w:eastAsia="Calibri" w:hAnsi="Times New Roman"/>
        </w:rPr>
        <w:t xml:space="preserve">[greenhouse gas] </w:t>
      </w:r>
      <w:r w:rsidRPr="00992F81">
        <w:rPr>
          <w:rFonts w:ascii="Times New Roman" w:hAnsi="Times New Roman"/>
        </w:rPr>
        <w:t xml:space="preserve">emissions and the impact the increase in mining would have on climate change and future generations. Some submissions recognised that while Scope 3 emissions are not counted towards NSW emissions, </w:t>
      </w:r>
      <w:r w:rsidRPr="00992F81">
        <w:rPr>
          <w:rFonts w:ascii="Times New Roman" w:hAnsi="Times New Roman"/>
          <w:i/>
          <w:iCs/>
        </w:rPr>
        <w:t xml:space="preserve">the cumulative impact of </w:t>
      </w:r>
      <w:r w:rsidRPr="00992F81">
        <w:rPr>
          <w:rFonts w:ascii="Times New Roman" w:eastAsia="Calibri" w:hAnsi="Times New Roman"/>
          <w:i/>
        </w:rPr>
        <w:t xml:space="preserve">[greenhouse gas] </w:t>
      </w:r>
      <w:r w:rsidRPr="00992F81">
        <w:rPr>
          <w:rFonts w:ascii="Times New Roman" w:hAnsi="Times New Roman"/>
          <w:i/>
          <w:iCs/>
        </w:rPr>
        <w:t>emissions is still felt globally</w:t>
      </w:r>
      <w:r w:rsidRPr="00992F81">
        <w:rPr>
          <w:rFonts w:ascii="Times New Roman" w:hAnsi="Times New Roman"/>
        </w:rPr>
        <w:t>.</w:t>
      </w:r>
    </w:p>
    <w:p w14:paraId="219E2531" w14:textId="77777777" w:rsidR="004D2653" w:rsidRDefault="004D2653" w:rsidP="00992F81">
      <w:pPr>
        <w:pStyle w:val="leftright"/>
        <w:spacing w:before="0" w:after="260" w:line="280" w:lineRule="exact"/>
        <w:ind w:left="1440" w:right="0" w:hanging="720"/>
        <w:jc w:val="both"/>
        <w:rPr>
          <w:rFonts w:ascii="Times New Roman" w:hAnsi="Times New Roman"/>
        </w:rPr>
      </w:pPr>
      <w:r w:rsidRPr="00992F81">
        <w:rPr>
          <w:rFonts w:ascii="Times New Roman" w:hAnsi="Times New Roman"/>
        </w:rPr>
        <w:t>153.</w:t>
      </w:r>
      <w:r w:rsidRPr="00992F81">
        <w:rPr>
          <w:rFonts w:ascii="Times New Roman" w:hAnsi="Times New Roman"/>
        </w:rPr>
        <w:tab/>
        <w:t xml:space="preserve">The Commission recognises the concerns expressed in these submissions, however the Commission notes that </w:t>
      </w:r>
      <w:r w:rsidRPr="00992F81">
        <w:rPr>
          <w:rFonts w:ascii="Times New Roman" w:hAnsi="Times New Roman"/>
          <w:i/>
          <w:iCs/>
        </w:rPr>
        <w:t>under the</w:t>
      </w:r>
      <w:r>
        <w:rPr>
          <w:rFonts w:ascii="Times New Roman" w:hAnsi="Times New Roman"/>
          <w:i/>
          <w:iCs/>
        </w:rPr>
        <w:t> </w:t>
      </w:r>
      <w:r w:rsidRPr="00992F81">
        <w:rPr>
          <w:rFonts w:ascii="Times New Roman" w:hAnsi="Times New Roman"/>
          <w:i/>
          <w:iCs/>
        </w:rPr>
        <w:t>Paris</w:t>
      </w:r>
      <w:r>
        <w:rPr>
          <w:rFonts w:ascii="Times New Roman" w:hAnsi="Times New Roman"/>
          <w:i/>
          <w:iCs/>
        </w:rPr>
        <w:t> </w:t>
      </w:r>
      <w:r w:rsidRPr="00992F81">
        <w:rPr>
          <w:rFonts w:ascii="Times New Roman" w:hAnsi="Times New Roman"/>
          <w:i/>
          <w:iCs/>
        </w:rPr>
        <w:t>Agreement, Scope 3 emissions are attributed to the country within which they are emitted</w:t>
      </w:r>
      <w:r w:rsidRPr="00992F81">
        <w:rPr>
          <w:rFonts w:ascii="Times New Roman" w:hAnsi="Times New Roman"/>
        </w:rPr>
        <w:t>. The Commission notes that with the</w:t>
      </w:r>
      <w:r>
        <w:rPr>
          <w:rFonts w:ascii="Times New Roman" w:hAnsi="Times New Roman"/>
        </w:rPr>
        <w:t> </w:t>
      </w:r>
      <w:r w:rsidRPr="00992F81">
        <w:rPr>
          <w:rFonts w:ascii="Times New Roman" w:hAnsi="Times New Roman"/>
        </w:rPr>
        <w:t xml:space="preserve">adoption of the Paris Agreement, almost all countries have committed to reduce global </w:t>
      </w:r>
      <w:r w:rsidRPr="00992F81">
        <w:rPr>
          <w:rFonts w:ascii="Times New Roman" w:eastAsia="Calibri" w:hAnsi="Times New Roman"/>
        </w:rPr>
        <w:t xml:space="preserve">[greenhouse gas] </w:t>
      </w:r>
      <w:r w:rsidRPr="00992F81">
        <w:rPr>
          <w:rFonts w:ascii="Times New Roman" w:hAnsi="Times New Roman"/>
        </w:rPr>
        <w:t xml:space="preserve">emissions and to track their progress in doing so." (emphasis added) </w:t>
      </w:r>
    </w:p>
    <w:p w14:paraId="4B0595AD" w14:textId="77777777" w:rsidR="004D2653" w:rsidRPr="00992F81" w:rsidRDefault="004D2653" w:rsidP="00992F81">
      <w:pPr>
        <w:pStyle w:val="FixListStyle"/>
        <w:spacing w:after="260" w:line="280" w:lineRule="exact"/>
        <w:ind w:right="0"/>
        <w:jc w:val="both"/>
        <w:rPr>
          <w:rFonts w:ascii="Times New Roman" w:hAnsi="Times New Roman"/>
        </w:rPr>
      </w:pPr>
      <w:r w:rsidRPr="00992F81">
        <w:rPr>
          <w:rFonts w:ascii="Times New Roman" w:hAnsi="Times New Roman"/>
        </w:rPr>
        <w:tab/>
        <w:t>The Commission then set out the requirements in cl 2.20(1). From this point, the discussion concerned only Scope 1 and 2 emissions:</w:t>
      </w:r>
    </w:p>
    <w:p w14:paraId="304BF5A0" w14:textId="77777777" w:rsidR="004D2653" w:rsidRDefault="004D2653" w:rsidP="00992F81">
      <w:pPr>
        <w:pStyle w:val="leftright"/>
        <w:spacing w:before="0" w:after="260" w:line="280" w:lineRule="exact"/>
        <w:ind w:left="1440" w:right="0" w:hanging="720"/>
        <w:jc w:val="both"/>
        <w:rPr>
          <w:rFonts w:ascii="Times New Roman" w:hAnsi="Times New Roman"/>
        </w:rPr>
      </w:pPr>
      <w:r w:rsidRPr="00992F81">
        <w:rPr>
          <w:rFonts w:ascii="Times New Roman" w:hAnsi="Times New Roman"/>
        </w:rPr>
        <w:lastRenderedPageBreak/>
        <w:t>"154.</w:t>
      </w:r>
      <w:r w:rsidRPr="00992F81">
        <w:rPr>
          <w:rFonts w:ascii="Times New Roman" w:hAnsi="Times New Roman"/>
        </w:rPr>
        <w:tab/>
        <w:t>The Commission has considered the matters in clauses 2.20(1) and</w:t>
      </w:r>
      <w:r>
        <w:rPr>
          <w:rFonts w:ascii="Times New Roman" w:hAnsi="Times New Roman"/>
        </w:rPr>
        <w:t> </w:t>
      </w:r>
      <w:r w:rsidRPr="00992F81">
        <w:rPr>
          <w:rFonts w:ascii="Times New Roman" w:hAnsi="Times New Roman"/>
        </w:rPr>
        <w:t>2.20(2) of the Resources SEPP (in addition to the mandatory considerations under section 4.15 of the [EPA Act]) and finds that the Project's Scope 1 and Scope 2 emissions have been estimated using the recommended methodologies consistent with the current national and NSW policy settings and commitments. In the absence of clear policy guidance on performance criteria or offsets, the</w:t>
      </w:r>
      <w:r>
        <w:rPr>
          <w:rFonts w:ascii="Times New Roman" w:hAnsi="Times New Roman"/>
        </w:rPr>
        <w:t> </w:t>
      </w:r>
      <w:r w:rsidRPr="00992F81">
        <w:rPr>
          <w:rFonts w:ascii="Times New Roman" w:hAnsi="Times New Roman"/>
        </w:rPr>
        <w:t>Commission is of the view that the Project is not inconsistent with the [NSW Climate Change Policy Framework], the Net Zero Plan or Australia's current obligations under the Paris Agreement in respect of Australia's current NDC's."</w:t>
      </w:r>
    </w:p>
    <w:p w14:paraId="6D1AC48D" w14:textId="77777777" w:rsidR="004D2653" w:rsidRPr="00992F81" w:rsidRDefault="004D2653" w:rsidP="00992F81">
      <w:pPr>
        <w:pStyle w:val="FixListStyle"/>
        <w:spacing w:after="260" w:line="280" w:lineRule="exact"/>
        <w:ind w:right="0"/>
        <w:jc w:val="both"/>
        <w:rPr>
          <w:rFonts w:ascii="Times New Roman" w:hAnsi="Times New Roman"/>
        </w:rPr>
      </w:pPr>
      <w:r w:rsidRPr="00992F81">
        <w:rPr>
          <w:rFonts w:ascii="Times New Roman" w:hAnsi="Times New Roman"/>
        </w:rPr>
        <w:tab/>
        <w:t>The Commission considered conditions to minimise Scope 1 and 2 emissions in some detail.</w:t>
      </w:r>
      <w:r w:rsidRPr="00992F81">
        <w:rPr>
          <w:rStyle w:val="FootnoteReference"/>
          <w:rFonts w:ascii="Times New Roman" w:hAnsi="Times New Roman"/>
          <w:sz w:val="24"/>
        </w:rPr>
        <w:footnoteReference w:id="80"/>
      </w:r>
      <w:r w:rsidRPr="00992F81">
        <w:rPr>
          <w:rFonts w:ascii="Times New Roman" w:hAnsi="Times New Roman"/>
        </w:rPr>
        <w:t xml:space="preserve"> </w:t>
      </w:r>
      <w:r w:rsidRPr="00992F81" w:rsidDel="001A4BDE">
        <w:rPr>
          <w:rFonts w:ascii="Times New Roman" w:hAnsi="Times New Roman"/>
        </w:rPr>
        <w:t>The</w:t>
      </w:r>
      <w:r w:rsidRPr="00992F81">
        <w:rPr>
          <w:rFonts w:ascii="Times New Roman" w:hAnsi="Times New Roman"/>
        </w:rPr>
        <w:t> Commission stated that it had set "specific</w:t>
      </w:r>
      <w:r>
        <w:rPr>
          <w:rFonts w:ascii="Times New Roman" w:hAnsi="Times New Roman"/>
        </w:rPr>
        <w:t> </w:t>
      </w:r>
      <w:r w:rsidRPr="00992F81">
        <w:rPr>
          <w:rFonts w:ascii="Times New Roman" w:eastAsia="Calibri" w:hAnsi="Times New Roman"/>
        </w:rPr>
        <w:t xml:space="preserve">[greenhouse gas] </w:t>
      </w:r>
      <w:r w:rsidRPr="00992F81">
        <w:rPr>
          <w:rFonts w:ascii="Times New Roman" w:hAnsi="Times New Roman"/>
        </w:rPr>
        <w:t>performance measures for Scope 1 and Scope 2 emissions for the Project". The specific measures to which it referred were condition B31, conditions B32 and B34, and condition B36. Those conditions were only concerned with Scope 1 and Scope 2 emissions. The Commission did not refer to Scope 3 emissions.</w:t>
      </w:r>
    </w:p>
    <w:p w14:paraId="36F355BA" w14:textId="77777777" w:rsidR="004D2653" w:rsidRPr="00992F81" w:rsidRDefault="004D2653" w:rsidP="00992F81">
      <w:pPr>
        <w:pStyle w:val="FixListStyle"/>
        <w:spacing w:after="260" w:line="280" w:lineRule="exact"/>
        <w:ind w:right="0"/>
        <w:jc w:val="both"/>
        <w:rPr>
          <w:rFonts w:ascii="Times New Roman" w:hAnsi="Times New Roman"/>
        </w:rPr>
      </w:pPr>
      <w:r w:rsidRPr="00992F81">
        <w:rPr>
          <w:rFonts w:ascii="Times New Roman" w:hAnsi="Times New Roman"/>
        </w:rPr>
        <w:tab/>
        <w:t>Finally, the Commission concluded that "[s]ubject to the imposed conditions, the Commission is satisfied that the Project can achieve the</w:t>
      </w:r>
      <w:r>
        <w:rPr>
          <w:rFonts w:ascii="Times New Roman" w:hAnsi="Times New Roman"/>
        </w:rPr>
        <w:t> </w:t>
      </w:r>
      <w:r w:rsidRPr="00992F81">
        <w:rPr>
          <w:rFonts w:ascii="Times New Roman" w:hAnsi="Times New Roman"/>
        </w:rPr>
        <w:t>requirements of the Resources SEPP, the [EPA Act] and the relevant Commonwealth and NSW policy positions". The Commission affirmed that the</w:t>
      </w:r>
      <w:r>
        <w:rPr>
          <w:rFonts w:ascii="Times New Roman" w:hAnsi="Times New Roman"/>
        </w:rPr>
        <w:t> </w:t>
      </w:r>
      <w:r w:rsidRPr="00992F81">
        <w:rPr>
          <w:rFonts w:ascii="Times New Roman" w:hAnsi="Times New Roman"/>
        </w:rPr>
        <w:t>greenhouse gas emissions for the Project were "adequately assessed", acknowledging the NSW Government's Net Zero Plan and the need to undertake mining "sensitively to minimise impacts on the environment".</w:t>
      </w:r>
    </w:p>
    <w:p w14:paraId="302C87D4" w14:textId="77777777" w:rsidR="004D2653" w:rsidRPr="00554FD0" w:rsidRDefault="004D2653" w:rsidP="00992F81">
      <w:pPr>
        <w:pStyle w:val="FixListStyle"/>
        <w:spacing w:after="260" w:line="280" w:lineRule="exact"/>
        <w:ind w:right="0"/>
        <w:jc w:val="both"/>
        <w:rPr>
          <w:rFonts w:ascii="Times New Roman" w:hAnsi="Times New Roman"/>
          <w:spacing w:val="4"/>
        </w:rPr>
      </w:pPr>
      <w:r w:rsidRPr="00992F81">
        <w:rPr>
          <w:rFonts w:ascii="Times New Roman" w:hAnsi="Times New Roman"/>
        </w:rPr>
        <w:tab/>
      </w:r>
      <w:r w:rsidRPr="00554FD0">
        <w:rPr>
          <w:rFonts w:ascii="Times New Roman" w:hAnsi="Times New Roman"/>
          <w:spacing w:val="4"/>
        </w:rPr>
        <w:t>Section 6, "The Commission's Findings and Determination", relevantly concluded that:</w:t>
      </w:r>
    </w:p>
    <w:p w14:paraId="37639FE4" w14:textId="77777777" w:rsidR="004D2653" w:rsidRPr="00992F81" w:rsidRDefault="004D2653" w:rsidP="00992F81">
      <w:pPr>
        <w:pStyle w:val="leftright"/>
        <w:spacing w:before="0" w:after="260" w:line="280" w:lineRule="exact"/>
        <w:ind w:right="0"/>
        <w:jc w:val="both"/>
        <w:rPr>
          <w:rFonts w:ascii="Times New Roman" w:hAnsi="Times New Roman"/>
        </w:rPr>
      </w:pPr>
      <w:r w:rsidRPr="00992F81">
        <w:rPr>
          <w:rFonts w:ascii="Times New Roman" w:hAnsi="Times New Roman"/>
        </w:rPr>
        <w:t>"The Commission has carefully considered the Material before it as set out in section 3.1 of this report. Based on its consideration of the Material, the</w:t>
      </w:r>
      <w:r>
        <w:rPr>
          <w:rFonts w:ascii="Times New Roman" w:hAnsi="Times New Roman"/>
        </w:rPr>
        <w:t> </w:t>
      </w:r>
      <w:r w:rsidRPr="00992F81">
        <w:rPr>
          <w:rFonts w:ascii="Times New Roman" w:hAnsi="Times New Roman"/>
        </w:rPr>
        <w:t>Commission finds that the Project should be approved subject to stringent conditions of consent for the following reasons:</w:t>
      </w:r>
    </w:p>
    <w:p w14:paraId="03F9B96F" w14:textId="77777777" w:rsidR="004D2653" w:rsidRPr="00992F81" w:rsidRDefault="004D2653" w:rsidP="00992F81">
      <w:pPr>
        <w:pStyle w:val="leftright"/>
        <w:spacing w:before="0" w:after="260" w:line="280" w:lineRule="exact"/>
        <w:ind w:right="0"/>
        <w:jc w:val="both"/>
        <w:rPr>
          <w:rFonts w:ascii="Times New Roman" w:hAnsi="Times New Roman"/>
        </w:rPr>
      </w:pPr>
      <w:r w:rsidRPr="00992F81">
        <w:rPr>
          <w:rFonts w:ascii="Times New Roman" w:hAnsi="Times New Roman"/>
        </w:rPr>
        <w:t xml:space="preserve">... </w:t>
      </w:r>
    </w:p>
    <w:p w14:paraId="1E4B955E" w14:textId="77777777" w:rsidR="004D2653" w:rsidRPr="00992F81" w:rsidRDefault="004D2653" w:rsidP="00992F81">
      <w:pPr>
        <w:pStyle w:val="leftright"/>
        <w:spacing w:before="0" w:after="260" w:line="280" w:lineRule="exact"/>
        <w:ind w:left="1440" w:right="0" w:hanging="720"/>
        <w:jc w:val="both"/>
        <w:rPr>
          <w:rFonts w:ascii="Times New Roman" w:hAnsi="Times New Roman"/>
        </w:rPr>
      </w:pPr>
      <w:r w:rsidRPr="00992F81">
        <w:rPr>
          <w:rFonts w:ascii="Times New Roman" w:hAnsi="Times New Roman"/>
        </w:rPr>
        <w:t>•</w:t>
      </w:r>
      <w:r w:rsidRPr="00992F81">
        <w:rPr>
          <w:rFonts w:ascii="Times New Roman" w:hAnsi="Times New Roman"/>
        </w:rPr>
        <w:tab/>
        <w:t xml:space="preserve">the </w:t>
      </w:r>
      <w:r w:rsidRPr="00992F81">
        <w:rPr>
          <w:rFonts w:ascii="Times New Roman" w:eastAsia="Calibri" w:hAnsi="Times New Roman"/>
        </w:rPr>
        <w:t xml:space="preserve">[greenhouse gas] </w:t>
      </w:r>
      <w:r w:rsidRPr="00992F81">
        <w:rPr>
          <w:rFonts w:ascii="Times New Roman" w:hAnsi="Times New Roman"/>
        </w:rPr>
        <w:t>emissions for the Project have been adequately estimated and are permissible in the context of the current climate change policy framework;</w:t>
      </w:r>
    </w:p>
    <w:p w14:paraId="54ADF9E9" w14:textId="77777777" w:rsidR="004D2653" w:rsidRDefault="004D2653" w:rsidP="00992F81">
      <w:pPr>
        <w:pStyle w:val="leftright"/>
        <w:spacing w:before="0" w:after="260" w:line="280" w:lineRule="exact"/>
        <w:ind w:left="1440" w:right="0" w:hanging="720"/>
        <w:jc w:val="both"/>
        <w:rPr>
          <w:rFonts w:ascii="Times New Roman" w:hAnsi="Times New Roman"/>
        </w:rPr>
      </w:pPr>
      <w:r w:rsidRPr="00992F81">
        <w:rPr>
          <w:rFonts w:ascii="Times New Roman" w:hAnsi="Times New Roman"/>
        </w:rPr>
        <w:lastRenderedPageBreak/>
        <w:t xml:space="preserve">• </w:t>
      </w:r>
      <w:r w:rsidRPr="00992F81">
        <w:rPr>
          <w:rFonts w:ascii="Times New Roman" w:hAnsi="Times New Roman"/>
        </w:rPr>
        <w:tab/>
        <w:t>opportunities exist for [MACH] throughout the life of the Project to deploy existing, emerging and future technologies to improve the</w:t>
      </w:r>
      <w:r>
        <w:rPr>
          <w:rFonts w:ascii="Times New Roman" w:hAnsi="Times New Roman"/>
        </w:rPr>
        <w:t> </w:t>
      </w:r>
      <w:r w:rsidRPr="00992F81">
        <w:rPr>
          <w:rFonts w:ascii="Times New Roman" w:hAnsi="Times New Roman"/>
        </w:rPr>
        <w:t xml:space="preserve">abatement of </w:t>
      </w:r>
      <w:r w:rsidRPr="00992F81">
        <w:rPr>
          <w:rFonts w:ascii="Times New Roman" w:eastAsia="Calibri" w:hAnsi="Times New Roman"/>
        </w:rPr>
        <w:t xml:space="preserve">[greenhouse gas] </w:t>
      </w:r>
      <w:r w:rsidRPr="00992F81">
        <w:rPr>
          <w:rFonts w:ascii="Times New Roman" w:hAnsi="Times New Roman"/>
        </w:rPr>
        <w:t>emissions".</w:t>
      </w:r>
    </w:p>
    <w:p w14:paraId="3159336A" w14:textId="77777777" w:rsidR="004D2653" w:rsidRPr="00992F81" w:rsidRDefault="004D2653" w:rsidP="00992F81">
      <w:pPr>
        <w:pStyle w:val="HeadingL1"/>
        <w:spacing w:after="260" w:line="280" w:lineRule="exact"/>
        <w:ind w:right="0"/>
        <w:jc w:val="both"/>
        <w:rPr>
          <w:rFonts w:ascii="Times New Roman" w:hAnsi="Times New Roman"/>
        </w:rPr>
      </w:pPr>
      <w:r w:rsidRPr="00992F81">
        <w:rPr>
          <w:rFonts w:ascii="Times New Roman" w:hAnsi="Times New Roman"/>
        </w:rPr>
        <w:t>Decisions below</w:t>
      </w:r>
    </w:p>
    <w:p w14:paraId="46164632" w14:textId="77777777" w:rsidR="004D2653" w:rsidRPr="00992F81" w:rsidRDefault="004D2653" w:rsidP="00992F81">
      <w:pPr>
        <w:pStyle w:val="HeadingL2"/>
        <w:spacing w:after="260" w:line="280" w:lineRule="exact"/>
        <w:ind w:right="0"/>
        <w:jc w:val="both"/>
        <w:rPr>
          <w:rFonts w:ascii="Times New Roman" w:hAnsi="Times New Roman"/>
        </w:rPr>
      </w:pPr>
      <w:r w:rsidRPr="00992F81">
        <w:rPr>
          <w:rFonts w:ascii="Times New Roman" w:hAnsi="Times New Roman"/>
        </w:rPr>
        <w:t>Land and Environment Court of NSW</w:t>
      </w:r>
    </w:p>
    <w:p w14:paraId="5F8FBA16" w14:textId="77777777" w:rsidR="004D2653" w:rsidRPr="00992F81" w:rsidRDefault="004D2653" w:rsidP="00992F81">
      <w:pPr>
        <w:pStyle w:val="FixListStyle"/>
        <w:spacing w:after="260" w:line="280" w:lineRule="exact"/>
        <w:ind w:right="0"/>
        <w:jc w:val="both"/>
        <w:rPr>
          <w:rFonts w:ascii="Times New Roman" w:hAnsi="Times New Roman"/>
        </w:rPr>
      </w:pPr>
      <w:r w:rsidRPr="00992F81">
        <w:rPr>
          <w:rFonts w:ascii="Times New Roman" w:hAnsi="Times New Roman"/>
        </w:rPr>
        <w:tab/>
        <w:t xml:space="preserve">DAMSHEG's application for judicial review of the Commission's decision to grant the development consent, filed in the Land and Environment Court of NSW, relied on eight grounds. Only two grounds are relevant to this appeal. </w:t>
      </w:r>
    </w:p>
    <w:p w14:paraId="27E2DA9A" w14:textId="77777777" w:rsidR="004D2653" w:rsidRPr="00992F81" w:rsidRDefault="004D2653" w:rsidP="00992F81">
      <w:pPr>
        <w:pStyle w:val="FixListStyle"/>
        <w:spacing w:after="260" w:line="280" w:lineRule="exact"/>
        <w:ind w:right="0"/>
        <w:jc w:val="both"/>
        <w:rPr>
          <w:rFonts w:ascii="Times New Roman" w:hAnsi="Times New Roman"/>
        </w:rPr>
      </w:pPr>
      <w:r w:rsidRPr="00992F81">
        <w:rPr>
          <w:rFonts w:ascii="Times New Roman" w:hAnsi="Times New Roman"/>
        </w:rPr>
        <w:tab/>
        <w:t>First, "[i]n purporting to consider s 4.15(1)(a)(i) of the EPA Act, the</w:t>
      </w:r>
      <w:r>
        <w:rPr>
          <w:rFonts w:ascii="Times New Roman" w:hAnsi="Times New Roman"/>
        </w:rPr>
        <w:t> </w:t>
      </w:r>
      <w:r w:rsidRPr="00992F81">
        <w:rPr>
          <w:rFonts w:ascii="Times New Roman" w:hAnsi="Times New Roman"/>
        </w:rPr>
        <w:t>Commission failed to consider whether the consent should be issued subject to conditions aimed at ensuring that greenhouse gas emissions are minimised to the</w:t>
      </w:r>
      <w:r>
        <w:rPr>
          <w:rFonts w:ascii="Times New Roman" w:hAnsi="Times New Roman"/>
        </w:rPr>
        <w:t> </w:t>
      </w:r>
      <w:r w:rsidRPr="00992F81">
        <w:rPr>
          <w:rFonts w:ascii="Times New Roman" w:hAnsi="Times New Roman"/>
        </w:rPr>
        <w:t>greatest extent practicable as required by cl 2.20(1) of the [Resources SEPP]". Second, "[t]he Commission failed to consider the likely impacts of Scope 3 emissions, including environmental impacts on both the natural and built environments, and social and economic impacts in the locality, and by that omission misconstrued the expression 'likely impacts of the development …' in</w:t>
      </w:r>
      <w:r>
        <w:rPr>
          <w:rFonts w:ascii="Times New Roman" w:hAnsi="Times New Roman"/>
        </w:rPr>
        <w:t> </w:t>
      </w:r>
      <w:r w:rsidRPr="00992F81">
        <w:rPr>
          <w:rFonts w:ascii="Times New Roman" w:hAnsi="Times New Roman"/>
        </w:rPr>
        <w:t>s</w:t>
      </w:r>
      <w:r>
        <w:rPr>
          <w:rFonts w:ascii="Times New Roman" w:hAnsi="Times New Roman"/>
        </w:rPr>
        <w:t> </w:t>
      </w:r>
      <w:r w:rsidRPr="00992F81">
        <w:rPr>
          <w:rFonts w:ascii="Times New Roman" w:hAnsi="Times New Roman"/>
        </w:rPr>
        <w:t>4.15(1)(b) of the EPA Act by treating that expression as encompassing an</w:t>
      </w:r>
      <w:r>
        <w:rPr>
          <w:rFonts w:ascii="Times New Roman" w:hAnsi="Times New Roman"/>
        </w:rPr>
        <w:t> </w:t>
      </w:r>
      <w:r w:rsidRPr="00992F81">
        <w:rPr>
          <w:rFonts w:ascii="Times New Roman" w:hAnsi="Times New Roman"/>
        </w:rPr>
        <w:t>'accounting' treatment of Scope 3 emissions instead of considering the direct and indirect impacts of the Project". DAMSHEG's contentions were that the</w:t>
      </w:r>
      <w:r>
        <w:rPr>
          <w:rFonts w:ascii="Times New Roman" w:hAnsi="Times New Roman"/>
        </w:rPr>
        <w:t> </w:t>
      </w:r>
      <w:r w:rsidRPr="00992F81">
        <w:rPr>
          <w:rFonts w:ascii="Times New Roman" w:hAnsi="Times New Roman"/>
        </w:rPr>
        <w:t>Commission "either failed to take account of the mandatory considerations stipulated in s 4.15(1)(b) of the EPA Act and/or engaged in an irrational and illogical form of reasoning by proceeding on the basis that the 'accounting' of</w:t>
      </w:r>
      <w:r>
        <w:rPr>
          <w:rFonts w:ascii="Times New Roman" w:hAnsi="Times New Roman"/>
        </w:rPr>
        <w:t> </w:t>
      </w:r>
      <w:r w:rsidRPr="00992F81">
        <w:rPr>
          <w:rFonts w:ascii="Times New Roman" w:hAnsi="Times New Roman"/>
        </w:rPr>
        <w:t>the</w:t>
      </w:r>
      <w:r>
        <w:rPr>
          <w:rFonts w:ascii="Times New Roman" w:hAnsi="Times New Roman"/>
        </w:rPr>
        <w:t> </w:t>
      </w:r>
      <w:r w:rsidRPr="00992F81">
        <w:rPr>
          <w:rFonts w:ascii="Times New Roman" w:hAnsi="Times New Roman"/>
        </w:rPr>
        <w:t>Scope 3 emissions by the downstream consumer country obviated the need to consider the impacts of those emissions".</w:t>
      </w:r>
    </w:p>
    <w:p w14:paraId="44E8FC0B" w14:textId="77777777" w:rsidR="004D2653" w:rsidRPr="00992F81" w:rsidRDefault="004D2653" w:rsidP="00992F81">
      <w:pPr>
        <w:pStyle w:val="FixListStyle"/>
        <w:spacing w:after="260" w:line="280" w:lineRule="exact"/>
        <w:ind w:right="0"/>
        <w:jc w:val="both"/>
        <w:rPr>
          <w:rFonts w:ascii="Times New Roman" w:hAnsi="Times New Roman"/>
        </w:rPr>
      </w:pPr>
      <w:r w:rsidRPr="00992F81">
        <w:rPr>
          <w:rFonts w:ascii="Times New Roman" w:hAnsi="Times New Roman"/>
          <w:b/>
          <w:bCs/>
        </w:rPr>
        <w:tab/>
      </w:r>
      <w:r w:rsidRPr="00992F81">
        <w:rPr>
          <w:rFonts w:ascii="Times New Roman" w:hAnsi="Times New Roman"/>
        </w:rPr>
        <w:t>The primary judge rejected the contention that the Commission had failed to consider cl 2.20(1)(c) of the Resources SEPP as required by s 4.15(1)(a)(i). His</w:t>
      </w:r>
      <w:r>
        <w:rPr>
          <w:rFonts w:ascii="Times New Roman" w:hAnsi="Times New Roman"/>
        </w:rPr>
        <w:t> </w:t>
      </w:r>
      <w:r w:rsidRPr="00992F81">
        <w:rPr>
          <w:rFonts w:ascii="Times New Roman" w:hAnsi="Times New Roman"/>
        </w:rPr>
        <w:t>Honour found that the proper inference from the Commission's reasoning as a</w:t>
      </w:r>
      <w:r>
        <w:rPr>
          <w:rFonts w:ascii="Times New Roman" w:hAnsi="Times New Roman"/>
        </w:rPr>
        <w:t> </w:t>
      </w:r>
      <w:r w:rsidRPr="00992F81">
        <w:rPr>
          <w:rFonts w:ascii="Times New Roman" w:hAnsi="Times New Roman"/>
        </w:rPr>
        <w:t>whole was that it had exercised its discretion not to attach conditions specifically directed to Scope 3 emissions, for the reasons it gave.</w:t>
      </w:r>
    </w:p>
    <w:p w14:paraId="391A1161" w14:textId="77777777" w:rsidR="004D2653" w:rsidRPr="00992F81" w:rsidRDefault="004D2653" w:rsidP="00992F81">
      <w:pPr>
        <w:pStyle w:val="FixListStyle"/>
        <w:spacing w:after="260" w:line="280" w:lineRule="exact"/>
        <w:ind w:right="0"/>
        <w:jc w:val="both"/>
        <w:rPr>
          <w:rFonts w:ascii="Times New Roman" w:hAnsi="Times New Roman"/>
        </w:rPr>
      </w:pPr>
      <w:r w:rsidRPr="00992F81">
        <w:rPr>
          <w:rFonts w:ascii="Times New Roman" w:hAnsi="Times New Roman"/>
          <w:b/>
          <w:bCs/>
        </w:rPr>
        <w:tab/>
      </w:r>
      <w:r w:rsidRPr="00992F81">
        <w:rPr>
          <w:rFonts w:ascii="Times New Roman" w:hAnsi="Times New Roman"/>
        </w:rPr>
        <w:t>The primary judge also rejected the contention that the Commission had misunderstood and failed to consider s 4.15(1)(b). Given the weight of evidence before the Commission and its acceptance of the effects of climate change, his</w:t>
      </w:r>
      <w:r>
        <w:rPr>
          <w:rFonts w:ascii="Times New Roman" w:hAnsi="Times New Roman"/>
        </w:rPr>
        <w:t> </w:t>
      </w:r>
      <w:r w:rsidRPr="00992F81">
        <w:rPr>
          <w:rFonts w:ascii="Times New Roman" w:hAnsi="Times New Roman"/>
        </w:rPr>
        <w:t>Honour concluded that there was no need for the Commission expressly to mention "specific impacts" such as bushfire risk, increased precipitation, changes</w:t>
      </w:r>
      <w:r>
        <w:rPr>
          <w:rFonts w:ascii="Times New Roman" w:hAnsi="Times New Roman"/>
        </w:rPr>
        <w:t> </w:t>
      </w:r>
      <w:r w:rsidRPr="00992F81">
        <w:rPr>
          <w:rFonts w:ascii="Times New Roman" w:hAnsi="Times New Roman"/>
        </w:rPr>
        <w:t>in precipitation patterns and the like, because these were "largely impacts of climate change generally".</w:t>
      </w:r>
    </w:p>
    <w:p w14:paraId="381998D8" w14:textId="77777777" w:rsidR="004D2653" w:rsidRPr="00992F81" w:rsidRDefault="004D2653" w:rsidP="00992F81">
      <w:pPr>
        <w:pStyle w:val="HeadingL2"/>
        <w:spacing w:after="260" w:line="280" w:lineRule="exact"/>
        <w:ind w:right="0"/>
        <w:jc w:val="both"/>
        <w:rPr>
          <w:rFonts w:ascii="Times New Roman" w:hAnsi="Times New Roman"/>
        </w:rPr>
      </w:pPr>
      <w:r w:rsidRPr="00992F81">
        <w:rPr>
          <w:rFonts w:ascii="Times New Roman" w:hAnsi="Times New Roman"/>
        </w:rPr>
        <w:t>NSWCA</w:t>
      </w:r>
    </w:p>
    <w:p w14:paraId="490971CE" w14:textId="77777777" w:rsidR="004D2653" w:rsidRPr="00992F81" w:rsidRDefault="004D2653" w:rsidP="00992F81">
      <w:pPr>
        <w:pStyle w:val="FixListStyle"/>
        <w:spacing w:after="260" w:line="280" w:lineRule="exact"/>
        <w:ind w:right="0"/>
        <w:jc w:val="both"/>
        <w:rPr>
          <w:rFonts w:ascii="Times New Roman" w:hAnsi="Times New Roman"/>
        </w:rPr>
      </w:pPr>
      <w:r w:rsidRPr="00992F81">
        <w:rPr>
          <w:rFonts w:ascii="Times New Roman" w:hAnsi="Times New Roman"/>
        </w:rPr>
        <w:tab/>
        <w:t xml:space="preserve">DAMSHEG appealed to the NSWCA pursuant to s 58(1) of the LEC Act. That appeal was not merits review. </w:t>
      </w:r>
      <w:r w:rsidRPr="00992F81">
        <w:rPr>
          <w:rFonts w:ascii="Times New Roman" w:hAnsi="Times New Roman"/>
          <w:bCs/>
        </w:rPr>
        <w:t>DAMSHEG</w:t>
      </w:r>
      <w:r w:rsidRPr="00992F81">
        <w:rPr>
          <w:rFonts w:ascii="Times New Roman" w:hAnsi="Times New Roman"/>
        </w:rPr>
        <w:t xml:space="preserve">'s contention was that </w:t>
      </w:r>
      <w:r w:rsidRPr="00992F81">
        <w:rPr>
          <w:rFonts w:ascii="Times New Roman" w:hAnsi="Times New Roman"/>
        </w:rPr>
        <w:lastRenderedPageBreak/>
        <w:t>the</w:t>
      </w:r>
      <w:r>
        <w:rPr>
          <w:rFonts w:ascii="Times New Roman" w:hAnsi="Times New Roman"/>
        </w:rPr>
        <w:t> </w:t>
      </w:r>
      <w:r w:rsidRPr="00992F81">
        <w:rPr>
          <w:rFonts w:ascii="Times New Roman" w:hAnsi="Times New Roman"/>
        </w:rPr>
        <w:t>Commission failed to take into account two mandatory relevant considerations: first, cl 2.20(1)(c) of the Resources SEPP, which required it to consider, relevantly, whether to impose conditions on Scope 3 emissions; and second, the likely impacts of the development on the natural and built environment in the locality of the mine, as required by s 4.15(1)(b) of the EPA Act.</w:t>
      </w:r>
    </w:p>
    <w:p w14:paraId="0A5FD5CA" w14:textId="77777777" w:rsidR="004D2653" w:rsidRPr="00992F81" w:rsidRDefault="004D2653" w:rsidP="00992F81">
      <w:pPr>
        <w:pStyle w:val="FixListStyle"/>
        <w:spacing w:after="260" w:line="280" w:lineRule="exact"/>
        <w:ind w:right="0"/>
        <w:jc w:val="both"/>
        <w:rPr>
          <w:rFonts w:ascii="Times New Roman" w:hAnsi="Times New Roman"/>
        </w:rPr>
      </w:pPr>
      <w:r w:rsidRPr="00992F81">
        <w:rPr>
          <w:rFonts w:ascii="Times New Roman" w:hAnsi="Times New Roman"/>
        </w:rPr>
        <w:tab/>
        <w:t>The NSWCA rejected DAMSHEG's contention that there was a failure to comply with cl 2.20(1)(c) of the Resources SEPP. Ward P held that the</w:t>
      </w:r>
      <w:r>
        <w:rPr>
          <w:rFonts w:ascii="Times New Roman" w:hAnsi="Times New Roman"/>
        </w:rPr>
        <w:t> </w:t>
      </w:r>
      <w:r w:rsidRPr="00992F81">
        <w:rPr>
          <w:rFonts w:ascii="Times New Roman" w:hAnsi="Times New Roman"/>
        </w:rPr>
        <w:t>Commission had complied with cl 2.20(1)(c):</w:t>
      </w:r>
      <w:r w:rsidRPr="00992F81">
        <w:rPr>
          <w:rFonts w:ascii="Times New Roman" w:hAnsi="Times New Roman"/>
          <w:b/>
          <w:bCs/>
        </w:rPr>
        <w:t xml:space="preserve"> </w:t>
      </w:r>
    </w:p>
    <w:p w14:paraId="199953B8" w14:textId="77777777" w:rsidR="004D2653" w:rsidRDefault="004D2653" w:rsidP="00992F81">
      <w:pPr>
        <w:pStyle w:val="leftright"/>
        <w:spacing w:before="0" w:after="260" w:line="280" w:lineRule="exact"/>
        <w:ind w:right="0"/>
        <w:jc w:val="both"/>
        <w:rPr>
          <w:rFonts w:ascii="Times New Roman" w:eastAsia="Calibri" w:hAnsi="Times New Roman"/>
        </w:rPr>
      </w:pPr>
      <w:r w:rsidRPr="00992F81">
        <w:rPr>
          <w:rFonts w:ascii="Times New Roman" w:eastAsia="Calibri" w:hAnsi="Times New Roman"/>
        </w:rPr>
        <w:t>"The Commission was clearly cognisant of the distinction between the three categories of emissions. The fact that the Commission accepted that Scope</w:t>
      </w:r>
      <w:r>
        <w:rPr>
          <w:rFonts w:ascii="Times New Roman" w:eastAsia="Calibri" w:hAnsi="Times New Roman"/>
        </w:rPr>
        <w:t> </w:t>
      </w:r>
      <w:r w:rsidRPr="00992F81">
        <w:rPr>
          <w:rFonts w:ascii="Times New Roman" w:eastAsia="Calibri" w:hAnsi="Times New Roman"/>
        </w:rPr>
        <w:t>3 emissions were 'regulated' as well as accounted for elsewhere is a</w:t>
      </w:r>
      <w:r>
        <w:rPr>
          <w:rFonts w:ascii="Times New Roman" w:eastAsia="Calibri" w:hAnsi="Times New Roman"/>
        </w:rPr>
        <w:t> </w:t>
      </w:r>
      <w:r w:rsidRPr="00992F81">
        <w:rPr>
          <w:rFonts w:ascii="Times New Roman" w:eastAsia="Calibri" w:hAnsi="Times New Roman"/>
        </w:rPr>
        <w:t>sufficient indication that the Commission considered there to be no need for the imposition of minimisation conditions in relation to the Scope 3 emissions."</w:t>
      </w:r>
    </w:p>
    <w:p w14:paraId="2A2D6933" w14:textId="77777777" w:rsidR="004D2653" w:rsidRPr="00992F81" w:rsidRDefault="004D2653" w:rsidP="00992F81">
      <w:pPr>
        <w:pStyle w:val="FixListStyle"/>
        <w:spacing w:after="260" w:line="280" w:lineRule="exact"/>
        <w:ind w:right="0"/>
        <w:jc w:val="both"/>
        <w:rPr>
          <w:rFonts w:ascii="Times New Roman" w:hAnsi="Times New Roman"/>
        </w:rPr>
      </w:pPr>
      <w:r w:rsidRPr="00992F81">
        <w:rPr>
          <w:rFonts w:ascii="Times New Roman" w:hAnsi="Times New Roman"/>
        </w:rPr>
        <w:tab/>
        <w:t>Adamson JA similarly held that "it cannot be inferred that the Commission failed to consider whether conditions ought be imposed on Scope 3 emissions", stating that:</w:t>
      </w:r>
    </w:p>
    <w:p w14:paraId="2B299B93" w14:textId="77777777" w:rsidR="004D2653" w:rsidRDefault="004D2653" w:rsidP="00992F81">
      <w:pPr>
        <w:pStyle w:val="leftright"/>
        <w:spacing w:before="0" w:after="260" w:line="280" w:lineRule="exact"/>
        <w:ind w:right="0"/>
        <w:jc w:val="both"/>
        <w:rPr>
          <w:rFonts w:ascii="Times New Roman" w:hAnsi="Times New Roman"/>
        </w:rPr>
      </w:pPr>
      <w:r w:rsidRPr="00992F81">
        <w:rPr>
          <w:rFonts w:ascii="Times New Roman" w:eastAsia="Calibri" w:hAnsi="Times New Roman"/>
        </w:rPr>
        <w:t>"The Commission, in its reasons, expressly considered Scope 3 emissions. It made reference to international controls on Scope 3 emissions. It</w:t>
      </w:r>
      <w:r>
        <w:rPr>
          <w:rFonts w:ascii="Times New Roman" w:eastAsia="Calibri" w:hAnsi="Times New Roman"/>
        </w:rPr>
        <w:t> </w:t>
      </w:r>
      <w:r w:rsidRPr="00992F81">
        <w:rPr>
          <w:rFonts w:ascii="Times New Roman" w:eastAsia="Calibri" w:hAnsi="Times New Roman"/>
        </w:rPr>
        <w:t xml:space="preserve">acknowledged that about 98% of the emissions generated by the [P]roject would be Scope 3 emissions. While it did not expressly consider what </w:t>
      </w:r>
      <w:r w:rsidRPr="00992F81">
        <w:rPr>
          <w:rFonts w:ascii="Times New Roman" w:eastAsia="Calibri" w:hAnsi="Times New Roman"/>
          <w:i/>
          <w:iCs/>
        </w:rPr>
        <w:t xml:space="preserve">conditions </w:t>
      </w:r>
      <w:r w:rsidRPr="00992F81">
        <w:rPr>
          <w:rFonts w:ascii="Times New Roman" w:eastAsia="Calibri" w:hAnsi="Times New Roman"/>
        </w:rPr>
        <w:t xml:space="preserve">it could have imposed on Scope 3 emissions (and whether it was feasible to impose such conditions), it addressed the controls which applied to Scope 3 emissions, at least if the coal from the [P]roject were purchased and burned in nations which are parties to the Paris Agreement or entities which have otherwise committed themselves under international law to reducing greenhouse gas emissions (such as Taiwan). </w:t>
      </w:r>
      <w:r w:rsidRPr="00992F81">
        <w:rPr>
          <w:rFonts w:ascii="Times New Roman" w:eastAsia="Calibri" w:hAnsi="Times New Roman"/>
          <w:i/>
          <w:iCs/>
        </w:rPr>
        <w:t>I am persuaded that the effect of the Commission's consideration of how Scope 3 emissions would be controlled is that it cannot be inferred that the Commission failed to consider whether conditions ought be imposed on Scope 3 emissions.</w:t>
      </w:r>
      <w:r w:rsidRPr="00992F81">
        <w:rPr>
          <w:rFonts w:ascii="Times New Roman" w:eastAsia="Calibri" w:hAnsi="Times New Roman"/>
        </w:rPr>
        <w:t>" (second emphasis added)</w:t>
      </w:r>
    </w:p>
    <w:p w14:paraId="76422C44" w14:textId="77777777" w:rsidR="004D2653" w:rsidRPr="00992F81" w:rsidRDefault="004D2653" w:rsidP="00992F81">
      <w:pPr>
        <w:pStyle w:val="FixListStyle"/>
        <w:spacing w:after="260" w:line="280" w:lineRule="exact"/>
        <w:ind w:right="0"/>
        <w:jc w:val="both"/>
        <w:rPr>
          <w:rFonts w:ascii="Times New Roman" w:hAnsi="Times New Roman"/>
        </w:rPr>
      </w:pPr>
      <w:r w:rsidRPr="00992F81">
        <w:rPr>
          <w:rFonts w:ascii="Times New Roman" w:hAnsi="Times New Roman"/>
        </w:rPr>
        <w:tab/>
        <w:t>Ward P and Adamson JA both stated that DAMSHEG had made a</w:t>
      </w:r>
      <w:r>
        <w:rPr>
          <w:rFonts w:ascii="Times New Roman" w:hAnsi="Times New Roman"/>
        </w:rPr>
        <w:t> </w:t>
      </w:r>
      <w:r w:rsidRPr="00992F81">
        <w:rPr>
          <w:rFonts w:ascii="Times New Roman" w:hAnsi="Times New Roman"/>
        </w:rPr>
        <w:t>"forensic</w:t>
      </w:r>
      <w:r>
        <w:rPr>
          <w:rFonts w:ascii="Times New Roman" w:hAnsi="Times New Roman"/>
        </w:rPr>
        <w:t> </w:t>
      </w:r>
      <w:r w:rsidRPr="00992F81">
        <w:rPr>
          <w:rFonts w:ascii="Times New Roman" w:hAnsi="Times New Roman"/>
        </w:rPr>
        <w:t>choice" not to propose conditions to minimise the effect of Scope 3 emissions. While there was no evidentiary or legal obligation for it to have done so, Ward P then stated that this choice prevented DAMSHEG from now complaining that the Commission had failed to consider imposing such conditions.</w:t>
      </w:r>
    </w:p>
    <w:p w14:paraId="63A9330C" w14:textId="77777777" w:rsidR="004D2653" w:rsidRPr="00992F81" w:rsidRDefault="004D2653" w:rsidP="00992F81">
      <w:pPr>
        <w:pStyle w:val="FixListStyle"/>
        <w:spacing w:after="260" w:line="280" w:lineRule="exact"/>
        <w:ind w:right="0"/>
        <w:jc w:val="both"/>
        <w:rPr>
          <w:rFonts w:ascii="Times New Roman" w:hAnsi="Times New Roman"/>
        </w:rPr>
      </w:pPr>
      <w:r w:rsidRPr="00992F81">
        <w:rPr>
          <w:rFonts w:ascii="Times New Roman" w:hAnsi="Times New Roman"/>
        </w:rPr>
        <w:tab/>
        <w:t>The NSWCA held that the Commission had not complied with s 4.15(1)(b) of the EPA Act. Ward P held that there was nothing to indicate that the</w:t>
      </w:r>
      <w:r>
        <w:rPr>
          <w:rFonts w:ascii="Times New Roman" w:hAnsi="Times New Roman"/>
        </w:rPr>
        <w:t> </w:t>
      </w:r>
      <w:r w:rsidRPr="00992F81">
        <w:rPr>
          <w:rFonts w:ascii="Times New Roman" w:hAnsi="Times New Roman"/>
        </w:rPr>
        <w:t>Commission considered "the impact of climate change on the locality (which</w:t>
      </w:r>
      <w:r>
        <w:rPr>
          <w:rFonts w:ascii="Times New Roman" w:hAnsi="Times New Roman"/>
        </w:rPr>
        <w:t> </w:t>
      </w:r>
      <w:r w:rsidRPr="00992F81">
        <w:rPr>
          <w:rFonts w:ascii="Times New Roman" w:hAnsi="Times New Roman"/>
        </w:rPr>
        <w:t>was the required causal enquiry)". Ward P stated that:</w:t>
      </w:r>
    </w:p>
    <w:p w14:paraId="6D18476C" w14:textId="77777777" w:rsidR="004D2653" w:rsidRDefault="004D2653" w:rsidP="00992F81">
      <w:pPr>
        <w:pStyle w:val="leftright"/>
        <w:spacing w:before="0" w:after="260" w:line="280" w:lineRule="exact"/>
        <w:ind w:right="0"/>
        <w:jc w:val="both"/>
        <w:rPr>
          <w:rFonts w:ascii="Times New Roman" w:hAnsi="Times New Roman"/>
        </w:rPr>
      </w:pPr>
      <w:r w:rsidRPr="00992F81">
        <w:rPr>
          <w:rFonts w:ascii="Times New Roman" w:eastAsia="Calibri" w:hAnsi="Times New Roman"/>
        </w:rPr>
        <w:lastRenderedPageBreak/>
        <w:t xml:space="preserve">"The language of s 4.15(1)(b) requires the consideration of the causal relationship </w:t>
      </w:r>
      <w:r w:rsidRPr="00992F81">
        <w:rPr>
          <w:rFonts w:ascii="Times New Roman" w:eastAsia="Calibri" w:hAnsi="Times New Roman"/>
          <w:i/>
          <w:iCs/>
        </w:rPr>
        <w:t>between the Project and its effects on the locality</w:t>
      </w:r>
      <w:r w:rsidRPr="00992F81">
        <w:rPr>
          <w:rFonts w:ascii="Times New Roman" w:eastAsia="Calibri" w:hAnsi="Times New Roman"/>
        </w:rPr>
        <w:t>. By simply referring to the fact that the impacts of the Project on climate change would be felt globally, without reference to the specific impacts on the locality, I</w:t>
      </w:r>
      <w:r>
        <w:rPr>
          <w:rFonts w:ascii="Times New Roman" w:eastAsia="Calibri" w:hAnsi="Times New Roman"/>
        </w:rPr>
        <w:t> </w:t>
      </w:r>
      <w:r w:rsidRPr="00992F81">
        <w:rPr>
          <w:rFonts w:ascii="Times New Roman" w:eastAsia="Calibri" w:hAnsi="Times New Roman"/>
        </w:rPr>
        <w:t>have concluded that the Commission failed to engage with the essential matter with which s 4.15(1)(b) is centrally concerned – the impacts of the</w:t>
      </w:r>
      <w:r>
        <w:rPr>
          <w:rFonts w:ascii="Times New Roman" w:eastAsia="Calibri" w:hAnsi="Times New Roman"/>
        </w:rPr>
        <w:t> </w:t>
      </w:r>
      <w:r w:rsidRPr="00992F81">
        <w:rPr>
          <w:rFonts w:ascii="Times New Roman" w:eastAsia="Calibri" w:hAnsi="Times New Roman"/>
        </w:rPr>
        <w:t>proposed development on the locality of the development. A causal enquiry as to the impacts on the locality was required. The Commission in its reasons did not address this. Thus, I consider that it has been established that the Commission failed to consider a mandatory consideration in this regard." (emphasis added)</w:t>
      </w:r>
    </w:p>
    <w:p w14:paraId="5778E1EF" w14:textId="77777777" w:rsidR="004D2653" w:rsidRPr="00992F81" w:rsidRDefault="004D2653" w:rsidP="00992F81">
      <w:pPr>
        <w:pStyle w:val="FixListStyle"/>
        <w:spacing w:after="260" w:line="280" w:lineRule="exact"/>
        <w:ind w:right="0"/>
        <w:jc w:val="both"/>
        <w:rPr>
          <w:rFonts w:ascii="Times New Roman" w:hAnsi="Times New Roman"/>
        </w:rPr>
      </w:pPr>
      <w:r w:rsidRPr="00992F81">
        <w:rPr>
          <w:rFonts w:ascii="Times New Roman" w:hAnsi="Times New Roman"/>
        </w:rPr>
        <w:tab/>
      </w:r>
      <w:bookmarkStart w:id="4" w:name="_Ref236294131"/>
      <w:r w:rsidRPr="00992F81">
        <w:rPr>
          <w:rFonts w:ascii="Times New Roman" w:hAnsi="Times New Roman"/>
        </w:rPr>
        <w:t xml:space="preserve">The NSWCA unanimously allowed the appeal on DAMSHEG's second ground and remitted the matter to the Land and Environment Court of NSW for consideration under Div 3 of Pt 3 of the </w:t>
      </w:r>
      <w:bookmarkEnd w:id="4"/>
      <w:r w:rsidRPr="00992F81">
        <w:rPr>
          <w:rFonts w:ascii="Times New Roman" w:hAnsi="Times New Roman"/>
        </w:rPr>
        <w:t>LEC Act.</w:t>
      </w:r>
      <w:r w:rsidRPr="00992F81">
        <w:rPr>
          <w:rStyle w:val="FootnoteReference"/>
          <w:rFonts w:ascii="Times New Roman" w:hAnsi="Times New Roman"/>
          <w:sz w:val="24"/>
        </w:rPr>
        <w:footnoteReference w:id="81"/>
      </w:r>
    </w:p>
    <w:p w14:paraId="538076A6" w14:textId="77777777" w:rsidR="004D2653" w:rsidRPr="00992F81" w:rsidRDefault="004D2653" w:rsidP="00992F81">
      <w:pPr>
        <w:pStyle w:val="HeadingL1"/>
        <w:spacing w:after="260" w:line="280" w:lineRule="exact"/>
        <w:ind w:right="0"/>
        <w:jc w:val="both"/>
        <w:rPr>
          <w:rFonts w:ascii="Times New Roman" w:hAnsi="Times New Roman"/>
        </w:rPr>
      </w:pPr>
      <w:r w:rsidRPr="00992F81">
        <w:rPr>
          <w:rFonts w:ascii="Times New Roman" w:hAnsi="Times New Roman"/>
        </w:rPr>
        <w:t>Issues in this Court</w:t>
      </w:r>
    </w:p>
    <w:p w14:paraId="02549C92" w14:textId="77777777" w:rsidR="004D2653" w:rsidRPr="00992F81" w:rsidRDefault="004D2653" w:rsidP="00992F81">
      <w:pPr>
        <w:pStyle w:val="FixListStyle"/>
        <w:spacing w:after="260" w:line="280" w:lineRule="exact"/>
        <w:ind w:right="0"/>
        <w:jc w:val="both"/>
        <w:rPr>
          <w:rFonts w:ascii="Times New Roman" w:hAnsi="Times New Roman"/>
        </w:rPr>
      </w:pPr>
      <w:r w:rsidRPr="00992F81">
        <w:rPr>
          <w:rFonts w:ascii="Times New Roman" w:hAnsi="Times New Roman"/>
        </w:rPr>
        <w:tab/>
        <w:t>The appeal and the amended notice of contention in this Court concern different aspects of s 4.15(1).</w:t>
      </w:r>
      <w:r w:rsidRPr="00992F81">
        <w:rPr>
          <w:rStyle w:val="FootnoteReference"/>
          <w:rFonts w:ascii="Times New Roman" w:hAnsi="Times New Roman"/>
          <w:sz w:val="24"/>
        </w:rPr>
        <w:footnoteReference w:id="82"/>
      </w:r>
      <w:r w:rsidRPr="00992F81">
        <w:rPr>
          <w:rFonts w:ascii="Times New Roman" w:hAnsi="Times New Roman"/>
        </w:rPr>
        <w:t xml:space="preserve"> The first issue concerns the proper construction of s 4.15(1)(b). The second issue concerns the proper construction and application of s 4.15(1)(a). The third issue, which it is unnecessary to determine, concerns</w:t>
      </w:r>
      <w:r>
        <w:rPr>
          <w:rFonts w:ascii="Times New Roman" w:hAnsi="Times New Roman"/>
        </w:rPr>
        <w:t> </w:t>
      </w:r>
      <w:r w:rsidRPr="00992F81">
        <w:rPr>
          <w:rFonts w:ascii="Times New Roman" w:hAnsi="Times New Roman"/>
        </w:rPr>
        <w:t>a</w:t>
      </w:r>
      <w:r>
        <w:rPr>
          <w:rFonts w:ascii="Times New Roman" w:hAnsi="Times New Roman"/>
        </w:rPr>
        <w:t> </w:t>
      </w:r>
      <w:r w:rsidRPr="00992F81">
        <w:rPr>
          <w:rFonts w:ascii="Times New Roman" w:hAnsi="Times New Roman"/>
        </w:rPr>
        <w:t>finding by the NSWCA that climate change was an environmental impact of the</w:t>
      </w:r>
      <w:r>
        <w:rPr>
          <w:rFonts w:ascii="Times New Roman" w:hAnsi="Times New Roman"/>
        </w:rPr>
        <w:t> </w:t>
      </w:r>
      <w:r w:rsidRPr="00992F81">
        <w:rPr>
          <w:rFonts w:ascii="Times New Roman" w:hAnsi="Times New Roman"/>
        </w:rPr>
        <w:t>development in the locality. Each issue will be addressed in turn.</w:t>
      </w:r>
    </w:p>
    <w:p w14:paraId="03072D7D" w14:textId="77777777" w:rsidR="004D2653" w:rsidRPr="00992F81" w:rsidRDefault="004D2653" w:rsidP="00992F81">
      <w:pPr>
        <w:pStyle w:val="HeadingL1"/>
        <w:spacing w:after="260" w:line="280" w:lineRule="exact"/>
        <w:ind w:right="0"/>
        <w:jc w:val="both"/>
        <w:rPr>
          <w:rFonts w:ascii="Times New Roman" w:eastAsia="Calibri" w:hAnsi="Times New Roman"/>
        </w:rPr>
      </w:pPr>
      <w:r w:rsidRPr="00992F81">
        <w:rPr>
          <w:rFonts w:ascii="Times New Roman" w:hAnsi="Times New Roman"/>
        </w:rPr>
        <w:t>First issue – s 4.15(1)(b) of the EPA Act</w:t>
      </w:r>
      <w:bookmarkStart w:id="5" w:name="_Ref228439149"/>
    </w:p>
    <w:p w14:paraId="4568BA7A" w14:textId="77777777" w:rsidR="004D2653" w:rsidRPr="00992F81" w:rsidRDefault="004D2653" w:rsidP="00992F81">
      <w:pPr>
        <w:pStyle w:val="FixListStyle"/>
        <w:spacing w:after="260" w:line="280" w:lineRule="exact"/>
        <w:ind w:right="0"/>
        <w:jc w:val="both"/>
        <w:rPr>
          <w:rFonts w:ascii="Times New Roman" w:hAnsi="Times New Roman"/>
        </w:rPr>
      </w:pPr>
      <w:r w:rsidRPr="00992F81">
        <w:rPr>
          <w:rFonts w:ascii="Times New Roman" w:hAnsi="Times New Roman"/>
        </w:rPr>
        <w:tab/>
        <w:t>In this Court, MACH contends that the NSWCA erred in its construction of s 4.15(1)(b),</w:t>
      </w:r>
      <w:r w:rsidRPr="00992F81">
        <w:rPr>
          <w:rStyle w:val="FootnoteReference"/>
          <w:rFonts w:ascii="Times New Roman" w:hAnsi="Times New Roman"/>
          <w:sz w:val="24"/>
        </w:rPr>
        <w:footnoteReference w:id="83"/>
      </w:r>
      <w:r w:rsidRPr="00992F81">
        <w:rPr>
          <w:rFonts w:ascii="Times New Roman" w:hAnsi="Times New Roman"/>
        </w:rPr>
        <w:t xml:space="preserve"> by construing s 4.15(1)(b) as imposing a requirement to consider environmental impacts of a development on the natural and built environments "in</w:t>
      </w:r>
      <w:r>
        <w:rPr>
          <w:rFonts w:ascii="Times New Roman" w:hAnsi="Times New Roman"/>
        </w:rPr>
        <w:t> </w:t>
      </w:r>
      <w:r w:rsidRPr="00992F81">
        <w:rPr>
          <w:rFonts w:ascii="Times New Roman" w:hAnsi="Times New Roman"/>
        </w:rPr>
        <w:t>the locality". For the reasons that follow, that submission should be accepted. Close analysis of the NSWCA's reasons demonstrates that it incorrectly treated the</w:t>
      </w:r>
      <w:r>
        <w:rPr>
          <w:rFonts w:ascii="Times New Roman" w:hAnsi="Times New Roman"/>
        </w:rPr>
        <w:t> </w:t>
      </w:r>
      <w:r w:rsidRPr="00992F81">
        <w:rPr>
          <w:rFonts w:ascii="Times New Roman" w:hAnsi="Times New Roman"/>
        </w:rPr>
        <w:t>words "in the locality" that appear at the end of s 4.15(1)(b) as applying to the</w:t>
      </w:r>
      <w:r>
        <w:rPr>
          <w:rFonts w:ascii="Times New Roman" w:hAnsi="Times New Roman"/>
        </w:rPr>
        <w:t> </w:t>
      </w:r>
      <w:r w:rsidRPr="00992F81">
        <w:rPr>
          <w:rFonts w:ascii="Times New Roman" w:hAnsi="Times New Roman"/>
        </w:rPr>
        <w:t>whole paragraph, incorrectly characterising the mandatory requirement as an</w:t>
      </w:r>
      <w:r>
        <w:rPr>
          <w:rFonts w:ascii="Times New Roman" w:hAnsi="Times New Roman"/>
        </w:rPr>
        <w:t> </w:t>
      </w:r>
      <w:r w:rsidRPr="00992F81">
        <w:rPr>
          <w:rFonts w:ascii="Times New Roman" w:hAnsi="Times New Roman"/>
        </w:rPr>
        <w:t xml:space="preserve">obligation to take into consideration the likely impacts of that development </w:t>
      </w:r>
      <w:r w:rsidRPr="00992F81">
        <w:rPr>
          <w:rFonts w:ascii="Times New Roman" w:hAnsi="Times New Roman"/>
          <w:i/>
          <w:iCs/>
        </w:rPr>
        <w:t>in the locality</w:t>
      </w:r>
      <w:r w:rsidRPr="00992F81">
        <w:rPr>
          <w:rFonts w:ascii="Times New Roman" w:hAnsi="Times New Roman"/>
        </w:rPr>
        <w:t xml:space="preserve">. </w:t>
      </w:r>
    </w:p>
    <w:bookmarkEnd w:id="5"/>
    <w:p w14:paraId="5DC6AF48" w14:textId="77777777" w:rsidR="004D2653" w:rsidRPr="00992F81" w:rsidRDefault="004D2653" w:rsidP="00992F81">
      <w:pPr>
        <w:pStyle w:val="HeadingL2"/>
        <w:spacing w:after="260" w:line="280" w:lineRule="exact"/>
        <w:ind w:right="0"/>
        <w:jc w:val="both"/>
        <w:rPr>
          <w:rFonts w:ascii="Times New Roman" w:hAnsi="Times New Roman"/>
        </w:rPr>
      </w:pPr>
      <w:r w:rsidRPr="00992F81">
        <w:rPr>
          <w:rFonts w:ascii="Times New Roman" w:hAnsi="Times New Roman"/>
        </w:rPr>
        <w:lastRenderedPageBreak/>
        <w:t xml:space="preserve">Proper construction of s 4.15(1)(b) </w:t>
      </w:r>
    </w:p>
    <w:p w14:paraId="2A3F54F8" w14:textId="29E78EB9" w:rsidR="004D2653" w:rsidRPr="00992F81" w:rsidRDefault="004D2653" w:rsidP="00992F81">
      <w:pPr>
        <w:pStyle w:val="FixListStyle"/>
        <w:spacing w:after="260" w:line="280" w:lineRule="exact"/>
        <w:ind w:right="0"/>
        <w:jc w:val="both"/>
        <w:rPr>
          <w:rFonts w:ascii="Times New Roman" w:hAnsi="Times New Roman"/>
        </w:rPr>
      </w:pPr>
      <w:r w:rsidRPr="00992F81">
        <w:rPr>
          <w:rFonts w:ascii="Times New Roman" w:hAnsi="Times New Roman"/>
        </w:rPr>
        <w:tab/>
        <w:t>Section 4.15(1)(b) of the EPA Act requires a consent authority to take into consideration, where relevant, "the likely impacts of that development, including</w:t>
      </w:r>
      <w:r>
        <w:rPr>
          <w:rFonts w:ascii="Times New Roman" w:hAnsi="Times New Roman"/>
        </w:rPr>
        <w:t> </w:t>
      </w:r>
      <w:r w:rsidRPr="00992F81">
        <w:rPr>
          <w:rFonts w:ascii="Times New Roman" w:hAnsi="Times New Roman"/>
        </w:rPr>
        <w:t xml:space="preserve">environmental impacts on both the natural and </w:t>
      </w:r>
      <w:r w:rsidRPr="00B5669B">
        <w:rPr>
          <w:rFonts w:ascii="Times New Roman" w:hAnsi="Times New Roman"/>
          <w:spacing w:val="4"/>
        </w:rPr>
        <w:t>built environments, and</w:t>
      </w:r>
      <w:r>
        <w:rPr>
          <w:rFonts w:ascii="Times New Roman" w:hAnsi="Times New Roman"/>
          <w:spacing w:val="4"/>
        </w:rPr>
        <w:t> </w:t>
      </w:r>
      <w:r w:rsidRPr="00B5669B">
        <w:rPr>
          <w:rFonts w:ascii="Times New Roman" w:hAnsi="Times New Roman"/>
          <w:spacing w:val="4"/>
        </w:rPr>
        <w:t xml:space="preserve">social and economic impacts in the locality". The opening general clause </w:t>
      </w:r>
      <w:r>
        <w:rPr>
          <w:rFonts w:ascii="Times New Roman" w:hAnsi="Times New Roman"/>
          <w:spacing w:val="4"/>
        </w:rPr>
        <w:t>–</w:t>
      </w:r>
      <w:r w:rsidRPr="00B5669B">
        <w:rPr>
          <w:rFonts w:ascii="Times New Roman" w:hAnsi="Times New Roman"/>
          <w:spacing w:val="4"/>
        </w:rPr>
        <w:t xml:space="preserve"> "</w:t>
      </w:r>
      <w:r w:rsidRPr="00B5669B">
        <w:rPr>
          <w:rFonts w:ascii="Times New Roman" w:eastAsia="Calibri" w:hAnsi="Times New Roman"/>
          <w:spacing w:val="4"/>
        </w:rPr>
        <w:t xml:space="preserve">the likely impacts of that development" </w:t>
      </w:r>
      <w:r>
        <w:rPr>
          <w:rFonts w:ascii="Times New Roman" w:eastAsia="Calibri" w:hAnsi="Times New Roman"/>
          <w:spacing w:val="4"/>
        </w:rPr>
        <w:t xml:space="preserve">– </w:t>
      </w:r>
      <w:r w:rsidRPr="00B5669B">
        <w:rPr>
          <w:rFonts w:ascii="Times New Roman" w:hAnsi="Times New Roman"/>
          <w:spacing w:val="4"/>
        </w:rPr>
        <w:t>as amplified by the inclusive clause</w:t>
      </w:r>
      <w:r w:rsidR="00120DDF">
        <w:rPr>
          <w:rFonts w:ascii="Times New Roman" w:hAnsi="Times New Roman"/>
          <w:spacing w:val="4"/>
        </w:rPr>
        <w:t> </w:t>
      </w:r>
      <w:r>
        <w:rPr>
          <w:rFonts w:ascii="Times New Roman" w:hAnsi="Times New Roman"/>
          <w:spacing w:val="4"/>
        </w:rPr>
        <w:t>–</w:t>
      </w:r>
      <w:r w:rsidRPr="00B5669B">
        <w:rPr>
          <w:rFonts w:ascii="Times New Roman" w:hAnsi="Times New Roman"/>
          <w:spacing w:val="4"/>
        </w:rPr>
        <w:t xml:space="preserve"> "</w:t>
      </w:r>
      <w:r w:rsidRPr="00B5669B">
        <w:rPr>
          <w:rFonts w:ascii="Times New Roman" w:eastAsia="Calibri" w:hAnsi="Times New Roman"/>
          <w:spacing w:val="4"/>
        </w:rPr>
        <w:t>including environmental impacts on both the natural and built environments, and</w:t>
      </w:r>
      <w:r w:rsidRPr="00992F81">
        <w:rPr>
          <w:rFonts w:ascii="Times New Roman" w:eastAsia="Calibri" w:hAnsi="Times New Roman"/>
        </w:rPr>
        <w:t xml:space="preserve"> social and economic impacts in the locality"</w:t>
      </w:r>
      <w:r w:rsidRPr="00992F81">
        <w:rPr>
          <w:rFonts w:ascii="Times New Roman" w:hAnsi="Times New Roman"/>
        </w:rPr>
        <w:t xml:space="preserve"> </w:t>
      </w:r>
      <w:r>
        <w:rPr>
          <w:rFonts w:ascii="Times New Roman" w:hAnsi="Times New Roman"/>
        </w:rPr>
        <w:t>–</w:t>
      </w:r>
      <w:r w:rsidRPr="00992F81">
        <w:rPr>
          <w:rFonts w:ascii="Times New Roman" w:hAnsi="Times New Roman"/>
        </w:rPr>
        <w:t xml:space="preserve"> requires the Commission to take into consideration the likely impacts of the development, provided they are relevant to that development. </w:t>
      </w:r>
    </w:p>
    <w:p w14:paraId="5AAB7294" w14:textId="77777777" w:rsidR="004D2653" w:rsidRPr="00992F81" w:rsidRDefault="004D2653" w:rsidP="00992F81">
      <w:pPr>
        <w:pStyle w:val="FixListStyle"/>
        <w:spacing w:after="260" w:line="280" w:lineRule="exact"/>
        <w:ind w:right="0"/>
        <w:jc w:val="both"/>
        <w:rPr>
          <w:rFonts w:ascii="Times New Roman" w:hAnsi="Times New Roman"/>
          <w:bCs/>
        </w:rPr>
      </w:pPr>
      <w:r w:rsidRPr="00992F81">
        <w:rPr>
          <w:rFonts w:ascii="Times New Roman" w:hAnsi="Times New Roman"/>
        </w:rPr>
        <w:tab/>
        <w:t>This may be described as a two-stage analysis. First, the consent authority must identify what are the "likely impacts" of the development. In relation to that step, it is for the Commission to identify the "likely impacts" of the particular development,</w:t>
      </w:r>
      <w:r w:rsidRPr="00992F81">
        <w:rPr>
          <w:rStyle w:val="FootnoteReference"/>
          <w:rFonts w:ascii="Times New Roman" w:hAnsi="Times New Roman"/>
          <w:sz w:val="24"/>
        </w:rPr>
        <w:footnoteReference w:id="84"/>
      </w:r>
      <w:r w:rsidRPr="00992F81">
        <w:rPr>
          <w:rFonts w:ascii="Times New Roman" w:hAnsi="Times New Roman"/>
        </w:rPr>
        <w:t xml:space="preserve"> subject to an implied requirement of reasonableness.</w:t>
      </w:r>
      <w:r w:rsidRPr="00992F81">
        <w:rPr>
          <w:rStyle w:val="FootnoteReference"/>
          <w:rFonts w:ascii="Times New Roman" w:hAnsi="Times New Roman"/>
          <w:sz w:val="24"/>
        </w:rPr>
        <w:footnoteReference w:id="85"/>
      </w:r>
      <w:r w:rsidRPr="00992F81">
        <w:rPr>
          <w:rFonts w:ascii="Times New Roman" w:hAnsi="Times New Roman"/>
        </w:rPr>
        <w:t xml:space="preserve"> Second, the</w:t>
      </w:r>
      <w:r>
        <w:rPr>
          <w:rFonts w:ascii="Times New Roman" w:hAnsi="Times New Roman"/>
        </w:rPr>
        <w:t> </w:t>
      </w:r>
      <w:r w:rsidRPr="00992F81">
        <w:rPr>
          <w:rFonts w:ascii="Times New Roman" w:hAnsi="Times New Roman"/>
        </w:rPr>
        <w:t>consent authority must "take into consideration" those likely impacts of the</w:t>
      </w:r>
      <w:r>
        <w:rPr>
          <w:rFonts w:ascii="Times New Roman" w:hAnsi="Times New Roman"/>
        </w:rPr>
        <w:t> </w:t>
      </w:r>
      <w:r w:rsidRPr="00992F81">
        <w:rPr>
          <w:rFonts w:ascii="Times New Roman" w:hAnsi="Times New Roman"/>
        </w:rPr>
        <w:t>development. That obligation is properly construed as an obligation to take those matters "into account and to give weight to them as a fundamental element" in making the determination.</w:t>
      </w:r>
      <w:r w:rsidRPr="00992F81">
        <w:rPr>
          <w:rStyle w:val="FootnoteReference"/>
          <w:rFonts w:ascii="Times New Roman" w:hAnsi="Times New Roman"/>
          <w:sz w:val="24"/>
        </w:rPr>
        <w:footnoteReference w:id="86"/>
      </w:r>
      <w:r w:rsidRPr="00992F81">
        <w:rPr>
          <w:rFonts w:ascii="Times New Roman" w:hAnsi="Times New Roman"/>
        </w:rPr>
        <w:t xml:space="preserve"> </w:t>
      </w:r>
    </w:p>
    <w:p w14:paraId="7E57725A" w14:textId="77777777" w:rsidR="004D2653" w:rsidRPr="00992F81" w:rsidRDefault="004D2653" w:rsidP="00992F81">
      <w:pPr>
        <w:pStyle w:val="FixListStyle"/>
        <w:spacing w:after="260" w:line="280" w:lineRule="exact"/>
        <w:ind w:right="0"/>
        <w:jc w:val="both"/>
        <w:rPr>
          <w:rFonts w:ascii="Times New Roman" w:hAnsi="Times New Roman"/>
        </w:rPr>
      </w:pPr>
      <w:r w:rsidRPr="00992F81">
        <w:rPr>
          <w:rFonts w:ascii="Times New Roman" w:hAnsi="Times New Roman"/>
        </w:rPr>
        <w:tab/>
        <w:t>The phrase "likely impacts of [the] development" in s 4.15(1)(b) contains</w:t>
      </w:r>
      <w:r>
        <w:rPr>
          <w:rFonts w:ascii="Times New Roman" w:hAnsi="Times New Roman"/>
        </w:rPr>
        <w:t> </w:t>
      </w:r>
      <w:r w:rsidRPr="00992F81">
        <w:rPr>
          <w:rFonts w:ascii="Times New Roman" w:hAnsi="Times New Roman"/>
        </w:rPr>
        <w:t>no geographic limit. The examples that follow the first comma are non</w:t>
      </w:r>
      <w:r>
        <w:rPr>
          <w:rFonts w:ascii="Times New Roman" w:hAnsi="Times New Roman"/>
        </w:rPr>
        <w:noBreakHyphen/>
      </w:r>
      <w:r w:rsidRPr="00992F81">
        <w:rPr>
          <w:rFonts w:ascii="Times New Roman" w:hAnsi="Times New Roman"/>
        </w:rPr>
        <w:t>exhaustive (as is shown by the word "including"). The first example, the</w:t>
      </w:r>
      <w:r>
        <w:rPr>
          <w:rFonts w:ascii="Times New Roman" w:hAnsi="Times New Roman"/>
        </w:rPr>
        <w:t> </w:t>
      </w:r>
      <w:r w:rsidRPr="00992F81">
        <w:rPr>
          <w:rFonts w:ascii="Times New Roman" w:hAnsi="Times New Roman"/>
        </w:rPr>
        <w:t>"environmental</w:t>
      </w:r>
      <w:r>
        <w:rPr>
          <w:rFonts w:ascii="Times New Roman" w:hAnsi="Times New Roman"/>
        </w:rPr>
        <w:t> </w:t>
      </w:r>
      <w:r w:rsidRPr="00992F81">
        <w:rPr>
          <w:rFonts w:ascii="Times New Roman" w:hAnsi="Times New Roman"/>
        </w:rPr>
        <w:t>impacts on both the natural and built environments", contains</w:t>
      </w:r>
      <w:r>
        <w:rPr>
          <w:rFonts w:ascii="Times New Roman" w:hAnsi="Times New Roman"/>
        </w:rPr>
        <w:t> </w:t>
      </w:r>
      <w:r w:rsidRPr="00992F81">
        <w:rPr>
          <w:rFonts w:ascii="Times New Roman" w:hAnsi="Times New Roman"/>
        </w:rPr>
        <w:t>no geographic limit.</w:t>
      </w:r>
      <w:r w:rsidRPr="00992F81">
        <w:rPr>
          <w:rStyle w:val="FootnoteReference"/>
          <w:rFonts w:ascii="Times New Roman" w:hAnsi="Times New Roman"/>
          <w:sz w:val="24"/>
        </w:rPr>
        <w:footnoteReference w:id="87"/>
      </w:r>
      <w:r w:rsidRPr="00992F81">
        <w:rPr>
          <w:rFonts w:ascii="Times New Roman" w:hAnsi="Times New Roman"/>
        </w:rPr>
        <w:t xml:space="preserve"> The "environment" is defined broadly,</w:t>
      </w:r>
      <w:r w:rsidRPr="00992F81">
        <w:rPr>
          <w:rStyle w:val="FootnoteReference"/>
          <w:rFonts w:ascii="Times New Roman" w:hAnsi="Times New Roman"/>
          <w:bCs/>
          <w:sz w:val="24"/>
        </w:rPr>
        <w:footnoteReference w:id="88"/>
      </w:r>
      <w:r w:rsidRPr="00992F81">
        <w:rPr>
          <w:rFonts w:ascii="Times New Roman" w:hAnsi="Times New Roman"/>
        </w:rPr>
        <w:t xml:space="preserve"> and the</w:t>
      </w:r>
      <w:r>
        <w:rPr>
          <w:rFonts w:ascii="Times New Roman" w:hAnsi="Times New Roman"/>
        </w:rPr>
        <w:t> </w:t>
      </w:r>
      <w:r w:rsidRPr="00992F81">
        <w:rPr>
          <w:rFonts w:ascii="Times New Roman" w:hAnsi="Times New Roman"/>
        </w:rPr>
        <w:t xml:space="preserve">"impacts" referred to in s 4.15(1)(b) may be direct or indirect consequences of the proposed development. Those impacts may be local, national or global, depending on the nature of the development in question. But the Commission's </w:t>
      </w:r>
      <w:r w:rsidRPr="00992F81">
        <w:rPr>
          <w:rFonts w:ascii="Times New Roman" w:hAnsi="Times New Roman"/>
        </w:rPr>
        <w:lastRenderedPageBreak/>
        <w:t xml:space="preserve">obligation under s 4.15(1)(b) is to identify </w:t>
      </w:r>
      <w:r w:rsidRPr="00992F81">
        <w:rPr>
          <w:rFonts w:ascii="Times New Roman" w:hAnsi="Times New Roman"/>
          <w:i/>
        </w:rPr>
        <w:t>and</w:t>
      </w:r>
      <w:r w:rsidRPr="00992F81">
        <w:rPr>
          <w:rFonts w:ascii="Times New Roman" w:hAnsi="Times New Roman"/>
        </w:rPr>
        <w:t xml:space="preserve"> "take into consideration" all those impacts. </w:t>
      </w:r>
    </w:p>
    <w:p w14:paraId="7BCAD7AF" w14:textId="77777777" w:rsidR="004D2653" w:rsidRPr="00992F81" w:rsidRDefault="004D2653" w:rsidP="00992F81">
      <w:pPr>
        <w:pStyle w:val="HeadingL2"/>
        <w:spacing w:after="260" w:line="280" w:lineRule="exact"/>
        <w:ind w:right="0"/>
        <w:jc w:val="both"/>
        <w:rPr>
          <w:rFonts w:ascii="Times New Roman" w:hAnsi="Times New Roman"/>
        </w:rPr>
      </w:pPr>
      <w:r w:rsidRPr="00992F81">
        <w:rPr>
          <w:rFonts w:ascii="Times New Roman" w:hAnsi="Times New Roman"/>
        </w:rPr>
        <w:t xml:space="preserve">Commission did not err </w:t>
      </w:r>
    </w:p>
    <w:p w14:paraId="2FC1517B" w14:textId="77777777" w:rsidR="004D2653" w:rsidRPr="00992F81" w:rsidRDefault="004D2653" w:rsidP="00992F81">
      <w:pPr>
        <w:pStyle w:val="FixListStyle"/>
        <w:spacing w:after="260" w:line="280" w:lineRule="exact"/>
        <w:ind w:right="0"/>
        <w:jc w:val="both"/>
        <w:rPr>
          <w:rFonts w:ascii="Times New Roman" w:hAnsi="Times New Roman"/>
        </w:rPr>
      </w:pPr>
      <w:r w:rsidRPr="00992F81">
        <w:rPr>
          <w:rFonts w:ascii="Times New Roman" w:hAnsi="Times New Roman"/>
        </w:rPr>
        <w:tab/>
      </w:r>
      <w:bookmarkStart w:id="6" w:name="_Ref228439915"/>
      <w:r w:rsidRPr="00992F81">
        <w:rPr>
          <w:rFonts w:ascii="Times New Roman" w:hAnsi="Times New Roman"/>
        </w:rPr>
        <w:t>Having established that the NSWCA erred in its construction of s</w:t>
      </w:r>
      <w:r>
        <w:rPr>
          <w:rFonts w:ascii="Times New Roman" w:hAnsi="Times New Roman"/>
        </w:rPr>
        <w:t> </w:t>
      </w:r>
      <w:r w:rsidRPr="00992F81">
        <w:rPr>
          <w:rFonts w:ascii="Times New Roman" w:hAnsi="Times New Roman"/>
        </w:rPr>
        <w:t>4.15(1)(b),</w:t>
      </w:r>
      <w:r w:rsidRPr="00992F81">
        <w:rPr>
          <w:rStyle w:val="FootnoteReference"/>
          <w:rFonts w:ascii="Times New Roman" w:hAnsi="Times New Roman"/>
          <w:sz w:val="24"/>
        </w:rPr>
        <w:footnoteReference w:id="89"/>
      </w:r>
      <w:r w:rsidRPr="00992F81">
        <w:rPr>
          <w:rFonts w:ascii="Times New Roman" w:hAnsi="Times New Roman"/>
        </w:rPr>
        <w:t xml:space="preserve"> it then becomes necessary to consider Ground 2 of DAMSHEG's amended notice of contention that </w:t>
      </w:r>
      <w:r w:rsidRPr="00992F81">
        <w:rPr>
          <w:rFonts w:ascii="Times New Roman" w:eastAsia="Calibri" w:hAnsi="Times New Roman"/>
        </w:rPr>
        <w:t>the NSWCA should have found that the</w:t>
      </w:r>
      <w:r>
        <w:rPr>
          <w:rFonts w:ascii="Times New Roman" w:eastAsia="Calibri" w:hAnsi="Times New Roman"/>
        </w:rPr>
        <w:t> </w:t>
      </w:r>
      <w:r w:rsidRPr="00992F81">
        <w:rPr>
          <w:rFonts w:ascii="Times New Roman" w:eastAsia="Calibri" w:hAnsi="Times New Roman"/>
        </w:rPr>
        <w:t xml:space="preserve">Commission was required to consider the likely impacts of climate change in NSW and the Hunter Valley because of the evidence before the Commission, including the material in MACH's EIS. </w:t>
      </w:r>
      <w:r w:rsidRPr="00992F81">
        <w:rPr>
          <w:rFonts w:ascii="Times New Roman" w:hAnsi="Times New Roman"/>
        </w:rPr>
        <w:t>DAMSHEG required leave to amend its notice of contention to raise this ground. Leave should be granted but, for</w:t>
      </w:r>
      <w:r>
        <w:rPr>
          <w:rFonts w:ascii="Times New Roman" w:hAnsi="Times New Roman"/>
        </w:rPr>
        <w:t> </w:t>
      </w:r>
      <w:r w:rsidRPr="00992F81">
        <w:rPr>
          <w:rFonts w:ascii="Times New Roman" w:hAnsi="Times New Roman"/>
        </w:rPr>
        <w:t>the</w:t>
      </w:r>
      <w:r>
        <w:rPr>
          <w:rFonts w:ascii="Times New Roman" w:hAnsi="Times New Roman"/>
        </w:rPr>
        <w:t> </w:t>
      </w:r>
      <w:r w:rsidRPr="00992F81">
        <w:rPr>
          <w:rFonts w:ascii="Times New Roman" w:hAnsi="Times New Roman"/>
        </w:rPr>
        <w:t>reasons that follow, the ground should be dismissed.</w:t>
      </w:r>
      <w:r w:rsidRPr="00992F81">
        <w:rPr>
          <w:rFonts w:ascii="Times New Roman" w:hAnsi="Times New Roman"/>
          <w:b/>
          <w:bCs/>
        </w:rPr>
        <w:t xml:space="preserve"> </w:t>
      </w:r>
    </w:p>
    <w:bookmarkEnd w:id="6"/>
    <w:p w14:paraId="265FADBB" w14:textId="77777777" w:rsidR="004D2653" w:rsidRPr="00992F81" w:rsidRDefault="004D2653" w:rsidP="00992F81">
      <w:pPr>
        <w:pStyle w:val="FixListStyle"/>
        <w:spacing w:after="260" w:line="280" w:lineRule="exact"/>
        <w:ind w:right="0"/>
        <w:jc w:val="both"/>
        <w:rPr>
          <w:rFonts w:ascii="Times New Roman" w:hAnsi="Times New Roman"/>
        </w:rPr>
      </w:pPr>
      <w:r w:rsidRPr="00992F81">
        <w:rPr>
          <w:rFonts w:ascii="Times New Roman" w:hAnsi="Times New Roman"/>
        </w:rPr>
        <w:tab/>
        <w:t>DAMSHEG submitted that the "relevant likely environmental impacts of the Project, for the purpose of s 4.15(1)(b), as revealed by [MACH's] EIS and the</w:t>
      </w:r>
      <w:r>
        <w:rPr>
          <w:rFonts w:ascii="Times New Roman" w:hAnsi="Times New Roman"/>
        </w:rPr>
        <w:t> </w:t>
      </w:r>
      <w:r w:rsidRPr="00992F81">
        <w:rPr>
          <w:rFonts w:ascii="Times New Roman" w:hAnsi="Times New Roman"/>
        </w:rPr>
        <w:t>evidence before the [Commission], included the specific and disproportionate impacts climate change would have in the Hunter Valley region, and in NSW" and</w:t>
      </w:r>
      <w:r>
        <w:rPr>
          <w:rFonts w:ascii="Times New Roman" w:hAnsi="Times New Roman"/>
        </w:rPr>
        <w:t> </w:t>
      </w:r>
      <w:r w:rsidRPr="00992F81">
        <w:rPr>
          <w:rFonts w:ascii="Times New Roman" w:hAnsi="Times New Roman"/>
        </w:rPr>
        <w:t>the Commission was "thus required to consider those impacts". DAMSHEG's</w:t>
      </w:r>
      <w:r>
        <w:rPr>
          <w:rFonts w:ascii="Times New Roman" w:hAnsi="Times New Roman"/>
        </w:rPr>
        <w:t> </w:t>
      </w:r>
      <w:r w:rsidRPr="00992F81">
        <w:rPr>
          <w:rFonts w:ascii="Times New Roman" w:hAnsi="Times New Roman"/>
        </w:rPr>
        <w:t>contention was that the Commission "failed to address at all the</w:t>
      </w:r>
      <w:r>
        <w:rPr>
          <w:rFonts w:ascii="Times New Roman" w:hAnsi="Times New Roman"/>
        </w:rPr>
        <w:t> </w:t>
      </w:r>
      <w:r w:rsidRPr="00992F81">
        <w:rPr>
          <w:rFonts w:ascii="Times New Roman" w:hAnsi="Times New Roman"/>
        </w:rPr>
        <w:t xml:space="preserve">climate change impacts of [MACH's] Project's </w:t>
      </w:r>
      <w:r w:rsidRPr="00992F81">
        <w:rPr>
          <w:rFonts w:ascii="Times New Roman" w:eastAsia="Calibri" w:hAnsi="Times New Roman"/>
        </w:rPr>
        <w:t>[greenhouse gas]</w:t>
      </w:r>
      <w:r w:rsidRPr="00992F81" w:rsidDel="00A75A32">
        <w:rPr>
          <w:rFonts w:ascii="Times New Roman" w:eastAsia="Calibri" w:hAnsi="Times New Roman"/>
        </w:rPr>
        <w:t xml:space="preserve"> </w:t>
      </w:r>
      <w:r w:rsidRPr="00992F81">
        <w:rPr>
          <w:rFonts w:ascii="Times New Roman" w:hAnsi="Times New Roman"/>
        </w:rPr>
        <w:t>emissions, in</w:t>
      </w:r>
      <w:r>
        <w:rPr>
          <w:rFonts w:ascii="Times New Roman" w:hAnsi="Times New Roman"/>
        </w:rPr>
        <w:t> </w:t>
      </w:r>
      <w:r w:rsidRPr="00992F81">
        <w:rPr>
          <w:rFonts w:ascii="Times New Roman" w:hAnsi="Times New Roman"/>
        </w:rPr>
        <w:t>the form of temperature rises, and increases in extreme weather events, bushfires</w:t>
      </w:r>
      <w:r>
        <w:rPr>
          <w:rFonts w:ascii="Times New Roman" w:hAnsi="Times New Roman"/>
        </w:rPr>
        <w:t> </w:t>
      </w:r>
      <w:r w:rsidRPr="00992F81">
        <w:rPr>
          <w:rFonts w:ascii="Times New Roman" w:hAnsi="Times New Roman"/>
        </w:rPr>
        <w:t>and heavy rainfall events in NSW and the Hunter Valley, which</w:t>
      </w:r>
      <w:r>
        <w:rPr>
          <w:rFonts w:ascii="Times New Roman" w:hAnsi="Times New Roman"/>
        </w:rPr>
        <w:t> </w:t>
      </w:r>
      <w:r w:rsidRPr="00992F81">
        <w:rPr>
          <w:rFonts w:ascii="Times New Roman" w:hAnsi="Times New Roman"/>
        </w:rPr>
        <w:t>[MACH] itself had specifically identified in its own EIS".</w:t>
      </w:r>
      <w:r w:rsidRPr="00992F81">
        <w:rPr>
          <w:rStyle w:val="FootnoteReference"/>
          <w:rFonts w:ascii="Times New Roman" w:hAnsi="Times New Roman"/>
          <w:sz w:val="24"/>
        </w:rPr>
        <w:footnoteReference w:id="90"/>
      </w:r>
      <w:r w:rsidRPr="00992F81">
        <w:rPr>
          <w:rFonts w:ascii="Times New Roman" w:hAnsi="Times New Roman"/>
          <w:b/>
          <w:bCs/>
        </w:rPr>
        <w:t xml:space="preserve"> </w:t>
      </w:r>
    </w:p>
    <w:p w14:paraId="3F98B4CD" w14:textId="77777777" w:rsidR="004D2653" w:rsidRPr="00992F81" w:rsidRDefault="004D2653" w:rsidP="00992F81">
      <w:pPr>
        <w:pStyle w:val="FixListStyle"/>
        <w:spacing w:after="260" w:line="280" w:lineRule="exact"/>
        <w:ind w:right="0"/>
        <w:jc w:val="both"/>
        <w:rPr>
          <w:rFonts w:ascii="Times New Roman" w:hAnsi="Times New Roman"/>
        </w:rPr>
      </w:pPr>
      <w:r w:rsidRPr="00992F81">
        <w:rPr>
          <w:rFonts w:ascii="Times New Roman" w:hAnsi="Times New Roman"/>
          <w:b/>
          <w:bCs/>
        </w:rPr>
        <w:tab/>
      </w:r>
      <w:r w:rsidRPr="00992F81">
        <w:rPr>
          <w:rFonts w:ascii="Times New Roman" w:hAnsi="Times New Roman"/>
        </w:rPr>
        <w:t>The relevant section of the EIS is Section 7.21.5, headed "</w:t>
      </w:r>
      <w:r w:rsidRPr="00992F81">
        <w:rPr>
          <w:rFonts w:ascii="Times New Roman" w:hAnsi="Times New Roman"/>
          <w:bCs/>
        </w:rPr>
        <w:t>Potential Impacts of Climate Change on the Project". As outlined above, this section addresses the</w:t>
      </w:r>
      <w:r>
        <w:rPr>
          <w:rFonts w:ascii="Times New Roman" w:hAnsi="Times New Roman"/>
          <w:bCs/>
        </w:rPr>
        <w:t> </w:t>
      </w:r>
      <w:r w:rsidRPr="00992F81">
        <w:rPr>
          <w:rFonts w:ascii="Times New Roman" w:hAnsi="Times New Roman"/>
          <w:bCs/>
        </w:rPr>
        <w:t xml:space="preserve">impacts </w:t>
      </w:r>
      <w:r w:rsidRPr="00992F81">
        <w:rPr>
          <w:rFonts w:ascii="Times New Roman" w:hAnsi="Times New Roman"/>
          <w:bCs/>
          <w:i/>
          <w:iCs/>
        </w:rPr>
        <w:t xml:space="preserve">of </w:t>
      </w:r>
      <w:r w:rsidRPr="00992F81">
        <w:rPr>
          <w:rFonts w:ascii="Times New Roman" w:hAnsi="Times New Roman"/>
          <w:bCs/>
        </w:rPr>
        <w:t xml:space="preserve">climate </w:t>
      </w:r>
      <w:r w:rsidRPr="00992F81">
        <w:rPr>
          <w:rFonts w:ascii="Times New Roman" w:hAnsi="Times New Roman"/>
        </w:rPr>
        <w:t>change</w:t>
      </w:r>
      <w:r w:rsidRPr="00992F81">
        <w:rPr>
          <w:rFonts w:ascii="Times New Roman" w:hAnsi="Times New Roman"/>
          <w:bCs/>
        </w:rPr>
        <w:t xml:space="preserve"> </w:t>
      </w:r>
      <w:r w:rsidRPr="00992F81">
        <w:rPr>
          <w:rFonts w:ascii="Times New Roman" w:hAnsi="Times New Roman"/>
          <w:bCs/>
          <w:i/>
          <w:iCs/>
        </w:rPr>
        <w:t xml:space="preserve">on </w:t>
      </w:r>
      <w:r w:rsidRPr="00992F81">
        <w:rPr>
          <w:rFonts w:ascii="Times New Roman" w:hAnsi="Times New Roman"/>
          <w:bCs/>
        </w:rPr>
        <w:t>the Project.</w:t>
      </w:r>
      <w:r w:rsidRPr="00992F81">
        <w:rPr>
          <w:rStyle w:val="FootnoteReference"/>
          <w:rFonts w:ascii="Times New Roman" w:hAnsi="Times New Roman"/>
          <w:bCs/>
          <w:sz w:val="24"/>
        </w:rPr>
        <w:footnoteReference w:id="91"/>
      </w:r>
      <w:r w:rsidRPr="00992F81">
        <w:rPr>
          <w:rFonts w:ascii="Times New Roman" w:hAnsi="Times New Roman"/>
          <w:bCs/>
        </w:rPr>
        <w:t xml:space="preserve"> </w:t>
      </w:r>
      <w:r w:rsidRPr="00992F81">
        <w:rPr>
          <w:rFonts w:ascii="Times New Roman" w:hAnsi="Times New Roman"/>
        </w:rPr>
        <w:t>This analysis draws upon the</w:t>
      </w:r>
      <w:r>
        <w:rPr>
          <w:rFonts w:ascii="Times New Roman" w:hAnsi="Times New Roman"/>
        </w:rPr>
        <w:t> </w:t>
      </w:r>
      <w:r w:rsidRPr="00992F81">
        <w:rPr>
          <w:rFonts w:ascii="Times New Roman" w:hAnsi="Times New Roman"/>
        </w:rPr>
        <w:t>GHG</w:t>
      </w:r>
      <w:r>
        <w:rPr>
          <w:rFonts w:ascii="Times New Roman" w:hAnsi="Times New Roman"/>
        </w:rPr>
        <w:t> </w:t>
      </w:r>
      <w:r w:rsidRPr="00992F81">
        <w:rPr>
          <w:rFonts w:ascii="Times New Roman" w:hAnsi="Times New Roman"/>
        </w:rPr>
        <w:t>Assessment, which the EIS describes as providing an "assessment of the</w:t>
      </w:r>
      <w:r>
        <w:rPr>
          <w:rFonts w:ascii="Times New Roman" w:hAnsi="Times New Roman"/>
        </w:rPr>
        <w:t> </w:t>
      </w:r>
      <w:r w:rsidRPr="00992F81">
        <w:rPr>
          <w:rFonts w:ascii="Times New Roman" w:hAnsi="Times New Roman"/>
        </w:rPr>
        <w:t xml:space="preserve">potential greenhouse gas emissions and climate change impacts of the Project, and potential impacts of climate change </w:t>
      </w:r>
      <w:r w:rsidRPr="00992F81">
        <w:rPr>
          <w:rFonts w:ascii="Times New Roman" w:hAnsi="Times New Roman"/>
          <w:i/>
        </w:rPr>
        <w:t>on</w:t>
      </w:r>
      <w:r w:rsidRPr="00992F81">
        <w:rPr>
          <w:rFonts w:ascii="Times New Roman" w:hAnsi="Times New Roman"/>
        </w:rPr>
        <w:t xml:space="preserve"> the Project". Section 5.4 of the</w:t>
      </w:r>
      <w:r>
        <w:rPr>
          <w:rFonts w:ascii="Times New Roman" w:hAnsi="Times New Roman"/>
        </w:rPr>
        <w:t> </w:t>
      </w:r>
      <w:r w:rsidRPr="00992F81">
        <w:rPr>
          <w:rFonts w:ascii="Times New Roman" w:hAnsi="Times New Roman"/>
        </w:rPr>
        <w:t>GHG</w:t>
      </w:r>
      <w:r>
        <w:rPr>
          <w:rFonts w:ascii="Times New Roman" w:hAnsi="Times New Roman"/>
        </w:rPr>
        <w:t> </w:t>
      </w:r>
      <w:r w:rsidRPr="00992F81">
        <w:rPr>
          <w:rFonts w:ascii="Times New Roman" w:hAnsi="Times New Roman"/>
        </w:rPr>
        <w:t xml:space="preserve">Assessment addresses the "Potential Impacts </w:t>
      </w:r>
      <w:r w:rsidRPr="00992F81">
        <w:rPr>
          <w:rFonts w:ascii="Times New Roman" w:hAnsi="Times New Roman"/>
          <w:i/>
          <w:iCs/>
        </w:rPr>
        <w:t xml:space="preserve">of </w:t>
      </w:r>
      <w:r w:rsidRPr="00992F81">
        <w:rPr>
          <w:rFonts w:ascii="Times New Roman" w:hAnsi="Times New Roman"/>
        </w:rPr>
        <w:t>the Project", whereas</w:t>
      </w:r>
      <w:r>
        <w:rPr>
          <w:rFonts w:ascii="Times New Roman" w:hAnsi="Times New Roman"/>
        </w:rPr>
        <w:t> </w:t>
      </w:r>
      <w:r w:rsidRPr="00992F81">
        <w:rPr>
          <w:rFonts w:ascii="Times New Roman" w:hAnsi="Times New Roman"/>
        </w:rPr>
        <w:t xml:space="preserve">Section 5.5 of the GHG Assessment addresses the "Potential Impacts </w:t>
      </w:r>
      <w:r w:rsidRPr="00992F81">
        <w:rPr>
          <w:rFonts w:ascii="Times New Roman" w:hAnsi="Times New Roman"/>
          <w:i/>
          <w:iCs/>
        </w:rPr>
        <w:t xml:space="preserve">on </w:t>
      </w:r>
      <w:r w:rsidRPr="00992F81">
        <w:rPr>
          <w:rFonts w:ascii="Times New Roman" w:hAnsi="Times New Roman"/>
        </w:rPr>
        <w:t>the Project".</w:t>
      </w:r>
      <w:r w:rsidRPr="00992F81">
        <w:rPr>
          <w:rStyle w:val="FootnoteReference"/>
          <w:rFonts w:ascii="Times New Roman" w:hAnsi="Times New Roman"/>
          <w:sz w:val="24"/>
        </w:rPr>
        <w:footnoteReference w:id="92"/>
      </w:r>
    </w:p>
    <w:p w14:paraId="605CFC74" w14:textId="77777777" w:rsidR="004D2653" w:rsidRPr="00992F81" w:rsidRDefault="004D2653" w:rsidP="00992F81">
      <w:pPr>
        <w:pStyle w:val="FixListStyle"/>
        <w:spacing w:after="260" w:line="280" w:lineRule="exact"/>
        <w:ind w:right="0"/>
        <w:jc w:val="both"/>
        <w:rPr>
          <w:rFonts w:ascii="Times New Roman" w:hAnsi="Times New Roman"/>
        </w:rPr>
      </w:pPr>
      <w:r w:rsidRPr="00992F81">
        <w:rPr>
          <w:rFonts w:ascii="Times New Roman" w:hAnsi="Times New Roman"/>
        </w:rPr>
        <w:tab/>
        <w:t xml:space="preserve">Section 7.21.6, headed "Adaptive Management", is also of relevance. Section 7.21.6 records that "MACH has considered the key potential climate </w:t>
      </w:r>
      <w:r w:rsidRPr="00992F81">
        <w:rPr>
          <w:rFonts w:ascii="Times New Roman" w:hAnsi="Times New Roman"/>
        </w:rPr>
        <w:lastRenderedPageBreak/>
        <w:t>change risks</w:t>
      </w:r>
      <w:r w:rsidRPr="00992F81">
        <w:rPr>
          <w:rFonts w:ascii="Times New Roman" w:hAnsi="Times New Roman"/>
          <w:i/>
          <w:iCs/>
        </w:rPr>
        <w:t xml:space="preserve"> to</w:t>
      </w:r>
      <w:r w:rsidRPr="00992F81">
        <w:rPr>
          <w:rFonts w:ascii="Times New Roman" w:hAnsi="Times New Roman"/>
        </w:rPr>
        <w:t xml:space="preserve"> the Project" and that MACH would continue to assess climate change risks on an ongoing basis.</w:t>
      </w:r>
      <w:r w:rsidRPr="00992F81">
        <w:rPr>
          <w:rStyle w:val="FootnoteReference"/>
          <w:rFonts w:ascii="Times New Roman" w:hAnsi="Times New Roman"/>
          <w:sz w:val="24"/>
        </w:rPr>
        <w:footnoteReference w:id="93"/>
      </w:r>
    </w:p>
    <w:p w14:paraId="6A4DE221" w14:textId="77777777" w:rsidR="004D2653" w:rsidRPr="00992F81" w:rsidRDefault="004D2653" w:rsidP="00992F81">
      <w:pPr>
        <w:pStyle w:val="FixListStyle"/>
        <w:spacing w:after="260" w:line="280" w:lineRule="exact"/>
        <w:ind w:right="0"/>
        <w:jc w:val="both"/>
        <w:rPr>
          <w:rFonts w:ascii="Times New Roman" w:hAnsi="Times New Roman"/>
        </w:rPr>
      </w:pPr>
      <w:r w:rsidRPr="00992F81">
        <w:rPr>
          <w:rFonts w:ascii="Times New Roman" w:hAnsi="Times New Roman"/>
          <w:b/>
          <w:bCs/>
        </w:rPr>
        <w:tab/>
      </w:r>
      <w:r w:rsidRPr="00992F81">
        <w:rPr>
          <w:rFonts w:ascii="Times New Roman" w:hAnsi="Times New Roman"/>
        </w:rPr>
        <w:t xml:space="preserve">DAMSHEG's submission should be rejected. </w:t>
      </w:r>
    </w:p>
    <w:p w14:paraId="48E8ECB8" w14:textId="77777777" w:rsidR="004D2653" w:rsidRPr="00992F81" w:rsidRDefault="004D2653" w:rsidP="00992F81">
      <w:pPr>
        <w:pStyle w:val="FixListStyle"/>
        <w:spacing w:after="260" w:line="280" w:lineRule="exact"/>
        <w:ind w:right="0"/>
        <w:jc w:val="both"/>
        <w:rPr>
          <w:rFonts w:ascii="Times New Roman" w:hAnsi="Times New Roman"/>
        </w:rPr>
      </w:pPr>
      <w:r w:rsidRPr="00992F81">
        <w:rPr>
          <w:rFonts w:ascii="Times New Roman" w:hAnsi="Times New Roman"/>
        </w:rPr>
        <w:tab/>
        <w:t>First, the obligation imposed by s 4.15(1)(b) is to take into consideration "the likely impacts of [the] development", which include environmental impacts. Properly construed, s 4.15(1)(b) does not impose any obligation to consider particular sub-issues which might be said to be likely environmental impacts of the</w:t>
      </w:r>
      <w:r>
        <w:rPr>
          <w:rFonts w:ascii="Times New Roman" w:hAnsi="Times New Roman"/>
        </w:rPr>
        <w:t> </w:t>
      </w:r>
      <w:r w:rsidRPr="00992F81">
        <w:rPr>
          <w:rFonts w:ascii="Times New Roman" w:hAnsi="Times New Roman"/>
        </w:rPr>
        <w:t>Project. Such a construction is not supported by the broad language of s 4.15(1)(b), which suggests an intention to confer a broad discretion on the</w:t>
      </w:r>
      <w:r>
        <w:rPr>
          <w:rFonts w:ascii="Times New Roman" w:hAnsi="Times New Roman"/>
        </w:rPr>
        <w:t> </w:t>
      </w:r>
      <w:r w:rsidRPr="00992F81">
        <w:rPr>
          <w:rFonts w:ascii="Times New Roman" w:hAnsi="Times New Roman"/>
        </w:rPr>
        <w:t>consent authority (in this case, the Commission) to determine the likely impacts of a development. A construction of s 4.15(1)(b) that requires the consent authority to identify and expressly consider every possible impact of a</w:t>
      </w:r>
      <w:r>
        <w:rPr>
          <w:rFonts w:ascii="Times New Roman" w:hAnsi="Times New Roman"/>
        </w:rPr>
        <w:t> </w:t>
      </w:r>
      <w:r w:rsidRPr="00992F81">
        <w:rPr>
          <w:rFonts w:ascii="Times New Roman" w:hAnsi="Times New Roman"/>
        </w:rPr>
        <w:t>development at the level of specificity advocated for by DAMSHEG risks rendering the scheme administratively unworkable. It also risks courts engaging in de facto merits review, by analysing the evidence presented to the consent authority to identify all of the "likely impacts" conceivably raised, before</w:t>
      </w:r>
      <w:r>
        <w:rPr>
          <w:rFonts w:ascii="Times New Roman" w:hAnsi="Times New Roman"/>
        </w:rPr>
        <w:t> </w:t>
      </w:r>
      <w:r w:rsidRPr="00992F81">
        <w:rPr>
          <w:rFonts w:ascii="Times New Roman" w:hAnsi="Times New Roman"/>
        </w:rPr>
        <w:t xml:space="preserve">determining whether each has been considered by the consent authority. </w:t>
      </w:r>
    </w:p>
    <w:p w14:paraId="2ACE3BCB" w14:textId="77777777" w:rsidR="004D2653" w:rsidRPr="00992F81" w:rsidRDefault="004D2653" w:rsidP="00992F81">
      <w:pPr>
        <w:pStyle w:val="FixListStyle"/>
        <w:spacing w:after="260" w:line="280" w:lineRule="exact"/>
        <w:ind w:right="0"/>
        <w:jc w:val="both"/>
        <w:rPr>
          <w:rFonts w:ascii="Times New Roman" w:hAnsi="Times New Roman"/>
        </w:rPr>
      </w:pPr>
      <w:r w:rsidRPr="00992F81">
        <w:rPr>
          <w:rFonts w:ascii="Times New Roman" w:hAnsi="Times New Roman"/>
        </w:rPr>
        <w:tab/>
        <w:t xml:space="preserve">In the present case, in Section 5 of the statement of reasons, the Commission identified that </w:t>
      </w:r>
      <w:r w:rsidRPr="00992F81" w:rsidDel="003D40F0">
        <w:rPr>
          <w:rFonts w:ascii="Times New Roman" w:hAnsi="Times New Roman"/>
        </w:rPr>
        <w:t>it was</w:t>
      </w:r>
      <w:r w:rsidRPr="00992F81">
        <w:rPr>
          <w:rFonts w:ascii="Times New Roman" w:hAnsi="Times New Roman"/>
        </w:rPr>
        <w:t xml:space="preserve"> required by s</w:t>
      </w:r>
      <w:r w:rsidRPr="00992F81" w:rsidDel="00600045">
        <w:rPr>
          <w:rFonts w:ascii="Times New Roman" w:hAnsi="Times New Roman"/>
        </w:rPr>
        <w:t> </w:t>
      </w:r>
      <w:r w:rsidRPr="00992F81">
        <w:rPr>
          <w:rFonts w:ascii="Times New Roman" w:hAnsi="Times New Roman"/>
        </w:rPr>
        <w:t>4.15(1)(b)</w:t>
      </w:r>
      <w:r w:rsidRPr="00992F81" w:rsidDel="003D40F0">
        <w:rPr>
          <w:rFonts w:ascii="Times New Roman" w:hAnsi="Times New Roman"/>
        </w:rPr>
        <w:t xml:space="preserve"> to take into consideration</w:t>
      </w:r>
      <w:r w:rsidRPr="00992F81">
        <w:rPr>
          <w:rFonts w:ascii="Times New Roman" w:hAnsi="Times New Roman"/>
        </w:rPr>
        <w:t xml:space="preserve"> the likely impacts of the development.</w:t>
      </w:r>
      <w:r w:rsidRPr="00992F81">
        <w:rPr>
          <w:rStyle w:val="FootnoteReference"/>
          <w:rFonts w:ascii="Times New Roman" w:hAnsi="Times New Roman"/>
          <w:sz w:val="24"/>
        </w:rPr>
        <w:footnoteReference w:id="94"/>
      </w:r>
      <w:r w:rsidRPr="00992F81">
        <w:rPr>
          <w:rFonts w:ascii="Times New Roman" w:hAnsi="Times New Roman"/>
        </w:rPr>
        <w:t xml:space="preserve"> Section 5 was divided into separate sub-sections addressing each of the "likely impacts" the Commission identified,</w:t>
      </w:r>
      <w:r w:rsidRPr="00992F81" w:rsidDel="00286D30">
        <w:rPr>
          <w:rFonts w:ascii="Times New Roman" w:hAnsi="Times New Roman"/>
        </w:rPr>
        <w:t xml:space="preserve"> </w:t>
      </w:r>
      <w:r w:rsidRPr="00992F81">
        <w:rPr>
          <w:rFonts w:ascii="Times New Roman" w:hAnsi="Times New Roman"/>
        </w:rPr>
        <w:t>with</w:t>
      </w:r>
      <w:r>
        <w:rPr>
          <w:rFonts w:ascii="Times New Roman" w:hAnsi="Times New Roman"/>
        </w:rPr>
        <w:t> </w:t>
      </w:r>
      <w:r w:rsidRPr="00992F81">
        <w:rPr>
          <w:rFonts w:ascii="Times New Roman" w:hAnsi="Times New Roman"/>
        </w:rPr>
        <w:t>Section</w:t>
      </w:r>
      <w:r>
        <w:rPr>
          <w:rFonts w:ascii="Times New Roman" w:hAnsi="Times New Roman"/>
        </w:rPr>
        <w:t> </w:t>
      </w:r>
      <w:r w:rsidRPr="00992F81">
        <w:rPr>
          <w:rFonts w:ascii="Times New Roman" w:hAnsi="Times New Roman"/>
        </w:rPr>
        <w:t>5.3 addressing greenhouse gas emissions.</w:t>
      </w:r>
      <w:r w:rsidRPr="00992F81">
        <w:rPr>
          <w:rStyle w:val="FootnoteReference"/>
          <w:rFonts w:ascii="Times New Roman" w:hAnsi="Times New Roman"/>
          <w:sz w:val="24"/>
        </w:rPr>
        <w:footnoteReference w:id="95"/>
      </w:r>
      <w:bookmarkStart w:id="7" w:name="_Ref229551500"/>
      <w:r w:rsidRPr="00992F81">
        <w:rPr>
          <w:rFonts w:ascii="Times New Roman" w:hAnsi="Times New Roman"/>
        </w:rPr>
        <w:t xml:space="preserve"> </w:t>
      </w:r>
      <w:r w:rsidRPr="00992F81">
        <w:rPr>
          <w:rFonts w:ascii="Times New Roman" w:hAnsi="Times New Roman"/>
          <w:bCs/>
        </w:rPr>
        <w:t xml:space="preserve">The Commission identified the likely quantity of Scope 3 emissions and that they </w:t>
      </w:r>
      <w:r w:rsidRPr="00992F81">
        <w:rPr>
          <w:rFonts w:ascii="Times New Roman" w:hAnsi="Times New Roman"/>
        </w:rPr>
        <w:t>would</w:t>
      </w:r>
      <w:r w:rsidRPr="00992F81">
        <w:rPr>
          <w:rFonts w:ascii="Times New Roman" w:hAnsi="Times New Roman"/>
          <w:bCs/>
        </w:rPr>
        <w:t xml:space="preserve"> make up 98 per cent of the total emissions generated by the Project.</w:t>
      </w:r>
      <w:bookmarkEnd w:id="7"/>
      <w:r w:rsidRPr="00992F81">
        <w:rPr>
          <w:rFonts w:ascii="Times New Roman" w:hAnsi="Times New Roman"/>
          <w:bCs/>
        </w:rPr>
        <w:t xml:space="preserve"> </w:t>
      </w:r>
      <w:r w:rsidRPr="00992F81">
        <w:rPr>
          <w:rFonts w:ascii="Times New Roman" w:hAnsi="Times New Roman"/>
        </w:rPr>
        <w:t xml:space="preserve">It observed that coal mining and combustion are "a major contributor to anthropogenic climate change, which has the potential to impact future generations" and that </w:t>
      </w:r>
      <w:r w:rsidRPr="00992F81">
        <w:rPr>
          <w:rFonts w:ascii="Times New Roman" w:hAnsi="Times New Roman"/>
          <w:bCs/>
        </w:rPr>
        <w:t xml:space="preserve">"while Scope 3 emissions are not counted towards NSW emissions, the cumulative impact of </w:t>
      </w:r>
      <w:r w:rsidRPr="00992F81">
        <w:rPr>
          <w:rFonts w:ascii="Times New Roman" w:eastAsia="Calibri" w:hAnsi="Times New Roman"/>
        </w:rPr>
        <w:t xml:space="preserve">[greenhouse gas] </w:t>
      </w:r>
      <w:r w:rsidRPr="00992F81">
        <w:rPr>
          <w:rFonts w:ascii="Times New Roman" w:hAnsi="Times New Roman"/>
          <w:bCs/>
        </w:rPr>
        <w:t xml:space="preserve">emissions is still felt globally". This was sufficient to discharge the obligation under s 4.15(1)(b) </w:t>
      </w:r>
      <w:r w:rsidRPr="00992F81">
        <w:rPr>
          <w:rFonts w:ascii="Times New Roman" w:hAnsi="Times New Roman"/>
        </w:rPr>
        <w:t>to identify and consider this impact of the</w:t>
      </w:r>
      <w:r>
        <w:rPr>
          <w:rFonts w:ascii="Times New Roman" w:hAnsi="Times New Roman"/>
        </w:rPr>
        <w:t> </w:t>
      </w:r>
      <w:r w:rsidRPr="00992F81">
        <w:rPr>
          <w:rFonts w:ascii="Times New Roman" w:hAnsi="Times New Roman"/>
        </w:rPr>
        <w:t>development</w:t>
      </w:r>
      <w:r w:rsidRPr="00992F81">
        <w:rPr>
          <w:rFonts w:ascii="Times New Roman" w:hAnsi="Times New Roman"/>
          <w:bCs/>
        </w:rPr>
        <w:t xml:space="preserve">. </w:t>
      </w:r>
    </w:p>
    <w:p w14:paraId="44D89245" w14:textId="77777777" w:rsidR="004D2653" w:rsidRPr="00992F81" w:rsidRDefault="004D2653" w:rsidP="00992F81">
      <w:pPr>
        <w:pStyle w:val="FixListStyle"/>
        <w:spacing w:after="260" w:line="280" w:lineRule="exact"/>
        <w:ind w:right="0"/>
        <w:jc w:val="both"/>
        <w:rPr>
          <w:rFonts w:ascii="Times New Roman" w:hAnsi="Times New Roman"/>
        </w:rPr>
      </w:pPr>
      <w:r w:rsidRPr="00992F81">
        <w:rPr>
          <w:rFonts w:ascii="Times New Roman" w:hAnsi="Times New Roman"/>
          <w:bCs/>
        </w:rPr>
        <w:tab/>
        <w:t xml:space="preserve">The matter may be tested this way. </w:t>
      </w:r>
      <w:r w:rsidRPr="00992F81">
        <w:rPr>
          <w:rFonts w:ascii="Times New Roman" w:hAnsi="Times New Roman"/>
        </w:rPr>
        <w:t xml:space="preserve">The Court is being asked to hold that the Commission (an independent body required to conduct a public hearing into the development, and identify and assess its likely impacts) failed to take into </w:t>
      </w:r>
      <w:r w:rsidRPr="00992F81">
        <w:rPr>
          <w:rFonts w:ascii="Times New Roman" w:hAnsi="Times New Roman"/>
        </w:rPr>
        <w:lastRenderedPageBreak/>
        <w:t>consideration one "impact" described in passing in a few lines of the EIS.</w:t>
      </w:r>
      <w:r w:rsidRPr="00992F81">
        <w:rPr>
          <w:rStyle w:val="FootnoteReference"/>
          <w:rFonts w:ascii="Times New Roman" w:hAnsi="Times New Roman"/>
          <w:sz w:val="24"/>
        </w:rPr>
        <w:footnoteReference w:id="96"/>
      </w:r>
      <w:r w:rsidRPr="00992F81">
        <w:rPr>
          <w:rFonts w:ascii="Times New Roman" w:hAnsi="Times New Roman"/>
        </w:rPr>
        <w:t xml:space="preserve"> The</w:t>
      </w:r>
      <w:r>
        <w:rPr>
          <w:rFonts w:ascii="Times New Roman" w:hAnsi="Times New Roman"/>
        </w:rPr>
        <w:t> </w:t>
      </w:r>
      <w:r w:rsidRPr="00992F81">
        <w:rPr>
          <w:rFonts w:ascii="Times New Roman" w:hAnsi="Times New Roman"/>
        </w:rPr>
        <w:t>Commission's failure to consider this particular sub-issue must be considered in the context of the Commission's reasons taken as a whole. The Commission identified and took into consideration a number of other environmental impacts in the locality of the development, including noise impacts, impacts on air quality in the Upper Hunter region, impacts on two places of State heritage significance in the area surrounding the mine,</w:t>
      </w:r>
      <w:r w:rsidRPr="00992F81">
        <w:rPr>
          <w:rFonts w:ascii="Times New Roman" w:hAnsi="Times New Roman"/>
          <w:b/>
          <w:bCs/>
        </w:rPr>
        <w:t xml:space="preserve"> </w:t>
      </w:r>
      <w:r w:rsidRPr="00992F81">
        <w:rPr>
          <w:rFonts w:ascii="Times New Roman" w:hAnsi="Times New Roman"/>
        </w:rPr>
        <w:t>impacts on local Aboriginal cultural heritage,</w:t>
      </w:r>
      <w:r w:rsidRPr="00992F81">
        <w:rPr>
          <w:rFonts w:ascii="Times New Roman" w:hAnsi="Times New Roman"/>
          <w:b/>
        </w:rPr>
        <w:t xml:space="preserve"> </w:t>
      </w:r>
      <w:r w:rsidRPr="00992F81">
        <w:rPr>
          <w:rFonts w:ascii="Times New Roman" w:hAnsi="Times New Roman"/>
        </w:rPr>
        <w:t>impacts on surface and groundwater in the locality, the increase in the size of the</w:t>
      </w:r>
      <w:r>
        <w:rPr>
          <w:rFonts w:ascii="Times New Roman" w:hAnsi="Times New Roman"/>
        </w:rPr>
        <w:t> </w:t>
      </w:r>
      <w:r w:rsidRPr="00992F81">
        <w:rPr>
          <w:rFonts w:ascii="Times New Roman" w:hAnsi="Times New Roman"/>
        </w:rPr>
        <w:t>"void" eventually left by the mine, the impact on biodiversity in the region (including on a threatened species of legless lizard identified in the area),</w:t>
      </w:r>
      <w:r w:rsidRPr="00992F81">
        <w:rPr>
          <w:rFonts w:ascii="Times New Roman" w:hAnsi="Times New Roman"/>
          <w:b/>
        </w:rPr>
        <w:t xml:space="preserve"> </w:t>
      </w:r>
      <w:r w:rsidRPr="00992F81">
        <w:rPr>
          <w:rFonts w:ascii="Times New Roman" w:hAnsi="Times New Roman"/>
        </w:rPr>
        <w:t>and</w:t>
      </w:r>
      <w:r>
        <w:rPr>
          <w:rFonts w:ascii="Times New Roman" w:hAnsi="Times New Roman"/>
        </w:rPr>
        <w:t> </w:t>
      </w:r>
      <w:r w:rsidRPr="00992F81">
        <w:rPr>
          <w:rFonts w:ascii="Times New Roman" w:hAnsi="Times New Roman"/>
        </w:rPr>
        <w:t>the</w:t>
      </w:r>
      <w:r>
        <w:rPr>
          <w:rFonts w:ascii="Times New Roman" w:hAnsi="Times New Roman"/>
        </w:rPr>
        <w:t> </w:t>
      </w:r>
      <w:r w:rsidRPr="00992F81">
        <w:rPr>
          <w:rFonts w:ascii="Times New Roman" w:hAnsi="Times New Roman"/>
        </w:rPr>
        <w:t>visual impacts of the mine.</w:t>
      </w:r>
    </w:p>
    <w:p w14:paraId="43702B65" w14:textId="77777777" w:rsidR="004D2653" w:rsidRPr="00992F81" w:rsidRDefault="004D2653" w:rsidP="00992F81">
      <w:pPr>
        <w:pStyle w:val="FixListStyle"/>
        <w:spacing w:after="260" w:line="280" w:lineRule="exact"/>
        <w:ind w:right="0"/>
        <w:jc w:val="both"/>
        <w:rPr>
          <w:rFonts w:ascii="Times New Roman" w:hAnsi="Times New Roman"/>
        </w:rPr>
      </w:pPr>
      <w:r w:rsidRPr="00992F81">
        <w:rPr>
          <w:rFonts w:ascii="Times New Roman" w:hAnsi="Times New Roman"/>
        </w:rPr>
        <w:tab/>
        <w:t>DAMSHEG's contention, if accepted, risks requiring a court conducting a</w:t>
      </w:r>
      <w:r>
        <w:rPr>
          <w:rFonts w:ascii="Times New Roman" w:hAnsi="Times New Roman"/>
        </w:rPr>
        <w:t> </w:t>
      </w:r>
      <w:r w:rsidRPr="00992F81">
        <w:rPr>
          <w:rFonts w:ascii="Times New Roman" w:hAnsi="Times New Roman"/>
        </w:rPr>
        <w:t>judicial review application to delve into the merits of the Commission's consideration of each of these individual sub-issues. DAMSHEG's contention is also inconsistent with the approach taken by intermediate appellate courts to the</w:t>
      </w:r>
      <w:r>
        <w:rPr>
          <w:rFonts w:ascii="Times New Roman" w:hAnsi="Times New Roman"/>
        </w:rPr>
        <w:t> </w:t>
      </w:r>
      <w:r w:rsidRPr="00992F81">
        <w:rPr>
          <w:rFonts w:ascii="Times New Roman" w:hAnsi="Times New Roman"/>
        </w:rPr>
        <w:t xml:space="preserve">construction of the EPA Act. For example, in </w:t>
      </w:r>
      <w:r w:rsidRPr="00992F81">
        <w:rPr>
          <w:rFonts w:ascii="Times New Roman" w:hAnsi="Times New Roman"/>
          <w:i/>
          <w:iCs/>
        </w:rPr>
        <w:t>Notaras v Waverley Council</w:t>
      </w:r>
      <w:r w:rsidRPr="00992F81">
        <w:rPr>
          <w:rFonts w:ascii="Times New Roman" w:hAnsi="Times New Roman"/>
        </w:rPr>
        <w:t>, in</w:t>
      </w:r>
      <w:r>
        <w:rPr>
          <w:rFonts w:ascii="Times New Roman" w:hAnsi="Times New Roman"/>
        </w:rPr>
        <w:t> </w:t>
      </w:r>
      <w:r w:rsidRPr="00992F81">
        <w:rPr>
          <w:rFonts w:ascii="Times New Roman" w:hAnsi="Times New Roman"/>
        </w:rPr>
        <w:t>relation to s 79C of the EPA Act (which is now s 4.15), Tobias JA (with whom Mason P and Hodgson JA agreed) stated that:</w:t>
      </w:r>
      <w:r w:rsidRPr="00992F81">
        <w:rPr>
          <w:rStyle w:val="FootnoteReference"/>
          <w:rFonts w:ascii="Times New Roman" w:hAnsi="Times New Roman"/>
          <w:sz w:val="24"/>
        </w:rPr>
        <w:t xml:space="preserve"> </w:t>
      </w:r>
      <w:r w:rsidRPr="00992F81">
        <w:rPr>
          <w:rStyle w:val="FootnoteReference"/>
          <w:rFonts w:ascii="Times New Roman" w:hAnsi="Times New Roman"/>
          <w:sz w:val="24"/>
        </w:rPr>
        <w:footnoteReference w:id="97"/>
      </w:r>
    </w:p>
    <w:p w14:paraId="413DA2B9" w14:textId="77777777" w:rsidR="004D2653" w:rsidRDefault="004D2653" w:rsidP="00992F81">
      <w:pPr>
        <w:pStyle w:val="leftright"/>
        <w:spacing w:before="0" w:after="260" w:line="280" w:lineRule="exact"/>
        <w:ind w:right="0"/>
        <w:jc w:val="both"/>
        <w:rPr>
          <w:rFonts w:ascii="Times New Roman" w:hAnsi="Times New Roman"/>
        </w:rPr>
      </w:pPr>
      <w:r w:rsidRPr="00992F81">
        <w:rPr>
          <w:rFonts w:ascii="Times New Roman" w:hAnsi="Times New Roman"/>
        </w:rPr>
        <w:t>"It is not for a party affected by a decision, or a reviewing court to make an</w:t>
      </w:r>
      <w:r>
        <w:rPr>
          <w:rFonts w:ascii="Times New Roman" w:hAnsi="Times New Roman"/>
        </w:rPr>
        <w:t> </w:t>
      </w:r>
      <w:r w:rsidRPr="00992F81">
        <w:rPr>
          <w:rFonts w:ascii="Times New Roman" w:hAnsi="Times New Roman"/>
        </w:rPr>
        <w:t>exhaustive list of the matters which a decision maker might conceivably regard as relevant then attack the decision on the ground that a particular one of them was not specifically taken into account".</w:t>
      </w:r>
    </w:p>
    <w:p w14:paraId="749875A9" w14:textId="77777777" w:rsidR="004D2653" w:rsidRPr="00992F81" w:rsidRDefault="004D2653" w:rsidP="00992F81">
      <w:pPr>
        <w:pStyle w:val="NormalBody"/>
        <w:spacing w:after="260" w:line="280" w:lineRule="exact"/>
        <w:ind w:right="0"/>
        <w:jc w:val="both"/>
        <w:rPr>
          <w:rFonts w:ascii="Times New Roman" w:hAnsi="Times New Roman"/>
        </w:rPr>
      </w:pPr>
      <w:r w:rsidRPr="00992F81">
        <w:rPr>
          <w:rFonts w:ascii="Times New Roman" w:hAnsi="Times New Roman"/>
        </w:rPr>
        <w:t>Tobias JA considered the risk of the contrary approach to be that the court may "express the conclusion in terms of a recognised ground of review while in truth making a decision on the merits".</w:t>
      </w:r>
      <w:r w:rsidRPr="00992F81">
        <w:rPr>
          <w:rStyle w:val="FootnoteReference"/>
          <w:rFonts w:ascii="Times New Roman" w:hAnsi="Times New Roman"/>
          <w:sz w:val="24"/>
        </w:rPr>
        <w:footnoteReference w:id="98"/>
      </w:r>
      <w:r w:rsidRPr="00992F81">
        <w:rPr>
          <w:rFonts w:ascii="Times New Roman" w:hAnsi="Times New Roman"/>
          <w:b/>
          <w:bCs/>
        </w:rPr>
        <w:t xml:space="preserve"> </w:t>
      </w:r>
      <w:r w:rsidRPr="00992F81">
        <w:rPr>
          <w:rFonts w:ascii="Times New Roman" w:hAnsi="Times New Roman"/>
        </w:rPr>
        <w:t xml:space="preserve">Similarly, in </w:t>
      </w:r>
      <w:r w:rsidRPr="00992F81">
        <w:rPr>
          <w:rFonts w:ascii="Times New Roman" w:hAnsi="Times New Roman"/>
          <w:i/>
        </w:rPr>
        <w:t>Upper Mooki Landcare Inc v Shenhua Watermark Coal Pty Ltd</w:t>
      </w:r>
      <w:r w:rsidRPr="00992F81">
        <w:rPr>
          <w:rFonts w:ascii="Times New Roman" w:hAnsi="Times New Roman"/>
        </w:rPr>
        <w:t>, Preston CJ stated that it is "wrong to suggest that a generally expressed head of consideration, such as s 79C(1)(b) of the</w:t>
      </w:r>
      <w:r>
        <w:rPr>
          <w:rFonts w:ascii="Times New Roman" w:hAnsi="Times New Roman"/>
        </w:rPr>
        <w:t> </w:t>
      </w:r>
      <w:r w:rsidRPr="00992F81">
        <w:rPr>
          <w:rFonts w:ascii="Times New Roman" w:hAnsi="Times New Roman"/>
        </w:rPr>
        <w:t>EPA</w:t>
      </w:r>
      <w:r>
        <w:rPr>
          <w:rFonts w:ascii="Times New Roman" w:hAnsi="Times New Roman"/>
        </w:rPr>
        <w:t> </w:t>
      </w:r>
      <w:r w:rsidRPr="00992F81">
        <w:rPr>
          <w:rFonts w:ascii="Times New Roman" w:hAnsi="Times New Roman"/>
        </w:rPr>
        <w:t>Act, requires resolution or factual findings on various subtopics".</w:t>
      </w:r>
      <w:r w:rsidRPr="00992F81">
        <w:rPr>
          <w:rStyle w:val="FootnoteReference"/>
          <w:rFonts w:ascii="Times New Roman" w:hAnsi="Times New Roman"/>
          <w:sz w:val="24"/>
        </w:rPr>
        <w:footnoteReference w:id="99"/>
      </w:r>
    </w:p>
    <w:p w14:paraId="17E6C829" w14:textId="77777777" w:rsidR="004D2653" w:rsidRPr="00992F81" w:rsidRDefault="004D2653" w:rsidP="00992F81">
      <w:pPr>
        <w:pStyle w:val="FixListStyle"/>
        <w:spacing w:after="260" w:line="280" w:lineRule="exact"/>
        <w:ind w:right="0"/>
        <w:jc w:val="both"/>
        <w:rPr>
          <w:rFonts w:ascii="Times New Roman" w:hAnsi="Times New Roman"/>
        </w:rPr>
      </w:pPr>
      <w:bookmarkStart w:id="8" w:name="_Ref228439924"/>
      <w:r w:rsidRPr="00992F81">
        <w:rPr>
          <w:rFonts w:ascii="Times New Roman" w:hAnsi="Times New Roman"/>
          <w:b/>
        </w:rPr>
        <w:lastRenderedPageBreak/>
        <w:tab/>
      </w:r>
      <w:r w:rsidRPr="00992F81">
        <w:rPr>
          <w:rFonts w:ascii="Times New Roman" w:hAnsi="Times New Roman"/>
          <w:bCs/>
        </w:rPr>
        <w:t xml:space="preserve">Second, the fact that </w:t>
      </w:r>
      <w:r w:rsidRPr="00992F81">
        <w:rPr>
          <w:rFonts w:ascii="Times New Roman" w:hAnsi="Times New Roman"/>
        </w:rPr>
        <w:t>there was evidence before the Commission about the</w:t>
      </w:r>
      <w:r>
        <w:rPr>
          <w:rFonts w:ascii="Times New Roman" w:hAnsi="Times New Roman"/>
        </w:rPr>
        <w:t> </w:t>
      </w:r>
      <w:r w:rsidRPr="00992F81">
        <w:rPr>
          <w:rFonts w:ascii="Times New Roman" w:hAnsi="Times New Roman"/>
        </w:rPr>
        <w:t>likely environmental impacts in the locality caused by climate change due to greenhouse gas emissions does not transform this into a mandatory consideration.</w:t>
      </w:r>
      <w:bookmarkEnd w:id="8"/>
      <w:r w:rsidRPr="00992F81">
        <w:rPr>
          <w:rFonts w:ascii="Times New Roman" w:hAnsi="Times New Roman"/>
        </w:rPr>
        <w:t xml:space="preserve"> It was for </w:t>
      </w:r>
      <w:r w:rsidRPr="00992F81">
        <w:rPr>
          <w:rFonts w:ascii="Times New Roman" w:hAnsi="Times New Roman"/>
          <w:iCs/>
        </w:rPr>
        <w:t xml:space="preserve">the Commission </w:t>
      </w:r>
      <w:r w:rsidRPr="00992F81">
        <w:rPr>
          <w:rFonts w:ascii="Times New Roman" w:hAnsi="Times New Roman"/>
        </w:rPr>
        <w:t>to identify the likely impacts of the development for the</w:t>
      </w:r>
      <w:r>
        <w:rPr>
          <w:rFonts w:ascii="Times New Roman" w:hAnsi="Times New Roman"/>
        </w:rPr>
        <w:t> </w:t>
      </w:r>
      <w:r w:rsidRPr="00992F81">
        <w:rPr>
          <w:rFonts w:ascii="Times New Roman" w:hAnsi="Times New Roman"/>
        </w:rPr>
        <w:t>purposes of s 4.15(1)(b).</w:t>
      </w:r>
      <w:r w:rsidRPr="00992F81">
        <w:rPr>
          <w:rFonts w:ascii="Times New Roman" w:hAnsi="Times New Roman"/>
          <w:i/>
        </w:rPr>
        <w:t xml:space="preserve"> </w:t>
      </w:r>
      <w:r w:rsidRPr="00992F81">
        <w:rPr>
          <w:rFonts w:ascii="Times New Roman" w:hAnsi="Times New Roman"/>
        </w:rPr>
        <w:t>While the exercise of that power is subject to implied constraints (such as a condition that it must be exercised reasonably),</w:t>
      </w:r>
      <w:r w:rsidRPr="00992F81">
        <w:rPr>
          <w:rStyle w:val="FootnoteReference"/>
          <w:rFonts w:ascii="Times New Roman" w:hAnsi="Times New Roman"/>
          <w:sz w:val="24"/>
        </w:rPr>
        <w:footnoteReference w:id="100"/>
      </w:r>
      <w:r w:rsidRPr="00992F81">
        <w:rPr>
          <w:rFonts w:ascii="Times New Roman" w:hAnsi="Times New Roman"/>
        </w:rPr>
        <w:t xml:space="preserve"> DAMSHEG made no allegation of unreasonableness before the NSWCA.</w:t>
      </w:r>
      <w:r w:rsidRPr="00992F81">
        <w:rPr>
          <w:rFonts w:ascii="Times New Roman" w:hAnsi="Times New Roman"/>
          <w:bCs/>
        </w:rPr>
        <w:t xml:space="preserve"> </w:t>
      </w:r>
      <w:r w:rsidRPr="00992F81">
        <w:rPr>
          <w:rFonts w:ascii="Times New Roman" w:hAnsi="Times New Roman"/>
        </w:rPr>
        <w:t>DAMSHEG's only ground of appeal before the NSWCA was that the primary judge erred in concluding that the Commission complied with s 4.15 of the</w:t>
      </w:r>
      <w:r>
        <w:rPr>
          <w:rFonts w:ascii="Times New Roman" w:hAnsi="Times New Roman"/>
        </w:rPr>
        <w:t> </w:t>
      </w:r>
      <w:r w:rsidRPr="00992F81">
        <w:rPr>
          <w:rFonts w:ascii="Times New Roman" w:hAnsi="Times New Roman"/>
        </w:rPr>
        <w:t>EPA</w:t>
      </w:r>
      <w:r>
        <w:rPr>
          <w:rFonts w:ascii="Times New Roman" w:hAnsi="Times New Roman"/>
        </w:rPr>
        <w:t> </w:t>
      </w:r>
      <w:r w:rsidRPr="00992F81">
        <w:rPr>
          <w:rFonts w:ascii="Times New Roman" w:hAnsi="Times New Roman"/>
        </w:rPr>
        <w:t>Act because "the Commissioner [sic] did not take into consideration, in</w:t>
      </w:r>
      <w:r>
        <w:rPr>
          <w:rFonts w:ascii="Times New Roman" w:hAnsi="Times New Roman"/>
        </w:rPr>
        <w:t> </w:t>
      </w:r>
      <w:r w:rsidRPr="00992F81">
        <w:rPr>
          <w:rFonts w:ascii="Times New Roman" w:hAnsi="Times New Roman"/>
        </w:rPr>
        <w:t>the manner required by s 4.15", specified matters.</w:t>
      </w:r>
    </w:p>
    <w:p w14:paraId="0B9998CD" w14:textId="77777777" w:rsidR="004D2653" w:rsidRPr="00992F81" w:rsidRDefault="004D2653" w:rsidP="00992F81">
      <w:pPr>
        <w:pStyle w:val="FixListStyle"/>
        <w:spacing w:after="260" w:line="280" w:lineRule="exact"/>
        <w:ind w:right="0"/>
        <w:jc w:val="both"/>
        <w:rPr>
          <w:rFonts w:ascii="Times New Roman" w:hAnsi="Times New Roman"/>
        </w:rPr>
      </w:pPr>
      <w:r w:rsidRPr="00992F81">
        <w:rPr>
          <w:rFonts w:ascii="Times New Roman" w:hAnsi="Times New Roman"/>
          <w:b/>
        </w:rPr>
        <w:tab/>
      </w:r>
      <w:r w:rsidRPr="00992F81">
        <w:rPr>
          <w:rFonts w:ascii="Times New Roman" w:hAnsi="Times New Roman"/>
        </w:rPr>
        <w:t>Third, even if it were appropriate for this Court to review the Commission's characterisation of the "likely impacts" of the development (and it is not), the</w:t>
      </w:r>
      <w:r>
        <w:rPr>
          <w:rFonts w:ascii="Times New Roman" w:hAnsi="Times New Roman"/>
        </w:rPr>
        <w:t> </w:t>
      </w:r>
      <w:r w:rsidRPr="00992F81">
        <w:rPr>
          <w:rFonts w:ascii="Times New Roman" w:hAnsi="Times New Roman"/>
        </w:rPr>
        <w:t xml:space="preserve">passages of the EIS relied upon by DAMSHEG are concerned with the impact </w:t>
      </w:r>
      <w:r w:rsidRPr="00992F81">
        <w:rPr>
          <w:rFonts w:ascii="Times New Roman" w:hAnsi="Times New Roman"/>
          <w:i/>
          <w:iCs/>
        </w:rPr>
        <w:t xml:space="preserve">of </w:t>
      </w:r>
      <w:r w:rsidRPr="00992F81">
        <w:rPr>
          <w:rFonts w:ascii="Times New Roman" w:hAnsi="Times New Roman"/>
        </w:rPr>
        <w:t xml:space="preserve">climate change </w:t>
      </w:r>
      <w:r w:rsidRPr="00992F81">
        <w:rPr>
          <w:rFonts w:ascii="Times New Roman" w:hAnsi="Times New Roman"/>
          <w:i/>
          <w:iCs/>
        </w:rPr>
        <w:t xml:space="preserve">on </w:t>
      </w:r>
      <w:r w:rsidRPr="00992F81">
        <w:rPr>
          <w:rFonts w:ascii="Times New Roman" w:hAnsi="Times New Roman"/>
        </w:rPr>
        <w:t xml:space="preserve">the development and its locality. They are not concerned with the likely impacts </w:t>
      </w:r>
      <w:r w:rsidRPr="00992F81">
        <w:rPr>
          <w:rFonts w:ascii="Times New Roman" w:hAnsi="Times New Roman"/>
          <w:i/>
          <w:iCs/>
        </w:rPr>
        <w:t xml:space="preserve">of </w:t>
      </w:r>
      <w:r w:rsidRPr="00992F81">
        <w:rPr>
          <w:rFonts w:ascii="Times New Roman" w:hAnsi="Times New Roman"/>
        </w:rPr>
        <w:t>the development itself. It is not to the point that the EIS acknowledged, in a different section,</w:t>
      </w:r>
      <w:r w:rsidRPr="00992F81">
        <w:rPr>
          <w:rStyle w:val="FootnoteReference"/>
          <w:rFonts w:ascii="Times New Roman" w:hAnsi="Times New Roman"/>
          <w:sz w:val="24"/>
        </w:rPr>
        <w:footnoteReference w:id="101"/>
      </w:r>
      <w:r w:rsidRPr="00992F81">
        <w:rPr>
          <w:rFonts w:ascii="Times New Roman" w:hAnsi="Times New Roman"/>
        </w:rPr>
        <w:t xml:space="preserve"> that the Project's "contribution to climate change, including the associated environmental impacts, would be in proportion with its contribution to global greenhouse gas emissions".</w:t>
      </w:r>
      <w:r w:rsidRPr="00992F81">
        <w:rPr>
          <w:rStyle w:val="FootnoteReference"/>
          <w:rFonts w:ascii="Times New Roman" w:hAnsi="Times New Roman"/>
          <w:sz w:val="24"/>
        </w:rPr>
        <w:footnoteReference w:id="102"/>
      </w:r>
      <w:r w:rsidRPr="00992F81">
        <w:rPr>
          <w:rFonts w:ascii="Times New Roman" w:hAnsi="Times New Roman"/>
        </w:rPr>
        <w:t xml:space="preserve"> Such a general statement, in a different section of the EIS, is not sufficient to evidence a separate "likely impact" that the Commission was required to take into consideration.</w:t>
      </w:r>
    </w:p>
    <w:p w14:paraId="1E87A407" w14:textId="77777777" w:rsidR="004D2653" w:rsidRPr="00992F81" w:rsidRDefault="004D2653" w:rsidP="00992F81">
      <w:pPr>
        <w:pStyle w:val="HeadingL1"/>
        <w:spacing w:after="260" w:line="280" w:lineRule="exact"/>
        <w:ind w:right="0"/>
        <w:jc w:val="both"/>
        <w:rPr>
          <w:rFonts w:ascii="Times New Roman" w:hAnsi="Times New Roman"/>
        </w:rPr>
      </w:pPr>
      <w:r w:rsidRPr="00992F81">
        <w:rPr>
          <w:rFonts w:ascii="Times New Roman" w:hAnsi="Times New Roman"/>
        </w:rPr>
        <w:t>Second issue – s 4.15(1)(a) of the EPA Act</w:t>
      </w:r>
    </w:p>
    <w:p w14:paraId="54AC52D2" w14:textId="77777777" w:rsidR="004D2653" w:rsidRPr="00D906D0" w:rsidRDefault="004D2653" w:rsidP="00992F81">
      <w:pPr>
        <w:pStyle w:val="FixListStyle"/>
        <w:spacing w:after="260" w:line="280" w:lineRule="exact"/>
        <w:ind w:right="0"/>
        <w:jc w:val="both"/>
        <w:rPr>
          <w:rFonts w:ascii="Times New Roman" w:hAnsi="Times New Roman"/>
          <w:spacing w:val="4"/>
        </w:rPr>
      </w:pPr>
      <w:r w:rsidRPr="00992F81">
        <w:rPr>
          <w:rFonts w:ascii="Times New Roman" w:hAnsi="Times New Roman"/>
        </w:rPr>
        <w:tab/>
      </w:r>
      <w:r w:rsidRPr="00D906D0">
        <w:rPr>
          <w:rFonts w:ascii="Times New Roman" w:hAnsi="Times New Roman"/>
          <w:spacing w:val="4"/>
        </w:rPr>
        <w:t xml:space="preserve">This issue concerns the proper construction and application of s 4.15(1)(a) and whether the Commission took into consideration cl 2.20(1)(c) of the Resources SEPP, as required by s 4.15(1)(a)(i) of the EPA Act. </w:t>
      </w:r>
    </w:p>
    <w:p w14:paraId="71F2178E" w14:textId="77777777" w:rsidR="004D2653" w:rsidRPr="00992F81" w:rsidRDefault="004D2653" w:rsidP="00992F81">
      <w:pPr>
        <w:pStyle w:val="HeadingL2"/>
        <w:spacing w:after="260" w:line="280" w:lineRule="exact"/>
        <w:ind w:right="0"/>
        <w:jc w:val="both"/>
        <w:rPr>
          <w:rFonts w:ascii="Times New Roman" w:hAnsi="Times New Roman"/>
        </w:rPr>
      </w:pPr>
      <w:r w:rsidRPr="00992F81">
        <w:rPr>
          <w:rFonts w:ascii="Times New Roman" w:hAnsi="Times New Roman"/>
        </w:rPr>
        <w:t>Parties' submissions</w:t>
      </w:r>
    </w:p>
    <w:p w14:paraId="6F7E978C" w14:textId="77777777" w:rsidR="004D2653" w:rsidRPr="00992F81" w:rsidRDefault="004D2653" w:rsidP="00992F81">
      <w:pPr>
        <w:pStyle w:val="FixListStyle"/>
        <w:spacing w:after="260" w:line="280" w:lineRule="exact"/>
        <w:ind w:right="0"/>
        <w:jc w:val="both"/>
        <w:rPr>
          <w:rFonts w:ascii="Times New Roman" w:hAnsi="Times New Roman"/>
        </w:rPr>
      </w:pPr>
      <w:r w:rsidRPr="00992F81">
        <w:rPr>
          <w:rFonts w:ascii="Times New Roman" w:hAnsi="Times New Roman"/>
        </w:rPr>
        <w:tab/>
        <w:t>DAMSHEG submitted that the NSWCA erred in holding that the</w:t>
      </w:r>
      <w:r>
        <w:rPr>
          <w:rFonts w:ascii="Times New Roman" w:hAnsi="Times New Roman"/>
        </w:rPr>
        <w:t> </w:t>
      </w:r>
      <w:r w:rsidRPr="00992F81">
        <w:rPr>
          <w:rFonts w:ascii="Times New Roman" w:hAnsi="Times New Roman"/>
        </w:rPr>
        <w:t>Commission took into consideration cl 2.20(1)(c) of the Resources SEPP, as</w:t>
      </w:r>
      <w:r>
        <w:rPr>
          <w:rFonts w:ascii="Times New Roman" w:hAnsi="Times New Roman"/>
        </w:rPr>
        <w:t> </w:t>
      </w:r>
      <w:r w:rsidRPr="00992F81">
        <w:rPr>
          <w:rFonts w:ascii="Times New Roman" w:hAnsi="Times New Roman"/>
        </w:rPr>
        <w:t>required by s 4.15(1)(a)(i) of the EPA Act. DAMSHEG submitted that cl 2.20(1)(c)</w:t>
      </w:r>
      <w:r w:rsidRPr="00992F81" w:rsidDel="00154090">
        <w:rPr>
          <w:rFonts w:ascii="Times New Roman" w:hAnsi="Times New Roman"/>
        </w:rPr>
        <w:t xml:space="preserve"> </w:t>
      </w:r>
      <w:r w:rsidRPr="00992F81">
        <w:rPr>
          <w:rFonts w:ascii="Times New Roman" w:hAnsi="Times New Roman"/>
        </w:rPr>
        <w:t>should be construed as requiring a consent authority to separately consider whether to impose what might be called minimisation conditions for Scope 1, 2 and</w:t>
      </w:r>
      <w:r w:rsidRPr="00992F81" w:rsidDel="00AA33A6">
        <w:rPr>
          <w:rFonts w:ascii="Times New Roman" w:hAnsi="Times New Roman"/>
        </w:rPr>
        <w:t xml:space="preserve"> </w:t>
      </w:r>
      <w:r w:rsidRPr="00992F81">
        <w:rPr>
          <w:rFonts w:ascii="Times New Roman" w:hAnsi="Times New Roman"/>
        </w:rPr>
        <w:t>3 emissions and that the Commission failed to consider whether the</w:t>
      </w:r>
      <w:r>
        <w:rPr>
          <w:rFonts w:ascii="Times New Roman" w:hAnsi="Times New Roman"/>
        </w:rPr>
        <w:t> </w:t>
      </w:r>
      <w:r w:rsidRPr="00992F81">
        <w:rPr>
          <w:rFonts w:ascii="Times New Roman" w:hAnsi="Times New Roman"/>
        </w:rPr>
        <w:t xml:space="preserve">consent should be issued subject to minimisation conditions for Scope 3 </w:t>
      </w:r>
      <w:r w:rsidRPr="00992F81">
        <w:rPr>
          <w:rFonts w:ascii="Times New Roman" w:hAnsi="Times New Roman"/>
        </w:rPr>
        <w:lastRenderedPageBreak/>
        <w:t xml:space="preserve">emissions. </w:t>
      </w:r>
      <w:r w:rsidRPr="00992F81">
        <w:rPr>
          <w:rFonts w:ascii="Times New Roman" w:hAnsi="Times New Roman"/>
          <w:bCs/>
        </w:rPr>
        <w:t>DAMSHEG further submitted that t</w:t>
      </w:r>
      <w:r w:rsidRPr="00992F81">
        <w:rPr>
          <w:rFonts w:ascii="Times New Roman" w:hAnsi="Times New Roman"/>
        </w:rPr>
        <w:t>he NSWCA erred in attributing the</w:t>
      </w:r>
      <w:r>
        <w:rPr>
          <w:rFonts w:ascii="Times New Roman" w:hAnsi="Times New Roman"/>
        </w:rPr>
        <w:t> </w:t>
      </w:r>
      <w:r w:rsidRPr="00992F81">
        <w:rPr>
          <w:rFonts w:ascii="Times New Roman" w:hAnsi="Times New Roman"/>
        </w:rPr>
        <w:t xml:space="preserve">Commission's omission to a "forensic choice" by DAMSHEG. </w:t>
      </w:r>
    </w:p>
    <w:p w14:paraId="6688C487" w14:textId="77777777" w:rsidR="004D2653" w:rsidRPr="00992F81" w:rsidRDefault="004D2653" w:rsidP="00992F81">
      <w:pPr>
        <w:pStyle w:val="FixListStyle"/>
        <w:spacing w:after="260" w:line="280" w:lineRule="exact"/>
        <w:ind w:right="0"/>
        <w:jc w:val="both"/>
        <w:rPr>
          <w:rFonts w:ascii="Times New Roman" w:hAnsi="Times New Roman"/>
        </w:rPr>
      </w:pPr>
      <w:r w:rsidRPr="00992F81">
        <w:rPr>
          <w:rFonts w:ascii="Times New Roman" w:hAnsi="Times New Roman"/>
        </w:rPr>
        <w:tab/>
        <w:t>In addition, DAMSHEG submitted that the NSWCA erred in respect of the</w:t>
      </w:r>
      <w:r>
        <w:rPr>
          <w:rFonts w:ascii="Times New Roman" w:hAnsi="Times New Roman"/>
        </w:rPr>
        <w:t> </w:t>
      </w:r>
      <w:r w:rsidRPr="00992F81">
        <w:rPr>
          <w:rFonts w:ascii="Times New Roman" w:hAnsi="Times New Roman"/>
        </w:rPr>
        <w:t>Commission's finding that Scope 3 emissions were "regulated" through broader policies and agreements, as those matters did not address whether those emissions were minimised to the greatest extent practicable; and that the NSWCA disregarded the structure of the Commission's reasons, which only referred to the</w:t>
      </w:r>
      <w:r>
        <w:rPr>
          <w:rFonts w:ascii="Times New Roman" w:hAnsi="Times New Roman"/>
        </w:rPr>
        <w:t> </w:t>
      </w:r>
      <w:r w:rsidRPr="00992F81">
        <w:rPr>
          <w:rFonts w:ascii="Times New Roman" w:hAnsi="Times New Roman"/>
        </w:rPr>
        <w:t>overseas regulation of Scope 3 emissions prior to its consideration of cl 2.20(1)(c).</w:t>
      </w:r>
    </w:p>
    <w:p w14:paraId="27E853D3" w14:textId="77777777" w:rsidR="004D2653" w:rsidRPr="00992F81" w:rsidRDefault="004D2653" w:rsidP="00992F81">
      <w:pPr>
        <w:pStyle w:val="FixListStyle"/>
        <w:spacing w:after="260" w:line="280" w:lineRule="exact"/>
        <w:ind w:right="0"/>
        <w:jc w:val="both"/>
        <w:rPr>
          <w:rFonts w:ascii="Times New Roman" w:hAnsi="Times New Roman"/>
        </w:rPr>
      </w:pPr>
      <w:r w:rsidRPr="00992F81">
        <w:rPr>
          <w:rFonts w:ascii="Times New Roman" w:hAnsi="Times New Roman"/>
        </w:rPr>
        <w:tab/>
        <w:t>DAMSHEG submitted that no inference could be drawn that the</w:t>
      </w:r>
      <w:r>
        <w:rPr>
          <w:rFonts w:ascii="Times New Roman" w:hAnsi="Times New Roman"/>
        </w:rPr>
        <w:t> </w:t>
      </w:r>
      <w:r w:rsidRPr="00992F81">
        <w:rPr>
          <w:rFonts w:ascii="Times New Roman" w:hAnsi="Times New Roman"/>
        </w:rPr>
        <w:t>Commission considered imposing conditions to minimise Scope 3 emissions because: (1) no party proposed any conditions; (2) given that 98 per cent of the</w:t>
      </w:r>
      <w:r>
        <w:rPr>
          <w:rFonts w:ascii="Times New Roman" w:hAnsi="Times New Roman"/>
        </w:rPr>
        <w:t> </w:t>
      </w:r>
      <w:r w:rsidRPr="00992F81">
        <w:rPr>
          <w:rFonts w:ascii="Times New Roman" w:hAnsi="Times New Roman"/>
        </w:rPr>
        <w:t>Project's emissions were Scope 3 emissions it is reasonable to suppose the</w:t>
      </w:r>
      <w:r>
        <w:rPr>
          <w:rFonts w:ascii="Times New Roman" w:hAnsi="Times New Roman"/>
        </w:rPr>
        <w:t> </w:t>
      </w:r>
      <w:r w:rsidRPr="00992F81">
        <w:rPr>
          <w:rFonts w:ascii="Times New Roman" w:hAnsi="Times New Roman"/>
        </w:rPr>
        <w:t>Commission would have expressly addressed the imposition of conditions had it considered this issue; and (3) the fact that the Commission considered imposing conditions to minimise Scope 1 and 2 emissions in detail supports the inference that it did not consider imposing conditions in relation to Scope 3 emissions.</w:t>
      </w:r>
    </w:p>
    <w:p w14:paraId="16E484E5" w14:textId="77777777" w:rsidR="004D2653" w:rsidRPr="00992F81" w:rsidRDefault="004D2653" w:rsidP="00992F81">
      <w:pPr>
        <w:pStyle w:val="FixListStyle"/>
        <w:spacing w:after="260" w:line="280" w:lineRule="exact"/>
        <w:ind w:right="0"/>
        <w:jc w:val="both"/>
        <w:rPr>
          <w:rFonts w:ascii="Times New Roman" w:hAnsi="Times New Roman"/>
        </w:rPr>
      </w:pPr>
      <w:r w:rsidRPr="00992F81">
        <w:rPr>
          <w:rFonts w:ascii="Times New Roman" w:hAnsi="Times New Roman"/>
          <w:b/>
          <w:bCs/>
        </w:rPr>
        <w:tab/>
      </w:r>
      <w:r w:rsidRPr="00992F81">
        <w:rPr>
          <w:rFonts w:ascii="Times New Roman" w:hAnsi="Times New Roman"/>
        </w:rPr>
        <w:t>MACH opposed these submissions on two grounds. First, MACH</w:t>
      </w:r>
      <w:r>
        <w:rPr>
          <w:rFonts w:ascii="Times New Roman" w:hAnsi="Times New Roman"/>
        </w:rPr>
        <w:t> </w:t>
      </w:r>
      <w:r w:rsidRPr="00992F81">
        <w:rPr>
          <w:rFonts w:ascii="Times New Roman" w:hAnsi="Times New Roman"/>
        </w:rPr>
        <w:t>submitted that DAMSHEG misconstrued the relevant obligation on the</w:t>
      </w:r>
      <w:r>
        <w:rPr>
          <w:rFonts w:ascii="Times New Roman" w:hAnsi="Times New Roman"/>
        </w:rPr>
        <w:t> </w:t>
      </w:r>
      <w:r w:rsidRPr="00992F81">
        <w:rPr>
          <w:rFonts w:ascii="Times New Roman" w:hAnsi="Times New Roman"/>
        </w:rPr>
        <w:t>basis that s 4.15(1)(a)(i) of the EPA Act obliged the Commission only to consider the terms of the Resources SEPP, not to treat it as a binding statute. MACH submitted that cl 2.20(1)(c) is only capable of requiring the Commission to consider imposing conditions to minimise "greenhouse gas emissions" and it does not descend to the level of particularity of requiring consideration of conditions to minimise Scope 3 emissions. Second, MACH submitted that, in any event, the Commission</w:t>
      </w:r>
      <w:r w:rsidRPr="00992F81">
        <w:rPr>
          <w:rFonts w:ascii="Times New Roman" w:hAnsi="Times New Roman"/>
          <w:i/>
          <w:iCs/>
        </w:rPr>
        <w:t xml:space="preserve"> did</w:t>
      </w:r>
      <w:r w:rsidRPr="00992F81">
        <w:rPr>
          <w:rFonts w:ascii="Times New Roman" w:hAnsi="Times New Roman"/>
        </w:rPr>
        <w:t xml:space="preserve"> consider the matters in cl 2.2</w:t>
      </w:r>
      <w:r w:rsidRPr="00992F81" w:rsidDel="0003365C">
        <w:rPr>
          <w:rFonts w:ascii="Times New Roman" w:hAnsi="Times New Roman"/>
        </w:rPr>
        <w:t>0</w:t>
      </w:r>
      <w:r w:rsidRPr="00992F81">
        <w:rPr>
          <w:rFonts w:ascii="Times New Roman" w:hAnsi="Times New Roman"/>
        </w:rPr>
        <w:t>(1)(c) because</w:t>
      </w:r>
      <w:r>
        <w:rPr>
          <w:rFonts w:ascii="Times New Roman" w:hAnsi="Times New Roman"/>
        </w:rPr>
        <w:t> </w:t>
      </w:r>
      <w:r w:rsidRPr="00992F81">
        <w:rPr>
          <w:rFonts w:ascii="Times New Roman" w:hAnsi="Times New Roman"/>
        </w:rPr>
        <w:t>the</w:t>
      </w:r>
      <w:r>
        <w:rPr>
          <w:rFonts w:ascii="Times New Roman" w:hAnsi="Times New Roman"/>
        </w:rPr>
        <w:t> </w:t>
      </w:r>
      <w:r w:rsidRPr="00992F81">
        <w:rPr>
          <w:rFonts w:ascii="Times New Roman" w:hAnsi="Times New Roman"/>
        </w:rPr>
        <w:t>Commission: (1) was aware of, and stated that it had taken into account, the</w:t>
      </w:r>
      <w:r>
        <w:rPr>
          <w:rFonts w:ascii="Times New Roman" w:hAnsi="Times New Roman"/>
        </w:rPr>
        <w:t> </w:t>
      </w:r>
      <w:r w:rsidRPr="00992F81">
        <w:rPr>
          <w:rFonts w:ascii="Times New Roman" w:hAnsi="Times New Roman"/>
        </w:rPr>
        <w:t>matters in cl 2.20(1)(c); (2) was clearly cognisant of distinctions between emission scopes; (3) took into account material concerning Scope 3 emissions and concluded that "[s]ubject to the imposed conditions", the Project could "achieve the requirements of the Resources SEPP" and the EPA Act; (4)</w:t>
      </w:r>
      <w:r>
        <w:rPr>
          <w:rFonts w:ascii="Times New Roman" w:hAnsi="Times New Roman"/>
        </w:rPr>
        <w:t> </w:t>
      </w:r>
      <w:r w:rsidRPr="00992F81">
        <w:rPr>
          <w:rFonts w:ascii="Times New Roman" w:hAnsi="Times New Roman"/>
        </w:rPr>
        <w:t>took</w:t>
      </w:r>
      <w:r>
        <w:rPr>
          <w:rFonts w:ascii="Times New Roman" w:hAnsi="Times New Roman"/>
        </w:rPr>
        <w:t> </w:t>
      </w:r>
      <w:r w:rsidRPr="00992F81">
        <w:rPr>
          <w:rFonts w:ascii="Times New Roman" w:hAnsi="Times New Roman"/>
        </w:rPr>
        <w:t>into account DAMSHEG's submissions, which drew attention to the fact that conditions to minimise Scope 3 emissions had not been imposed; and</w:t>
      </w:r>
      <w:r>
        <w:rPr>
          <w:rFonts w:ascii="Times New Roman" w:hAnsi="Times New Roman"/>
        </w:rPr>
        <w:t> </w:t>
      </w:r>
      <w:r w:rsidRPr="00992F81">
        <w:rPr>
          <w:rFonts w:ascii="Times New Roman" w:hAnsi="Times New Roman"/>
        </w:rPr>
        <w:t>(5)</w:t>
      </w:r>
      <w:r>
        <w:rPr>
          <w:rFonts w:ascii="Times New Roman" w:hAnsi="Times New Roman"/>
        </w:rPr>
        <w:t> </w:t>
      </w:r>
      <w:r w:rsidRPr="00992F81">
        <w:rPr>
          <w:rFonts w:ascii="Times New Roman" w:hAnsi="Times New Roman"/>
        </w:rPr>
        <w:t xml:space="preserve">reasoned </w:t>
      </w:r>
      <w:r w:rsidRPr="00992F81" w:rsidDel="00992AD6">
        <w:rPr>
          <w:rFonts w:ascii="Times New Roman" w:hAnsi="Times New Roman"/>
        </w:rPr>
        <w:t>in a manner that was unsurprising</w:t>
      </w:r>
      <w:r w:rsidRPr="00992F81">
        <w:rPr>
          <w:rFonts w:ascii="Times New Roman" w:hAnsi="Times New Roman"/>
        </w:rPr>
        <w:t xml:space="preserve"> </w:t>
      </w:r>
      <w:r w:rsidRPr="00992F81" w:rsidDel="006B012A">
        <w:rPr>
          <w:rFonts w:ascii="Times New Roman" w:hAnsi="Times New Roman"/>
        </w:rPr>
        <w:t xml:space="preserve">given </w:t>
      </w:r>
      <w:r w:rsidRPr="00992F81">
        <w:rPr>
          <w:rFonts w:ascii="Times New Roman" w:hAnsi="Times New Roman"/>
        </w:rPr>
        <w:t>no conditions to minimise Scope 3 emissions were proposed.</w:t>
      </w:r>
    </w:p>
    <w:p w14:paraId="57CB045B" w14:textId="77777777" w:rsidR="004D2653" w:rsidRPr="00992F81" w:rsidRDefault="004D2653" w:rsidP="00992F81">
      <w:pPr>
        <w:pStyle w:val="HeadingL2"/>
        <w:spacing w:after="260" w:line="280" w:lineRule="exact"/>
        <w:ind w:right="0"/>
        <w:jc w:val="both"/>
        <w:rPr>
          <w:rFonts w:ascii="Times New Roman" w:hAnsi="Times New Roman"/>
        </w:rPr>
      </w:pPr>
      <w:r w:rsidRPr="00992F81">
        <w:rPr>
          <w:rFonts w:ascii="Times New Roman" w:hAnsi="Times New Roman"/>
        </w:rPr>
        <w:t>Commission did not consider imposing conditions on Scope 3 emissions</w:t>
      </w:r>
    </w:p>
    <w:p w14:paraId="2272F59F" w14:textId="77777777" w:rsidR="004D2653" w:rsidRPr="00992F81" w:rsidRDefault="004D2653" w:rsidP="00992F81">
      <w:pPr>
        <w:pStyle w:val="FixListStyle"/>
        <w:spacing w:after="260" w:line="280" w:lineRule="exact"/>
        <w:ind w:right="0"/>
        <w:jc w:val="both"/>
        <w:rPr>
          <w:rFonts w:ascii="Times New Roman" w:hAnsi="Times New Roman"/>
        </w:rPr>
      </w:pPr>
      <w:r w:rsidRPr="00992F81">
        <w:rPr>
          <w:rFonts w:ascii="Times New Roman" w:hAnsi="Times New Roman"/>
        </w:rPr>
        <w:tab/>
        <w:t xml:space="preserve">The Commission was required to consider imposing conditions to minimise to the greatest extent practicable all greenhouse gas emissions, including Scope 3 </w:t>
      </w:r>
      <w:r w:rsidRPr="00992F81">
        <w:rPr>
          <w:rFonts w:ascii="Times New Roman" w:hAnsi="Times New Roman"/>
        </w:rPr>
        <w:lastRenderedPageBreak/>
        <w:t>emissions, being those emissions identified in MACH's EIS.</w:t>
      </w:r>
      <w:r w:rsidRPr="00992F81">
        <w:rPr>
          <w:rStyle w:val="FootnoteReference"/>
          <w:rFonts w:ascii="Times New Roman" w:hAnsi="Times New Roman"/>
          <w:sz w:val="24"/>
        </w:rPr>
        <w:footnoteReference w:id="103"/>
      </w:r>
      <w:r w:rsidRPr="00992F81">
        <w:rPr>
          <w:rFonts w:ascii="Times New Roman" w:hAnsi="Times New Roman"/>
        </w:rPr>
        <w:t xml:space="preserve"> The Commission did not. Specifically, it failed to consider whether to impose conditions to minimise to the greatest extent practicable Scope 3 emissions. There is no basis upon which it may be inferred that the Commission considered that issue. DAMSHEG</w:t>
      </w:r>
      <w:r>
        <w:rPr>
          <w:rFonts w:ascii="Times New Roman" w:hAnsi="Times New Roman"/>
        </w:rPr>
        <w:t> </w:t>
      </w:r>
      <w:r w:rsidRPr="00992F81">
        <w:rPr>
          <w:rFonts w:ascii="Times New Roman" w:hAnsi="Times New Roman"/>
        </w:rPr>
        <w:t xml:space="preserve">discharged the onus of establishing that the Commission failed to consider imposing conditions to minimise Scope 3 emissions to the greatest extent practicable. That error was "material" in the sense that there was a realistic possibility that the decision that was in fact made </w:t>
      </w:r>
      <w:r w:rsidRPr="00992F81">
        <w:rPr>
          <w:rFonts w:ascii="Times New Roman" w:hAnsi="Times New Roman"/>
          <w:i/>
          <w:iCs/>
        </w:rPr>
        <w:t>could</w:t>
      </w:r>
      <w:r w:rsidRPr="00992F81">
        <w:rPr>
          <w:rFonts w:ascii="Times New Roman" w:hAnsi="Times New Roman"/>
        </w:rPr>
        <w:t xml:space="preserve"> have been different if the</w:t>
      </w:r>
      <w:r>
        <w:rPr>
          <w:rFonts w:ascii="Times New Roman" w:hAnsi="Times New Roman"/>
        </w:rPr>
        <w:t> </w:t>
      </w:r>
      <w:r w:rsidRPr="00992F81">
        <w:rPr>
          <w:rFonts w:ascii="Times New Roman" w:hAnsi="Times New Roman"/>
        </w:rPr>
        <w:t>error had not occurred.</w:t>
      </w:r>
      <w:r w:rsidRPr="00992F81">
        <w:rPr>
          <w:rStyle w:val="FootnoteReference"/>
          <w:rFonts w:ascii="Times New Roman" w:hAnsi="Times New Roman"/>
          <w:sz w:val="24"/>
        </w:rPr>
        <w:footnoteReference w:id="104"/>
      </w:r>
      <w:r w:rsidRPr="00992F81">
        <w:rPr>
          <w:rFonts w:ascii="Times New Roman" w:hAnsi="Times New Roman"/>
        </w:rPr>
        <w:t xml:space="preserve"> Each of those steps requires explanation.</w:t>
      </w:r>
    </w:p>
    <w:p w14:paraId="2F459115" w14:textId="77777777" w:rsidR="004D2653" w:rsidRPr="00992F81" w:rsidRDefault="004D2653" w:rsidP="00992F81">
      <w:pPr>
        <w:pStyle w:val="HeadingL3"/>
        <w:spacing w:after="260" w:line="280" w:lineRule="exact"/>
        <w:ind w:right="0"/>
        <w:jc w:val="both"/>
        <w:rPr>
          <w:rFonts w:ascii="Times New Roman" w:hAnsi="Times New Roman"/>
        </w:rPr>
      </w:pPr>
      <w:r w:rsidRPr="00992F81">
        <w:rPr>
          <w:rFonts w:ascii="Times New Roman" w:hAnsi="Times New Roman"/>
        </w:rPr>
        <w:t>Statutory construction</w:t>
      </w:r>
    </w:p>
    <w:p w14:paraId="1ADB8E93" w14:textId="77777777" w:rsidR="004D2653" w:rsidRPr="00992F81" w:rsidRDefault="004D2653" w:rsidP="00992F81">
      <w:pPr>
        <w:pStyle w:val="FixListStyle"/>
        <w:spacing w:after="260" w:line="280" w:lineRule="exact"/>
        <w:ind w:right="0"/>
        <w:jc w:val="both"/>
        <w:rPr>
          <w:rFonts w:ascii="Times New Roman" w:hAnsi="Times New Roman"/>
        </w:rPr>
      </w:pPr>
      <w:bookmarkStart w:id="9" w:name="_Ref231974725"/>
      <w:r w:rsidRPr="00992F81">
        <w:rPr>
          <w:rFonts w:ascii="Times New Roman" w:hAnsi="Times New Roman"/>
        </w:rPr>
        <w:tab/>
        <w:t>Clause 2.20(1)(c) imposes an obligation to "consider whether or not the</w:t>
      </w:r>
      <w:r>
        <w:rPr>
          <w:rFonts w:ascii="Times New Roman" w:hAnsi="Times New Roman"/>
        </w:rPr>
        <w:t> </w:t>
      </w:r>
      <w:r w:rsidRPr="00992F81">
        <w:rPr>
          <w:rFonts w:ascii="Times New Roman" w:hAnsi="Times New Roman"/>
        </w:rPr>
        <w:t>consent should be issued subject to conditions aimed at ensuring ... that</w:t>
      </w:r>
      <w:r>
        <w:rPr>
          <w:rFonts w:ascii="Times New Roman" w:hAnsi="Times New Roman"/>
        </w:rPr>
        <w:t> </w:t>
      </w:r>
      <w:r w:rsidRPr="00992F81">
        <w:rPr>
          <w:rFonts w:ascii="Times New Roman" w:hAnsi="Times New Roman"/>
        </w:rPr>
        <w:t>greenhouse gas emissions are minimised to the greatest extent practicable".</w:t>
      </w:r>
      <w:bookmarkEnd w:id="9"/>
      <w:r w:rsidRPr="00992F81">
        <w:rPr>
          <w:rFonts w:ascii="Times New Roman" w:hAnsi="Times New Roman"/>
        </w:rPr>
        <w:t xml:space="preserve"> That obligation formed part of the Commission's task under s 4.15(1)(a) of the</w:t>
      </w:r>
      <w:r>
        <w:rPr>
          <w:rFonts w:ascii="Times New Roman" w:hAnsi="Times New Roman"/>
        </w:rPr>
        <w:t> </w:t>
      </w:r>
      <w:r w:rsidRPr="00992F81">
        <w:rPr>
          <w:rFonts w:ascii="Times New Roman" w:hAnsi="Times New Roman"/>
        </w:rPr>
        <w:t>EPA Act. Under s 4.15(1)(a), the Commission was required to "take into consideration" the provisions of the Resources SEPP, one of which was cl 2.20(1)(c). Accordingly, the Commission was required to consider issuing the</w:t>
      </w:r>
      <w:r>
        <w:rPr>
          <w:rFonts w:ascii="Times New Roman" w:hAnsi="Times New Roman"/>
        </w:rPr>
        <w:t> </w:t>
      </w:r>
      <w:r w:rsidRPr="00992F81">
        <w:rPr>
          <w:rFonts w:ascii="Times New Roman" w:hAnsi="Times New Roman"/>
        </w:rPr>
        <w:t xml:space="preserve">consent subject to conditions aimed at ensuring "that greenhouse gas emissions are minimised to the greatest extent practicable". To so find does not involve treating the provisions of the Resources SEPP as a "binding statute", but rather involves applying the statute to identify the scope of the Commission's task. In this case, the scope of the Commission's task must be identified by a process of construing the terms of cl 2.20(1)(c). </w:t>
      </w:r>
      <w:bookmarkStart w:id="10" w:name="_Ref231985845"/>
    </w:p>
    <w:bookmarkEnd w:id="10"/>
    <w:p w14:paraId="73F95CDD" w14:textId="77777777" w:rsidR="004D2653" w:rsidRPr="00992F81" w:rsidRDefault="004D2653" w:rsidP="00992F81">
      <w:pPr>
        <w:pStyle w:val="FixListStyle"/>
        <w:spacing w:after="260" w:line="280" w:lineRule="exact"/>
        <w:ind w:right="0"/>
        <w:jc w:val="both"/>
        <w:rPr>
          <w:rFonts w:ascii="Times New Roman" w:hAnsi="Times New Roman"/>
        </w:rPr>
      </w:pPr>
      <w:r w:rsidRPr="00992F81">
        <w:rPr>
          <w:rFonts w:ascii="Times New Roman" w:hAnsi="Times New Roman"/>
        </w:rPr>
        <w:tab/>
      </w:r>
      <w:r w:rsidRPr="00992F81" w:rsidDel="009436FF">
        <w:rPr>
          <w:rFonts w:ascii="Times New Roman" w:hAnsi="Times New Roman"/>
        </w:rPr>
        <w:t>The ordinary meaning of "greenhouse gas emissions" in cl 2.20(1)(c) includes all greenhouse gas emissions regardless of how they are categorised, described or counted.</w:t>
      </w:r>
      <w:r w:rsidRPr="00992F81">
        <w:rPr>
          <w:rFonts w:ascii="Times New Roman" w:hAnsi="Times New Roman"/>
        </w:rPr>
        <w:t xml:space="preserve"> </w:t>
      </w:r>
      <w:r w:rsidRPr="00992F81" w:rsidDel="009436FF">
        <w:rPr>
          <w:rFonts w:ascii="Times New Roman" w:hAnsi="Times New Roman"/>
        </w:rPr>
        <w:t>That is confirmed by the reference to "downstream</w:t>
      </w:r>
      <w:r>
        <w:rPr>
          <w:rFonts w:ascii="Times New Roman" w:hAnsi="Times New Roman"/>
        </w:rPr>
        <w:t> </w:t>
      </w:r>
      <w:r w:rsidRPr="00992F81" w:rsidDel="009436FF">
        <w:rPr>
          <w:rFonts w:ascii="Times New Roman" w:hAnsi="Times New Roman"/>
        </w:rPr>
        <w:t>emissions" in cl 2.20(2).</w:t>
      </w:r>
      <w:r w:rsidRPr="00992F81">
        <w:rPr>
          <w:rFonts w:ascii="Times New Roman" w:hAnsi="Times New Roman"/>
        </w:rPr>
        <w:t xml:space="preserve"> </w:t>
      </w:r>
      <w:r w:rsidRPr="00992F81" w:rsidDel="009436FF">
        <w:rPr>
          <w:rFonts w:ascii="Times New Roman" w:hAnsi="Times New Roman"/>
        </w:rPr>
        <w:t xml:space="preserve">The opening words of cl 2.20(2) specify that it operates "[w]ithout limiting </w:t>
      </w:r>
      <w:r w:rsidRPr="00992F81">
        <w:rPr>
          <w:rFonts w:ascii="Times New Roman" w:hAnsi="Times New Roman"/>
        </w:rPr>
        <w:t>[cl 2.20(1)]</w:t>
      </w:r>
      <w:r w:rsidRPr="00992F81" w:rsidDel="009436FF">
        <w:rPr>
          <w:rFonts w:ascii="Times New Roman" w:hAnsi="Times New Roman"/>
        </w:rPr>
        <w:t xml:space="preserve">" </w:t>
      </w:r>
      <w:r w:rsidRPr="00992F81">
        <w:rPr>
          <w:rFonts w:ascii="Times New Roman" w:hAnsi="Times New Roman"/>
        </w:rPr>
        <w:t>and</w:t>
      </w:r>
      <w:r w:rsidRPr="00992F81" w:rsidDel="009436FF">
        <w:rPr>
          <w:rFonts w:ascii="Times New Roman" w:hAnsi="Times New Roman"/>
        </w:rPr>
        <w:t xml:space="preserve"> </w:t>
      </w:r>
      <w:r w:rsidRPr="00992F81">
        <w:rPr>
          <w:rFonts w:ascii="Times New Roman" w:hAnsi="Times New Roman"/>
        </w:rPr>
        <w:t>t</w:t>
      </w:r>
      <w:r w:rsidRPr="00992F81" w:rsidDel="009436FF">
        <w:rPr>
          <w:rFonts w:ascii="Times New Roman" w:hAnsi="Times New Roman"/>
        </w:rPr>
        <w:t xml:space="preserve">he evident intention was that "greenhouse gas emissions" have the same meaning in both </w:t>
      </w:r>
      <w:r w:rsidRPr="00992F81">
        <w:rPr>
          <w:rFonts w:ascii="Times New Roman" w:hAnsi="Times New Roman"/>
        </w:rPr>
        <w:t>subclauses</w:t>
      </w:r>
      <w:r w:rsidRPr="00992F81" w:rsidDel="009436FF">
        <w:rPr>
          <w:rFonts w:ascii="Times New Roman" w:hAnsi="Times New Roman"/>
        </w:rPr>
        <w:t>.</w:t>
      </w:r>
      <w:r w:rsidRPr="00992F81" w:rsidDel="009436FF">
        <w:rPr>
          <w:rStyle w:val="FootnoteReference"/>
          <w:rFonts w:ascii="Times New Roman" w:hAnsi="Times New Roman"/>
          <w:sz w:val="24"/>
        </w:rPr>
        <w:footnoteReference w:id="105"/>
      </w:r>
      <w:r w:rsidRPr="00992F81">
        <w:rPr>
          <w:rFonts w:ascii="Times New Roman" w:hAnsi="Times New Roman"/>
        </w:rPr>
        <w:t xml:space="preserve"> </w:t>
      </w:r>
    </w:p>
    <w:p w14:paraId="406C84B8" w14:textId="77777777" w:rsidR="004D2653" w:rsidRPr="00992F81" w:rsidRDefault="004D2653" w:rsidP="00992F81">
      <w:pPr>
        <w:pStyle w:val="FixListStyle"/>
        <w:spacing w:after="260" w:line="280" w:lineRule="exact"/>
        <w:ind w:right="0"/>
        <w:jc w:val="both"/>
        <w:rPr>
          <w:rFonts w:ascii="Times New Roman" w:hAnsi="Times New Roman"/>
        </w:rPr>
      </w:pPr>
      <w:r w:rsidRPr="00992F81">
        <w:rPr>
          <w:rFonts w:ascii="Times New Roman" w:hAnsi="Times New Roman"/>
        </w:rPr>
        <w:tab/>
        <w:t xml:space="preserve">The Commission was required by s 4.15(1)(a) of the EPA Act, read with cl 2.20(1)(c) of the Resources SEPP, to consider whether to issue the consent subject to conditions to ensure that </w:t>
      </w:r>
      <w:r w:rsidRPr="00992F81">
        <w:rPr>
          <w:rFonts w:ascii="Times New Roman" w:hAnsi="Times New Roman"/>
          <w:i/>
          <w:iCs/>
        </w:rPr>
        <w:t xml:space="preserve">all </w:t>
      </w:r>
      <w:r w:rsidRPr="00992F81">
        <w:rPr>
          <w:rFonts w:ascii="Times New Roman" w:hAnsi="Times New Roman"/>
        </w:rPr>
        <w:t xml:space="preserve">greenhouse gas emissions of the Project were minimised to the greatest extent practicable. </w:t>
      </w:r>
      <w:bookmarkStart w:id="11" w:name="_Ref231974733"/>
      <w:bookmarkStart w:id="12" w:name="_Ref234308393"/>
      <w:r w:rsidRPr="00992F81" w:rsidDel="00FC464F">
        <w:rPr>
          <w:rFonts w:ascii="Times New Roman" w:hAnsi="Times New Roman"/>
        </w:rPr>
        <w:t xml:space="preserve">That construction </w:t>
      </w:r>
      <w:r w:rsidRPr="00992F81">
        <w:rPr>
          <w:rFonts w:ascii="Times New Roman" w:hAnsi="Times New Roman"/>
        </w:rPr>
        <w:t xml:space="preserve">of </w:t>
      </w:r>
      <w:r w:rsidRPr="00992F81">
        <w:rPr>
          <w:rFonts w:ascii="Times New Roman" w:hAnsi="Times New Roman"/>
        </w:rPr>
        <w:lastRenderedPageBreak/>
        <w:t>the</w:t>
      </w:r>
      <w:r>
        <w:rPr>
          <w:rFonts w:ascii="Times New Roman" w:hAnsi="Times New Roman"/>
        </w:rPr>
        <w:t> </w:t>
      </w:r>
      <w:r w:rsidRPr="00992F81">
        <w:rPr>
          <w:rFonts w:ascii="Times New Roman" w:hAnsi="Times New Roman"/>
        </w:rPr>
        <w:t xml:space="preserve">applicable provision </w:t>
      </w:r>
      <w:r w:rsidRPr="00992F81" w:rsidDel="00FC464F">
        <w:rPr>
          <w:rFonts w:ascii="Times New Roman" w:hAnsi="Times New Roman"/>
        </w:rPr>
        <w:t xml:space="preserve">is consistent with Preston CJ's interpretation of the words "greenhouse gas emissions" as "including Scope 1, 2 and 3 emissions" in cl 14(1) of the </w:t>
      </w:r>
      <w:r w:rsidRPr="00992F81">
        <w:rPr>
          <w:rFonts w:ascii="Times New Roman" w:hAnsi="Times New Roman"/>
          <w:i/>
        </w:rPr>
        <w:t>State Environmental Planning Policy (Mining, Petroleum Production and Extractive Industries) 2007</w:t>
      </w:r>
      <w:r w:rsidRPr="00992F81">
        <w:rPr>
          <w:rFonts w:ascii="Times New Roman" w:hAnsi="Times New Roman"/>
        </w:rPr>
        <w:t xml:space="preserve"> (NSW) ("the </w:t>
      </w:r>
      <w:r w:rsidRPr="00992F81" w:rsidDel="00FC464F">
        <w:rPr>
          <w:rFonts w:ascii="Times New Roman" w:hAnsi="Times New Roman"/>
        </w:rPr>
        <w:t>Mining</w:t>
      </w:r>
      <w:r w:rsidRPr="00992F81" w:rsidDel="00FC464F">
        <w:rPr>
          <w:rFonts w:ascii="Times New Roman" w:hAnsi="Times New Roman"/>
          <w:bCs/>
        </w:rPr>
        <w:t xml:space="preserve"> </w:t>
      </w:r>
      <w:r w:rsidRPr="00992F81" w:rsidDel="00FC464F">
        <w:rPr>
          <w:rFonts w:ascii="Times New Roman" w:hAnsi="Times New Roman"/>
        </w:rPr>
        <w:t>SEPP</w:t>
      </w:r>
      <w:r w:rsidRPr="00992F81">
        <w:rPr>
          <w:rFonts w:ascii="Times New Roman" w:hAnsi="Times New Roman"/>
        </w:rPr>
        <w:t>")</w:t>
      </w:r>
      <w:r w:rsidRPr="00992F81" w:rsidDel="00FC464F">
        <w:rPr>
          <w:rFonts w:ascii="Times New Roman" w:hAnsi="Times New Roman"/>
        </w:rPr>
        <w:t xml:space="preserve"> (the predecessor to cl</w:t>
      </w:r>
      <w:r>
        <w:rPr>
          <w:rFonts w:ascii="Times New Roman" w:hAnsi="Times New Roman"/>
        </w:rPr>
        <w:t> </w:t>
      </w:r>
      <w:r w:rsidRPr="00992F81" w:rsidDel="00FC464F">
        <w:rPr>
          <w:rFonts w:ascii="Times New Roman" w:hAnsi="Times New Roman"/>
        </w:rPr>
        <w:t xml:space="preserve">2.20(1)) in </w:t>
      </w:r>
      <w:r w:rsidRPr="00992F81" w:rsidDel="00FC464F">
        <w:rPr>
          <w:rFonts w:ascii="Times New Roman" w:hAnsi="Times New Roman"/>
          <w:i/>
          <w:iCs/>
        </w:rPr>
        <w:t>Mullaley Gas and Pipeline Accord Inc v Santos NSW (Eastern) Pty</w:t>
      </w:r>
      <w:r>
        <w:rPr>
          <w:rFonts w:ascii="Times New Roman" w:hAnsi="Times New Roman"/>
          <w:i/>
          <w:iCs/>
        </w:rPr>
        <w:t> </w:t>
      </w:r>
      <w:r w:rsidRPr="00992F81" w:rsidDel="00FC464F">
        <w:rPr>
          <w:rFonts w:ascii="Times New Roman" w:hAnsi="Times New Roman"/>
          <w:i/>
          <w:iCs/>
        </w:rPr>
        <w:t>Ltd</w:t>
      </w:r>
      <w:r w:rsidRPr="00992F81" w:rsidDel="00FC464F">
        <w:rPr>
          <w:rFonts w:ascii="Times New Roman" w:hAnsi="Times New Roman"/>
        </w:rPr>
        <w:t>.</w:t>
      </w:r>
      <w:r w:rsidRPr="00992F81" w:rsidDel="00FC464F">
        <w:rPr>
          <w:rStyle w:val="FootnoteReference"/>
          <w:rFonts w:ascii="Times New Roman" w:hAnsi="Times New Roman"/>
          <w:sz w:val="24"/>
        </w:rPr>
        <w:footnoteReference w:id="106"/>
      </w:r>
      <w:bookmarkEnd w:id="11"/>
      <w:r w:rsidRPr="00992F81" w:rsidDel="00FC464F">
        <w:rPr>
          <w:rFonts w:ascii="Times New Roman" w:hAnsi="Times New Roman"/>
          <w:b/>
          <w:bCs/>
        </w:rPr>
        <w:t xml:space="preserve"> </w:t>
      </w:r>
      <w:bookmarkEnd w:id="12"/>
    </w:p>
    <w:p w14:paraId="1E2C5931" w14:textId="77777777" w:rsidR="004D2653" w:rsidRPr="00992F81" w:rsidRDefault="004D2653" w:rsidP="00992F81">
      <w:pPr>
        <w:pStyle w:val="FixListStyle"/>
        <w:spacing w:after="260" w:line="280" w:lineRule="exact"/>
        <w:ind w:right="0"/>
        <w:jc w:val="both"/>
        <w:rPr>
          <w:rFonts w:ascii="Times New Roman" w:hAnsi="Times New Roman"/>
        </w:rPr>
      </w:pPr>
      <w:r w:rsidRPr="00992F81">
        <w:rPr>
          <w:rFonts w:ascii="Times New Roman" w:hAnsi="Times New Roman"/>
        </w:rPr>
        <w:tab/>
        <w:t xml:space="preserve">The requirement that the Commission </w:t>
      </w:r>
      <w:r w:rsidRPr="00992F81">
        <w:rPr>
          <w:rFonts w:ascii="Times New Roman" w:hAnsi="Times New Roman"/>
          <w:i/>
          <w:iCs/>
        </w:rPr>
        <w:t>consider</w:t>
      </w:r>
      <w:r w:rsidRPr="00992F81">
        <w:rPr>
          <w:rFonts w:ascii="Times New Roman" w:hAnsi="Times New Roman"/>
        </w:rPr>
        <w:t xml:space="preserve"> imposing conditions to ensure that greenhouse gas emissions are minimised </w:t>
      </w:r>
      <w:r w:rsidRPr="00992F81">
        <w:rPr>
          <w:rFonts w:ascii="Times New Roman" w:hAnsi="Times New Roman"/>
          <w:i/>
        </w:rPr>
        <w:t>to the greatest extent practicable</w:t>
      </w:r>
      <w:r w:rsidRPr="00992F81">
        <w:rPr>
          <w:rFonts w:ascii="Times New Roman" w:hAnsi="Times New Roman"/>
        </w:rPr>
        <w:t xml:space="preserve"> recognises that the imposition of such conditions will not always be possible or desirable. In </w:t>
      </w:r>
      <w:r w:rsidRPr="00992F81">
        <w:rPr>
          <w:rFonts w:ascii="Times New Roman" w:hAnsi="Times New Roman"/>
          <w:i/>
          <w:iCs/>
        </w:rPr>
        <w:t>Mullaley</w:t>
      </w:r>
      <w:r w:rsidRPr="00992F81">
        <w:rPr>
          <w:rFonts w:ascii="Times New Roman" w:hAnsi="Times New Roman"/>
        </w:rPr>
        <w:t>, for example, the Commission approved an</w:t>
      </w:r>
      <w:r>
        <w:rPr>
          <w:rFonts w:ascii="Times New Roman" w:hAnsi="Times New Roman"/>
        </w:rPr>
        <w:t> </w:t>
      </w:r>
      <w:r w:rsidRPr="00992F81">
        <w:rPr>
          <w:rFonts w:ascii="Times New Roman" w:hAnsi="Times New Roman"/>
        </w:rPr>
        <w:t>application for development consent for the development of a new coal seam gas field but decided not to</w:t>
      </w:r>
      <w:r w:rsidRPr="00992F81" w:rsidDel="00FC464F">
        <w:rPr>
          <w:rFonts w:ascii="Times New Roman" w:hAnsi="Times New Roman"/>
        </w:rPr>
        <w:t xml:space="preserve"> impose conditions to minimise Scope 3 emissions</w:t>
      </w:r>
      <w:r w:rsidRPr="00992F81">
        <w:rPr>
          <w:rFonts w:ascii="Times New Roman" w:hAnsi="Times New Roman"/>
        </w:rPr>
        <w:t xml:space="preserve"> on the basis that "the Commission's view is that these emissions are outside the direct control of the Applicant and therefore not able to be reasonably conditioned".</w:t>
      </w:r>
      <w:r w:rsidRPr="00992F81">
        <w:rPr>
          <w:rStyle w:val="FootnoteReference"/>
          <w:rFonts w:ascii="Times New Roman" w:hAnsi="Times New Roman"/>
          <w:sz w:val="24"/>
        </w:rPr>
        <w:footnoteReference w:id="107"/>
      </w:r>
      <w:r w:rsidRPr="00992F81">
        <w:rPr>
          <w:rFonts w:ascii="Times New Roman" w:hAnsi="Times New Roman"/>
        </w:rPr>
        <w:t xml:space="preserve"> Before reaching this conclusion, the Commission had sought clarification from the</w:t>
      </w:r>
      <w:r>
        <w:rPr>
          <w:rFonts w:ascii="Times New Roman" w:hAnsi="Times New Roman"/>
        </w:rPr>
        <w:t> </w:t>
      </w:r>
      <w:r w:rsidRPr="00992F81">
        <w:rPr>
          <w:rFonts w:ascii="Times New Roman" w:hAnsi="Times New Roman"/>
        </w:rPr>
        <w:t>Department on this issue and the Department had provided a written response.</w:t>
      </w:r>
      <w:r w:rsidRPr="00992F81" w:rsidDel="00FC464F">
        <w:rPr>
          <w:rStyle w:val="FootnoteReference"/>
          <w:rFonts w:ascii="Times New Roman" w:hAnsi="Times New Roman"/>
          <w:sz w:val="24"/>
        </w:rPr>
        <w:footnoteReference w:id="108"/>
      </w:r>
      <w:r w:rsidRPr="00992F81">
        <w:rPr>
          <w:rFonts w:ascii="Times New Roman" w:hAnsi="Times New Roman"/>
        </w:rPr>
        <w:t xml:space="preserve"> </w:t>
      </w:r>
      <w:r w:rsidRPr="00992F81" w:rsidDel="00FC464F">
        <w:rPr>
          <w:rFonts w:ascii="Times New Roman" w:hAnsi="Times New Roman"/>
        </w:rPr>
        <w:t xml:space="preserve">Preston CJ </w:t>
      </w:r>
      <w:r w:rsidRPr="00992F81">
        <w:rPr>
          <w:rFonts w:ascii="Times New Roman" w:hAnsi="Times New Roman"/>
        </w:rPr>
        <w:t xml:space="preserve">found </w:t>
      </w:r>
      <w:r w:rsidRPr="00992F81" w:rsidDel="00FC464F">
        <w:rPr>
          <w:rFonts w:ascii="Times New Roman" w:hAnsi="Times New Roman"/>
        </w:rPr>
        <w:t>that the</w:t>
      </w:r>
      <w:r w:rsidRPr="00992F81" w:rsidDel="00FC464F">
        <w:rPr>
          <w:rFonts w:ascii="Times New Roman" w:hAnsi="Times New Roman"/>
          <w:i/>
          <w:iCs/>
        </w:rPr>
        <w:t xml:space="preserve"> </w:t>
      </w:r>
      <w:r w:rsidRPr="00992F81" w:rsidDel="00FC464F">
        <w:rPr>
          <w:rFonts w:ascii="Times New Roman" w:hAnsi="Times New Roman"/>
        </w:rPr>
        <w:t>Commission had complied with cl</w:t>
      </w:r>
      <w:r w:rsidRPr="00992F81">
        <w:rPr>
          <w:rFonts w:ascii="Times New Roman" w:hAnsi="Times New Roman"/>
        </w:rPr>
        <w:t> </w:t>
      </w:r>
      <w:r w:rsidRPr="00992F81" w:rsidDel="00FC464F">
        <w:rPr>
          <w:rFonts w:ascii="Times New Roman" w:hAnsi="Times New Roman"/>
        </w:rPr>
        <w:t>14(1)</w:t>
      </w:r>
      <w:r w:rsidRPr="00992F81">
        <w:rPr>
          <w:rFonts w:ascii="Times New Roman" w:hAnsi="Times New Roman"/>
        </w:rPr>
        <w:t>(c)</w:t>
      </w:r>
      <w:r w:rsidRPr="00992F81" w:rsidDel="00FC464F">
        <w:rPr>
          <w:rFonts w:ascii="Times New Roman" w:hAnsi="Times New Roman"/>
        </w:rPr>
        <w:t xml:space="preserve"> of the Mining SEPP</w:t>
      </w:r>
      <w:r w:rsidRPr="00992F81">
        <w:rPr>
          <w:rFonts w:ascii="Times New Roman" w:hAnsi="Times New Roman"/>
        </w:rPr>
        <w:t xml:space="preserve">, even though it had decided not to </w:t>
      </w:r>
      <w:r w:rsidRPr="00992F81" w:rsidDel="00FC464F">
        <w:rPr>
          <w:rFonts w:ascii="Times New Roman" w:hAnsi="Times New Roman"/>
        </w:rPr>
        <w:t>impose conditions to minimise Scope 3 emissions</w:t>
      </w:r>
      <w:r w:rsidRPr="00992F81">
        <w:rPr>
          <w:rFonts w:ascii="Times New Roman" w:hAnsi="Times New Roman"/>
        </w:rPr>
        <w:t xml:space="preserve">; what was critical was that the Commission had </w:t>
      </w:r>
      <w:r w:rsidRPr="00992F81">
        <w:rPr>
          <w:rFonts w:ascii="Times New Roman" w:hAnsi="Times New Roman"/>
          <w:i/>
          <w:iCs/>
        </w:rPr>
        <w:t xml:space="preserve">considered </w:t>
      </w:r>
      <w:r w:rsidRPr="00992F81">
        <w:rPr>
          <w:rFonts w:ascii="Times New Roman" w:hAnsi="Times New Roman"/>
        </w:rPr>
        <w:t>imposing such conditions.</w:t>
      </w:r>
      <w:r w:rsidRPr="00992F81" w:rsidDel="00FC464F">
        <w:rPr>
          <w:rStyle w:val="FootnoteReference"/>
          <w:rFonts w:ascii="Times New Roman" w:hAnsi="Times New Roman"/>
          <w:sz w:val="24"/>
        </w:rPr>
        <w:footnoteReference w:id="109"/>
      </w:r>
      <w:r w:rsidRPr="00992F81" w:rsidDel="00FC464F">
        <w:rPr>
          <w:rFonts w:ascii="Times New Roman" w:hAnsi="Times New Roman"/>
        </w:rPr>
        <w:t xml:space="preserve"> </w:t>
      </w:r>
      <w:bookmarkStart w:id="13" w:name="_Ref234490465"/>
    </w:p>
    <w:p w14:paraId="2666782E" w14:textId="77777777" w:rsidR="004D2653" w:rsidRPr="00992F81" w:rsidRDefault="004D2653" w:rsidP="00992F81">
      <w:pPr>
        <w:pStyle w:val="FixListStyle"/>
        <w:spacing w:after="260" w:line="280" w:lineRule="exact"/>
        <w:ind w:right="0"/>
        <w:jc w:val="both"/>
        <w:rPr>
          <w:rFonts w:ascii="Times New Roman" w:hAnsi="Times New Roman"/>
        </w:rPr>
      </w:pPr>
      <w:r w:rsidRPr="00992F81">
        <w:rPr>
          <w:rFonts w:ascii="Times New Roman" w:hAnsi="Times New Roman"/>
        </w:rPr>
        <w:tab/>
        <w:t>The obligation to "consider" issuing the consent subject to conditions aimed at ensuring that greenhouse gas emissions are minimised to the greatest extent practicable is an obligation to engage in "'an active intellectual process' directed at the information".</w:t>
      </w:r>
      <w:r w:rsidRPr="00992F81">
        <w:rPr>
          <w:rStyle w:val="FootnoteReference"/>
          <w:rFonts w:ascii="Times New Roman" w:hAnsi="Times New Roman"/>
          <w:sz w:val="24"/>
        </w:rPr>
        <w:footnoteReference w:id="110"/>
      </w:r>
      <w:r w:rsidRPr="00992F81">
        <w:rPr>
          <w:rFonts w:ascii="Times New Roman" w:hAnsi="Times New Roman"/>
        </w:rPr>
        <w:t xml:space="preserve"> Of course, that label "does not invite a court to undertake any form of review of the merits of a decision".</w:t>
      </w:r>
      <w:r w:rsidRPr="00992F81">
        <w:rPr>
          <w:rStyle w:val="FootnoteReference"/>
          <w:rFonts w:ascii="Times New Roman" w:hAnsi="Times New Roman"/>
          <w:sz w:val="24"/>
        </w:rPr>
        <w:footnoteReference w:id="111"/>
      </w:r>
    </w:p>
    <w:bookmarkEnd w:id="13"/>
    <w:p w14:paraId="441D4C36" w14:textId="77777777" w:rsidR="004D2653" w:rsidRPr="00992F81" w:rsidRDefault="004D2653" w:rsidP="00992F81">
      <w:pPr>
        <w:pStyle w:val="HeadingL3"/>
        <w:spacing w:after="260" w:line="280" w:lineRule="exact"/>
        <w:ind w:right="0"/>
        <w:jc w:val="both"/>
        <w:rPr>
          <w:rFonts w:ascii="Times New Roman" w:hAnsi="Times New Roman"/>
        </w:rPr>
      </w:pPr>
      <w:r w:rsidRPr="00992F81">
        <w:rPr>
          <w:rFonts w:ascii="Times New Roman" w:hAnsi="Times New Roman"/>
        </w:rPr>
        <w:lastRenderedPageBreak/>
        <w:t>What the Commission did and did not consider</w:t>
      </w:r>
    </w:p>
    <w:p w14:paraId="330182BE" w14:textId="77777777" w:rsidR="004D2653" w:rsidRPr="00992F81" w:rsidRDefault="004D2653" w:rsidP="00992F81">
      <w:pPr>
        <w:pStyle w:val="FixListStyle"/>
        <w:spacing w:after="260" w:line="280" w:lineRule="exact"/>
        <w:ind w:right="0"/>
        <w:jc w:val="both"/>
        <w:rPr>
          <w:rFonts w:ascii="Times New Roman" w:hAnsi="Times New Roman"/>
        </w:rPr>
      </w:pPr>
      <w:bookmarkStart w:id="14" w:name="_Ref228440049"/>
      <w:r w:rsidRPr="00992F81">
        <w:rPr>
          <w:rFonts w:ascii="Times New Roman" w:hAnsi="Times New Roman"/>
        </w:rPr>
        <w:tab/>
        <w:t>DAMSHEG, as the party seeking to establish jurisdictional error, bears</w:t>
      </w:r>
      <w:r>
        <w:rPr>
          <w:rFonts w:ascii="Times New Roman" w:hAnsi="Times New Roman"/>
        </w:rPr>
        <w:t> </w:t>
      </w:r>
      <w:r w:rsidRPr="00992F81">
        <w:rPr>
          <w:rFonts w:ascii="Times New Roman" w:hAnsi="Times New Roman"/>
        </w:rPr>
        <w:t>the</w:t>
      </w:r>
      <w:r>
        <w:rPr>
          <w:rFonts w:ascii="Times New Roman" w:hAnsi="Times New Roman"/>
        </w:rPr>
        <w:t> </w:t>
      </w:r>
      <w:r w:rsidRPr="00992F81">
        <w:rPr>
          <w:rFonts w:ascii="Times New Roman" w:hAnsi="Times New Roman"/>
        </w:rPr>
        <w:t>onus, on the balance of probabilities, of proving that the Commission failed to take into consideration a mandatory consideration.</w:t>
      </w:r>
      <w:r w:rsidRPr="00992F81">
        <w:rPr>
          <w:rStyle w:val="FootnoteReference"/>
          <w:rFonts w:ascii="Times New Roman" w:hAnsi="Times New Roman"/>
          <w:sz w:val="24"/>
        </w:rPr>
        <w:footnoteReference w:id="112"/>
      </w:r>
      <w:r w:rsidRPr="00992F81">
        <w:rPr>
          <w:rFonts w:ascii="Times New Roman" w:hAnsi="Times New Roman"/>
        </w:rPr>
        <w:t xml:space="preserve"> </w:t>
      </w:r>
      <w:bookmarkStart w:id="15" w:name="_Ref231975120"/>
      <w:bookmarkEnd w:id="14"/>
    </w:p>
    <w:p w14:paraId="5C0185AB" w14:textId="77777777" w:rsidR="004D2653" w:rsidRPr="00992F81" w:rsidRDefault="004D2653" w:rsidP="00992F81">
      <w:pPr>
        <w:pStyle w:val="FixListStyle"/>
        <w:spacing w:after="260" w:line="280" w:lineRule="exact"/>
        <w:ind w:right="0"/>
        <w:jc w:val="both"/>
        <w:rPr>
          <w:rFonts w:ascii="Times New Roman" w:hAnsi="Times New Roman"/>
        </w:rPr>
      </w:pPr>
      <w:bookmarkStart w:id="16" w:name="_Ref231563513"/>
      <w:bookmarkEnd w:id="15"/>
      <w:r w:rsidRPr="00992F81">
        <w:rPr>
          <w:rFonts w:ascii="Times New Roman" w:hAnsi="Times New Roman"/>
        </w:rPr>
        <w:tab/>
      </w:r>
      <w:r w:rsidRPr="00881798">
        <w:rPr>
          <w:rFonts w:ascii="Times New Roman" w:hAnsi="Times New Roman"/>
          <w:spacing w:val="6"/>
        </w:rPr>
        <w:t>Clause 2.20(2) of the Resources SEPP imposes a requirement on the Commission "in determining a development application"</w:t>
      </w:r>
      <w:r>
        <w:rPr>
          <w:rFonts w:ascii="Times New Roman" w:hAnsi="Times New Roman"/>
          <w:spacing w:val="6"/>
        </w:rPr>
        <w:t xml:space="preserve"> </w:t>
      </w:r>
      <w:r w:rsidRPr="00881798">
        <w:rPr>
          <w:rFonts w:ascii="Times New Roman" w:hAnsi="Times New Roman"/>
          <w:spacing w:val="6"/>
        </w:rPr>
        <w:t>to</w:t>
      </w:r>
      <w:r>
        <w:rPr>
          <w:rFonts w:ascii="Times New Roman" w:hAnsi="Times New Roman"/>
          <w:spacing w:val="6"/>
        </w:rPr>
        <w:t> </w:t>
      </w:r>
      <w:r w:rsidRPr="00881798">
        <w:rPr>
          <w:rFonts w:ascii="Times New Roman" w:hAnsi="Times New Roman"/>
          <w:spacing w:val="6"/>
        </w:rPr>
        <w:t>"consider</w:t>
      </w:r>
      <w:r>
        <w:rPr>
          <w:rFonts w:ascii="Times New Roman" w:hAnsi="Times New Roman"/>
          <w:spacing w:val="6"/>
        </w:rPr>
        <w:t xml:space="preserve"> </w:t>
      </w:r>
      <w:r w:rsidRPr="00881798">
        <w:rPr>
          <w:rFonts w:ascii="Times New Roman" w:hAnsi="Times New Roman"/>
          <w:spacing w:val="6"/>
        </w:rPr>
        <w:t>an</w:t>
      </w:r>
      <w:r>
        <w:rPr>
          <w:rFonts w:ascii="Times New Roman" w:hAnsi="Times New Roman"/>
          <w:spacing w:val="6"/>
        </w:rPr>
        <w:t xml:space="preserve"> </w:t>
      </w:r>
      <w:r w:rsidRPr="00881798">
        <w:rPr>
          <w:rFonts w:ascii="Times New Roman" w:hAnsi="Times New Roman"/>
          <w:spacing w:val="6"/>
        </w:rPr>
        <w:t>assessment of the greenhouse gas emissions</w:t>
      </w:r>
      <w:r>
        <w:rPr>
          <w:rFonts w:ascii="Times New Roman" w:hAnsi="Times New Roman"/>
          <w:spacing w:val="6"/>
        </w:rPr>
        <w:t xml:space="preserve"> </w:t>
      </w:r>
      <w:r w:rsidRPr="00881798">
        <w:rPr>
          <w:rFonts w:ascii="Times New Roman" w:hAnsi="Times New Roman"/>
          <w:spacing w:val="6"/>
        </w:rPr>
        <w:t>(including downstream emissions) of the development ... having regard</w:t>
      </w:r>
      <w:r w:rsidRPr="00992F81">
        <w:rPr>
          <w:rFonts w:ascii="Times New Roman" w:hAnsi="Times New Roman"/>
        </w:rPr>
        <w:t xml:space="preserve"> to any applicable State or national policies, programs or guidelines concerning greenhouse gas emissions". Here, the</w:t>
      </w:r>
      <w:r>
        <w:rPr>
          <w:rFonts w:ascii="Times New Roman" w:hAnsi="Times New Roman"/>
        </w:rPr>
        <w:t> </w:t>
      </w:r>
      <w:r w:rsidRPr="00992F81">
        <w:rPr>
          <w:rFonts w:ascii="Times New Roman" w:hAnsi="Times New Roman"/>
        </w:rPr>
        <w:t>"assessment" was the GHG Assessment, summarised in Sections 7.21 and 8 of the EIS,</w:t>
      </w:r>
      <w:r w:rsidRPr="00992F81">
        <w:rPr>
          <w:rStyle w:val="FootnoteReference"/>
          <w:rFonts w:ascii="Times New Roman" w:hAnsi="Times New Roman"/>
          <w:sz w:val="24"/>
        </w:rPr>
        <w:footnoteReference w:id="113"/>
      </w:r>
      <w:r w:rsidRPr="00992F81">
        <w:rPr>
          <w:rFonts w:ascii="Times New Roman" w:hAnsi="Times New Roman"/>
        </w:rPr>
        <w:t xml:space="preserve"> which the Commission considered.</w:t>
      </w:r>
      <w:r w:rsidRPr="00992F81">
        <w:rPr>
          <w:rStyle w:val="FootnoteReference"/>
          <w:rFonts w:ascii="Times New Roman" w:hAnsi="Times New Roman"/>
          <w:sz w:val="24"/>
        </w:rPr>
        <w:footnoteReference w:id="114"/>
      </w:r>
      <w:r w:rsidRPr="00992F81">
        <w:rPr>
          <w:rFonts w:ascii="Times New Roman" w:hAnsi="Times New Roman"/>
        </w:rPr>
        <w:t xml:space="preserve"> </w:t>
      </w:r>
    </w:p>
    <w:p w14:paraId="4171D85F" w14:textId="77777777" w:rsidR="004D2653" w:rsidRPr="00992F81" w:rsidRDefault="004D2653" w:rsidP="00992F81">
      <w:pPr>
        <w:pStyle w:val="FixListStyle"/>
        <w:spacing w:after="260" w:line="280" w:lineRule="exact"/>
        <w:ind w:right="0"/>
        <w:jc w:val="both"/>
        <w:rPr>
          <w:rFonts w:ascii="Times New Roman" w:hAnsi="Times New Roman"/>
        </w:rPr>
      </w:pPr>
      <w:r w:rsidRPr="00992F81">
        <w:rPr>
          <w:rFonts w:ascii="Times New Roman" w:hAnsi="Times New Roman"/>
        </w:rPr>
        <w:tab/>
        <w:t>What the Commission did not consider, however, was the mandatory requirement in cl 2.20(1)(c) – whether to impose conditions to ensure that greenhouse gas emissions were minimised to the greatest extent practicable. In</w:t>
      </w:r>
      <w:r>
        <w:rPr>
          <w:rFonts w:ascii="Times New Roman" w:hAnsi="Times New Roman"/>
        </w:rPr>
        <w:t> </w:t>
      </w:r>
      <w:r w:rsidRPr="00992F81">
        <w:rPr>
          <w:rFonts w:ascii="Times New Roman" w:hAnsi="Times New Roman"/>
        </w:rPr>
        <w:t>sum, under cl 2.20(1)(c), the Commission did consider whether to impose conditions to ensure that Scope 1 and 2 emissions were minimised to the greatest extent practicable.</w:t>
      </w:r>
      <w:bookmarkEnd w:id="16"/>
      <w:r w:rsidRPr="00992F81">
        <w:rPr>
          <w:rFonts w:ascii="Times New Roman" w:hAnsi="Times New Roman"/>
        </w:rPr>
        <w:t xml:space="preserve"> The Commission did not consider whether to impose conditions to ensure that Scope 3 emissions were minimised to the greatest extent practicable. </w:t>
      </w:r>
    </w:p>
    <w:p w14:paraId="478699E4" w14:textId="77777777" w:rsidR="004D2653" w:rsidRPr="00992F81" w:rsidRDefault="004D2653" w:rsidP="00992F81">
      <w:pPr>
        <w:pStyle w:val="FixListStyle"/>
        <w:spacing w:after="260" w:line="280" w:lineRule="exact"/>
        <w:ind w:right="0"/>
        <w:jc w:val="both"/>
        <w:rPr>
          <w:rFonts w:ascii="Times New Roman" w:hAnsi="Times New Roman"/>
        </w:rPr>
      </w:pPr>
      <w:r w:rsidRPr="00992F81">
        <w:rPr>
          <w:rFonts w:ascii="Times New Roman" w:hAnsi="Times New Roman"/>
        </w:rPr>
        <w:tab/>
        <w:t>The imposition of conditions aimed at minimising Scope 1 and 2 emissions was not, in the circumstances of this case, sufficient to satisfy cl 2.20(1)(c), which</w:t>
      </w:r>
      <w:r>
        <w:rPr>
          <w:rFonts w:ascii="Times New Roman" w:hAnsi="Times New Roman"/>
        </w:rPr>
        <w:t> </w:t>
      </w:r>
      <w:r w:rsidRPr="00992F81">
        <w:rPr>
          <w:rFonts w:ascii="Times New Roman" w:hAnsi="Times New Roman"/>
        </w:rPr>
        <w:t xml:space="preserve">required the Commission to consider whether to impose conditions to minimise to the greatest extent practicable </w:t>
      </w:r>
      <w:r w:rsidRPr="00992F81">
        <w:rPr>
          <w:rFonts w:ascii="Times New Roman" w:hAnsi="Times New Roman"/>
          <w:i/>
          <w:iCs/>
        </w:rPr>
        <w:t xml:space="preserve">all </w:t>
      </w:r>
      <w:r w:rsidRPr="00992F81">
        <w:rPr>
          <w:rFonts w:ascii="Times New Roman" w:hAnsi="Times New Roman"/>
        </w:rPr>
        <w:t>greenhouse gas emissions of the</w:t>
      </w:r>
      <w:r>
        <w:rPr>
          <w:rFonts w:ascii="Times New Roman" w:hAnsi="Times New Roman"/>
        </w:rPr>
        <w:t> </w:t>
      </w:r>
      <w:r w:rsidRPr="00992F81">
        <w:rPr>
          <w:rFonts w:ascii="Times New Roman" w:hAnsi="Times New Roman"/>
        </w:rPr>
        <w:t>Project. In circumstances where Scope 3 emissions made up the vast majority (98 per cent) of the Project's total emissions and not only were identified but were within the "assessment boundary" for the Project,</w:t>
      </w:r>
      <w:r w:rsidRPr="00992F81">
        <w:rPr>
          <w:rStyle w:val="FootnoteReference"/>
          <w:rFonts w:ascii="Times New Roman" w:hAnsi="Times New Roman"/>
          <w:sz w:val="24"/>
        </w:rPr>
        <w:footnoteReference w:id="115"/>
      </w:r>
      <w:r w:rsidRPr="00992F81">
        <w:rPr>
          <w:rFonts w:ascii="Times New Roman" w:hAnsi="Times New Roman"/>
        </w:rPr>
        <w:t xml:space="preserve"> the Commission cannot be said to have discharged this obligation by considering only whether to impose conditions that minimised to the greatest extent practicable Scope 1 and 2 emissions – the remaining</w:t>
      </w:r>
      <w:r w:rsidRPr="00992F81" w:rsidDel="002547D8">
        <w:rPr>
          <w:rFonts w:ascii="Times New Roman" w:hAnsi="Times New Roman"/>
        </w:rPr>
        <w:t xml:space="preserve"> </w:t>
      </w:r>
      <w:r w:rsidRPr="00992F81">
        <w:rPr>
          <w:rFonts w:ascii="Times New Roman" w:hAnsi="Times New Roman"/>
        </w:rPr>
        <w:t xml:space="preserve">two per cent of the Project's emissions. </w:t>
      </w:r>
    </w:p>
    <w:p w14:paraId="11CA9074" w14:textId="77777777" w:rsidR="004D2653" w:rsidRPr="00992F81" w:rsidRDefault="004D2653" w:rsidP="00992F81">
      <w:pPr>
        <w:pStyle w:val="FixListStyle"/>
        <w:spacing w:after="260" w:line="280" w:lineRule="exact"/>
        <w:ind w:right="0"/>
        <w:jc w:val="both"/>
        <w:rPr>
          <w:rFonts w:ascii="Times New Roman" w:hAnsi="Times New Roman"/>
        </w:rPr>
      </w:pPr>
      <w:r w:rsidRPr="00992F81">
        <w:rPr>
          <w:rFonts w:ascii="Times New Roman" w:hAnsi="Times New Roman"/>
        </w:rPr>
        <w:tab/>
        <w:t xml:space="preserve">The Commission's failure to consider whether to impose conditions that minimised to the greatest extent practicable the Project's Scope 3 emissions is demonstrated by comparing the manner in which the Commission undertook its </w:t>
      </w:r>
      <w:r w:rsidRPr="00992F81">
        <w:rPr>
          <w:rFonts w:ascii="Times New Roman" w:hAnsi="Times New Roman"/>
        </w:rPr>
        <w:lastRenderedPageBreak/>
        <w:t>task in relation to the Project's Scope 1 and 2 emissions on the one hand, and</w:t>
      </w:r>
      <w:r>
        <w:rPr>
          <w:rFonts w:ascii="Times New Roman" w:hAnsi="Times New Roman"/>
        </w:rPr>
        <w:t> </w:t>
      </w:r>
      <w:r w:rsidRPr="00992F81">
        <w:rPr>
          <w:rFonts w:ascii="Times New Roman" w:hAnsi="Times New Roman"/>
        </w:rPr>
        <w:t>the</w:t>
      </w:r>
      <w:r>
        <w:rPr>
          <w:rFonts w:ascii="Times New Roman" w:hAnsi="Times New Roman"/>
        </w:rPr>
        <w:t> </w:t>
      </w:r>
      <w:r w:rsidRPr="00992F81">
        <w:rPr>
          <w:rFonts w:ascii="Times New Roman" w:hAnsi="Times New Roman"/>
        </w:rPr>
        <w:t xml:space="preserve">Project's Scope 3 emissions on the other. </w:t>
      </w:r>
    </w:p>
    <w:p w14:paraId="231476B4" w14:textId="77777777" w:rsidR="004D2653" w:rsidRPr="00992F81" w:rsidRDefault="004D2653" w:rsidP="00992F81">
      <w:pPr>
        <w:pStyle w:val="FixListStyle"/>
        <w:spacing w:after="260" w:line="280" w:lineRule="exact"/>
        <w:ind w:right="0"/>
        <w:jc w:val="both"/>
        <w:rPr>
          <w:rFonts w:ascii="Times New Roman" w:hAnsi="Times New Roman"/>
          <w:bCs/>
        </w:rPr>
      </w:pPr>
      <w:r w:rsidRPr="00992F81">
        <w:rPr>
          <w:rFonts w:ascii="Times New Roman" w:hAnsi="Times New Roman"/>
        </w:rPr>
        <w:tab/>
        <w:t>The conditions imposed on the consent by the Commission can be mapped onto the Project's Scope 1 and 2 emissions that were within the</w:t>
      </w:r>
      <w:r>
        <w:rPr>
          <w:rFonts w:ascii="Times New Roman" w:hAnsi="Times New Roman"/>
        </w:rPr>
        <w:t> </w:t>
      </w:r>
      <w:r w:rsidRPr="00992F81">
        <w:rPr>
          <w:rFonts w:ascii="Times New Roman" w:hAnsi="Times New Roman"/>
        </w:rPr>
        <w:t>"assessment</w:t>
      </w:r>
      <w:r>
        <w:rPr>
          <w:rFonts w:ascii="Times New Roman" w:hAnsi="Times New Roman"/>
        </w:rPr>
        <w:t> </w:t>
      </w:r>
      <w:r w:rsidRPr="00992F81">
        <w:rPr>
          <w:rFonts w:ascii="Times New Roman" w:hAnsi="Times New Roman"/>
        </w:rPr>
        <w:t xml:space="preserve">boundary" for the Project. There were both generally applicable conditions and specific source conditions. Generally applicable conditions included condition B31(a)(iii), which required MACH to take all reasonable and feasible steps to "improve energy efficiency and minimise Scope 1 and Scope 2 [greenhouse gas emissions]"; condition B32(d)(ii), which required MACH to prepare to the satisfaction of the Planning Secretary an Air Quality and Greenhouse Gas Management Plan which described measures to "minimise the development's Scope 1 and 2 [greenhouse gas emissions]" and "improve the development's energy efficiency"; </w:t>
      </w:r>
      <w:r w:rsidRPr="00992F81">
        <w:rPr>
          <w:rFonts w:ascii="Times New Roman" w:hAnsi="Times New Roman"/>
          <w:bCs/>
        </w:rPr>
        <w:t>and</w:t>
      </w:r>
      <w:r w:rsidRPr="00992F81">
        <w:rPr>
          <w:rFonts w:ascii="Times New Roman" w:hAnsi="Times New Roman"/>
          <w:b/>
          <w:bCs/>
        </w:rPr>
        <w:t xml:space="preserve"> </w:t>
      </w:r>
      <w:r w:rsidRPr="00992F81">
        <w:rPr>
          <w:rFonts w:ascii="Times New Roman" w:hAnsi="Times New Roman"/>
        </w:rPr>
        <w:t>condition B36, which required MACH to comply with performance measures for Scope 1 and 2 emissions limiting the annual carbon dioxide emissions for those emissions. Specific conditions were also</w:t>
      </w:r>
      <w:r w:rsidRPr="00992F81" w:rsidDel="00C1355B">
        <w:rPr>
          <w:rFonts w:ascii="Times New Roman" w:hAnsi="Times New Roman"/>
        </w:rPr>
        <w:t xml:space="preserve"> </w:t>
      </w:r>
      <w:r w:rsidRPr="00992F81">
        <w:rPr>
          <w:rFonts w:ascii="Times New Roman" w:hAnsi="Times New Roman"/>
        </w:rPr>
        <w:t>relevant to limiting Scope 1 emissions on site (for example, from the combustion of diesel),</w:t>
      </w:r>
      <w:r w:rsidRPr="00992F81">
        <w:rPr>
          <w:rStyle w:val="FootnoteReference"/>
          <w:rFonts w:ascii="Times New Roman" w:hAnsi="Times New Roman"/>
          <w:sz w:val="24"/>
        </w:rPr>
        <w:footnoteReference w:id="116"/>
      </w:r>
      <w:r w:rsidRPr="00992F81">
        <w:rPr>
          <w:rFonts w:ascii="Times New Roman" w:hAnsi="Times New Roman"/>
        </w:rPr>
        <w:t xml:space="preserve"> and the use of explosives.</w:t>
      </w:r>
      <w:r w:rsidRPr="00992F81">
        <w:rPr>
          <w:rStyle w:val="FootnoteReference"/>
          <w:rFonts w:ascii="Times New Roman" w:hAnsi="Times New Roman"/>
          <w:sz w:val="24"/>
        </w:rPr>
        <w:footnoteReference w:id="117"/>
      </w:r>
    </w:p>
    <w:p w14:paraId="631A9295" w14:textId="77777777" w:rsidR="004D2653" w:rsidRPr="00992F81" w:rsidRDefault="004D2653" w:rsidP="00992F81">
      <w:pPr>
        <w:pStyle w:val="FixListStyle"/>
        <w:spacing w:after="260" w:line="280" w:lineRule="exact"/>
        <w:ind w:right="0"/>
        <w:jc w:val="both"/>
        <w:rPr>
          <w:rFonts w:ascii="Times New Roman" w:hAnsi="Times New Roman"/>
        </w:rPr>
      </w:pPr>
      <w:r w:rsidRPr="00992F81">
        <w:rPr>
          <w:rFonts w:ascii="Times New Roman" w:hAnsi="Times New Roman"/>
        </w:rPr>
        <w:tab/>
        <w:t>The same mapping exercise cannot be undertaken in relation to the Project's Scope 3 emissions because there are no conditions that were imposed to minimise the Project's Scope 3 emissions. The Project's Scope 3 emissions within the</w:t>
      </w:r>
      <w:r>
        <w:rPr>
          <w:rFonts w:ascii="Times New Roman" w:hAnsi="Times New Roman"/>
        </w:rPr>
        <w:t> </w:t>
      </w:r>
      <w:r w:rsidRPr="00992F81">
        <w:rPr>
          <w:rFonts w:ascii="Times New Roman" w:hAnsi="Times New Roman"/>
        </w:rPr>
        <w:t>"assessment boundary" included both upstream and downstream emissions.</w:t>
      </w:r>
      <w:r w:rsidRPr="00992F81">
        <w:rPr>
          <w:rStyle w:val="FootnoteReference"/>
          <w:rFonts w:ascii="Times New Roman" w:hAnsi="Times New Roman"/>
          <w:sz w:val="24"/>
        </w:rPr>
        <w:footnoteReference w:id="118"/>
      </w:r>
      <w:r w:rsidRPr="00992F81">
        <w:rPr>
          <w:rFonts w:ascii="Times New Roman" w:hAnsi="Times New Roman"/>
        </w:rPr>
        <w:t xml:space="preserve"> The "significant majority of the Scope 3 emissions from the use of Project coal would occur overseas". In the context of a development application which was to extend the life of the mine by 22 years and significantly expand its operations, there is no basis to find that the Commission considered whether to impose conditions that minimised to the greatest extent practicable the Project's Scope 3 emissions. </w:t>
      </w:r>
    </w:p>
    <w:p w14:paraId="0D764B01" w14:textId="77777777" w:rsidR="004D2653" w:rsidRPr="00992F81" w:rsidRDefault="004D2653" w:rsidP="00992F81">
      <w:pPr>
        <w:pStyle w:val="FixListStyle"/>
        <w:spacing w:after="260" w:line="280" w:lineRule="exact"/>
        <w:ind w:right="0"/>
        <w:jc w:val="both"/>
        <w:rPr>
          <w:rFonts w:ascii="Times New Roman" w:hAnsi="Times New Roman"/>
        </w:rPr>
      </w:pPr>
      <w:bookmarkStart w:id="17" w:name="_Ref231975129"/>
      <w:r w:rsidRPr="00992F81">
        <w:rPr>
          <w:rFonts w:ascii="Times New Roman" w:hAnsi="Times New Roman"/>
        </w:rPr>
        <w:tab/>
      </w:r>
      <w:bookmarkStart w:id="18" w:name="_Ref231975234"/>
      <w:bookmarkEnd w:id="17"/>
      <w:r w:rsidRPr="00992F81">
        <w:rPr>
          <w:rFonts w:ascii="Times New Roman" w:hAnsi="Times New Roman"/>
        </w:rPr>
        <w:t>The Commission's consideration of Scope 3 emissions was limited to an</w:t>
      </w:r>
      <w:r>
        <w:rPr>
          <w:rFonts w:ascii="Times New Roman" w:hAnsi="Times New Roman"/>
        </w:rPr>
        <w:t> </w:t>
      </w:r>
      <w:r w:rsidRPr="00992F81">
        <w:rPr>
          <w:rFonts w:ascii="Times New Roman" w:hAnsi="Times New Roman"/>
        </w:rPr>
        <w:t>analysis of whether they were "appropriately regulated and accounted for through broader national policies and international agreements (such as the</w:t>
      </w:r>
      <w:r>
        <w:rPr>
          <w:rFonts w:ascii="Times New Roman" w:hAnsi="Times New Roman"/>
        </w:rPr>
        <w:t> </w:t>
      </w:r>
      <w:r w:rsidRPr="00992F81">
        <w:rPr>
          <w:rFonts w:ascii="Times New Roman" w:hAnsi="Times New Roman"/>
        </w:rPr>
        <w:t>Paris</w:t>
      </w:r>
      <w:r>
        <w:rPr>
          <w:rFonts w:ascii="Times New Roman" w:hAnsi="Times New Roman"/>
        </w:rPr>
        <w:t> </w:t>
      </w:r>
      <w:r w:rsidRPr="00992F81">
        <w:rPr>
          <w:rFonts w:ascii="Times New Roman" w:hAnsi="Times New Roman"/>
        </w:rPr>
        <w:t xml:space="preserve">Agreement)". </w:t>
      </w:r>
      <w:bookmarkEnd w:id="18"/>
      <w:r w:rsidRPr="00992F81">
        <w:rPr>
          <w:rFonts w:ascii="Times New Roman" w:hAnsi="Times New Roman"/>
        </w:rPr>
        <w:t xml:space="preserve">"Scopes" is an accounting concept under those broader </w:t>
      </w:r>
      <w:r w:rsidRPr="00992F81">
        <w:rPr>
          <w:rFonts w:ascii="Times New Roman" w:hAnsi="Times New Roman"/>
        </w:rPr>
        <w:lastRenderedPageBreak/>
        <w:t>national policies and international agreements.</w:t>
      </w:r>
      <w:r w:rsidRPr="00992F81">
        <w:rPr>
          <w:rStyle w:val="FootnoteReference"/>
          <w:rFonts w:ascii="Times New Roman" w:hAnsi="Times New Roman"/>
          <w:sz w:val="24"/>
        </w:rPr>
        <w:footnoteReference w:id="119"/>
      </w:r>
      <w:r w:rsidRPr="00992F81">
        <w:rPr>
          <w:rFonts w:ascii="Times New Roman" w:hAnsi="Times New Roman"/>
        </w:rPr>
        <w:t xml:space="preserve"> There is no reference to emissions "scopes" in the UNFCCC, the Paris Agreement, or any other international law at the treaty or customary level.</w:t>
      </w:r>
      <w:r w:rsidRPr="00992F81">
        <w:rPr>
          <w:rFonts w:ascii="Times New Roman" w:hAnsi="Times New Roman"/>
          <w:b/>
          <w:bCs/>
        </w:rPr>
        <w:t xml:space="preserve"> </w:t>
      </w:r>
      <w:r w:rsidRPr="00992F81">
        <w:rPr>
          <w:rFonts w:ascii="Times New Roman" w:hAnsi="Times New Roman"/>
        </w:rPr>
        <w:t>The impact of greenhouse gas emissions is the same, regardless of how they are categorised.</w:t>
      </w:r>
      <w:r w:rsidRPr="00992F81" w:rsidDel="00C63F4E">
        <w:rPr>
          <w:rStyle w:val="FootnoteReference"/>
          <w:rFonts w:ascii="Times New Roman" w:hAnsi="Times New Roman"/>
          <w:sz w:val="24"/>
        </w:rPr>
        <w:footnoteReference w:id="120"/>
      </w:r>
    </w:p>
    <w:p w14:paraId="0E2815EC" w14:textId="77777777" w:rsidR="004D2653" w:rsidRPr="00992F81" w:rsidDel="00B029D9" w:rsidRDefault="004D2653" w:rsidP="00992F81">
      <w:pPr>
        <w:pStyle w:val="FixListStyle"/>
        <w:spacing w:after="260" w:line="280" w:lineRule="exact"/>
        <w:ind w:right="0"/>
        <w:jc w:val="both"/>
        <w:rPr>
          <w:rFonts w:ascii="Times New Roman" w:hAnsi="Times New Roman"/>
        </w:rPr>
      </w:pPr>
      <w:r w:rsidRPr="00992F81">
        <w:rPr>
          <w:rFonts w:ascii="Times New Roman" w:hAnsi="Times New Roman"/>
        </w:rPr>
        <w:tab/>
        <w:t>The fact that the Project's Scope 3 emissions, or even the majority of those emissions, might be counted in another country's emissions for the purposes of the</w:t>
      </w:r>
      <w:r>
        <w:rPr>
          <w:rFonts w:ascii="Times New Roman" w:hAnsi="Times New Roman"/>
        </w:rPr>
        <w:t> </w:t>
      </w:r>
      <w:r w:rsidRPr="00992F81">
        <w:rPr>
          <w:rFonts w:ascii="Times New Roman" w:hAnsi="Times New Roman"/>
        </w:rPr>
        <w:t>Paris Agreement was relevant to the Commission's obligation to consider the</w:t>
      </w:r>
      <w:r>
        <w:rPr>
          <w:rFonts w:ascii="Times New Roman" w:hAnsi="Times New Roman"/>
        </w:rPr>
        <w:t> </w:t>
      </w:r>
      <w:r w:rsidRPr="00992F81">
        <w:rPr>
          <w:rFonts w:ascii="Times New Roman" w:hAnsi="Times New Roman"/>
        </w:rPr>
        <w:t>GHG Assessment, summarised in Sections 7.21 and 8 of the EIS, "having</w:t>
      </w:r>
      <w:r>
        <w:rPr>
          <w:rFonts w:ascii="Times New Roman" w:hAnsi="Times New Roman"/>
        </w:rPr>
        <w:t> </w:t>
      </w:r>
      <w:r w:rsidRPr="00992F81">
        <w:rPr>
          <w:rFonts w:ascii="Times New Roman" w:hAnsi="Times New Roman"/>
        </w:rPr>
        <w:t>regard to any applicable State or national policies, programs or guidelines concerning greenhouse gas emissions" in cl 2.20(2). However, it does not address the Commission's obligation in cl 2.20(1)(c), which relates to all greenhouse gas emissions (including Scope 3 emissions), and which requires it to consider imposing conditions to minimise to the greatest extent practicable those emissions. The NSWCA erred in treating that analysis as evidence that the Commission had considered whether conditions should be imposed to minimise to the greatest extent practicable greenhouse gas emissions, including Scope 3 emissions. The</w:t>
      </w:r>
      <w:r>
        <w:rPr>
          <w:rFonts w:ascii="Times New Roman" w:hAnsi="Times New Roman"/>
        </w:rPr>
        <w:t> </w:t>
      </w:r>
      <w:r w:rsidRPr="00992F81">
        <w:rPr>
          <w:rFonts w:ascii="Times New Roman" w:hAnsi="Times New Roman"/>
        </w:rPr>
        <w:t>issue, relevant to cl 2.20(2), of how greenhouse gas emissions were accounted for or regulated is different to the issue the Commission was required by cl</w:t>
      </w:r>
      <w:r>
        <w:rPr>
          <w:rFonts w:ascii="Times New Roman" w:hAnsi="Times New Roman"/>
        </w:rPr>
        <w:t> </w:t>
      </w:r>
      <w:r w:rsidRPr="00992F81">
        <w:rPr>
          <w:rFonts w:ascii="Times New Roman" w:hAnsi="Times New Roman"/>
        </w:rPr>
        <w:t xml:space="preserve">2.20(1)(c) to consider, which was the </w:t>
      </w:r>
      <w:r w:rsidRPr="00992F81">
        <w:rPr>
          <w:rFonts w:ascii="Times New Roman" w:hAnsi="Times New Roman"/>
          <w:i/>
          <w:iCs/>
        </w:rPr>
        <w:t xml:space="preserve">minimisation </w:t>
      </w:r>
      <w:r w:rsidRPr="00992F81">
        <w:rPr>
          <w:rFonts w:ascii="Times New Roman" w:hAnsi="Times New Roman"/>
        </w:rPr>
        <w:t>of those emissions to the</w:t>
      </w:r>
      <w:r>
        <w:rPr>
          <w:rFonts w:ascii="Times New Roman" w:hAnsi="Times New Roman"/>
        </w:rPr>
        <w:t> </w:t>
      </w:r>
      <w:r w:rsidRPr="00992F81">
        <w:rPr>
          <w:rFonts w:ascii="Times New Roman" w:hAnsi="Times New Roman"/>
        </w:rPr>
        <w:t>greatest extent practicable. Consideration of matters such as whether Australia as a country, or MACH as the proponent, could or should ultimately be responsible for all of the Project's greenhouse gas emissions (including Scope 3 emissions) did</w:t>
      </w:r>
      <w:r>
        <w:rPr>
          <w:rFonts w:ascii="Times New Roman" w:hAnsi="Times New Roman"/>
        </w:rPr>
        <w:t> </w:t>
      </w:r>
      <w:r w:rsidRPr="00992F81">
        <w:rPr>
          <w:rFonts w:ascii="Times New Roman" w:hAnsi="Times New Roman"/>
        </w:rPr>
        <w:t>not address the question posed by cl 2.20(1)(c) of the Resources SEPP. The</w:t>
      </w:r>
      <w:r>
        <w:rPr>
          <w:rFonts w:ascii="Times New Roman" w:hAnsi="Times New Roman"/>
        </w:rPr>
        <w:t> </w:t>
      </w:r>
      <w:r w:rsidRPr="00992F81">
        <w:rPr>
          <w:rFonts w:ascii="Times New Roman" w:hAnsi="Times New Roman"/>
        </w:rPr>
        <w:t xml:space="preserve">question the Commission asked did not discharge the Commission's obligation under cl 2.20(1)(c). </w:t>
      </w:r>
    </w:p>
    <w:p w14:paraId="32DDA6D2" w14:textId="77777777" w:rsidR="004D2653" w:rsidRPr="00992F81" w:rsidRDefault="004D2653" w:rsidP="00992F81">
      <w:pPr>
        <w:pStyle w:val="FixListStyle"/>
        <w:spacing w:after="260" w:line="280" w:lineRule="exact"/>
        <w:ind w:right="0"/>
        <w:jc w:val="both"/>
        <w:rPr>
          <w:rFonts w:ascii="Times New Roman" w:hAnsi="Times New Roman"/>
        </w:rPr>
      </w:pPr>
      <w:r w:rsidRPr="00992F81" w:rsidDel="00D722F6">
        <w:rPr>
          <w:rFonts w:ascii="Times New Roman" w:hAnsi="Times New Roman"/>
        </w:rPr>
        <w:tab/>
      </w:r>
      <w:r w:rsidRPr="00992F81">
        <w:rPr>
          <w:rFonts w:ascii="Times New Roman" w:hAnsi="Times New Roman"/>
        </w:rPr>
        <w:t>The Commission's approach may be contrasted with that in</w:t>
      </w:r>
      <w:r w:rsidRPr="00992F81" w:rsidDel="00FC464F">
        <w:rPr>
          <w:rFonts w:ascii="Times New Roman" w:hAnsi="Times New Roman"/>
        </w:rPr>
        <w:t xml:space="preserve"> </w:t>
      </w:r>
      <w:r w:rsidRPr="00992F81" w:rsidDel="00FC464F">
        <w:rPr>
          <w:rFonts w:ascii="Times New Roman" w:hAnsi="Times New Roman"/>
          <w:i/>
          <w:iCs/>
        </w:rPr>
        <w:t>Mullaley</w:t>
      </w:r>
      <w:r w:rsidRPr="00992F81">
        <w:rPr>
          <w:rFonts w:ascii="Times New Roman" w:hAnsi="Times New Roman"/>
        </w:rPr>
        <w:t>, where</w:t>
      </w:r>
      <w:r>
        <w:rPr>
          <w:rFonts w:ascii="Times New Roman" w:hAnsi="Times New Roman"/>
        </w:rPr>
        <w:t> </w:t>
      </w:r>
      <w:r w:rsidRPr="00992F81">
        <w:rPr>
          <w:rFonts w:ascii="Times New Roman" w:hAnsi="Times New Roman"/>
        </w:rPr>
        <w:t>the Commission expressly considered imposing conditions to minimise Scope 3 emissions, even though it ultimately decided not to.</w:t>
      </w:r>
      <w:r w:rsidRPr="00992F81">
        <w:rPr>
          <w:rStyle w:val="FootnoteReference"/>
          <w:rFonts w:ascii="Times New Roman" w:hAnsi="Times New Roman"/>
          <w:sz w:val="24"/>
        </w:rPr>
        <w:footnoteReference w:id="121"/>
      </w:r>
      <w:r w:rsidRPr="00992F81">
        <w:rPr>
          <w:rFonts w:ascii="Times New Roman" w:hAnsi="Times New Roman"/>
        </w:rPr>
        <w:t xml:space="preserve"> </w:t>
      </w:r>
    </w:p>
    <w:p w14:paraId="7C55A6F1" w14:textId="77777777" w:rsidR="004D2653" w:rsidRPr="00992F81" w:rsidRDefault="004D2653" w:rsidP="00992F81">
      <w:pPr>
        <w:pStyle w:val="FixListStyle"/>
        <w:spacing w:after="260" w:line="280" w:lineRule="exact"/>
        <w:ind w:right="0"/>
        <w:jc w:val="both"/>
        <w:rPr>
          <w:rFonts w:ascii="Times New Roman" w:hAnsi="Times New Roman"/>
        </w:rPr>
      </w:pPr>
      <w:r w:rsidRPr="00992F81">
        <w:rPr>
          <w:rFonts w:ascii="Times New Roman" w:hAnsi="Times New Roman"/>
        </w:rPr>
        <w:tab/>
        <w:t xml:space="preserve">While the failure of a decision-maker to refer expressly to a mandatory relevant consideration in written reasons does not, in and of itself, prove that </w:t>
      </w:r>
      <w:r w:rsidRPr="00992F81">
        <w:rPr>
          <w:rFonts w:ascii="Times New Roman" w:hAnsi="Times New Roman"/>
        </w:rPr>
        <w:lastRenderedPageBreak/>
        <w:t>the</w:t>
      </w:r>
      <w:r>
        <w:rPr>
          <w:rFonts w:ascii="Times New Roman" w:hAnsi="Times New Roman"/>
        </w:rPr>
        <w:t> </w:t>
      </w:r>
      <w:r w:rsidRPr="00992F81">
        <w:rPr>
          <w:rFonts w:ascii="Times New Roman" w:hAnsi="Times New Roman"/>
        </w:rPr>
        <w:t>matter was not considered by the decision-maker,</w:t>
      </w:r>
      <w:r w:rsidRPr="00992F81">
        <w:rPr>
          <w:rStyle w:val="FootnoteReference"/>
          <w:rFonts w:ascii="Times New Roman" w:hAnsi="Times New Roman"/>
          <w:sz w:val="24"/>
        </w:rPr>
        <w:footnoteReference w:id="122"/>
      </w:r>
      <w:r w:rsidRPr="00992F81">
        <w:rPr>
          <w:rFonts w:ascii="Times New Roman" w:hAnsi="Times New Roman"/>
        </w:rPr>
        <w:t xml:space="preserve"> there is no basis to infer that the Commission considered imposing conditions to minimise Scope 3 emissions to the greatest extent practicable despite not mentioning this in its reasons. </w:t>
      </w:r>
    </w:p>
    <w:p w14:paraId="7CF277E3" w14:textId="77777777" w:rsidR="004D2653" w:rsidRPr="00992F81" w:rsidRDefault="004D2653" w:rsidP="00992F81">
      <w:pPr>
        <w:pStyle w:val="FixListStyle"/>
        <w:spacing w:after="260" w:line="280" w:lineRule="exact"/>
        <w:ind w:right="0"/>
        <w:jc w:val="both"/>
        <w:rPr>
          <w:rFonts w:ascii="Times New Roman" w:hAnsi="Times New Roman"/>
        </w:rPr>
      </w:pPr>
      <w:r w:rsidRPr="00992F81">
        <w:rPr>
          <w:rFonts w:ascii="Times New Roman" w:hAnsi="Times New Roman"/>
          <w:b/>
          <w:bCs/>
        </w:rPr>
        <w:tab/>
      </w:r>
      <w:r w:rsidRPr="00992F81">
        <w:rPr>
          <w:rFonts w:ascii="Times New Roman" w:hAnsi="Times New Roman"/>
          <w:i/>
        </w:rPr>
        <w:t>First</w:t>
      </w:r>
      <w:r w:rsidRPr="00992F81">
        <w:rPr>
          <w:rFonts w:ascii="Times New Roman" w:hAnsi="Times New Roman"/>
        </w:rPr>
        <w:t>, the fact that the Commission expressly considered imposing conditions to minimise Scope 1 and 2 emissions (which made up just two per cent of the total emissions) in some detail suggests that, if it had considered imposing conditions to minimise Scope 3 emissions (which made up 98 per cent of the</w:t>
      </w:r>
      <w:r>
        <w:rPr>
          <w:rFonts w:ascii="Times New Roman" w:hAnsi="Times New Roman"/>
        </w:rPr>
        <w:t> </w:t>
      </w:r>
      <w:r w:rsidRPr="00992F81">
        <w:rPr>
          <w:rFonts w:ascii="Times New Roman" w:hAnsi="Times New Roman"/>
        </w:rPr>
        <w:t xml:space="preserve">Project's total emissions), it would have mentioned this expressly. </w:t>
      </w:r>
    </w:p>
    <w:p w14:paraId="7CEE47E8" w14:textId="77777777" w:rsidR="004D2653" w:rsidRPr="00992F81" w:rsidRDefault="004D2653" w:rsidP="00992F81">
      <w:pPr>
        <w:pStyle w:val="FixListStyle"/>
        <w:spacing w:after="260" w:line="280" w:lineRule="exact"/>
        <w:ind w:right="0"/>
        <w:jc w:val="both"/>
        <w:rPr>
          <w:rFonts w:ascii="Times New Roman" w:hAnsi="Times New Roman"/>
        </w:rPr>
      </w:pPr>
      <w:r w:rsidRPr="00992F81">
        <w:rPr>
          <w:rFonts w:ascii="Times New Roman" w:hAnsi="Times New Roman"/>
          <w:i/>
        </w:rPr>
        <w:tab/>
        <w:t>Second</w:t>
      </w:r>
      <w:r w:rsidRPr="00992F81">
        <w:rPr>
          <w:rFonts w:ascii="Times New Roman" w:hAnsi="Times New Roman"/>
        </w:rPr>
        <w:t>,</w:t>
      </w:r>
      <w:r w:rsidRPr="00992F81">
        <w:rPr>
          <w:rFonts w:ascii="Times New Roman" w:hAnsi="Times New Roman"/>
          <w:b/>
          <w:bCs/>
        </w:rPr>
        <w:t xml:space="preserve"> </w:t>
      </w:r>
      <w:r w:rsidRPr="00992F81">
        <w:rPr>
          <w:rFonts w:ascii="Times New Roman" w:hAnsi="Times New Roman"/>
        </w:rPr>
        <w:t>the structure of the reasons supports the inference that the</w:t>
      </w:r>
      <w:r>
        <w:rPr>
          <w:rFonts w:ascii="Times New Roman" w:hAnsi="Times New Roman"/>
        </w:rPr>
        <w:t> </w:t>
      </w:r>
      <w:r w:rsidRPr="00992F81">
        <w:rPr>
          <w:rFonts w:ascii="Times New Roman" w:hAnsi="Times New Roman"/>
        </w:rPr>
        <w:t>Commission did not consider whether to impose conditions to minimise Scope</w:t>
      </w:r>
      <w:r>
        <w:rPr>
          <w:rFonts w:ascii="Times New Roman" w:hAnsi="Times New Roman"/>
        </w:rPr>
        <w:t> </w:t>
      </w:r>
      <w:r w:rsidRPr="00992F81">
        <w:rPr>
          <w:rFonts w:ascii="Times New Roman" w:hAnsi="Times New Roman"/>
        </w:rPr>
        <w:t>3 emissions, as required by cl 2.20(1)(c). The Commission began with an</w:t>
      </w:r>
      <w:r>
        <w:rPr>
          <w:rFonts w:ascii="Times New Roman" w:hAnsi="Times New Roman"/>
        </w:rPr>
        <w:t> </w:t>
      </w:r>
      <w:r w:rsidRPr="00992F81">
        <w:rPr>
          <w:rFonts w:ascii="Times New Roman" w:hAnsi="Times New Roman"/>
        </w:rPr>
        <w:t>analysis of the relevant Scope 1 and 2 emissions. It then turned to an analysis of the anticipated Scope 3 emissions, concluding that the Project's Scope 3 emissions "are appropriately regulated and accounted for through broader national policies and international agreements (such as the Paris Agreement)".</w:t>
      </w:r>
      <w:r w:rsidRPr="00992F81">
        <w:rPr>
          <w:rStyle w:val="FootnoteReference"/>
          <w:rFonts w:ascii="Times New Roman" w:hAnsi="Times New Roman"/>
          <w:sz w:val="24"/>
        </w:rPr>
        <w:footnoteReference w:id="123"/>
      </w:r>
      <w:r w:rsidRPr="00992F81">
        <w:rPr>
          <w:rFonts w:ascii="Times New Roman" w:hAnsi="Times New Roman"/>
        </w:rPr>
        <w:t xml:space="preserve"> In this section, the Commission stated that it had "considered all emissions associated with the Project (including Scope 3 emissions) in its assessment and determination". But this statement must be read in the context of the immediately preceding sentence, in which the Commission agreed with the Department and acknowledged "that under the Paris Agreement accounting rules and Australian legislation, Scope 3 emissions are not included in Project emission reporting, to</w:t>
      </w:r>
      <w:r>
        <w:rPr>
          <w:rFonts w:ascii="Times New Roman" w:hAnsi="Times New Roman"/>
        </w:rPr>
        <w:t> </w:t>
      </w:r>
      <w:r w:rsidRPr="00992F81">
        <w:rPr>
          <w:rFonts w:ascii="Times New Roman" w:hAnsi="Times New Roman"/>
        </w:rPr>
        <w:t>avoid double counting". The Commission's "consideration" of Scope 3 emissions was limited to the question of whether they would count towards the</w:t>
      </w:r>
      <w:r>
        <w:rPr>
          <w:rFonts w:ascii="Times New Roman" w:hAnsi="Times New Roman"/>
        </w:rPr>
        <w:t> </w:t>
      </w:r>
      <w:r w:rsidRPr="00992F81">
        <w:rPr>
          <w:rFonts w:ascii="Times New Roman" w:hAnsi="Times New Roman"/>
        </w:rPr>
        <w:t xml:space="preserve">Project's emissions for accounting and reporting purposes, which was relevant to the discharge of its obligation under cl 2.20(2) but not to its separate obligation under cl 2.20(1)(c). </w:t>
      </w:r>
    </w:p>
    <w:p w14:paraId="5C4986A4" w14:textId="77777777" w:rsidR="004D2653" w:rsidRPr="00992F81" w:rsidRDefault="004D2653" w:rsidP="00992F81">
      <w:pPr>
        <w:pStyle w:val="FixListStyle"/>
        <w:spacing w:after="260" w:line="280" w:lineRule="exact"/>
        <w:ind w:right="0"/>
        <w:jc w:val="both"/>
        <w:rPr>
          <w:rFonts w:ascii="Times New Roman" w:hAnsi="Times New Roman"/>
        </w:rPr>
      </w:pPr>
      <w:r w:rsidRPr="00992F81">
        <w:rPr>
          <w:rFonts w:ascii="Times New Roman" w:hAnsi="Times New Roman"/>
        </w:rPr>
        <w:tab/>
        <w:t>That statement must also be read in the context of the paragraphs that follow, in which the Commission went on to summarise its findings, again</w:t>
      </w:r>
      <w:r>
        <w:rPr>
          <w:rFonts w:ascii="Times New Roman" w:hAnsi="Times New Roman"/>
        </w:rPr>
        <w:t> </w:t>
      </w:r>
      <w:r w:rsidRPr="00992F81">
        <w:rPr>
          <w:rFonts w:ascii="Times New Roman" w:hAnsi="Times New Roman"/>
        </w:rPr>
        <w:t>emphasising that the Project's Scope 3 emissions "are not counted towards NSW emissions" and that "under the Paris Agreement, Scope 3 emissions are attributed to the country within which they are emitted".</w:t>
      </w:r>
      <w:r w:rsidRPr="00992F81">
        <w:rPr>
          <w:rStyle w:val="FootnoteReference"/>
          <w:rFonts w:ascii="Times New Roman" w:hAnsi="Times New Roman"/>
          <w:sz w:val="24"/>
        </w:rPr>
        <w:footnoteReference w:id="124"/>
      </w:r>
      <w:r w:rsidRPr="00992F81">
        <w:rPr>
          <w:rFonts w:ascii="Times New Roman" w:hAnsi="Times New Roman"/>
          <w:i/>
          <w:iCs/>
        </w:rPr>
        <w:t xml:space="preserve"> </w:t>
      </w:r>
      <w:r w:rsidRPr="00992F81">
        <w:rPr>
          <w:rFonts w:ascii="Times New Roman" w:hAnsi="Times New Roman"/>
        </w:rPr>
        <w:t xml:space="preserve">It was only after </w:t>
      </w:r>
      <w:r w:rsidRPr="00992F81">
        <w:rPr>
          <w:rFonts w:ascii="Times New Roman" w:hAnsi="Times New Roman"/>
        </w:rPr>
        <w:lastRenderedPageBreak/>
        <w:t>reaching that conclusion, and putting Scope 3 emissions to one side, that</w:t>
      </w:r>
      <w:r>
        <w:rPr>
          <w:rFonts w:ascii="Times New Roman" w:hAnsi="Times New Roman"/>
        </w:rPr>
        <w:t> </w:t>
      </w:r>
      <w:r w:rsidRPr="00992F81">
        <w:rPr>
          <w:rFonts w:ascii="Times New Roman" w:hAnsi="Times New Roman"/>
        </w:rPr>
        <w:t>the</w:t>
      </w:r>
      <w:r>
        <w:rPr>
          <w:rFonts w:ascii="Times New Roman" w:hAnsi="Times New Roman"/>
        </w:rPr>
        <w:t> </w:t>
      </w:r>
      <w:r w:rsidRPr="00992F81">
        <w:rPr>
          <w:rFonts w:ascii="Times New Roman" w:hAnsi="Times New Roman"/>
        </w:rPr>
        <w:t>Commission went on to consider cl 2.20(1)(c).</w:t>
      </w:r>
    </w:p>
    <w:p w14:paraId="0BBF290F" w14:textId="77777777" w:rsidR="004D2653" w:rsidRPr="00992F81" w:rsidRDefault="004D2653" w:rsidP="00992F81">
      <w:pPr>
        <w:pStyle w:val="FixListStyle"/>
        <w:spacing w:after="260" w:line="280" w:lineRule="exact"/>
        <w:ind w:right="0"/>
        <w:jc w:val="both"/>
        <w:rPr>
          <w:rFonts w:ascii="Times New Roman" w:hAnsi="Times New Roman"/>
        </w:rPr>
      </w:pPr>
      <w:r w:rsidRPr="00992F81">
        <w:rPr>
          <w:rFonts w:ascii="Times New Roman" w:hAnsi="Times New Roman"/>
        </w:rPr>
        <w:tab/>
        <w:t>From that point, the discussion concerned only Scope 1 and 2 emissions.</w:t>
      </w:r>
      <w:r w:rsidRPr="00992F81">
        <w:rPr>
          <w:rStyle w:val="FootnoteReference"/>
          <w:rFonts w:ascii="Times New Roman" w:hAnsi="Times New Roman"/>
          <w:sz w:val="24"/>
        </w:rPr>
        <w:footnoteReference w:id="125"/>
      </w:r>
      <w:r w:rsidRPr="00992F81">
        <w:rPr>
          <w:rFonts w:ascii="Times New Roman" w:hAnsi="Times New Roman"/>
        </w:rPr>
        <w:t xml:space="preserve"> </w:t>
      </w:r>
      <w:bookmarkStart w:id="19" w:name="_Ref231975241"/>
      <w:r w:rsidRPr="00992F81">
        <w:rPr>
          <w:rFonts w:ascii="Times New Roman" w:hAnsi="Times New Roman"/>
        </w:rPr>
        <w:t>The Commission considered conditions to minimise Scope 1 and 2 emissions in some detail, before concluding that "[s]ubject to the imposed conditions, the</w:t>
      </w:r>
      <w:r>
        <w:rPr>
          <w:rFonts w:ascii="Times New Roman" w:hAnsi="Times New Roman"/>
        </w:rPr>
        <w:t> </w:t>
      </w:r>
      <w:r w:rsidRPr="00992F81">
        <w:rPr>
          <w:rFonts w:ascii="Times New Roman" w:hAnsi="Times New Roman"/>
        </w:rPr>
        <w:t>Commission is satisfied that the Project can achieve the requirements of the</w:t>
      </w:r>
      <w:r>
        <w:rPr>
          <w:rFonts w:ascii="Times New Roman" w:hAnsi="Times New Roman"/>
        </w:rPr>
        <w:t> </w:t>
      </w:r>
      <w:r w:rsidRPr="00992F81">
        <w:rPr>
          <w:rFonts w:ascii="Times New Roman" w:hAnsi="Times New Roman"/>
        </w:rPr>
        <w:t>Resources SEPP". However, this statement must be read in the context of the</w:t>
      </w:r>
      <w:r>
        <w:rPr>
          <w:rFonts w:ascii="Times New Roman" w:hAnsi="Times New Roman"/>
        </w:rPr>
        <w:t> </w:t>
      </w:r>
      <w:r w:rsidRPr="00992F81">
        <w:rPr>
          <w:rFonts w:ascii="Times New Roman" w:hAnsi="Times New Roman"/>
        </w:rPr>
        <w:t>preceding analysis, which pushes to one side the Project's Scope 3 emissions.</w:t>
      </w:r>
    </w:p>
    <w:p w14:paraId="3F96D202" w14:textId="77777777" w:rsidR="004D2653" w:rsidRPr="00992F81" w:rsidRDefault="004D2653" w:rsidP="00992F81">
      <w:pPr>
        <w:pStyle w:val="FixListStyle"/>
        <w:spacing w:after="260" w:line="280" w:lineRule="exact"/>
        <w:ind w:right="0"/>
        <w:jc w:val="both"/>
        <w:rPr>
          <w:rFonts w:ascii="Times New Roman" w:hAnsi="Times New Roman"/>
        </w:rPr>
      </w:pPr>
      <w:r w:rsidRPr="00992F81">
        <w:rPr>
          <w:rFonts w:ascii="Times New Roman" w:hAnsi="Times New Roman"/>
          <w:i/>
        </w:rPr>
        <w:tab/>
        <w:t>Third</w:t>
      </w:r>
      <w:r w:rsidRPr="00992F81">
        <w:rPr>
          <w:rFonts w:ascii="Times New Roman" w:hAnsi="Times New Roman"/>
        </w:rPr>
        <w:t>,</w:t>
      </w:r>
      <w:r w:rsidRPr="00992F81">
        <w:rPr>
          <w:rFonts w:ascii="Times New Roman" w:hAnsi="Times New Roman"/>
          <w:b/>
          <w:bCs/>
        </w:rPr>
        <w:t xml:space="preserve"> </w:t>
      </w:r>
      <w:r w:rsidRPr="00992F81">
        <w:rPr>
          <w:rFonts w:ascii="Times New Roman" w:hAnsi="Times New Roman"/>
        </w:rPr>
        <w:t>neither MACH nor the Department proposed conditions to limit Scope 3 emissions for the Commission to consider. In circumstances where the</w:t>
      </w:r>
      <w:r>
        <w:rPr>
          <w:rFonts w:ascii="Times New Roman" w:hAnsi="Times New Roman"/>
        </w:rPr>
        <w:t> </w:t>
      </w:r>
      <w:r w:rsidRPr="00992F81">
        <w:rPr>
          <w:rFonts w:ascii="Times New Roman" w:hAnsi="Times New Roman"/>
        </w:rPr>
        <w:t>Commission did not have proposed conditions to minimise Scope 3 emissions before it and did not otherwise identify any conditions that could be imposed, there</w:t>
      </w:r>
      <w:r>
        <w:rPr>
          <w:rFonts w:ascii="Times New Roman" w:hAnsi="Times New Roman"/>
        </w:rPr>
        <w:t> </w:t>
      </w:r>
      <w:r w:rsidRPr="00992F81">
        <w:rPr>
          <w:rFonts w:ascii="Times New Roman" w:hAnsi="Times New Roman"/>
        </w:rPr>
        <w:t>is no basis upon which to infer that the Commission considered imposing such conditions. It is not to the point that the Commission stated that it had considered material including DAMSHEG's submissions, in which it drew to the</w:t>
      </w:r>
      <w:r>
        <w:rPr>
          <w:rFonts w:ascii="Times New Roman" w:hAnsi="Times New Roman"/>
        </w:rPr>
        <w:t> </w:t>
      </w:r>
      <w:r w:rsidRPr="00992F81">
        <w:rPr>
          <w:rFonts w:ascii="Times New Roman" w:hAnsi="Times New Roman"/>
        </w:rPr>
        <w:t>Commission's attention that no Scope 3 minimisation conditions had been proposed. The Commission did not even observe that no conditions had been proposed and, in any event, as outlined below, it was for MACH to propose conditions to minimise Scope 3 emissions.</w:t>
      </w:r>
      <w:r w:rsidRPr="00992F81">
        <w:rPr>
          <w:rStyle w:val="FootnoteReference"/>
          <w:rFonts w:ascii="Times New Roman" w:hAnsi="Times New Roman"/>
          <w:sz w:val="24"/>
        </w:rPr>
        <w:footnoteReference w:id="126"/>
      </w:r>
      <w:r w:rsidRPr="00992F81">
        <w:rPr>
          <w:rFonts w:ascii="Times New Roman" w:hAnsi="Times New Roman"/>
        </w:rPr>
        <w:t xml:space="preserve"> </w:t>
      </w:r>
    </w:p>
    <w:p w14:paraId="18035AFD" w14:textId="77777777" w:rsidR="004D2653" w:rsidRPr="00992F81" w:rsidRDefault="004D2653" w:rsidP="00992F81">
      <w:pPr>
        <w:pStyle w:val="FixListStyle"/>
        <w:spacing w:after="260" w:line="280" w:lineRule="exact"/>
        <w:ind w:right="0"/>
        <w:jc w:val="both"/>
        <w:rPr>
          <w:rFonts w:ascii="Times New Roman" w:hAnsi="Times New Roman"/>
        </w:rPr>
      </w:pPr>
      <w:r w:rsidRPr="00992F81">
        <w:rPr>
          <w:rFonts w:ascii="Times New Roman" w:hAnsi="Times New Roman"/>
        </w:rPr>
        <w:tab/>
        <w:t>The Commission therefore erred in failing to consider whether to impose conditions to minimise to the greatest extent practicable</w:t>
      </w:r>
      <w:r w:rsidRPr="00992F81" w:rsidDel="00B92D44">
        <w:rPr>
          <w:rFonts w:ascii="Times New Roman" w:hAnsi="Times New Roman"/>
        </w:rPr>
        <w:t xml:space="preserve"> </w:t>
      </w:r>
      <w:r w:rsidRPr="00992F81">
        <w:rPr>
          <w:rFonts w:ascii="Times New Roman" w:hAnsi="Times New Roman"/>
        </w:rPr>
        <w:t>Scope 3 emissions.</w:t>
      </w:r>
      <w:bookmarkEnd w:id="19"/>
    </w:p>
    <w:p w14:paraId="53C66198" w14:textId="77777777" w:rsidR="004D2653" w:rsidRPr="00992F81" w:rsidRDefault="004D2653" w:rsidP="00992F81">
      <w:pPr>
        <w:pStyle w:val="HeadingL3"/>
        <w:spacing w:after="260" w:line="280" w:lineRule="exact"/>
        <w:ind w:right="0"/>
        <w:jc w:val="both"/>
        <w:rPr>
          <w:rFonts w:ascii="Times New Roman" w:hAnsi="Times New Roman"/>
        </w:rPr>
      </w:pPr>
      <w:r w:rsidRPr="00992F81">
        <w:rPr>
          <w:rFonts w:ascii="Times New Roman" w:hAnsi="Times New Roman"/>
        </w:rPr>
        <w:t>Commission's error material</w:t>
      </w:r>
    </w:p>
    <w:p w14:paraId="7C9ADB35" w14:textId="77777777" w:rsidR="004D2653" w:rsidRPr="00992F81" w:rsidRDefault="004D2653" w:rsidP="00992F81">
      <w:pPr>
        <w:pStyle w:val="FixListStyle"/>
        <w:spacing w:after="260" w:line="280" w:lineRule="exact"/>
        <w:ind w:right="0"/>
        <w:jc w:val="both"/>
        <w:rPr>
          <w:rFonts w:ascii="Times New Roman" w:hAnsi="Times New Roman"/>
        </w:rPr>
      </w:pPr>
      <w:bookmarkStart w:id="20" w:name="_Ref231975293"/>
      <w:r w:rsidRPr="00992F81">
        <w:rPr>
          <w:rFonts w:ascii="Times New Roman" w:hAnsi="Times New Roman"/>
        </w:rPr>
        <w:tab/>
        <w:t xml:space="preserve">However, that is not the end of the matter. As was observed in </w:t>
      </w:r>
      <w:r w:rsidRPr="00992F81">
        <w:rPr>
          <w:rFonts w:ascii="Times New Roman" w:hAnsi="Times New Roman"/>
          <w:i/>
          <w:iCs/>
        </w:rPr>
        <w:t>LPDT v Minister for Immigration, Citizenship, Migrant Services and Multicultural Affairs</w:t>
      </w:r>
      <w:r w:rsidRPr="00992F81">
        <w:rPr>
          <w:rFonts w:ascii="Times New Roman" w:hAnsi="Times New Roman"/>
        </w:rPr>
        <w:t>,</w:t>
      </w:r>
      <w:r w:rsidRPr="00992F81">
        <w:rPr>
          <w:rStyle w:val="FootnoteReference"/>
          <w:rFonts w:ascii="Times New Roman" w:hAnsi="Times New Roman"/>
          <w:sz w:val="24"/>
        </w:rPr>
        <w:footnoteReference w:id="127"/>
      </w:r>
      <w:r w:rsidRPr="00992F81">
        <w:rPr>
          <w:rFonts w:ascii="Times New Roman" w:hAnsi="Times New Roman"/>
        </w:rPr>
        <w:t xml:space="preserve"> in most cases an error will only be jurisdictional if it is "material":</w:t>
      </w:r>
      <w:bookmarkEnd w:id="20"/>
    </w:p>
    <w:p w14:paraId="5BD87C09" w14:textId="77777777" w:rsidR="004D2653" w:rsidRDefault="004D2653" w:rsidP="00992F81">
      <w:pPr>
        <w:pStyle w:val="LRIndentafterHC"/>
        <w:spacing w:before="0" w:after="260" w:line="280" w:lineRule="exact"/>
        <w:ind w:right="0"/>
        <w:jc w:val="both"/>
        <w:rPr>
          <w:rFonts w:ascii="Times New Roman" w:hAnsi="Times New Roman"/>
        </w:rPr>
      </w:pPr>
      <w:r w:rsidRPr="00992F81">
        <w:rPr>
          <w:rFonts w:ascii="Times New Roman" w:eastAsia="Calibri" w:hAnsi="Times New Roman"/>
        </w:rPr>
        <w:t>"In most cases, however, an error will only be jurisdictional if the</w:t>
      </w:r>
      <w:r>
        <w:rPr>
          <w:rFonts w:ascii="Times New Roman" w:eastAsia="Calibri" w:hAnsi="Times New Roman"/>
        </w:rPr>
        <w:t> </w:t>
      </w:r>
      <w:r w:rsidRPr="00992F81">
        <w:rPr>
          <w:rFonts w:ascii="Times New Roman" w:eastAsia="Calibri" w:hAnsi="Times New Roman"/>
        </w:rPr>
        <w:t xml:space="preserve">error was material to the decision that was made in fact, in the sense that there is a realistic possibility that the decision that was made in fact </w:t>
      </w:r>
      <w:r w:rsidRPr="00992F81">
        <w:rPr>
          <w:rFonts w:ascii="Times New Roman" w:eastAsia="Calibri" w:hAnsi="Times New Roman"/>
          <w:i/>
          <w:iCs/>
        </w:rPr>
        <w:t xml:space="preserve">could </w:t>
      </w:r>
      <w:r w:rsidRPr="00992F81">
        <w:rPr>
          <w:rFonts w:ascii="Times New Roman" w:eastAsia="Calibri" w:hAnsi="Times New Roman"/>
        </w:rPr>
        <w:t xml:space="preserve">have been different if the error had not occurred. That is because it is now </w:t>
      </w:r>
      <w:r w:rsidRPr="00992F81">
        <w:rPr>
          <w:rFonts w:ascii="Times New Roman" w:eastAsia="Calibri" w:hAnsi="Times New Roman"/>
        </w:rPr>
        <w:lastRenderedPageBreak/>
        <w:t>accepted that a statute which contains an express or implied condition to be observed in a decision-making process is ordinarily to be interpreted as incorporating such a 'threshold of materiality' in the event of non</w:t>
      </w:r>
      <w:r>
        <w:rPr>
          <w:rFonts w:ascii="Times New Roman" w:eastAsia="Calibri" w:hAnsi="Times New Roman"/>
        </w:rPr>
        <w:noBreakHyphen/>
      </w:r>
      <w:r w:rsidRPr="00992F81">
        <w:rPr>
          <w:rFonts w:ascii="Times New Roman" w:eastAsia="Calibri" w:hAnsi="Times New Roman"/>
        </w:rPr>
        <w:t>compliance." (emphasis in original; footnotes omitted)</w:t>
      </w:r>
    </w:p>
    <w:p w14:paraId="1B1B41CF" w14:textId="77777777" w:rsidR="004D2653" w:rsidRPr="00992F81" w:rsidRDefault="004D2653" w:rsidP="00992F81">
      <w:pPr>
        <w:pStyle w:val="FixListStyle"/>
        <w:spacing w:after="260" w:line="280" w:lineRule="exact"/>
        <w:ind w:right="0"/>
        <w:jc w:val="both"/>
        <w:rPr>
          <w:rFonts w:ascii="Times New Roman" w:hAnsi="Times New Roman"/>
        </w:rPr>
      </w:pPr>
      <w:r w:rsidRPr="00992F81">
        <w:rPr>
          <w:rFonts w:ascii="Times New Roman" w:hAnsi="Times New Roman"/>
        </w:rPr>
        <w:tab/>
        <w:t>The applicant for judicial review (DAMSHEG) must satisfy the court that the threshold of materiality is met, although meeting this threshold is not demanding or onerous:</w:t>
      </w:r>
      <w:r w:rsidRPr="00992F81">
        <w:rPr>
          <w:rStyle w:val="FootnoteReference"/>
          <w:rFonts w:ascii="Times New Roman" w:hAnsi="Times New Roman"/>
          <w:sz w:val="24"/>
        </w:rPr>
        <w:footnoteReference w:id="128"/>
      </w:r>
      <w:r w:rsidRPr="00992F81">
        <w:rPr>
          <w:rFonts w:ascii="Times New Roman" w:hAnsi="Times New Roman"/>
        </w:rPr>
        <w:t xml:space="preserve"> </w:t>
      </w:r>
    </w:p>
    <w:p w14:paraId="7FB8622F" w14:textId="77777777" w:rsidR="004D2653" w:rsidRDefault="004D2653" w:rsidP="00992F81">
      <w:pPr>
        <w:pStyle w:val="LRIndentafterHC"/>
        <w:spacing w:before="0" w:after="260" w:line="280" w:lineRule="exact"/>
        <w:ind w:right="0"/>
        <w:jc w:val="both"/>
        <w:rPr>
          <w:rFonts w:ascii="Times New Roman" w:hAnsi="Times New Roman"/>
        </w:rPr>
      </w:pPr>
      <w:r w:rsidRPr="00992F81">
        <w:rPr>
          <w:rFonts w:ascii="Times New Roman" w:hAnsi="Times New Roman"/>
        </w:rPr>
        <w:t xml:space="preserve">"The question in these cases is whether the decision that was in fact made </w:t>
      </w:r>
      <w:r w:rsidRPr="00992F81">
        <w:rPr>
          <w:rFonts w:ascii="Times New Roman" w:hAnsi="Times New Roman"/>
          <w:i/>
        </w:rPr>
        <w:t>could</w:t>
      </w:r>
      <w:r w:rsidRPr="00992F81">
        <w:rPr>
          <w:rFonts w:ascii="Times New Roman" w:hAnsi="Times New Roman"/>
        </w:rPr>
        <w:t xml:space="preserve">, not </w:t>
      </w:r>
      <w:r w:rsidRPr="00992F81">
        <w:rPr>
          <w:rFonts w:ascii="Times New Roman" w:hAnsi="Times New Roman"/>
          <w:i/>
        </w:rPr>
        <w:t>would</w:t>
      </w:r>
      <w:r w:rsidRPr="00992F81">
        <w:rPr>
          <w:rFonts w:ascii="Times New Roman" w:hAnsi="Times New Roman"/>
        </w:rPr>
        <w:t>, 'realistically' have been different had there been no error. 'Realistic' is used to distinguish the assessment of the possibility of a</w:t>
      </w:r>
      <w:r>
        <w:rPr>
          <w:rFonts w:ascii="Times New Roman" w:hAnsi="Times New Roman"/>
        </w:rPr>
        <w:t> </w:t>
      </w:r>
      <w:r w:rsidRPr="00992F81">
        <w:rPr>
          <w:rFonts w:ascii="Times New Roman" w:hAnsi="Times New Roman"/>
        </w:rPr>
        <w:t>different outcome from one where the possibility is fanciful or improbable. Though the applicant must satisfy the court that the threshold of materiality is met in order to establish that the error is jurisdictional, meeting that threshold is not demanding or onerous." (emphasis in original; footnotes omitted)</w:t>
      </w:r>
    </w:p>
    <w:p w14:paraId="5F9BA9EC" w14:textId="77777777" w:rsidR="004D2653" w:rsidRPr="00992F81" w:rsidRDefault="004D2653" w:rsidP="00992F81">
      <w:pPr>
        <w:pStyle w:val="NormalBody"/>
        <w:spacing w:after="260" w:line="280" w:lineRule="exact"/>
        <w:ind w:right="0"/>
        <w:jc w:val="both"/>
        <w:rPr>
          <w:rFonts w:ascii="Times New Roman" w:hAnsi="Times New Roman"/>
        </w:rPr>
      </w:pPr>
      <w:r w:rsidRPr="00992F81">
        <w:rPr>
          <w:rFonts w:ascii="Times New Roman" w:hAnsi="Times New Roman"/>
        </w:rPr>
        <w:t>Once this threshold is satisfied, it is for the respondent to the judicial review application to establish that the error could not have affected the decision.</w:t>
      </w:r>
      <w:r w:rsidRPr="00992F81">
        <w:rPr>
          <w:rStyle w:val="FootnoteReference"/>
          <w:rFonts w:ascii="Times New Roman" w:hAnsi="Times New Roman"/>
          <w:sz w:val="24"/>
        </w:rPr>
        <w:footnoteReference w:id="129"/>
      </w:r>
      <w:bookmarkStart w:id="21" w:name="_Ref228795479"/>
    </w:p>
    <w:p w14:paraId="71D29E85" w14:textId="77777777" w:rsidR="004D2653" w:rsidRPr="00992F81" w:rsidRDefault="004D2653" w:rsidP="00992F81">
      <w:pPr>
        <w:pStyle w:val="FixListStyle"/>
        <w:spacing w:after="260" w:line="280" w:lineRule="exact"/>
        <w:ind w:right="0"/>
        <w:jc w:val="both"/>
        <w:rPr>
          <w:rFonts w:ascii="Times New Roman" w:hAnsi="Times New Roman"/>
        </w:rPr>
      </w:pPr>
      <w:r w:rsidRPr="00992F81">
        <w:rPr>
          <w:rFonts w:ascii="Times New Roman" w:hAnsi="Times New Roman"/>
        </w:rPr>
        <w:tab/>
        <w:t>There is nothing in s 4.15(1) or the EPA Act more generally to suggest that s 4.15(1) should be interpreted so that it does not require a threshold of materiality. In particular, the powers of the Land and Environment Court of NSW under Div 3 of Pt 3 of the LEC Act are only enlivened where a development consent granted under the EPA Act is "invalid".</w:t>
      </w:r>
      <w:r w:rsidRPr="00992F81">
        <w:rPr>
          <w:rStyle w:val="FootnoteReference"/>
          <w:rFonts w:ascii="Times New Roman" w:hAnsi="Times New Roman"/>
          <w:sz w:val="24"/>
        </w:rPr>
        <w:footnoteReference w:id="130"/>
      </w:r>
      <w:r w:rsidRPr="00992F81">
        <w:rPr>
          <w:rFonts w:ascii="Times New Roman" w:hAnsi="Times New Roman"/>
        </w:rPr>
        <w:t xml:space="preserve"> The existence of those powers therefore says nothing about whether an error by a consent authority was jurisdictional in the first place.</w:t>
      </w:r>
      <w:bookmarkEnd w:id="21"/>
    </w:p>
    <w:p w14:paraId="381841B6" w14:textId="77777777" w:rsidR="004D2653" w:rsidRPr="00992F81" w:rsidRDefault="004D2653" w:rsidP="00992F81">
      <w:pPr>
        <w:pStyle w:val="FixListStyle"/>
        <w:spacing w:after="260" w:line="280" w:lineRule="exact"/>
        <w:ind w:right="0"/>
        <w:jc w:val="both"/>
        <w:rPr>
          <w:rFonts w:ascii="Times New Roman" w:hAnsi="Times New Roman"/>
        </w:rPr>
      </w:pPr>
      <w:bookmarkStart w:id="22" w:name="_Ref231993379"/>
      <w:r w:rsidRPr="00992F81">
        <w:rPr>
          <w:rFonts w:ascii="Times New Roman" w:hAnsi="Times New Roman"/>
        </w:rPr>
        <w:tab/>
        <w:t>No party submitted that the Commission's failure to consider imposing conditions to minimise Scope 3 emissions to the greatest extent practicable, as</w:t>
      </w:r>
      <w:r>
        <w:rPr>
          <w:rFonts w:ascii="Times New Roman" w:hAnsi="Times New Roman"/>
        </w:rPr>
        <w:t> </w:t>
      </w:r>
      <w:r w:rsidRPr="00992F81">
        <w:rPr>
          <w:rFonts w:ascii="Times New Roman" w:hAnsi="Times New Roman"/>
        </w:rPr>
        <w:t>required by cl 2.20</w:t>
      </w:r>
      <w:r>
        <w:rPr>
          <w:rFonts w:ascii="Times New Roman" w:hAnsi="Times New Roman"/>
        </w:rPr>
        <w:t>(1)(c)</w:t>
      </w:r>
      <w:r w:rsidRPr="00992F81">
        <w:rPr>
          <w:rFonts w:ascii="Times New Roman" w:hAnsi="Times New Roman"/>
        </w:rPr>
        <w:t xml:space="preserve"> of the Resources SEPP and s 4.15(1)(a)(i) of the EPA Act, was not material. As we know, an error will be material if there is a realistic possibility that the decision that was in fact made could have been different if the</w:t>
      </w:r>
      <w:r>
        <w:rPr>
          <w:rFonts w:ascii="Times New Roman" w:hAnsi="Times New Roman"/>
        </w:rPr>
        <w:t> </w:t>
      </w:r>
      <w:r w:rsidRPr="00992F81">
        <w:rPr>
          <w:rFonts w:ascii="Times New Roman" w:hAnsi="Times New Roman"/>
        </w:rPr>
        <w:t>error had not occurred. The Commission's error was material in this case. The</w:t>
      </w:r>
      <w:r>
        <w:rPr>
          <w:rFonts w:ascii="Times New Roman" w:hAnsi="Times New Roman"/>
        </w:rPr>
        <w:t> </w:t>
      </w:r>
      <w:r w:rsidRPr="00992F81">
        <w:rPr>
          <w:rFonts w:ascii="Times New Roman" w:hAnsi="Times New Roman"/>
        </w:rPr>
        <w:t xml:space="preserve">Commission did not turn its mind to, or seek submissions about, whether any such conditions could have been imposed. Accordingly, there was a realistic possibility that, had the Commission done so, conditions to minimise Scope 3 </w:t>
      </w:r>
      <w:r w:rsidRPr="00992F81">
        <w:rPr>
          <w:rFonts w:ascii="Times New Roman" w:hAnsi="Times New Roman"/>
        </w:rPr>
        <w:lastRenderedPageBreak/>
        <w:t xml:space="preserve">emissions could have been imposed. That threshold of materiality being established, it was for MACH to establish that an approval without conditions concerning Scope 3 emissions was inevitable. It did not, and could not, do so. </w:t>
      </w:r>
    </w:p>
    <w:p w14:paraId="159DC474" w14:textId="77777777" w:rsidR="004D2653" w:rsidRPr="00992F81" w:rsidRDefault="004D2653" w:rsidP="00992F81">
      <w:pPr>
        <w:pStyle w:val="FixListStyle"/>
        <w:spacing w:after="260" w:line="280" w:lineRule="exact"/>
        <w:ind w:right="0"/>
        <w:jc w:val="both"/>
        <w:rPr>
          <w:rFonts w:ascii="Times New Roman" w:hAnsi="Times New Roman"/>
        </w:rPr>
      </w:pPr>
      <w:r w:rsidRPr="00992F81">
        <w:rPr>
          <w:rFonts w:ascii="Times New Roman" w:hAnsi="Times New Roman"/>
        </w:rPr>
        <w:tab/>
      </w:r>
      <w:r w:rsidRPr="00992F81" w:rsidDel="00EF00A3">
        <w:rPr>
          <w:rFonts w:ascii="Times New Roman" w:hAnsi="Times New Roman"/>
        </w:rPr>
        <w:t xml:space="preserve">It is not to the point that </w:t>
      </w:r>
      <w:r w:rsidRPr="00992F81">
        <w:rPr>
          <w:rFonts w:ascii="Times New Roman" w:hAnsi="Times New Roman"/>
        </w:rPr>
        <w:t>DAMSHEG</w:t>
      </w:r>
      <w:r w:rsidRPr="00992F81" w:rsidDel="00EF00A3">
        <w:rPr>
          <w:rFonts w:ascii="Times New Roman" w:hAnsi="Times New Roman"/>
        </w:rPr>
        <w:t xml:space="preserve"> did not propose conditions that could have minimised Scope 3 emissions. </w:t>
      </w:r>
      <w:bookmarkEnd w:id="22"/>
      <w:r w:rsidRPr="00992F81">
        <w:rPr>
          <w:rFonts w:ascii="Times New Roman" w:hAnsi="Times New Roman"/>
        </w:rPr>
        <w:t>Nor should the preceding analysis be read so as to impose an obligation on the Commission to identify potential conditions that could have minimised Scope 3 emissions.</w:t>
      </w:r>
      <w:r w:rsidRPr="00992F81">
        <w:rPr>
          <w:rStyle w:val="FootnoteReference"/>
          <w:rFonts w:ascii="Times New Roman" w:hAnsi="Times New Roman"/>
          <w:sz w:val="24"/>
        </w:rPr>
        <w:footnoteReference w:id="131"/>
      </w:r>
      <w:r w:rsidRPr="00992F81">
        <w:rPr>
          <w:rFonts w:ascii="Times New Roman" w:hAnsi="Times New Roman"/>
        </w:rPr>
        <w:t xml:space="preserve"> </w:t>
      </w:r>
      <w:r w:rsidRPr="00992F81" w:rsidDel="00EF00A3">
        <w:rPr>
          <w:rFonts w:ascii="Times New Roman" w:hAnsi="Times New Roman"/>
        </w:rPr>
        <w:t>The statutory scheme established by the EPA Act placed responsibility on MACH, as the development proponent, to</w:t>
      </w:r>
      <w:r>
        <w:rPr>
          <w:rFonts w:ascii="Times New Roman" w:hAnsi="Times New Roman"/>
        </w:rPr>
        <w:t> </w:t>
      </w:r>
      <w:r w:rsidRPr="00992F81" w:rsidDel="00EF00A3">
        <w:rPr>
          <w:rFonts w:ascii="Times New Roman" w:hAnsi="Times New Roman"/>
        </w:rPr>
        <w:t>propose conditions to mitigate adverse environmental effects. The</w:t>
      </w:r>
      <w:r>
        <w:rPr>
          <w:rFonts w:ascii="Times New Roman" w:hAnsi="Times New Roman"/>
        </w:rPr>
        <w:t> </w:t>
      </w:r>
      <w:r w:rsidRPr="00992F81">
        <w:rPr>
          <w:rFonts w:ascii="Times New Roman" w:hAnsi="Times New Roman"/>
          <w:i/>
        </w:rPr>
        <w:t xml:space="preserve">Environmental Planning and Assessment </w:t>
      </w:r>
      <w:r w:rsidRPr="00992F81" w:rsidDel="00EF00A3">
        <w:rPr>
          <w:rFonts w:ascii="Times New Roman" w:hAnsi="Times New Roman"/>
          <w:i/>
        </w:rPr>
        <w:t xml:space="preserve">Regulation </w:t>
      </w:r>
      <w:r w:rsidRPr="00992F81">
        <w:rPr>
          <w:rFonts w:ascii="Times New Roman" w:hAnsi="Times New Roman"/>
          <w:i/>
        </w:rPr>
        <w:t>2000</w:t>
      </w:r>
      <w:r w:rsidRPr="00992F81">
        <w:rPr>
          <w:rFonts w:ascii="Times New Roman" w:hAnsi="Times New Roman"/>
        </w:rPr>
        <w:t xml:space="preserve"> (NSW) ("the</w:t>
      </w:r>
      <w:r>
        <w:rPr>
          <w:rFonts w:ascii="Times New Roman" w:hAnsi="Times New Roman"/>
        </w:rPr>
        <w:t> </w:t>
      </w:r>
      <w:r w:rsidRPr="00992F81">
        <w:rPr>
          <w:rFonts w:ascii="Times New Roman" w:hAnsi="Times New Roman"/>
        </w:rPr>
        <w:t>EPA</w:t>
      </w:r>
      <w:r>
        <w:rPr>
          <w:rFonts w:ascii="Times New Roman" w:hAnsi="Times New Roman"/>
        </w:rPr>
        <w:t> </w:t>
      </w:r>
      <w:r w:rsidRPr="00992F81">
        <w:rPr>
          <w:rFonts w:ascii="Times New Roman" w:hAnsi="Times New Roman"/>
        </w:rPr>
        <w:t>Regulations")</w:t>
      </w:r>
      <w:r w:rsidRPr="00992F81" w:rsidDel="00EF00A3">
        <w:rPr>
          <w:rFonts w:ascii="Times New Roman" w:hAnsi="Times New Roman"/>
        </w:rPr>
        <w:t xml:space="preserve"> required MACH's EIS to provide "a</w:t>
      </w:r>
      <w:r w:rsidRPr="00992F81">
        <w:rPr>
          <w:rFonts w:ascii="Times New Roman" w:hAnsi="Times New Roman"/>
        </w:rPr>
        <w:t> </w:t>
      </w:r>
      <w:r w:rsidRPr="00992F81" w:rsidDel="00EF00A3">
        <w:rPr>
          <w:rFonts w:ascii="Times New Roman" w:hAnsi="Times New Roman"/>
        </w:rPr>
        <w:t>full description of the measures proposed to mitigate any adverse effects of the development … on</w:t>
      </w:r>
      <w:r>
        <w:rPr>
          <w:rFonts w:ascii="Times New Roman" w:hAnsi="Times New Roman"/>
        </w:rPr>
        <w:t> </w:t>
      </w:r>
      <w:r w:rsidRPr="00992F81" w:rsidDel="00EF00A3">
        <w:rPr>
          <w:rFonts w:ascii="Times New Roman" w:hAnsi="Times New Roman"/>
        </w:rPr>
        <w:t>the environment".</w:t>
      </w:r>
      <w:r w:rsidRPr="00992F81" w:rsidDel="00EF00A3">
        <w:rPr>
          <w:rStyle w:val="FootnoteReference"/>
          <w:rFonts w:ascii="Times New Roman" w:hAnsi="Times New Roman"/>
          <w:sz w:val="24"/>
        </w:rPr>
        <w:footnoteReference w:id="132"/>
      </w:r>
      <w:r w:rsidRPr="00992F81" w:rsidDel="00EF00A3">
        <w:rPr>
          <w:rFonts w:ascii="Times New Roman" w:hAnsi="Times New Roman"/>
        </w:rPr>
        <w:t xml:space="preserve"> </w:t>
      </w:r>
      <w:r w:rsidRPr="00992F81">
        <w:rPr>
          <w:rFonts w:ascii="Times New Roman" w:hAnsi="Times New Roman"/>
        </w:rPr>
        <w:t>Pursuant to t</w:t>
      </w:r>
      <w:r w:rsidRPr="00992F81" w:rsidDel="00EF00A3">
        <w:rPr>
          <w:rFonts w:ascii="Times New Roman" w:hAnsi="Times New Roman"/>
        </w:rPr>
        <w:t>he EPA Regulations</w:t>
      </w:r>
      <w:r w:rsidRPr="00992F81">
        <w:rPr>
          <w:rFonts w:ascii="Times New Roman" w:hAnsi="Times New Roman"/>
        </w:rPr>
        <w:t>, the Planning Secretary imposed requirements for the EIS</w:t>
      </w:r>
      <w:r w:rsidRPr="00992F81" w:rsidDel="00EF00A3">
        <w:rPr>
          <w:rFonts w:ascii="Times New Roman" w:hAnsi="Times New Roman"/>
        </w:rPr>
        <w:t xml:space="preserve"> to include "an assessment of the likely greenhouse gas emissions of the development" and address measures to "avoid, minimise, mitigate and/or offset the likely impacts of the development" and</w:t>
      </w:r>
      <w:r>
        <w:rPr>
          <w:rFonts w:ascii="Times New Roman" w:hAnsi="Times New Roman"/>
        </w:rPr>
        <w:t> </w:t>
      </w:r>
      <w:r w:rsidRPr="00992F81" w:rsidDel="00EF00A3">
        <w:rPr>
          <w:rFonts w:ascii="Times New Roman" w:hAnsi="Times New Roman"/>
        </w:rPr>
        <w:t>"an</w:t>
      </w:r>
      <w:r>
        <w:rPr>
          <w:rFonts w:ascii="Times New Roman" w:hAnsi="Times New Roman"/>
        </w:rPr>
        <w:t> </w:t>
      </w:r>
      <w:r w:rsidRPr="00992F81" w:rsidDel="00EF00A3">
        <w:rPr>
          <w:rFonts w:ascii="Times New Roman" w:hAnsi="Times New Roman"/>
        </w:rPr>
        <w:t xml:space="preserve">assessment of </w:t>
      </w:r>
      <w:r w:rsidRPr="00992F81">
        <w:rPr>
          <w:rFonts w:ascii="Times New Roman" w:hAnsi="Times New Roman"/>
        </w:rPr>
        <w:t xml:space="preserve">... </w:t>
      </w:r>
      <w:r w:rsidRPr="00992F81" w:rsidDel="00EF00A3">
        <w:rPr>
          <w:rFonts w:ascii="Times New Roman" w:hAnsi="Times New Roman"/>
        </w:rPr>
        <w:t>whether these measures … represent the full range of reasonable and feasible mitigation measures that could be implemented".</w:t>
      </w:r>
      <w:r w:rsidRPr="00992F81" w:rsidDel="00EF00A3">
        <w:rPr>
          <w:rStyle w:val="FootnoteReference"/>
          <w:rFonts w:ascii="Times New Roman" w:hAnsi="Times New Roman"/>
          <w:sz w:val="24"/>
        </w:rPr>
        <w:footnoteReference w:id="133"/>
      </w:r>
      <w:r w:rsidRPr="00992F81" w:rsidDel="00EF00A3">
        <w:rPr>
          <w:rFonts w:ascii="Times New Roman" w:hAnsi="Times New Roman"/>
        </w:rPr>
        <w:t xml:space="preserve"> </w:t>
      </w:r>
      <w:r w:rsidRPr="00992F81">
        <w:rPr>
          <w:rFonts w:ascii="Times New Roman" w:hAnsi="Times New Roman"/>
        </w:rPr>
        <w:t>DAMSHEG</w:t>
      </w:r>
      <w:r w:rsidRPr="00992F81" w:rsidDel="00EF00A3">
        <w:rPr>
          <w:rFonts w:ascii="Times New Roman" w:hAnsi="Times New Roman"/>
        </w:rPr>
        <w:t xml:space="preserve"> drew to the Commission's attention MACH's failure to propose conditions to minimise Scope 3 emissions.</w:t>
      </w:r>
      <w:r w:rsidRPr="00992F81">
        <w:rPr>
          <w:rFonts w:ascii="Times New Roman" w:hAnsi="Times New Roman"/>
          <w:b/>
          <w:bCs/>
        </w:rPr>
        <w:t xml:space="preserve"> </w:t>
      </w:r>
    </w:p>
    <w:p w14:paraId="608647BE" w14:textId="77777777" w:rsidR="004D2653" w:rsidRPr="00992F81" w:rsidRDefault="004D2653" w:rsidP="00992F81">
      <w:pPr>
        <w:pStyle w:val="FixListStyle"/>
        <w:spacing w:after="260" w:line="280" w:lineRule="exact"/>
        <w:ind w:right="0"/>
        <w:jc w:val="both"/>
        <w:rPr>
          <w:rFonts w:ascii="Times New Roman" w:hAnsi="Times New Roman"/>
        </w:rPr>
      </w:pPr>
      <w:r w:rsidRPr="00992F81" w:rsidDel="00670985">
        <w:rPr>
          <w:rFonts w:ascii="Times New Roman" w:hAnsi="Times New Roman"/>
        </w:rPr>
        <w:tab/>
        <w:t xml:space="preserve">The NSWCA was therefore wrong to suggest that </w:t>
      </w:r>
      <w:r w:rsidRPr="00992F81">
        <w:rPr>
          <w:rFonts w:ascii="Times New Roman" w:hAnsi="Times New Roman"/>
        </w:rPr>
        <w:t>DAMSHEG'</w:t>
      </w:r>
      <w:r w:rsidRPr="00992F81" w:rsidDel="00670985">
        <w:rPr>
          <w:rFonts w:ascii="Times New Roman" w:hAnsi="Times New Roman"/>
        </w:rPr>
        <w:t>s "forensic</w:t>
      </w:r>
      <w:r>
        <w:rPr>
          <w:rFonts w:ascii="Times New Roman" w:hAnsi="Times New Roman"/>
        </w:rPr>
        <w:t> </w:t>
      </w:r>
      <w:r w:rsidRPr="00992F81" w:rsidDel="00670985">
        <w:rPr>
          <w:rFonts w:ascii="Times New Roman" w:hAnsi="Times New Roman"/>
        </w:rPr>
        <w:t xml:space="preserve">choice" not to propose its own conditions to minimise Scope 3 emissions precluded it from alleging that the Commission fell into error. There was simply no obligation on </w:t>
      </w:r>
      <w:r w:rsidRPr="00992F81">
        <w:rPr>
          <w:rFonts w:ascii="Times New Roman" w:hAnsi="Times New Roman"/>
        </w:rPr>
        <w:t>DAMSHEG</w:t>
      </w:r>
      <w:r w:rsidRPr="00992F81" w:rsidDel="00670985">
        <w:rPr>
          <w:rFonts w:ascii="Times New Roman" w:hAnsi="Times New Roman"/>
        </w:rPr>
        <w:t xml:space="preserve"> to propose such conditions. </w:t>
      </w:r>
    </w:p>
    <w:p w14:paraId="1A7B274E" w14:textId="77777777" w:rsidR="004D2653" w:rsidRPr="00992F81" w:rsidRDefault="004D2653" w:rsidP="00992F81">
      <w:pPr>
        <w:pStyle w:val="FixListStyle"/>
        <w:spacing w:after="260" w:line="280" w:lineRule="exact"/>
        <w:ind w:right="0"/>
        <w:jc w:val="both"/>
        <w:rPr>
          <w:rFonts w:ascii="Times New Roman" w:hAnsi="Times New Roman"/>
        </w:rPr>
      </w:pPr>
      <w:r w:rsidRPr="00992F81">
        <w:rPr>
          <w:rFonts w:ascii="Times New Roman" w:hAnsi="Times New Roman"/>
        </w:rPr>
        <w:tab/>
        <w:t>The Commission's approach may be contrasted with that upheld by the</w:t>
      </w:r>
      <w:r>
        <w:rPr>
          <w:rFonts w:ascii="Times New Roman" w:hAnsi="Times New Roman"/>
        </w:rPr>
        <w:t> </w:t>
      </w:r>
      <w:r w:rsidRPr="00992F81">
        <w:rPr>
          <w:rFonts w:ascii="Times New Roman" w:hAnsi="Times New Roman"/>
        </w:rPr>
        <w:t xml:space="preserve">NSWCA in </w:t>
      </w:r>
      <w:r w:rsidRPr="00992F81">
        <w:rPr>
          <w:rFonts w:ascii="Times New Roman" w:hAnsi="Times New Roman"/>
          <w:i/>
          <w:iCs/>
        </w:rPr>
        <w:t>KEPCO Bylong Australia Pty Ltd v Bylong Valley Protection Alliance Inc</w:t>
      </w:r>
      <w:r w:rsidRPr="00992F81">
        <w:rPr>
          <w:rFonts w:ascii="Times New Roman" w:hAnsi="Times New Roman"/>
        </w:rPr>
        <w:t>.</w:t>
      </w:r>
      <w:r w:rsidRPr="00992F81">
        <w:rPr>
          <w:rStyle w:val="FootnoteReference"/>
          <w:rFonts w:ascii="Times New Roman" w:hAnsi="Times New Roman"/>
          <w:sz w:val="24"/>
        </w:rPr>
        <w:footnoteReference w:id="134"/>
      </w:r>
      <w:r w:rsidRPr="00992F81">
        <w:rPr>
          <w:rFonts w:ascii="Times New Roman" w:hAnsi="Times New Roman"/>
        </w:rPr>
        <w:t xml:space="preserve"> In </w:t>
      </w:r>
      <w:r w:rsidRPr="00992F81">
        <w:rPr>
          <w:rFonts w:ascii="Times New Roman" w:hAnsi="Times New Roman"/>
          <w:i/>
          <w:iCs/>
        </w:rPr>
        <w:t>KEPCO</w:t>
      </w:r>
      <w:r w:rsidRPr="00992F81">
        <w:rPr>
          <w:rFonts w:ascii="Times New Roman" w:hAnsi="Times New Roman"/>
        </w:rPr>
        <w:t>, the Commission had refused an application for development consent to construct and operate a new thermal coal mine near Mudgee in NSW.</w:t>
      </w:r>
      <w:r w:rsidRPr="00992F81">
        <w:rPr>
          <w:rStyle w:val="FootnoteReference"/>
          <w:rFonts w:ascii="Times New Roman" w:hAnsi="Times New Roman"/>
          <w:sz w:val="24"/>
        </w:rPr>
        <w:footnoteReference w:id="135"/>
      </w:r>
      <w:r w:rsidRPr="00992F81">
        <w:rPr>
          <w:rFonts w:ascii="Times New Roman" w:hAnsi="Times New Roman"/>
        </w:rPr>
        <w:t xml:space="preserve"> The Commission observed that KEPCO had only proposed conditions relating to Scope 1 and 2 emissions and stated that it was therefore of the view that KEPCO had "not minimised Scope 1, 2 and 3 </w:t>
      </w:r>
      <w:r w:rsidRPr="00992F81">
        <w:rPr>
          <w:rFonts w:ascii="Times New Roman" w:eastAsia="Calibri" w:hAnsi="Times New Roman"/>
        </w:rPr>
        <w:t xml:space="preserve">[greenhouse gas] </w:t>
      </w:r>
      <w:r w:rsidRPr="00992F81">
        <w:rPr>
          <w:rFonts w:ascii="Times New Roman" w:hAnsi="Times New Roman"/>
        </w:rPr>
        <w:t xml:space="preserve">emissions to the greatest extent practicable as required under cl 14(1)(c) of </w:t>
      </w:r>
      <w:r w:rsidRPr="00992F81">
        <w:rPr>
          <w:rFonts w:ascii="Times New Roman" w:hAnsi="Times New Roman"/>
        </w:rPr>
        <w:lastRenderedPageBreak/>
        <w:t>the</w:t>
      </w:r>
      <w:r>
        <w:rPr>
          <w:rFonts w:ascii="Times New Roman" w:hAnsi="Times New Roman"/>
        </w:rPr>
        <w:t> </w:t>
      </w:r>
      <w:r w:rsidRPr="00992F81">
        <w:rPr>
          <w:rFonts w:ascii="Times New Roman" w:hAnsi="Times New Roman"/>
        </w:rPr>
        <w:t>Mining SEPP".</w:t>
      </w:r>
      <w:r w:rsidRPr="00992F81">
        <w:rPr>
          <w:rStyle w:val="FootnoteReference"/>
          <w:rFonts w:ascii="Times New Roman" w:hAnsi="Times New Roman"/>
          <w:sz w:val="24"/>
        </w:rPr>
        <w:footnoteReference w:id="136"/>
      </w:r>
      <w:r w:rsidRPr="00992F81">
        <w:rPr>
          <w:rFonts w:ascii="Times New Roman" w:hAnsi="Times New Roman"/>
        </w:rPr>
        <w:t xml:space="preserve"> As already noted, cl 14(1)(c) of the Mining SEPP was the</w:t>
      </w:r>
      <w:r>
        <w:rPr>
          <w:rFonts w:ascii="Times New Roman" w:hAnsi="Times New Roman"/>
        </w:rPr>
        <w:t> </w:t>
      </w:r>
      <w:r w:rsidRPr="00992F81">
        <w:rPr>
          <w:rFonts w:ascii="Times New Roman" w:hAnsi="Times New Roman"/>
        </w:rPr>
        <w:t>predecessor to cl 2.20(1)(c) and was in relevantly the same terms.</w:t>
      </w:r>
      <w:r w:rsidRPr="00992F81">
        <w:rPr>
          <w:rStyle w:val="FootnoteReference"/>
          <w:rFonts w:ascii="Times New Roman" w:hAnsi="Times New Roman"/>
          <w:sz w:val="24"/>
        </w:rPr>
        <w:footnoteReference w:id="137"/>
      </w:r>
      <w:r w:rsidRPr="00992F81">
        <w:rPr>
          <w:rFonts w:ascii="Times New Roman" w:hAnsi="Times New Roman"/>
        </w:rPr>
        <w:t xml:space="preserve"> The</w:t>
      </w:r>
      <w:r>
        <w:rPr>
          <w:rFonts w:ascii="Times New Roman" w:hAnsi="Times New Roman"/>
        </w:rPr>
        <w:t> </w:t>
      </w:r>
      <w:r w:rsidRPr="00992F81">
        <w:rPr>
          <w:rFonts w:ascii="Times New Roman" w:hAnsi="Times New Roman"/>
        </w:rPr>
        <w:t>NSWCA upheld the Commission's decision, holding that the Commission appropriately "weighed in the balance against the grant of consent that [KEPCO] had proposed no condition which addressed the critical element, namely</w:t>
      </w:r>
      <w:r>
        <w:rPr>
          <w:rFonts w:ascii="Times New Roman" w:hAnsi="Times New Roman"/>
        </w:rPr>
        <w:t> </w:t>
      </w:r>
      <w:r w:rsidRPr="00992F81">
        <w:rPr>
          <w:rFonts w:ascii="Times New Roman" w:hAnsi="Times New Roman"/>
        </w:rPr>
        <w:t>minimising the 98% of [greenhouse gas] emissions falling within Scope</w:t>
      </w:r>
      <w:r>
        <w:rPr>
          <w:rFonts w:ascii="Times New Roman" w:hAnsi="Times New Roman"/>
        </w:rPr>
        <w:t> </w:t>
      </w:r>
      <w:r w:rsidRPr="00992F81">
        <w:rPr>
          <w:rFonts w:ascii="Times New Roman" w:hAnsi="Times New Roman"/>
        </w:rPr>
        <w:t>3".</w:t>
      </w:r>
      <w:r w:rsidRPr="00992F81">
        <w:rPr>
          <w:rStyle w:val="FootnoteReference"/>
          <w:rFonts w:ascii="Times New Roman" w:hAnsi="Times New Roman"/>
          <w:sz w:val="24"/>
        </w:rPr>
        <w:footnoteReference w:id="138"/>
      </w:r>
      <w:r w:rsidRPr="00992F81">
        <w:rPr>
          <w:rFonts w:ascii="Times New Roman" w:hAnsi="Times New Roman"/>
        </w:rPr>
        <w:t xml:space="preserve"> </w:t>
      </w:r>
    </w:p>
    <w:p w14:paraId="019FA8AB" w14:textId="77777777" w:rsidR="004D2653" w:rsidRPr="00992F81" w:rsidRDefault="004D2653" w:rsidP="00992F81">
      <w:pPr>
        <w:pStyle w:val="FixListStyle"/>
        <w:spacing w:after="260" w:line="280" w:lineRule="exact"/>
        <w:ind w:right="0"/>
        <w:jc w:val="both"/>
        <w:rPr>
          <w:rFonts w:ascii="Times New Roman" w:hAnsi="Times New Roman"/>
        </w:rPr>
      </w:pPr>
      <w:r w:rsidRPr="00992F81">
        <w:rPr>
          <w:rFonts w:ascii="Times New Roman" w:hAnsi="Times New Roman"/>
        </w:rPr>
        <w:tab/>
        <w:t xml:space="preserve">While it may be accepted that, as observed by the Commission in </w:t>
      </w:r>
      <w:r w:rsidRPr="00992F81">
        <w:rPr>
          <w:rFonts w:ascii="Times New Roman" w:hAnsi="Times New Roman"/>
          <w:i/>
        </w:rPr>
        <w:t>Mullaley</w:t>
      </w:r>
      <w:r w:rsidRPr="00992F81">
        <w:rPr>
          <w:rFonts w:ascii="Times New Roman" w:hAnsi="Times New Roman"/>
        </w:rPr>
        <w:t>, some aspects of Scope 3 emissions will be beyond the direct control of the</w:t>
      </w:r>
      <w:r>
        <w:rPr>
          <w:rFonts w:ascii="Times New Roman" w:hAnsi="Times New Roman"/>
        </w:rPr>
        <w:t> </w:t>
      </w:r>
      <w:r w:rsidRPr="00992F81">
        <w:rPr>
          <w:rFonts w:ascii="Times New Roman" w:hAnsi="Times New Roman"/>
        </w:rPr>
        <w:t>development proponent, "conditions aimed at ensuring ... that [Scope 3] emissions [were] minimised to the greatest extent practicable" could have been considered to be imposed.</w:t>
      </w:r>
      <w:r w:rsidRPr="00992F81">
        <w:rPr>
          <w:rStyle w:val="FootnoteReference"/>
          <w:rFonts w:ascii="Times New Roman" w:hAnsi="Times New Roman"/>
          <w:sz w:val="24"/>
        </w:rPr>
        <w:footnoteReference w:id="139"/>
      </w:r>
      <w:r w:rsidRPr="00992F81">
        <w:rPr>
          <w:rFonts w:ascii="Times New Roman" w:hAnsi="Times New Roman"/>
        </w:rPr>
        <w:t xml:space="preserve"> As Adamson JA observed in the NSWCA below:</w:t>
      </w:r>
      <w:r w:rsidRPr="00992F81">
        <w:rPr>
          <w:rStyle w:val="FootnoteReference"/>
          <w:rFonts w:ascii="Times New Roman" w:hAnsi="Times New Roman"/>
          <w:sz w:val="24"/>
        </w:rPr>
        <w:footnoteReference w:id="140"/>
      </w:r>
      <w:r w:rsidRPr="00992F81">
        <w:rPr>
          <w:rFonts w:ascii="Times New Roman" w:hAnsi="Times New Roman"/>
          <w:b/>
          <w:bCs/>
        </w:rPr>
        <w:t xml:space="preserve"> </w:t>
      </w:r>
    </w:p>
    <w:p w14:paraId="6516469D" w14:textId="77777777" w:rsidR="004D2653" w:rsidRDefault="004D2653" w:rsidP="00992F81">
      <w:pPr>
        <w:pStyle w:val="leftright"/>
        <w:spacing w:before="0" w:after="260" w:line="280" w:lineRule="exact"/>
        <w:ind w:right="0"/>
        <w:jc w:val="both"/>
        <w:rPr>
          <w:rFonts w:ascii="Times New Roman" w:hAnsi="Times New Roman"/>
        </w:rPr>
      </w:pPr>
      <w:r w:rsidRPr="00992F81">
        <w:rPr>
          <w:rFonts w:ascii="Times New Roman" w:hAnsi="Times New Roman"/>
        </w:rPr>
        <w:t xml:space="preserve">"There was plainly much more that the Commission </w:t>
      </w:r>
      <w:r w:rsidRPr="00992F81">
        <w:rPr>
          <w:rFonts w:ascii="Times New Roman" w:hAnsi="Times New Roman"/>
          <w:i/>
          <w:iCs/>
        </w:rPr>
        <w:t xml:space="preserve">could </w:t>
      </w:r>
      <w:r w:rsidRPr="00992F81">
        <w:rPr>
          <w:rFonts w:ascii="Times New Roman" w:hAnsi="Times New Roman"/>
        </w:rPr>
        <w:t>have done by imposing conditions in relation to the 98% of emissions which would be generated by the [P]roject. It could, for example, as Ms Sharp SC, who</w:t>
      </w:r>
      <w:r>
        <w:rPr>
          <w:rFonts w:ascii="Times New Roman" w:hAnsi="Times New Roman"/>
        </w:rPr>
        <w:t> </w:t>
      </w:r>
      <w:r w:rsidRPr="00992F81">
        <w:rPr>
          <w:rFonts w:ascii="Times New Roman" w:hAnsi="Times New Roman"/>
        </w:rPr>
        <w:t>appeared with Mr Thompson for Denman, submitted, have imposed conditions such as requiring the coal to be washed before it is exported; limiting the coal that is exported to coal of a certain high calorific content or that the coal be exported only to those countries which have NDCs under the Paris Agreement (or equivalent in the case of an entity such as Taiwan); requiring that coal exported from the [P]roject only be used in power stations which use technology such as carbon capture and storage or fluidised bed combustion; or requiring that MACH implement offsets to the</w:t>
      </w:r>
      <w:r>
        <w:rPr>
          <w:rFonts w:ascii="Times New Roman" w:hAnsi="Times New Roman"/>
        </w:rPr>
        <w:t> </w:t>
      </w:r>
      <w:r w:rsidRPr="00992F81">
        <w:rPr>
          <w:rFonts w:ascii="Times New Roman" w:hAnsi="Times New Roman"/>
        </w:rPr>
        <w:t>emissions caused by the coal."</w:t>
      </w:r>
    </w:p>
    <w:p w14:paraId="229FF278" w14:textId="77777777" w:rsidR="004D2653" w:rsidRPr="00992F81" w:rsidDel="00670985" w:rsidRDefault="004D2653" w:rsidP="00992F81">
      <w:pPr>
        <w:pStyle w:val="FixListStyle"/>
        <w:spacing w:after="260" w:line="280" w:lineRule="exact"/>
        <w:ind w:right="0"/>
        <w:jc w:val="both"/>
        <w:rPr>
          <w:rFonts w:ascii="Times New Roman" w:hAnsi="Times New Roman"/>
        </w:rPr>
      </w:pPr>
      <w:r w:rsidRPr="00992F81">
        <w:rPr>
          <w:rFonts w:ascii="Times New Roman" w:hAnsi="Times New Roman"/>
        </w:rPr>
        <w:tab/>
        <w:t>Such conditions may have been largely directed towards the minimisation of downstream Scope 3 emissions attributable to "third-party emissions from the</w:t>
      </w:r>
      <w:r>
        <w:rPr>
          <w:rFonts w:ascii="Times New Roman" w:hAnsi="Times New Roman"/>
        </w:rPr>
        <w:t> </w:t>
      </w:r>
      <w:r w:rsidRPr="00992F81">
        <w:rPr>
          <w:rFonts w:ascii="Times New Roman" w:hAnsi="Times New Roman"/>
        </w:rPr>
        <w:t xml:space="preserve">combustion of product coal from the Project", although an offset condition </w:t>
      </w:r>
      <w:r w:rsidRPr="00992F81">
        <w:rPr>
          <w:rFonts w:ascii="Times New Roman" w:hAnsi="Times New Roman"/>
        </w:rPr>
        <w:lastRenderedPageBreak/>
        <w:t>might have been imposed in relation to all categories of Scope 3 emissions.</w:t>
      </w:r>
      <w:r w:rsidRPr="00992F81">
        <w:rPr>
          <w:rStyle w:val="FootnoteReference"/>
          <w:rFonts w:ascii="Times New Roman" w:hAnsi="Times New Roman"/>
          <w:sz w:val="24"/>
        </w:rPr>
        <w:footnoteReference w:id="141"/>
      </w:r>
      <w:r w:rsidRPr="00992F81">
        <w:rPr>
          <w:rFonts w:ascii="Times New Roman" w:hAnsi="Times New Roman"/>
        </w:rPr>
        <w:t xml:space="preserve"> Whether the total permitted output of the mine could have been reduced or a</w:t>
      </w:r>
      <w:r>
        <w:rPr>
          <w:rFonts w:ascii="Times New Roman" w:hAnsi="Times New Roman"/>
        </w:rPr>
        <w:t> </w:t>
      </w:r>
      <w:r w:rsidRPr="00992F81">
        <w:rPr>
          <w:rFonts w:ascii="Times New Roman" w:hAnsi="Times New Roman"/>
        </w:rPr>
        <w:t xml:space="preserve">condition could have been imposed on MACH selling the Project's coal only to countries that had undertaken to make significant reductions in their greenhouse gas emissions were not the subject of submission or argument. What can be stated is that although the Commission was required to consider issuing the consent "subject to conditions aimed at ensuring ... that greenhouse gas emissions are minimised to the greatest extent practicable", including </w:t>
      </w:r>
      <w:r w:rsidRPr="00992F81" w:rsidDel="00FC464F">
        <w:rPr>
          <w:rFonts w:ascii="Times New Roman" w:hAnsi="Times New Roman"/>
        </w:rPr>
        <w:t>Scope 3 emissions</w:t>
      </w:r>
      <w:r w:rsidRPr="00992F81">
        <w:rPr>
          <w:rFonts w:ascii="Times New Roman" w:hAnsi="Times New Roman"/>
        </w:rPr>
        <w:t xml:space="preserve"> (both</w:t>
      </w:r>
      <w:r>
        <w:rPr>
          <w:rFonts w:ascii="Times New Roman" w:hAnsi="Times New Roman"/>
        </w:rPr>
        <w:t> </w:t>
      </w:r>
      <w:r w:rsidRPr="00992F81">
        <w:rPr>
          <w:rFonts w:ascii="Times New Roman" w:hAnsi="Times New Roman"/>
        </w:rPr>
        <w:t>upstream and downstream) of the Project, it did not do so. By failing to turn its attention to this issue, the Commission also deprived itself of any opportunity to request further submissions about the availability or desirability of such conditions.</w:t>
      </w:r>
      <w:r w:rsidRPr="00992F81">
        <w:rPr>
          <w:rStyle w:val="FootnoteReference"/>
          <w:rFonts w:ascii="Times New Roman" w:hAnsi="Times New Roman"/>
          <w:sz w:val="24"/>
        </w:rPr>
        <w:footnoteReference w:id="142"/>
      </w:r>
    </w:p>
    <w:p w14:paraId="6D25A714" w14:textId="77777777" w:rsidR="004D2653" w:rsidRPr="00992F81" w:rsidRDefault="004D2653" w:rsidP="00992F81">
      <w:pPr>
        <w:pStyle w:val="FixListStyle"/>
        <w:spacing w:after="260" w:line="280" w:lineRule="exact"/>
        <w:ind w:right="0"/>
        <w:jc w:val="both"/>
        <w:rPr>
          <w:rFonts w:ascii="Times New Roman" w:hAnsi="Times New Roman"/>
        </w:rPr>
      </w:pPr>
      <w:r w:rsidRPr="00992F81">
        <w:rPr>
          <w:rFonts w:ascii="Times New Roman" w:hAnsi="Times New Roman"/>
        </w:rPr>
        <w:tab/>
      </w:r>
      <w:bookmarkStart w:id="23" w:name="_Ref231975303"/>
      <w:r w:rsidRPr="00992F81">
        <w:rPr>
          <w:rFonts w:ascii="Times New Roman" w:hAnsi="Times New Roman"/>
        </w:rPr>
        <w:t>The Commission's error in relation to s 4.15(1)(a)(i) of the EPA Act and cl 2.20(1)(c) of the Resources SEPP was</w:t>
      </w:r>
      <w:r w:rsidRPr="00992F81" w:rsidDel="00A956C8">
        <w:rPr>
          <w:rFonts w:ascii="Times New Roman" w:hAnsi="Times New Roman"/>
        </w:rPr>
        <w:t xml:space="preserve"> </w:t>
      </w:r>
      <w:r w:rsidRPr="00992F81">
        <w:rPr>
          <w:rFonts w:ascii="Times New Roman" w:hAnsi="Times New Roman"/>
        </w:rPr>
        <w:t>therefore material and amounted to a</w:t>
      </w:r>
      <w:r>
        <w:rPr>
          <w:rFonts w:ascii="Times New Roman" w:hAnsi="Times New Roman"/>
        </w:rPr>
        <w:t> </w:t>
      </w:r>
      <w:r w:rsidRPr="00992F81">
        <w:rPr>
          <w:rFonts w:ascii="Times New Roman" w:hAnsi="Times New Roman"/>
        </w:rPr>
        <w:t>jurisdictional error. The Commission's approval was invalid. The first ground of the amended notice of contention should be upheld.</w:t>
      </w:r>
      <w:bookmarkEnd w:id="23"/>
      <w:r w:rsidRPr="00992F81">
        <w:rPr>
          <w:rFonts w:ascii="Times New Roman" w:hAnsi="Times New Roman"/>
        </w:rPr>
        <w:t xml:space="preserve"> </w:t>
      </w:r>
    </w:p>
    <w:p w14:paraId="5887A107" w14:textId="77777777" w:rsidR="004D2653" w:rsidRPr="00992F81" w:rsidRDefault="004D2653" w:rsidP="00992F81">
      <w:pPr>
        <w:pStyle w:val="HeadingL3"/>
        <w:spacing w:after="260" w:line="280" w:lineRule="exact"/>
        <w:ind w:right="0"/>
        <w:jc w:val="both"/>
        <w:rPr>
          <w:rFonts w:ascii="Times New Roman" w:hAnsi="Times New Roman"/>
        </w:rPr>
      </w:pPr>
      <w:r w:rsidRPr="00992F81">
        <w:rPr>
          <w:rFonts w:ascii="Times New Roman" w:hAnsi="Times New Roman"/>
        </w:rPr>
        <w:t>Appropriate relief</w:t>
      </w:r>
    </w:p>
    <w:p w14:paraId="66395FA2" w14:textId="77777777" w:rsidR="004D2653" w:rsidRPr="00992F81" w:rsidRDefault="004D2653" w:rsidP="00992F81">
      <w:pPr>
        <w:pStyle w:val="FixListStyle"/>
        <w:spacing w:after="260" w:line="280" w:lineRule="exact"/>
        <w:ind w:right="0"/>
        <w:jc w:val="both"/>
        <w:rPr>
          <w:rFonts w:ascii="Times New Roman" w:hAnsi="Times New Roman"/>
        </w:rPr>
      </w:pPr>
      <w:r w:rsidRPr="00992F81">
        <w:rPr>
          <w:rFonts w:ascii="Times New Roman" w:hAnsi="Times New Roman"/>
        </w:rPr>
        <w:tab/>
        <w:t xml:space="preserve">As stated at the outset of these reasons, this Court cannot and does not address the merits of the requirement for the Commission to consider whether to impose conditions to minimise to the greatest extent practicable greenhouse gas emissions of the Project, including Scope 3 emissions, and what conditions, if any, might be imposed. It was for the Commission to consider whether to impose conditions to minimise to the greatest extent practicable greenhouse gas emissions of the Project, including Scope 3 emissions. </w:t>
      </w:r>
    </w:p>
    <w:p w14:paraId="4216BEBD" w14:textId="77777777" w:rsidR="004D2653" w:rsidRPr="00992F81" w:rsidRDefault="004D2653" w:rsidP="00992F81">
      <w:pPr>
        <w:pStyle w:val="FixListStyle"/>
        <w:spacing w:after="260" w:line="280" w:lineRule="exact"/>
        <w:ind w:right="0"/>
        <w:jc w:val="both"/>
        <w:rPr>
          <w:rFonts w:ascii="Times New Roman" w:hAnsi="Times New Roman"/>
        </w:rPr>
      </w:pPr>
      <w:r w:rsidRPr="00992F81">
        <w:rPr>
          <w:rFonts w:ascii="Times New Roman" w:hAnsi="Times New Roman"/>
        </w:rPr>
        <w:tab/>
        <w:t xml:space="preserve">The NSWCA ordered that the matter be remitted to the Land and Environment Court of NSW. On remitter, it will be for that Court to consider making orders under Div 3 of Pt 3 of the LEC Act. </w:t>
      </w:r>
    </w:p>
    <w:p w14:paraId="7DA04048" w14:textId="77777777" w:rsidR="004D2653" w:rsidRPr="00992F81" w:rsidRDefault="004D2653" w:rsidP="00992F81">
      <w:pPr>
        <w:pStyle w:val="HeadingL1"/>
        <w:spacing w:after="260" w:line="280" w:lineRule="exact"/>
        <w:ind w:right="0"/>
        <w:jc w:val="both"/>
        <w:rPr>
          <w:rFonts w:ascii="Times New Roman" w:hAnsi="Times New Roman"/>
        </w:rPr>
      </w:pPr>
      <w:r w:rsidRPr="00992F81">
        <w:rPr>
          <w:rFonts w:ascii="Times New Roman" w:hAnsi="Times New Roman"/>
        </w:rPr>
        <w:lastRenderedPageBreak/>
        <w:t>Third issue – climate change an environmental impact in the locality of the</w:t>
      </w:r>
      <w:r>
        <w:rPr>
          <w:rFonts w:ascii="Times New Roman" w:hAnsi="Times New Roman"/>
        </w:rPr>
        <w:t> </w:t>
      </w:r>
      <w:r w:rsidRPr="00992F81">
        <w:rPr>
          <w:rFonts w:ascii="Times New Roman" w:hAnsi="Times New Roman"/>
        </w:rPr>
        <w:t>development</w:t>
      </w:r>
    </w:p>
    <w:p w14:paraId="07CF1261" w14:textId="77777777" w:rsidR="004D2653" w:rsidRPr="00992F81" w:rsidRDefault="004D2653" w:rsidP="00992F81">
      <w:pPr>
        <w:pStyle w:val="FixListStyle"/>
        <w:spacing w:after="260" w:line="280" w:lineRule="exact"/>
        <w:ind w:right="0"/>
        <w:jc w:val="both"/>
        <w:rPr>
          <w:rFonts w:ascii="Times New Roman" w:hAnsi="Times New Roman"/>
        </w:rPr>
      </w:pPr>
      <w:r w:rsidRPr="00992F81">
        <w:rPr>
          <w:rFonts w:ascii="Times New Roman" w:hAnsi="Times New Roman"/>
        </w:rPr>
        <w:tab/>
        <w:t>By Ground 3 of the appeal, MACH contended that the NSWCA erred in characterising climate change as an environmental impact of the development in the locality.</w:t>
      </w:r>
      <w:r w:rsidRPr="00992F81">
        <w:rPr>
          <w:rFonts w:ascii="Times New Roman" w:hAnsi="Times New Roman"/>
          <w:b/>
          <w:bCs/>
        </w:rPr>
        <w:t xml:space="preserve"> </w:t>
      </w:r>
      <w:r w:rsidRPr="00992F81">
        <w:rPr>
          <w:rFonts w:ascii="Times New Roman" w:hAnsi="Times New Roman"/>
        </w:rPr>
        <w:t>Essentially, this is because MACH contended it is not possible to establish a causal link between Scope 3 emissions of the Project and the specific effects of climate change in the locality.</w:t>
      </w:r>
    </w:p>
    <w:p w14:paraId="2E00CF68" w14:textId="77777777" w:rsidR="004D2653" w:rsidRPr="00992F81" w:rsidRDefault="004D2653" w:rsidP="00992F81">
      <w:pPr>
        <w:pStyle w:val="FixListStyle"/>
        <w:spacing w:after="260" w:line="280" w:lineRule="exact"/>
        <w:ind w:right="0"/>
        <w:jc w:val="both"/>
        <w:rPr>
          <w:rFonts w:ascii="Times New Roman" w:hAnsi="Times New Roman"/>
        </w:rPr>
      </w:pPr>
      <w:r w:rsidRPr="00992F81">
        <w:rPr>
          <w:rFonts w:ascii="Times New Roman" w:hAnsi="Times New Roman"/>
          <w:b/>
          <w:bCs/>
        </w:rPr>
        <w:tab/>
      </w:r>
      <w:r w:rsidRPr="00992F81">
        <w:rPr>
          <w:rFonts w:ascii="Times New Roman" w:hAnsi="Times New Roman"/>
        </w:rPr>
        <w:t>Given the conclusions reached above, it is neither necessary nor appropriate to address this issue. It is therefore also unnecessary to decide whether special leave to appeal should be revoked in relation to this ground, as contended for by DAMSHEG. There is, however, considerable force in the submissions of DAMSHEG and the Union of Concerned Scientists, appearing as amicus curiae, that it would not have been appropriate for this Court to decide the issue given that the issue was not raised in the courts below and where scientific evidence might have been adduced to rebut the claims now raised by MACH.</w:t>
      </w:r>
    </w:p>
    <w:p w14:paraId="70219D26" w14:textId="77777777" w:rsidR="004D2653" w:rsidRPr="00992F81" w:rsidRDefault="004D2653" w:rsidP="00992F81">
      <w:pPr>
        <w:pStyle w:val="HeadingL1"/>
        <w:spacing w:after="260" w:line="280" w:lineRule="exact"/>
        <w:ind w:right="0"/>
        <w:jc w:val="both"/>
        <w:rPr>
          <w:rFonts w:ascii="Times New Roman" w:hAnsi="Times New Roman"/>
        </w:rPr>
      </w:pPr>
      <w:r w:rsidRPr="00992F81">
        <w:rPr>
          <w:rFonts w:ascii="Times New Roman" w:hAnsi="Times New Roman"/>
        </w:rPr>
        <w:t>Conclusion and orders</w:t>
      </w:r>
    </w:p>
    <w:p w14:paraId="7CEDD28E" w14:textId="77777777" w:rsidR="008352AC" w:rsidRDefault="004D2653" w:rsidP="008352AC">
      <w:pPr>
        <w:pStyle w:val="FixListStyle"/>
        <w:spacing w:after="260" w:line="280" w:lineRule="exact"/>
        <w:ind w:right="0"/>
        <w:jc w:val="both"/>
        <w:rPr>
          <w:rFonts w:ascii="Times New Roman" w:hAnsi="Times New Roman"/>
        </w:rPr>
      </w:pPr>
      <w:r w:rsidRPr="00992F81">
        <w:rPr>
          <w:rFonts w:ascii="Times New Roman" w:hAnsi="Times New Roman"/>
        </w:rPr>
        <w:tab/>
        <w:t xml:space="preserve">For those reasons, leave is granted to DAMSHEG to amend its notice of contention to include Ground 2, but that ground should be dismissed. The appeal should be dismissed with costs. </w:t>
      </w:r>
    </w:p>
    <w:p w14:paraId="4AB3801B" w14:textId="77777777" w:rsidR="008352AC" w:rsidRDefault="008352AC" w:rsidP="008352AC">
      <w:pPr>
        <w:pStyle w:val="FixListStyle"/>
        <w:spacing w:after="260" w:line="280" w:lineRule="exact"/>
        <w:ind w:right="0"/>
        <w:jc w:val="both"/>
        <w:rPr>
          <w:rFonts w:ascii="Times New Roman" w:hAnsi="Times New Roman"/>
        </w:rPr>
        <w:sectPr w:rsidR="008352AC" w:rsidSect="008352AC">
          <w:headerReference w:type="even" r:id="rId24"/>
          <w:headerReference w:type="default" r:id="rId25"/>
          <w:headerReference w:type="first" r:id="rId26"/>
          <w:pgSz w:w="11907" w:h="16839" w:code="9"/>
          <w:pgMar w:top="1440" w:right="1701" w:bottom="1984" w:left="1701" w:header="720" w:footer="720" w:gutter="0"/>
          <w:cols w:space="720"/>
          <w:docGrid w:linePitch="354"/>
        </w:sectPr>
      </w:pPr>
    </w:p>
    <w:p w14:paraId="2D8A732E" w14:textId="77777777" w:rsidR="008352AC" w:rsidRPr="009F4AF4" w:rsidRDefault="008352AC" w:rsidP="009F4AF4">
      <w:pPr>
        <w:pStyle w:val="NormalBody"/>
        <w:tabs>
          <w:tab w:val="clear" w:pos="720"/>
          <w:tab w:val="left" w:pos="0"/>
        </w:tabs>
        <w:spacing w:after="260" w:line="280" w:lineRule="exact"/>
        <w:ind w:right="0"/>
        <w:jc w:val="both"/>
        <w:rPr>
          <w:rFonts w:ascii="Times New Roman" w:hAnsi="Times New Roman"/>
        </w:rPr>
      </w:pPr>
      <w:r w:rsidRPr="009F4AF4">
        <w:rPr>
          <w:rFonts w:ascii="Times New Roman" w:hAnsi="Times New Roman"/>
        </w:rPr>
        <w:lastRenderedPageBreak/>
        <w:t xml:space="preserve">EDELMAN J.   </w:t>
      </w:r>
    </w:p>
    <w:p w14:paraId="33716867" w14:textId="77777777" w:rsidR="008352AC" w:rsidRPr="009F4AF4" w:rsidRDefault="008352AC" w:rsidP="009F4AF4">
      <w:pPr>
        <w:pStyle w:val="HeadingL1"/>
        <w:spacing w:after="260" w:line="280" w:lineRule="exact"/>
        <w:ind w:right="0"/>
        <w:jc w:val="both"/>
        <w:rPr>
          <w:rFonts w:ascii="Times New Roman" w:hAnsi="Times New Roman"/>
        </w:rPr>
      </w:pPr>
      <w:r w:rsidRPr="009F4AF4">
        <w:rPr>
          <w:rFonts w:ascii="Times New Roman" w:hAnsi="Times New Roman"/>
        </w:rPr>
        <w:t>Introduction: the three questions and the answers</w:t>
      </w:r>
    </w:p>
    <w:p w14:paraId="20BF1634" w14:textId="77777777" w:rsidR="008352AC" w:rsidRPr="009F4AF4" w:rsidRDefault="008352AC" w:rsidP="009F4AF4">
      <w:pPr>
        <w:pStyle w:val="HeadingL2"/>
        <w:spacing w:after="260" w:line="280" w:lineRule="exact"/>
        <w:ind w:right="0"/>
        <w:jc w:val="both"/>
        <w:rPr>
          <w:rFonts w:ascii="Times New Roman" w:hAnsi="Times New Roman"/>
        </w:rPr>
      </w:pPr>
      <w:r w:rsidRPr="009F4AF4">
        <w:rPr>
          <w:rFonts w:ascii="Times New Roman" w:hAnsi="Times New Roman"/>
        </w:rPr>
        <w:t>The three questions</w:t>
      </w:r>
    </w:p>
    <w:p w14:paraId="5DC39A1D" w14:textId="77777777" w:rsidR="008352AC" w:rsidRPr="009F4AF4" w:rsidRDefault="008352AC" w:rsidP="009F4AF4">
      <w:pPr>
        <w:pStyle w:val="FixListStyle"/>
        <w:spacing w:after="260" w:line="280" w:lineRule="exact"/>
        <w:ind w:right="0"/>
        <w:jc w:val="both"/>
        <w:rPr>
          <w:rFonts w:ascii="Times New Roman" w:hAnsi="Times New Roman"/>
        </w:rPr>
      </w:pPr>
      <w:r w:rsidRPr="009F4AF4">
        <w:rPr>
          <w:rFonts w:ascii="Times New Roman" w:hAnsi="Times New Roman"/>
        </w:rPr>
        <w:tab/>
        <w:t xml:space="preserve">On 6 September 2022, the Independent Planning Commission of New South Wales ("the Commission") granted development consent to the Mount Pleasant Optimisation Project in the locality of the Upper Hunter Valley. That consent extended the life by 22 years, and will expand the operations, of an open cut coal mine that is owned and operated by the appellant, "MACH". The consent will permit an additional 406 million tonnes of coal to be extracted. Although a small amount of that coal will be sold on the domestic market, most of the coal will be exported. An expert, Professor Sackett, estimated that the project will be one of the 650 largest greenhouse gas emitting projects or collective human activities in the world over industries including energy, transport, agriculture, and urban development. </w:t>
      </w:r>
    </w:p>
    <w:p w14:paraId="33FC207B" w14:textId="77777777" w:rsidR="008352AC" w:rsidRPr="009F4AF4" w:rsidRDefault="008352AC" w:rsidP="009F4AF4">
      <w:pPr>
        <w:pStyle w:val="FixListStyle"/>
        <w:spacing w:after="260" w:line="280" w:lineRule="exact"/>
        <w:ind w:right="0"/>
        <w:jc w:val="both"/>
        <w:rPr>
          <w:rFonts w:ascii="Times New Roman" w:hAnsi="Times New Roman"/>
        </w:rPr>
      </w:pPr>
      <w:r w:rsidRPr="009F4AF4">
        <w:rPr>
          <w:rFonts w:ascii="Times New Roman" w:hAnsi="Times New Roman"/>
        </w:rPr>
        <w:tab/>
        <w:t>Greenhouse gas emissions are commonly described, consistently with a goal of developing "internationally accepted [greenhouse gas] accounting and reporting standards for business", using categories labelled "scope 1", "scope 2", and "scope 3".</w:t>
      </w:r>
      <w:r w:rsidRPr="009F4AF4">
        <w:rPr>
          <w:rStyle w:val="FootnoteReference"/>
          <w:rFonts w:ascii="Times New Roman" w:hAnsi="Times New Roman"/>
          <w:sz w:val="24"/>
        </w:rPr>
        <w:footnoteReference w:id="143"/>
      </w:r>
      <w:r w:rsidRPr="009F4AF4">
        <w:rPr>
          <w:rFonts w:ascii="Times New Roman" w:hAnsi="Times New Roman"/>
        </w:rPr>
        <w:t xml:space="preserve"> Almost all of the project's greenhouse gas emissions (860 out of 876.07 million tonnes) will be scope 3 emissions, including upstream emissions in the process of supply of materials to the project and downstream emissions in the burning of coal by users, generally in the export markets where the coal will be sold. </w:t>
      </w:r>
    </w:p>
    <w:p w14:paraId="6A76CF45" w14:textId="77777777" w:rsidR="008352AC" w:rsidRPr="009F4AF4" w:rsidRDefault="008352AC" w:rsidP="009F4AF4">
      <w:pPr>
        <w:pStyle w:val="FixListStyle"/>
        <w:spacing w:after="260" w:line="280" w:lineRule="exact"/>
        <w:ind w:right="0"/>
        <w:jc w:val="both"/>
        <w:rPr>
          <w:rFonts w:ascii="Times New Roman" w:hAnsi="Times New Roman"/>
        </w:rPr>
      </w:pPr>
      <w:r w:rsidRPr="009F4AF4">
        <w:rPr>
          <w:rFonts w:ascii="Times New Roman" w:hAnsi="Times New Roman"/>
        </w:rPr>
        <w:tab/>
        <w:t>A precondition for development consent was that the Commission "take into consideration", as relevant to the development, whether to impose conditions "to ensure ... that greenhouse gas emissions are minimised to the greatest extent practicable".</w:t>
      </w:r>
      <w:r w:rsidRPr="009F4AF4">
        <w:rPr>
          <w:rStyle w:val="FootnoteReference"/>
          <w:rFonts w:ascii="Times New Roman" w:hAnsi="Times New Roman"/>
          <w:sz w:val="24"/>
        </w:rPr>
        <w:footnoteReference w:id="144"/>
      </w:r>
      <w:r w:rsidRPr="009F4AF4">
        <w:rPr>
          <w:rFonts w:ascii="Times New Roman" w:hAnsi="Times New Roman"/>
        </w:rPr>
        <w:t xml:space="preserve"> That required the Commission to consider conditions to minimise </w:t>
      </w:r>
      <w:r w:rsidRPr="009F4AF4">
        <w:rPr>
          <w:rFonts w:ascii="Times New Roman" w:hAnsi="Times New Roman"/>
          <w:i/>
          <w:iCs/>
        </w:rPr>
        <w:t xml:space="preserve">all </w:t>
      </w:r>
      <w:r w:rsidRPr="009F4AF4">
        <w:rPr>
          <w:rFonts w:ascii="Times New Roman" w:hAnsi="Times New Roman"/>
        </w:rPr>
        <w:t>greenhouse gas emissions to the greatest extent practicable. The Commission provided detailed reasons for imposing conditions to minimise scope 1 and scope</w:t>
      </w:r>
      <w:r>
        <w:rPr>
          <w:rFonts w:ascii="Times New Roman" w:hAnsi="Times New Roman"/>
        </w:rPr>
        <w:t> </w:t>
      </w:r>
      <w:r w:rsidRPr="009F4AF4">
        <w:rPr>
          <w:rFonts w:ascii="Times New Roman" w:hAnsi="Times New Roman"/>
        </w:rPr>
        <w:t xml:space="preserve">2 emissions. Those emissions will amount to two per cent of the project's greenhouse gas emissions. But the Commission imposed no conditions to minimise scope 3 emissions, which will amount to 98 per cent of the project's greenhouse gas emissions. Instead, the Commission repeatedly said that scope 3 emissions were not counted towards the emissions reported by New South Wales, but rather would </w:t>
      </w:r>
      <w:r w:rsidRPr="009F4AF4">
        <w:rPr>
          <w:rFonts w:ascii="Times New Roman" w:hAnsi="Times New Roman"/>
        </w:rPr>
        <w:lastRenderedPageBreak/>
        <w:t xml:space="preserve">be counted in the emissions of the countries to which the coal was exported for consumption. </w:t>
      </w:r>
    </w:p>
    <w:p w14:paraId="6AFA79EF" w14:textId="77777777" w:rsidR="008352AC" w:rsidRPr="009F4AF4" w:rsidRDefault="008352AC" w:rsidP="009F4AF4">
      <w:pPr>
        <w:pStyle w:val="FixListStyle"/>
        <w:spacing w:after="260" w:line="280" w:lineRule="exact"/>
        <w:ind w:right="0"/>
        <w:jc w:val="both"/>
        <w:rPr>
          <w:rFonts w:ascii="Times New Roman" w:hAnsi="Times New Roman"/>
        </w:rPr>
      </w:pPr>
      <w:r w:rsidRPr="009F4AF4">
        <w:rPr>
          <w:rFonts w:ascii="Times New Roman" w:hAnsi="Times New Roman"/>
        </w:rPr>
        <w:tab/>
        <w:t>The meaning of a further precondition for development consent was the subject of considerable argument in this Court. That precondition, with grammatical interpolation, required the Commission to "take into consideration", as relevant to the development, "the likely impacts of that development, including [(i)] environmental impacts on both the natural and built environments, and [(ii)]</w:t>
      </w:r>
      <w:r>
        <w:rPr>
          <w:rFonts w:ascii="Times New Roman" w:hAnsi="Times New Roman"/>
        </w:rPr>
        <w:t> </w:t>
      </w:r>
      <w:r w:rsidRPr="009F4AF4">
        <w:rPr>
          <w:rFonts w:ascii="Times New Roman" w:hAnsi="Times New Roman"/>
        </w:rPr>
        <w:t>social and economic impacts in the locality".</w:t>
      </w:r>
      <w:r w:rsidRPr="009F4AF4">
        <w:rPr>
          <w:rStyle w:val="FootnoteReference"/>
          <w:rFonts w:ascii="Times New Roman" w:hAnsi="Times New Roman"/>
          <w:sz w:val="24"/>
        </w:rPr>
        <w:footnoteReference w:id="145"/>
      </w:r>
    </w:p>
    <w:p w14:paraId="2624A6EF" w14:textId="77777777" w:rsidR="008352AC" w:rsidRPr="009F4AF4" w:rsidRDefault="008352AC" w:rsidP="009F4AF4">
      <w:pPr>
        <w:pStyle w:val="FixListStyle"/>
        <w:spacing w:after="260" w:line="280" w:lineRule="exact"/>
        <w:ind w:right="0"/>
        <w:jc w:val="both"/>
        <w:rPr>
          <w:rFonts w:ascii="Times New Roman" w:hAnsi="Times New Roman"/>
        </w:rPr>
      </w:pPr>
      <w:r w:rsidRPr="009F4AF4">
        <w:rPr>
          <w:rFonts w:ascii="Times New Roman" w:hAnsi="Times New Roman"/>
        </w:rPr>
        <w:tab/>
        <w:t>The first respondent to this appeal, an environmental organisation described at first instance by the acronym "DAMSHEG", unsuccessfully sought judicial review in the Land and Environment Court of New South Wales. But the Court of Appeal of the Supreme Court of New South Wales allowed an appeal by DAMSHEG and made a declaration that, subject to matters arising on remittal to the Land and Environment Court, the development consent was invalid. Three questions arise on the further appeal by MACH to this Court.</w:t>
      </w:r>
    </w:p>
    <w:p w14:paraId="6724E1E2" w14:textId="77777777" w:rsidR="008352AC" w:rsidRPr="009F4AF4" w:rsidRDefault="008352AC" w:rsidP="009F4AF4">
      <w:pPr>
        <w:pStyle w:val="FixListStyle"/>
        <w:spacing w:after="260" w:line="280" w:lineRule="exact"/>
        <w:ind w:right="0"/>
        <w:jc w:val="both"/>
        <w:rPr>
          <w:rFonts w:ascii="Times New Roman" w:hAnsi="Times New Roman"/>
        </w:rPr>
      </w:pPr>
      <w:r w:rsidRPr="009F4AF4">
        <w:rPr>
          <w:rFonts w:ascii="Times New Roman" w:hAnsi="Times New Roman"/>
        </w:rPr>
        <w:tab/>
        <w:t xml:space="preserve">The first question on this appeal is whether the Commission failed to consider whether conditions should be imposed to ensure that greenhouse gas emissions </w:t>
      </w:r>
      <w:r w:rsidRPr="009F4AF4">
        <w:rPr>
          <w:rFonts w:ascii="Times New Roman" w:hAnsi="Times New Roman"/>
          <w:i/>
          <w:iCs/>
        </w:rPr>
        <w:t>of all scopes</w:t>
      </w:r>
      <w:r w:rsidRPr="009F4AF4">
        <w:rPr>
          <w:rFonts w:ascii="Times New Roman" w:hAnsi="Times New Roman"/>
        </w:rPr>
        <w:t xml:space="preserve"> are minimised to the greatest extent practicable. As DAMSHEG pointed out before the Court of Appeal, the Court of Appeal had previously upheld the decision of a differently constituted Commission to refuse development consent for a proposal for a mine in the Bylong Valley where the proposal contained no measures to minimise scope 3 emissions.</w:t>
      </w:r>
      <w:r w:rsidRPr="009F4AF4">
        <w:rPr>
          <w:rStyle w:val="FootnoteReference"/>
          <w:rFonts w:ascii="Times New Roman" w:hAnsi="Times New Roman"/>
          <w:sz w:val="24"/>
        </w:rPr>
        <w:footnoteReference w:id="146"/>
      </w:r>
      <w:r w:rsidRPr="009F4AF4">
        <w:rPr>
          <w:rFonts w:ascii="Times New Roman" w:hAnsi="Times New Roman"/>
        </w:rPr>
        <w:t xml:space="preserve"> </w:t>
      </w:r>
    </w:p>
    <w:p w14:paraId="0CFA8AC0" w14:textId="77777777" w:rsidR="008352AC" w:rsidRPr="009F4AF4" w:rsidRDefault="008352AC" w:rsidP="009F4AF4">
      <w:pPr>
        <w:pStyle w:val="FixListStyle"/>
        <w:spacing w:after="260" w:line="280" w:lineRule="exact"/>
        <w:ind w:right="0"/>
        <w:jc w:val="both"/>
        <w:rPr>
          <w:rFonts w:ascii="Times New Roman" w:hAnsi="Times New Roman"/>
        </w:rPr>
      </w:pPr>
      <w:r w:rsidRPr="009F4AF4">
        <w:rPr>
          <w:rFonts w:ascii="Times New Roman" w:hAnsi="Times New Roman"/>
        </w:rPr>
        <w:tab/>
        <w:t>A second question on this appeal concerns whether the further precondition for development consent described above</w:t>
      </w:r>
      <w:r w:rsidRPr="009F4AF4">
        <w:rPr>
          <w:rStyle w:val="FootnoteReference"/>
          <w:rFonts w:ascii="Times New Roman" w:hAnsi="Times New Roman"/>
          <w:sz w:val="24"/>
        </w:rPr>
        <w:footnoteReference w:id="147"/>
      </w:r>
      <w:r w:rsidRPr="009F4AF4">
        <w:rPr>
          <w:rFonts w:ascii="Times New Roman" w:hAnsi="Times New Roman"/>
        </w:rPr>
        <w:t xml:space="preserve"> should be interpreted, contrary to the grammatical interpolation in the expression of the duty, to require the Commission instead to consider the "environmental impacts ... in the locality". The answer to the second question raises a related issue of application, which DAMSHEG sought leave to raise by an amended notice of contention. The issue in the amended notice of contention, for which leave to file should be granted, concerns whether the</w:t>
      </w:r>
      <w:r>
        <w:rPr>
          <w:rFonts w:ascii="Times New Roman" w:hAnsi="Times New Roman"/>
        </w:rPr>
        <w:t> </w:t>
      </w:r>
      <w:r w:rsidRPr="009F4AF4">
        <w:rPr>
          <w:rFonts w:ascii="Times New Roman" w:hAnsi="Times New Roman"/>
        </w:rPr>
        <w:t xml:space="preserve">Commission failed to engage in the required consideration. </w:t>
      </w:r>
    </w:p>
    <w:p w14:paraId="02A98D98" w14:textId="77777777" w:rsidR="008352AC" w:rsidRPr="009F4AF4" w:rsidRDefault="008352AC" w:rsidP="009F4AF4">
      <w:pPr>
        <w:pStyle w:val="FixListStyle"/>
        <w:spacing w:after="260" w:line="280" w:lineRule="exact"/>
        <w:ind w:right="0"/>
        <w:jc w:val="both"/>
        <w:rPr>
          <w:rFonts w:ascii="Times New Roman" w:hAnsi="Times New Roman"/>
        </w:rPr>
      </w:pPr>
      <w:r w:rsidRPr="009F4AF4">
        <w:rPr>
          <w:rFonts w:ascii="Times New Roman" w:hAnsi="Times New Roman"/>
        </w:rPr>
        <w:tab/>
        <w:t xml:space="preserve">A third question, which arises if the Commission was required and did fail to consider the "environmental impacts ... in the locality", is whether the greenhouse gas emissions from the project could have a global warming impact in </w:t>
      </w:r>
      <w:r w:rsidRPr="009F4AF4">
        <w:rPr>
          <w:rFonts w:ascii="Times New Roman" w:hAnsi="Times New Roman"/>
        </w:rPr>
        <w:lastRenderedPageBreak/>
        <w:t>the locality. This issue arises because despite the scope 3 emissions being 98 per cent of the project's emissions, and despite the large size of the project, the scope 3 emissions are only 0.065 per cent of total annual anthropogenic global emissions.</w:t>
      </w:r>
      <w:r w:rsidRPr="009F4AF4">
        <w:rPr>
          <w:rStyle w:val="FootnoteReference"/>
          <w:rFonts w:ascii="Times New Roman" w:hAnsi="Times New Roman"/>
          <w:sz w:val="24"/>
        </w:rPr>
        <w:footnoteReference w:id="148"/>
      </w:r>
      <w:r w:rsidRPr="009F4AF4">
        <w:rPr>
          <w:rFonts w:ascii="Times New Roman" w:hAnsi="Times New Roman"/>
        </w:rPr>
        <w:t xml:space="preserve"> Although purporting to deny that it sought a "but for" causal test (ie showing that the project was necessary for a different global warming impact in the locality), MACH effectively supported such a test by a new argument which asserted that DAMSHEG was required to show that "any one source of emissions may be causative of climate change impacts in a particular locality".</w:t>
      </w:r>
      <w:r w:rsidRPr="009F4AF4">
        <w:rPr>
          <w:rStyle w:val="FootnoteReference"/>
          <w:rFonts w:ascii="Times New Roman" w:hAnsi="Times New Roman"/>
          <w:sz w:val="24"/>
        </w:rPr>
        <w:footnoteReference w:id="149"/>
      </w:r>
      <w:r w:rsidRPr="009F4AF4">
        <w:rPr>
          <w:rFonts w:ascii="Times New Roman" w:hAnsi="Times New Roman"/>
        </w:rPr>
        <w:t xml:space="preserve"> There are considerable difficulties with MACH raising this argument in this Court.</w:t>
      </w:r>
      <w:r w:rsidRPr="009F4AF4">
        <w:rPr>
          <w:rStyle w:val="FootnoteReference"/>
          <w:rFonts w:ascii="Times New Roman" w:hAnsi="Times New Roman"/>
          <w:sz w:val="24"/>
        </w:rPr>
        <w:footnoteReference w:id="150"/>
      </w:r>
      <w:r w:rsidRPr="009F4AF4">
        <w:rPr>
          <w:rFonts w:ascii="Times New Roman" w:hAnsi="Times New Roman"/>
        </w:rPr>
        <w:t xml:space="preserve"> If MACH's new argument had been raised at trial, scientific evidence concerning source and event attribution could have been given.</w:t>
      </w:r>
      <w:r w:rsidRPr="009F4AF4">
        <w:rPr>
          <w:rStyle w:val="FootnoteReference"/>
          <w:rFonts w:ascii="Times New Roman" w:hAnsi="Times New Roman"/>
          <w:sz w:val="24"/>
        </w:rPr>
        <w:footnoteReference w:id="151"/>
      </w:r>
    </w:p>
    <w:p w14:paraId="3DA9A948" w14:textId="77777777" w:rsidR="008352AC" w:rsidRPr="009F4AF4" w:rsidRDefault="008352AC" w:rsidP="009F4AF4">
      <w:pPr>
        <w:pStyle w:val="HeadingL2"/>
        <w:spacing w:after="260" w:line="280" w:lineRule="exact"/>
        <w:ind w:right="0"/>
        <w:jc w:val="both"/>
        <w:rPr>
          <w:rFonts w:ascii="Times New Roman" w:hAnsi="Times New Roman"/>
        </w:rPr>
      </w:pPr>
      <w:r w:rsidRPr="009F4AF4">
        <w:rPr>
          <w:rFonts w:ascii="Times New Roman" w:hAnsi="Times New Roman"/>
        </w:rPr>
        <w:t>The answers</w:t>
      </w:r>
    </w:p>
    <w:p w14:paraId="30CFF751" w14:textId="77777777" w:rsidR="008352AC" w:rsidRPr="009F4AF4" w:rsidRDefault="008352AC" w:rsidP="009F4AF4">
      <w:pPr>
        <w:pStyle w:val="FixListStyle"/>
        <w:spacing w:after="260" w:line="280" w:lineRule="exact"/>
        <w:ind w:right="0"/>
        <w:jc w:val="both"/>
        <w:rPr>
          <w:rFonts w:ascii="Times New Roman" w:hAnsi="Times New Roman"/>
        </w:rPr>
      </w:pPr>
      <w:r w:rsidRPr="009F4AF4">
        <w:rPr>
          <w:rFonts w:ascii="Times New Roman" w:hAnsi="Times New Roman"/>
        </w:rPr>
        <w:tab/>
        <w:t>As to the first question, the requirement of consideration was that the</w:t>
      </w:r>
      <w:r>
        <w:rPr>
          <w:rFonts w:ascii="Times New Roman" w:hAnsi="Times New Roman"/>
        </w:rPr>
        <w:t> </w:t>
      </w:r>
      <w:r w:rsidRPr="009F4AF4">
        <w:rPr>
          <w:rFonts w:ascii="Times New Roman" w:hAnsi="Times New Roman"/>
        </w:rPr>
        <w:t>Commission express in the reasons given for the decision its consideration of minimisation conditions. The members of the Commission carefully expressed their consideration of the minimisation conditions in relation to scope 1 and scope</w:t>
      </w:r>
      <w:r>
        <w:rPr>
          <w:rFonts w:ascii="Times New Roman" w:hAnsi="Times New Roman"/>
        </w:rPr>
        <w:t> </w:t>
      </w:r>
      <w:r w:rsidRPr="009F4AF4">
        <w:rPr>
          <w:rFonts w:ascii="Times New Roman" w:hAnsi="Times New Roman"/>
        </w:rPr>
        <w:t>2 emissions, amounting to two per cent of the project's emissions. But the members of the Commission did not address that requirement with respect to scope</w:t>
      </w:r>
      <w:r>
        <w:rPr>
          <w:rFonts w:ascii="Times New Roman" w:hAnsi="Times New Roman"/>
        </w:rPr>
        <w:t> </w:t>
      </w:r>
      <w:r w:rsidRPr="009F4AF4">
        <w:rPr>
          <w:rFonts w:ascii="Times New Roman" w:hAnsi="Times New Roman"/>
        </w:rPr>
        <w:t>3 emissions, amounting to 98 per cent of the project's emissions, because they considered that those emissions would be accounted for in the countries to which the coal was exported. By focusing only upon two per cent of the project's emissions, the Commission failed in its reasons to consider whether conditions should be imposed to ensure that greenhouse gas emissions are minimised to the greatest extent practicable.</w:t>
      </w:r>
    </w:p>
    <w:p w14:paraId="354FA5D5" w14:textId="77777777" w:rsidR="008352AC" w:rsidRPr="009F4AF4" w:rsidRDefault="008352AC" w:rsidP="009F4AF4">
      <w:pPr>
        <w:pStyle w:val="FixListStyle"/>
        <w:spacing w:after="260" w:line="280" w:lineRule="exact"/>
        <w:ind w:right="0"/>
        <w:jc w:val="both"/>
        <w:rPr>
          <w:rFonts w:ascii="Times New Roman" w:hAnsi="Times New Roman"/>
        </w:rPr>
      </w:pPr>
      <w:r w:rsidRPr="009F4AF4">
        <w:rPr>
          <w:rFonts w:ascii="Times New Roman" w:hAnsi="Times New Roman"/>
        </w:rPr>
        <w:tab/>
        <w:t xml:space="preserve">The answer to the second question on this appeal is that the relevant consideration required to be expressed by the Commission in its reasons was of the likely environmental impacts of the project on both the natural and built environments. The Commission considered the contribution of the project to greenhouse gas emissions and the potential impacts of greenhouse gas emissions on the environment generally. The Commission also expressed its consideration of </w:t>
      </w:r>
      <w:r w:rsidRPr="009F4AF4">
        <w:rPr>
          <w:rFonts w:ascii="Times New Roman" w:hAnsi="Times New Roman"/>
        </w:rPr>
        <w:lastRenderedPageBreak/>
        <w:t>the impacts of greenhouse gas emissions in the locality, which were not impacts which were unique to that locality. That expressed consideration was sufficient.</w:t>
      </w:r>
    </w:p>
    <w:p w14:paraId="4B99BA30" w14:textId="77777777" w:rsidR="008352AC" w:rsidRPr="009F4AF4" w:rsidRDefault="008352AC" w:rsidP="009F4AF4">
      <w:pPr>
        <w:pStyle w:val="FixListStyle"/>
        <w:spacing w:after="260" w:line="280" w:lineRule="exact"/>
        <w:ind w:right="0"/>
        <w:jc w:val="both"/>
        <w:rPr>
          <w:rFonts w:ascii="Times New Roman" w:hAnsi="Times New Roman"/>
        </w:rPr>
      </w:pPr>
      <w:r w:rsidRPr="009F4AF4">
        <w:rPr>
          <w:rFonts w:ascii="Times New Roman" w:hAnsi="Times New Roman"/>
        </w:rPr>
        <w:tab/>
        <w:t>The third question therefore does not arise and can be put aside for the remainder of these reasons. Issues of scope of duty and causation would arise only if the Commission had failed to consider the contributions of the project to likely environmental impacts on both the natural and built environments of greenhouse gases. The issue, which is one of scope of duty and causation, would then be whether those contributions would be matters that have likely environmental impacts on natural and built environments. It suffices to say that, since questions of scope of a statutory duty and related questions of causation will depend upon the interpretation of the statutory provision,</w:t>
      </w:r>
      <w:r w:rsidRPr="009F4AF4">
        <w:rPr>
          <w:rStyle w:val="FootnoteReference"/>
          <w:rFonts w:ascii="Times New Roman" w:hAnsi="Times New Roman"/>
          <w:sz w:val="24"/>
        </w:rPr>
        <w:footnoteReference w:id="152"/>
      </w:r>
      <w:r w:rsidRPr="009F4AF4">
        <w:rPr>
          <w:rFonts w:ascii="Times New Roman" w:hAnsi="Times New Roman"/>
        </w:rPr>
        <w:t xml:space="preserve"> and since the relevant provision requires a wide range of matters to be considered by the Commission,</w:t>
      </w:r>
      <w:r w:rsidRPr="009F4AF4">
        <w:rPr>
          <w:rStyle w:val="FootnoteReference"/>
          <w:rFonts w:ascii="Times New Roman" w:hAnsi="Times New Roman"/>
          <w:sz w:val="24"/>
        </w:rPr>
        <w:footnoteReference w:id="153"/>
      </w:r>
      <w:r w:rsidRPr="009F4AF4">
        <w:rPr>
          <w:rFonts w:ascii="Times New Roman" w:hAnsi="Times New Roman"/>
        </w:rPr>
        <w:t xml:space="preserve"> there is a strong argument that matters that have a "likely impact" on natural and built environments should be broadly interpreted to include matters that make non-trivial contributions to a process that has such an impact.</w:t>
      </w:r>
      <w:r w:rsidRPr="009F4AF4">
        <w:rPr>
          <w:rStyle w:val="FootnoteReference"/>
          <w:rFonts w:ascii="Times New Roman" w:hAnsi="Times New Roman"/>
          <w:sz w:val="24"/>
        </w:rPr>
        <w:footnoteReference w:id="154"/>
      </w:r>
      <w:r w:rsidRPr="009F4AF4">
        <w:rPr>
          <w:rFonts w:ascii="Times New Roman" w:hAnsi="Times New Roman"/>
        </w:rPr>
        <w:t xml:space="preserve"> In other words, it would be necessary to consider any non-trivial contribution to greenhouse gases where those gases have impacts on climate change in the natural and built environments generally or upon the natural and built environments in the specific locality of the project.</w:t>
      </w:r>
    </w:p>
    <w:p w14:paraId="6388AD29" w14:textId="77777777" w:rsidR="008352AC" w:rsidRPr="009F4AF4" w:rsidRDefault="008352AC" w:rsidP="009F4AF4">
      <w:pPr>
        <w:pStyle w:val="HeadingL1"/>
        <w:spacing w:after="260" w:line="280" w:lineRule="exact"/>
        <w:ind w:right="0"/>
        <w:jc w:val="both"/>
        <w:rPr>
          <w:rFonts w:ascii="Times New Roman" w:hAnsi="Times New Roman"/>
        </w:rPr>
      </w:pPr>
      <w:r w:rsidRPr="009F4AF4">
        <w:rPr>
          <w:rFonts w:ascii="Times New Roman" w:hAnsi="Times New Roman"/>
        </w:rPr>
        <w:t>Background and the way these questions arise</w:t>
      </w:r>
    </w:p>
    <w:p w14:paraId="0D67E30D" w14:textId="77777777" w:rsidR="008352AC" w:rsidRPr="009F4AF4" w:rsidRDefault="008352AC" w:rsidP="009F4AF4">
      <w:pPr>
        <w:pStyle w:val="FixListStyle"/>
        <w:spacing w:after="260" w:line="280" w:lineRule="exact"/>
        <w:ind w:right="0"/>
        <w:jc w:val="both"/>
        <w:rPr>
          <w:rFonts w:ascii="Times New Roman" w:hAnsi="Times New Roman"/>
        </w:rPr>
      </w:pPr>
      <w:r w:rsidRPr="009F4AF4">
        <w:rPr>
          <w:rFonts w:ascii="Times New Roman" w:hAnsi="Times New Roman"/>
        </w:rPr>
        <w:t xml:space="preserve">   </w:t>
      </w:r>
      <w:r w:rsidRPr="009F4AF4">
        <w:rPr>
          <w:rFonts w:ascii="Times New Roman" w:hAnsi="Times New Roman"/>
        </w:rPr>
        <w:tab/>
        <w:t xml:space="preserve">The background and legislative provisions are set out in detail in the other reasons for decision in this Court. Under the </w:t>
      </w:r>
      <w:r w:rsidRPr="009F4AF4">
        <w:rPr>
          <w:rFonts w:ascii="Times New Roman" w:hAnsi="Times New Roman"/>
          <w:i/>
        </w:rPr>
        <w:t xml:space="preserve">Environmental Planning and Assessment </w:t>
      </w:r>
      <w:r w:rsidRPr="009F4AF4">
        <w:rPr>
          <w:rFonts w:ascii="Times New Roman" w:hAnsi="Times New Roman"/>
          <w:i/>
          <w:iCs/>
        </w:rPr>
        <w:t xml:space="preserve">Act 1979 </w:t>
      </w:r>
      <w:r w:rsidRPr="009F4AF4">
        <w:rPr>
          <w:rFonts w:ascii="Times New Roman" w:hAnsi="Times New Roman"/>
        </w:rPr>
        <w:t>(NSW), the Commission is an incorporated New South Wales Government agency which is the "consent authority" for State significant development.</w:t>
      </w:r>
      <w:r w:rsidRPr="009F4AF4">
        <w:rPr>
          <w:rStyle w:val="FootnoteReference"/>
          <w:rFonts w:ascii="Times New Roman" w:hAnsi="Times New Roman"/>
          <w:sz w:val="24"/>
        </w:rPr>
        <w:footnoteReference w:id="155"/>
      </w:r>
      <w:r w:rsidRPr="009F4AF4">
        <w:rPr>
          <w:rFonts w:ascii="Times New Roman" w:hAnsi="Times New Roman"/>
        </w:rPr>
        <w:t xml:space="preserve"> The Commission consists of a number of members with a range of expertise.</w:t>
      </w:r>
      <w:r w:rsidRPr="009F4AF4">
        <w:rPr>
          <w:rStyle w:val="FootnoteReference"/>
          <w:rFonts w:ascii="Times New Roman" w:hAnsi="Times New Roman"/>
          <w:sz w:val="24"/>
        </w:rPr>
        <w:footnoteReference w:id="156"/>
      </w:r>
      <w:r w:rsidRPr="009F4AF4">
        <w:rPr>
          <w:rFonts w:ascii="Times New Roman" w:hAnsi="Times New Roman"/>
        </w:rPr>
        <w:t xml:space="preserve"> For a State significant development project like the Mount Pleasant Optimisation Project which can be carried out with development consent,</w:t>
      </w:r>
      <w:r w:rsidRPr="009F4AF4">
        <w:rPr>
          <w:rStyle w:val="FootnoteReference"/>
          <w:rFonts w:ascii="Times New Roman" w:hAnsi="Times New Roman"/>
          <w:sz w:val="24"/>
        </w:rPr>
        <w:footnoteReference w:id="157"/>
      </w:r>
      <w:r w:rsidRPr="009F4AF4">
        <w:rPr>
          <w:rFonts w:ascii="Times New Roman" w:hAnsi="Times New Roman"/>
        </w:rPr>
        <w:t xml:space="preserve"> the </w:t>
      </w:r>
      <w:r w:rsidRPr="009F4AF4">
        <w:rPr>
          <w:rFonts w:ascii="Times New Roman" w:hAnsi="Times New Roman"/>
        </w:rPr>
        <w:lastRenderedPageBreak/>
        <w:t>process before evaluation requires an application for consent</w:t>
      </w:r>
      <w:r w:rsidRPr="009F4AF4">
        <w:rPr>
          <w:rStyle w:val="FootnoteReference"/>
          <w:rFonts w:ascii="Times New Roman" w:hAnsi="Times New Roman"/>
          <w:sz w:val="24"/>
        </w:rPr>
        <w:footnoteReference w:id="158"/>
      </w:r>
      <w:r w:rsidRPr="009F4AF4">
        <w:rPr>
          <w:rFonts w:ascii="Times New Roman" w:hAnsi="Times New Roman"/>
        </w:rPr>
        <w:t xml:space="preserve"> and any required consultation and obtaining of concurrences by the Commission.</w:t>
      </w:r>
      <w:r w:rsidRPr="009F4AF4">
        <w:rPr>
          <w:rStyle w:val="FootnoteReference"/>
          <w:rFonts w:ascii="Times New Roman" w:hAnsi="Times New Roman"/>
          <w:sz w:val="24"/>
        </w:rPr>
        <w:footnoteReference w:id="159"/>
      </w:r>
      <w:r w:rsidRPr="009F4AF4">
        <w:rPr>
          <w:rFonts w:ascii="Times New Roman" w:hAnsi="Times New Roman"/>
        </w:rPr>
        <w:t xml:space="preserve"> </w:t>
      </w:r>
    </w:p>
    <w:p w14:paraId="657E2570" w14:textId="77777777" w:rsidR="008352AC" w:rsidRPr="009F4AF4" w:rsidRDefault="008352AC" w:rsidP="009F4AF4">
      <w:pPr>
        <w:pStyle w:val="FixListStyle"/>
        <w:spacing w:after="260" w:line="280" w:lineRule="exact"/>
        <w:ind w:right="0"/>
        <w:jc w:val="both"/>
        <w:rPr>
          <w:rFonts w:ascii="Times New Roman" w:hAnsi="Times New Roman"/>
        </w:rPr>
      </w:pPr>
      <w:r w:rsidRPr="009F4AF4">
        <w:rPr>
          <w:rFonts w:ascii="Times New Roman" w:hAnsi="Times New Roman"/>
        </w:rPr>
        <w:tab/>
        <w:t xml:space="preserve">The first two questions arise from s 4.15 of the </w:t>
      </w:r>
      <w:r w:rsidRPr="009F4AF4">
        <w:rPr>
          <w:rFonts w:ascii="Times New Roman" w:hAnsi="Times New Roman"/>
          <w:i/>
          <w:iCs/>
        </w:rPr>
        <w:t>Environmental Planning and Assessment Act</w:t>
      </w:r>
      <w:r w:rsidRPr="009F4AF4">
        <w:rPr>
          <w:rFonts w:ascii="Times New Roman" w:hAnsi="Times New Roman"/>
        </w:rPr>
        <w:t>, concerning matters "as are of relevance" that a consent authority, here the Commission, is required "to take into consideration" in evaluating a development application.</w:t>
      </w:r>
      <w:r w:rsidRPr="009F4AF4">
        <w:rPr>
          <w:rStyle w:val="FootnoteReference"/>
          <w:rFonts w:ascii="Times New Roman" w:hAnsi="Times New Roman"/>
          <w:sz w:val="24"/>
        </w:rPr>
        <w:footnoteReference w:id="160"/>
      </w:r>
      <w:r w:rsidRPr="009F4AF4">
        <w:rPr>
          <w:rFonts w:ascii="Times New Roman" w:hAnsi="Times New Roman"/>
        </w:rPr>
        <w:t xml:space="preserve"> The first question arises from the first ground of DAMSHEG's amended notice of contention, which challenges the reasoning of the Court of Appeal in this respect. That question is treated as the first question in these reasons because it involves the most detailed requirement for consideration by the Commission, arising from the reference in s 4.15(1)(a)(i) to "any environmental planning instrument", and the requirement by reason of that </w:t>
      </w:r>
      <w:r w:rsidRPr="009F4AF4" w:rsidDel="000D404D">
        <w:rPr>
          <w:rFonts w:ascii="Times New Roman" w:hAnsi="Times New Roman"/>
        </w:rPr>
        <w:t xml:space="preserve">provision </w:t>
      </w:r>
      <w:r w:rsidRPr="009F4AF4">
        <w:rPr>
          <w:rFonts w:ascii="Times New Roman" w:hAnsi="Times New Roman"/>
        </w:rPr>
        <w:t>to consider "conditions to ensure ... that greenhouse gas emissions are minimised to the greatest extent practicable".</w:t>
      </w:r>
      <w:r w:rsidRPr="009F4AF4">
        <w:rPr>
          <w:rStyle w:val="FootnoteReference"/>
          <w:rFonts w:ascii="Times New Roman" w:hAnsi="Times New Roman"/>
          <w:sz w:val="24"/>
        </w:rPr>
        <w:footnoteReference w:id="161"/>
      </w:r>
      <w:r w:rsidRPr="009F4AF4">
        <w:rPr>
          <w:rFonts w:ascii="Times New Roman" w:hAnsi="Times New Roman"/>
        </w:rPr>
        <w:t xml:space="preserve"> The Court of Appeal held that the Commission had complied with this requirement for consideration. In broad terms, the Court of Appeal inferred from the Commission's awareness of the requirement, together with the Commission's reference to scope 3 emissions being regulated and accounted for elsewhere, that the Commission had "considered there to be no need for the imposition of minimisation conditions in relation to the Scope 3 emissions".</w:t>
      </w:r>
      <w:r w:rsidRPr="009F4AF4">
        <w:rPr>
          <w:rStyle w:val="FootnoteReference"/>
          <w:rFonts w:ascii="Times New Roman" w:hAnsi="Times New Roman"/>
          <w:sz w:val="24"/>
        </w:rPr>
        <w:footnoteReference w:id="162"/>
      </w:r>
      <w:r w:rsidRPr="009F4AF4">
        <w:rPr>
          <w:rFonts w:ascii="Times New Roman" w:hAnsi="Times New Roman"/>
        </w:rPr>
        <w:t xml:space="preserve"> </w:t>
      </w:r>
    </w:p>
    <w:p w14:paraId="336F30F9" w14:textId="77777777" w:rsidR="008352AC" w:rsidRPr="009F4AF4" w:rsidRDefault="008352AC" w:rsidP="009F4AF4">
      <w:pPr>
        <w:pStyle w:val="FixListStyle"/>
        <w:spacing w:after="260" w:line="280" w:lineRule="exact"/>
        <w:ind w:right="0"/>
        <w:jc w:val="both"/>
        <w:rPr>
          <w:rFonts w:ascii="Times New Roman" w:hAnsi="Times New Roman"/>
        </w:rPr>
      </w:pPr>
      <w:r w:rsidRPr="009F4AF4">
        <w:rPr>
          <w:rFonts w:ascii="Times New Roman" w:hAnsi="Times New Roman"/>
        </w:rPr>
        <w:tab/>
        <w:t>The second question arises from MACH's grounds of appeal and DAMSHEG's second ground of contention. That question concerns the more general requirement in s 4.15(1)(b) for the Commission to consider "the likely impacts of [the] development, including environmental impacts on both the natural and built environments, and social and economic impacts in the locality". The Court of Appeal held, in the words of Ward P, that the "essential matter" in s</w:t>
      </w:r>
      <w:r>
        <w:rPr>
          <w:rFonts w:ascii="Times New Roman" w:hAnsi="Times New Roman"/>
        </w:rPr>
        <w:t> </w:t>
      </w:r>
      <w:r w:rsidRPr="009F4AF4">
        <w:rPr>
          <w:rFonts w:ascii="Times New Roman" w:hAnsi="Times New Roman"/>
        </w:rPr>
        <w:t xml:space="preserve">4.15(1)(b) was "the impacts of the proposed development on the locality of the development" and that by focusing upon the global environmental impacts of the </w:t>
      </w:r>
      <w:r w:rsidRPr="009F4AF4">
        <w:rPr>
          <w:rFonts w:ascii="Times New Roman" w:hAnsi="Times New Roman"/>
        </w:rPr>
        <w:lastRenderedPageBreak/>
        <w:t>proposed development, the Commission failed to consider the environmental impacts "in the locality".</w:t>
      </w:r>
      <w:r w:rsidRPr="009F4AF4">
        <w:rPr>
          <w:rStyle w:val="FootnoteReference"/>
          <w:rFonts w:ascii="Times New Roman" w:hAnsi="Times New Roman"/>
          <w:sz w:val="24"/>
        </w:rPr>
        <w:footnoteReference w:id="163"/>
      </w:r>
    </w:p>
    <w:p w14:paraId="4BB6A0E4" w14:textId="77777777" w:rsidR="008352AC" w:rsidRPr="009F4AF4" w:rsidRDefault="008352AC" w:rsidP="009F4AF4">
      <w:pPr>
        <w:pStyle w:val="FixListStyle"/>
        <w:spacing w:after="260" w:line="280" w:lineRule="exact"/>
        <w:ind w:right="0"/>
        <w:jc w:val="both"/>
        <w:rPr>
          <w:rFonts w:ascii="Times New Roman" w:hAnsi="Times New Roman"/>
        </w:rPr>
      </w:pPr>
      <w:r w:rsidRPr="009F4AF4">
        <w:rPr>
          <w:rFonts w:ascii="Times New Roman" w:hAnsi="Times New Roman"/>
        </w:rPr>
        <w:tab/>
        <w:t xml:space="preserve">The answers to both questions depend upon contestable issues of interpretation of the reasons of the Commission. For the reasons below, I reach a different conclusion from the Court of Appeal on both questions. The first question should be answered in favour of DAMSHEG and the second question should be answered in favour of MACH.  </w:t>
      </w:r>
    </w:p>
    <w:p w14:paraId="38471BE7" w14:textId="77777777" w:rsidR="008352AC" w:rsidRPr="009F4AF4" w:rsidRDefault="008352AC" w:rsidP="009F4AF4">
      <w:pPr>
        <w:pStyle w:val="HeadingL2"/>
        <w:spacing w:after="260" w:line="280" w:lineRule="exact"/>
        <w:ind w:right="0"/>
        <w:jc w:val="both"/>
        <w:rPr>
          <w:rFonts w:ascii="Times New Roman" w:hAnsi="Times New Roman"/>
          <w:b/>
          <w:bCs/>
          <w:i w:val="0"/>
          <w:iCs/>
        </w:rPr>
      </w:pPr>
      <w:r w:rsidRPr="009F4AF4">
        <w:rPr>
          <w:rFonts w:ascii="Times New Roman" w:hAnsi="Times New Roman"/>
          <w:b/>
          <w:bCs/>
          <w:i w:val="0"/>
          <w:iCs/>
        </w:rPr>
        <w:t>What is required for the Commission to "take [a matter] into consideration" as "of relevance"?</w:t>
      </w:r>
    </w:p>
    <w:p w14:paraId="1B0634ED" w14:textId="77777777" w:rsidR="008352AC" w:rsidRPr="009F4AF4" w:rsidRDefault="008352AC" w:rsidP="009F4AF4">
      <w:pPr>
        <w:pStyle w:val="FixListStyle"/>
        <w:spacing w:after="260" w:line="280" w:lineRule="exact"/>
        <w:ind w:right="0"/>
        <w:jc w:val="both"/>
        <w:rPr>
          <w:rFonts w:ascii="Times New Roman" w:hAnsi="Times New Roman"/>
        </w:rPr>
      </w:pPr>
      <w:r w:rsidRPr="009F4AF4">
        <w:rPr>
          <w:rFonts w:ascii="Times New Roman" w:hAnsi="Times New Roman"/>
        </w:rPr>
        <w:tab/>
        <w:t>An issue underlying both the first and second questions is the content of the duty in s 4.15(1) to "take into consideration" specified matters "as are of relevance". This is a familiar statutory duty</w:t>
      </w:r>
      <w:r w:rsidRPr="009F4AF4" w:rsidDel="00BA7CAC">
        <w:rPr>
          <w:rFonts w:ascii="Times New Roman" w:hAnsi="Times New Roman"/>
        </w:rPr>
        <w:t>,</w:t>
      </w:r>
      <w:r w:rsidRPr="009F4AF4">
        <w:rPr>
          <w:rFonts w:ascii="Times New Roman" w:hAnsi="Times New Roman"/>
        </w:rPr>
        <w:t xml:space="preserve"> </w:t>
      </w:r>
      <w:r w:rsidRPr="009F4AF4" w:rsidDel="00BA7CAC">
        <w:rPr>
          <w:rFonts w:ascii="Times New Roman" w:hAnsi="Times New Roman"/>
        </w:rPr>
        <w:t xml:space="preserve">with </w:t>
      </w:r>
      <w:r w:rsidRPr="009F4AF4">
        <w:rPr>
          <w:rFonts w:ascii="Times New Roman" w:hAnsi="Times New Roman"/>
        </w:rPr>
        <w:t>similar content to a duty to take relevant matters "into account" and which is analogous to a duty to be "satisfied" of the existence of relevant matters. Unless expressed in terms that are expressly or impliedly concerned with the decision maker's subjective (reasonable) opinion as to relevancy, the relevancy of a matter is ultimately for the court to decide based on the circumstances;</w:t>
      </w:r>
      <w:r w:rsidRPr="009F4AF4">
        <w:rPr>
          <w:rStyle w:val="FootnoteReference"/>
          <w:rFonts w:ascii="Times New Roman" w:hAnsi="Times New Roman"/>
          <w:sz w:val="24"/>
        </w:rPr>
        <w:footnoteReference w:id="164"/>
      </w:r>
      <w:r w:rsidRPr="009F4AF4">
        <w:rPr>
          <w:rFonts w:ascii="Times New Roman" w:hAnsi="Times New Roman"/>
        </w:rPr>
        <w:t xml:space="preserve"> a consideration can be relevant for one purpose and irrelevant for another.</w:t>
      </w:r>
      <w:r w:rsidRPr="009F4AF4">
        <w:rPr>
          <w:rStyle w:val="FootnoteReference"/>
          <w:rFonts w:ascii="Times New Roman" w:hAnsi="Times New Roman"/>
          <w:sz w:val="24"/>
        </w:rPr>
        <w:footnoteReference w:id="165"/>
      </w:r>
      <w:r w:rsidRPr="009F4AF4">
        <w:rPr>
          <w:rFonts w:ascii="Times New Roman" w:hAnsi="Times New Roman"/>
        </w:rPr>
        <w:t xml:space="preserve"> But where the relevant matter is one that must be taken into consideration, or into account, there is an issue of statutory interpretation that is commonly neglected. That issue is whether the duty is: (i) to </w:t>
      </w:r>
      <w:r w:rsidRPr="009F4AF4">
        <w:rPr>
          <w:rFonts w:ascii="Times New Roman" w:hAnsi="Times New Roman"/>
          <w:i/>
          <w:iCs/>
        </w:rPr>
        <w:t xml:space="preserve">apply </w:t>
      </w:r>
      <w:r w:rsidRPr="009F4AF4">
        <w:rPr>
          <w:rFonts w:ascii="Times New Roman" w:hAnsi="Times New Roman"/>
        </w:rPr>
        <w:t xml:space="preserve">the matter in reasons given; (ii) to </w:t>
      </w:r>
      <w:r w:rsidRPr="009F4AF4">
        <w:rPr>
          <w:rFonts w:ascii="Times New Roman" w:hAnsi="Times New Roman"/>
          <w:i/>
          <w:iCs/>
        </w:rPr>
        <w:t xml:space="preserve">manifest </w:t>
      </w:r>
      <w:r w:rsidRPr="009F4AF4">
        <w:rPr>
          <w:rFonts w:ascii="Times New Roman" w:hAnsi="Times New Roman"/>
        </w:rPr>
        <w:t>consideration of the matter in reasons given; or (iii)</w:t>
      </w:r>
      <w:r>
        <w:rPr>
          <w:rFonts w:ascii="Times New Roman" w:hAnsi="Times New Roman"/>
        </w:rPr>
        <w:t> </w:t>
      </w:r>
      <w:r w:rsidRPr="009F4AF4">
        <w:rPr>
          <w:rFonts w:ascii="Times New Roman" w:hAnsi="Times New Roman"/>
        </w:rPr>
        <w:t xml:space="preserve">to give </w:t>
      </w:r>
      <w:r w:rsidRPr="009F4AF4">
        <w:rPr>
          <w:rFonts w:ascii="Times New Roman" w:hAnsi="Times New Roman"/>
          <w:i/>
          <w:iCs/>
        </w:rPr>
        <w:t>subjective</w:t>
      </w:r>
      <w:r w:rsidRPr="009F4AF4">
        <w:rPr>
          <w:rFonts w:ascii="Times New Roman" w:hAnsi="Times New Roman"/>
        </w:rPr>
        <w:t xml:space="preserve"> consideration to the matter.</w:t>
      </w:r>
      <w:r w:rsidRPr="009F4AF4">
        <w:rPr>
          <w:rStyle w:val="FootnoteReference"/>
          <w:rFonts w:ascii="Times New Roman" w:hAnsi="Times New Roman"/>
          <w:sz w:val="24"/>
        </w:rPr>
        <w:footnoteReference w:id="166"/>
      </w:r>
      <w:r w:rsidRPr="009F4AF4">
        <w:rPr>
          <w:rFonts w:ascii="Times New Roman" w:hAnsi="Times New Roman"/>
        </w:rPr>
        <w:t xml:space="preserve"> </w:t>
      </w:r>
    </w:p>
    <w:p w14:paraId="582930ED" w14:textId="77777777" w:rsidR="008352AC" w:rsidRPr="009F4AF4" w:rsidRDefault="008352AC" w:rsidP="009F4AF4">
      <w:pPr>
        <w:pStyle w:val="FixListStyle"/>
        <w:spacing w:after="260" w:line="280" w:lineRule="exact"/>
        <w:ind w:right="0"/>
        <w:jc w:val="both"/>
        <w:rPr>
          <w:rFonts w:ascii="Times New Roman" w:hAnsi="Times New Roman"/>
        </w:rPr>
      </w:pPr>
      <w:r w:rsidRPr="009F4AF4">
        <w:rPr>
          <w:rFonts w:ascii="Times New Roman" w:hAnsi="Times New Roman"/>
        </w:rPr>
        <w:lastRenderedPageBreak/>
        <w:tab/>
        <w:t xml:space="preserve">The duty in s 4.15(1)(a)(i) of the </w:t>
      </w:r>
      <w:r w:rsidRPr="009F4AF4">
        <w:rPr>
          <w:rFonts w:ascii="Times New Roman" w:hAnsi="Times New Roman"/>
          <w:i/>
          <w:iCs/>
        </w:rPr>
        <w:t>Environmental Planning and Assessment Act</w:t>
      </w:r>
      <w:r w:rsidRPr="009F4AF4">
        <w:rPr>
          <w:rFonts w:ascii="Times New Roman" w:hAnsi="Times New Roman"/>
        </w:rPr>
        <w:t>—to "take into consideration" the provisions of any environmental planning instrument that is relevant—is a duty in sense (i), to apply that instrument in reasons given.</w:t>
      </w:r>
      <w:r w:rsidRPr="009F4AF4">
        <w:rPr>
          <w:rStyle w:val="FootnoteReference"/>
          <w:rFonts w:ascii="Times New Roman" w:hAnsi="Times New Roman"/>
          <w:sz w:val="24"/>
        </w:rPr>
        <w:footnoteReference w:id="167"/>
      </w:r>
      <w:r w:rsidRPr="009F4AF4">
        <w:rPr>
          <w:rFonts w:ascii="Times New Roman" w:hAnsi="Times New Roman"/>
        </w:rPr>
        <w:t xml:space="preserve"> But the provision of the instrument to be applied, cl 2.20 of the </w:t>
      </w:r>
      <w:r w:rsidRPr="009F4AF4">
        <w:rPr>
          <w:rFonts w:ascii="Times New Roman" w:hAnsi="Times New Roman"/>
          <w:i/>
          <w:iCs/>
        </w:rPr>
        <w:t>State Environmental Planning Policy (Resources and Energy) 2021</w:t>
      </w:r>
      <w:r w:rsidRPr="009F4AF4">
        <w:rPr>
          <w:rFonts w:ascii="Times New Roman" w:hAnsi="Times New Roman"/>
        </w:rPr>
        <w:t xml:space="preserve"> (NSW)—requiring the Commission to "consider whether or not the consent should be issued subject to conditions ... to ensure ... that greenhouse gas emissions are minimised to the greatest extent practicable"—concerns a duty in either sense (ii) or (iii). So too, the duty in s 4.15(1)(b) of the </w:t>
      </w:r>
      <w:r w:rsidRPr="009F4AF4">
        <w:rPr>
          <w:rFonts w:ascii="Times New Roman" w:hAnsi="Times New Roman"/>
          <w:i/>
          <w:iCs/>
        </w:rPr>
        <w:t xml:space="preserve">Environmental Planning and Assessment Act </w:t>
      </w:r>
      <w:r w:rsidRPr="009F4AF4">
        <w:rPr>
          <w:rFonts w:ascii="Times New Roman" w:hAnsi="Times New Roman"/>
        </w:rPr>
        <w:t xml:space="preserve">to "take into consideration" various "likely impacts of [the] development" is a duty in either sense (ii) or (iii). The issue is which of the senses, (ii) or (iii), is engaged by these requirements of consideration. </w:t>
      </w:r>
    </w:p>
    <w:p w14:paraId="3F46E337" w14:textId="77777777" w:rsidR="008352AC" w:rsidRPr="009F4AF4" w:rsidRDefault="008352AC" w:rsidP="009F4AF4">
      <w:pPr>
        <w:pStyle w:val="FixListStyle"/>
        <w:spacing w:after="260" w:line="280" w:lineRule="exact"/>
        <w:ind w:right="0"/>
        <w:jc w:val="both"/>
        <w:rPr>
          <w:rFonts w:ascii="Times New Roman" w:hAnsi="Times New Roman"/>
        </w:rPr>
      </w:pPr>
      <w:r w:rsidRPr="009F4AF4">
        <w:rPr>
          <w:rFonts w:ascii="Times New Roman" w:hAnsi="Times New Roman"/>
        </w:rPr>
        <w:tab/>
        <w:t>When determining if one of the duties above has been breached, the difference between sense (ii)—a duty to manifest consideration of a matter in reasons—and sense (iii)—a duty to give subjective consideration to a matter—is a difference between interpretation of reasons and inference of a state of mind based upon any reasons given and any other relevant conduct of the decision maker, including even direct evidence. Nevertheless, in both instances it is necessary to discern or infer "an active intellectual process".</w:t>
      </w:r>
      <w:r w:rsidRPr="009F4AF4">
        <w:rPr>
          <w:rStyle w:val="FootnoteReference"/>
          <w:rFonts w:ascii="Times New Roman" w:hAnsi="Times New Roman"/>
          <w:sz w:val="24"/>
        </w:rPr>
        <w:footnoteReference w:id="168"/>
      </w:r>
      <w:r w:rsidRPr="009F4AF4">
        <w:rPr>
          <w:rFonts w:ascii="Times New Roman" w:hAnsi="Times New Roman"/>
        </w:rPr>
        <w:t xml:space="preserve"> And in both instances, "the fact that a decision-maker says they have had regard to a representation does not by itself establish that they have, as a matter of substance, had that regard".</w:t>
      </w:r>
      <w:r w:rsidRPr="009F4AF4">
        <w:rPr>
          <w:rStyle w:val="FootnoteReference"/>
          <w:rFonts w:ascii="Times New Roman" w:hAnsi="Times New Roman"/>
          <w:sz w:val="24"/>
        </w:rPr>
        <w:footnoteReference w:id="169"/>
      </w:r>
    </w:p>
    <w:p w14:paraId="1D879D22" w14:textId="77777777" w:rsidR="008352AC" w:rsidRPr="009F4AF4" w:rsidRDefault="008352AC" w:rsidP="009F4AF4">
      <w:pPr>
        <w:pStyle w:val="FixListStyle"/>
        <w:spacing w:after="260" w:line="280" w:lineRule="exact"/>
        <w:ind w:right="0"/>
        <w:jc w:val="both"/>
        <w:rPr>
          <w:rFonts w:ascii="Times New Roman" w:hAnsi="Times New Roman"/>
        </w:rPr>
      </w:pPr>
      <w:r w:rsidRPr="009F4AF4">
        <w:rPr>
          <w:rFonts w:ascii="Times New Roman" w:hAnsi="Times New Roman"/>
        </w:rPr>
        <w:tab/>
        <w:t>The consent authority which is the subject of the duty to consider in s</w:t>
      </w:r>
      <w:r>
        <w:rPr>
          <w:rFonts w:ascii="Times New Roman" w:hAnsi="Times New Roman"/>
        </w:rPr>
        <w:t> </w:t>
      </w:r>
      <w:r w:rsidRPr="009F4AF4">
        <w:rPr>
          <w:rFonts w:ascii="Times New Roman" w:hAnsi="Times New Roman"/>
        </w:rPr>
        <w:t xml:space="preserve">4.15(1)(b) of the </w:t>
      </w:r>
      <w:r w:rsidRPr="009F4AF4">
        <w:rPr>
          <w:rFonts w:ascii="Times New Roman" w:hAnsi="Times New Roman"/>
          <w:i/>
          <w:iCs/>
        </w:rPr>
        <w:t>Environmental Planning and Assessment Act</w:t>
      </w:r>
      <w:r w:rsidRPr="009F4AF4">
        <w:rPr>
          <w:rFonts w:ascii="Times New Roman" w:hAnsi="Times New Roman"/>
        </w:rPr>
        <w:t xml:space="preserve"> and cl 2.20 of the </w:t>
      </w:r>
      <w:r w:rsidRPr="009F4AF4">
        <w:rPr>
          <w:rFonts w:ascii="Times New Roman" w:hAnsi="Times New Roman"/>
          <w:i/>
          <w:iCs/>
        </w:rPr>
        <w:t xml:space="preserve">State Environmental Planning Policy (Resources and Energy) </w:t>
      </w:r>
      <w:r w:rsidRPr="009F4AF4">
        <w:rPr>
          <w:rFonts w:ascii="Times New Roman" w:hAnsi="Times New Roman"/>
        </w:rPr>
        <w:t>has an express duty to give reasons for its decision concerning a development application for State significant development. The duty is one to provide "reasons for the decision (having regard to any statutory requirements applying to the decision)".</w:t>
      </w:r>
      <w:r w:rsidRPr="009F4AF4">
        <w:rPr>
          <w:rStyle w:val="FootnoteReference"/>
          <w:rFonts w:ascii="Times New Roman" w:hAnsi="Times New Roman"/>
          <w:sz w:val="24"/>
        </w:rPr>
        <w:footnoteReference w:id="170"/>
      </w:r>
      <w:r w:rsidRPr="009F4AF4">
        <w:rPr>
          <w:rFonts w:ascii="Times New Roman" w:hAnsi="Times New Roman"/>
        </w:rPr>
        <w:t xml:space="preserve"> The "regard" for statutory requirements applying to the decision is a regard that is expressed in the reasons for decision. So too, the duties of consideration in s 4.15(1)(b) of the </w:t>
      </w:r>
      <w:r w:rsidRPr="009F4AF4">
        <w:rPr>
          <w:rFonts w:ascii="Times New Roman" w:hAnsi="Times New Roman"/>
          <w:i/>
          <w:iCs/>
        </w:rPr>
        <w:t xml:space="preserve">Environmental Planning and Assessment Act </w:t>
      </w:r>
      <w:r w:rsidRPr="009F4AF4">
        <w:rPr>
          <w:rFonts w:ascii="Times New Roman" w:hAnsi="Times New Roman"/>
        </w:rPr>
        <w:t>and</w:t>
      </w:r>
      <w:r w:rsidRPr="009F4AF4">
        <w:rPr>
          <w:rFonts w:ascii="Times New Roman" w:hAnsi="Times New Roman"/>
          <w:i/>
          <w:iCs/>
        </w:rPr>
        <w:t xml:space="preserve"> </w:t>
      </w:r>
      <w:r w:rsidRPr="009F4AF4">
        <w:rPr>
          <w:rFonts w:ascii="Times New Roman" w:hAnsi="Times New Roman"/>
        </w:rPr>
        <w:t xml:space="preserve">cl 2.20 of the </w:t>
      </w:r>
      <w:r w:rsidRPr="009F4AF4">
        <w:rPr>
          <w:rFonts w:ascii="Times New Roman" w:hAnsi="Times New Roman"/>
          <w:i/>
          <w:iCs/>
        </w:rPr>
        <w:t>State Environmental Planning Policy (Resources and Energy)</w:t>
      </w:r>
      <w:r w:rsidRPr="009F4AF4">
        <w:rPr>
          <w:rFonts w:ascii="Times New Roman" w:hAnsi="Times New Roman"/>
        </w:rPr>
        <w:t xml:space="preserve"> are duties to </w:t>
      </w:r>
      <w:r w:rsidRPr="009F4AF4">
        <w:rPr>
          <w:rFonts w:ascii="Times New Roman" w:hAnsi="Times New Roman"/>
        </w:rPr>
        <w:lastRenderedPageBreak/>
        <w:t>manifest in the required reasons an intellectual engagement with the relevant matter. It would be incongruous, on the one hand, to have a duty to provide "reasons for the decision (having regard to any statutory requirements applying to the decision)", yet, on the other hand, for a duty concerning particular considerations to be a purely subjective duty for members of the Commission which might not be contained in their reasons. Nevertheless, the distinction in this case between a duty of subjective consideration and a duty to manifest consideration in reasons is one which could make no difference to the result of the appeal because there was no evidence, either directly from the members of the</w:t>
      </w:r>
      <w:r>
        <w:rPr>
          <w:rFonts w:ascii="Times New Roman" w:hAnsi="Times New Roman"/>
        </w:rPr>
        <w:t> </w:t>
      </w:r>
      <w:r w:rsidRPr="009F4AF4">
        <w:rPr>
          <w:rFonts w:ascii="Times New Roman" w:hAnsi="Times New Roman"/>
        </w:rPr>
        <w:t xml:space="preserve">Commission or otherwise, that the members of the Commission had engaged in some subjective consideration that was not expressed in the reasons that they were required to give.  </w:t>
      </w:r>
      <w:r w:rsidRPr="009F4AF4" w:rsidDel="00D009CD">
        <w:rPr>
          <w:rFonts w:ascii="Times New Roman" w:hAnsi="Times New Roman"/>
        </w:rPr>
        <w:t xml:space="preserve"> </w:t>
      </w:r>
      <w:r w:rsidRPr="009F4AF4">
        <w:rPr>
          <w:rFonts w:ascii="Times New Roman" w:hAnsi="Times New Roman"/>
        </w:rPr>
        <w:t xml:space="preserve"> </w:t>
      </w:r>
    </w:p>
    <w:p w14:paraId="76A3E742" w14:textId="77777777" w:rsidR="008352AC" w:rsidRPr="009F4AF4" w:rsidRDefault="008352AC" w:rsidP="009F4AF4">
      <w:pPr>
        <w:pStyle w:val="HeadingL1"/>
        <w:spacing w:after="260" w:line="280" w:lineRule="exact"/>
        <w:ind w:right="0"/>
        <w:jc w:val="both"/>
        <w:rPr>
          <w:rFonts w:ascii="Times New Roman" w:hAnsi="Times New Roman"/>
        </w:rPr>
      </w:pPr>
      <w:r w:rsidRPr="009F4AF4">
        <w:rPr>
          <w:rFonts w:ascii="Times New Roman" w:hAnsi="Times New Roman"/>
        </w:rPr>
        <w:t>Question 1: Did the Commission consider conditions to ensure scope 3 emissions are minimised to the greatest extent practicable?</w:t>
      </w:r>
      <w:r w:rsidRPr="009F4AF4">
        <w:rPr>
          <w:rFonts w:ascii="Times New Roman" w:hAnsi="Times New Roman"/>
        </w:rPr>
        <w:tab/>
      </w:r>
    </w:p>
    <w:p w14:paraId="08EBBAE1" w14:textId="77777777" w:rsidR="008352AC" w:rsidRPr="009F4AF4" w:rsidRDefault="008352AC" w:rsidP="009F4AF4">
      <w:pPr>
        <w:pStyle w:val="HeadingL2"/>
        <w:spacing w:after="260" w:line="280" w:lineRule="exact"/>
        <w:ind w:right="0"/>
        <w:jc w:val="both"/>
        <w:rPr>
          <w:rFonts w:ascii="Times New Roman" w:hAnsi="Times New Roman"/>
        </w:rPr>
      </w:pPr>
      <w:r w:rsidRPr="009F4AF4">
        <w:rPr>
          <w:rFonts w:ascii="Times New Roman" w:hAnsi="Times New Roman"/>
        </w:rPr>
        <w:t>The need to consider conditions on scope 3 emissions, both downstream and upstream</w:t>
      </w:r>
    </w:p>
    <w:p w14:paraId="566CEC6E" w14:textId="77777777" w:rsidR="008352AC" w:rsidRPr="009F4AF4" w:rsidRDefault="008352AC" w:rsidP="009F4AF4">
      <w:pPr>
        <w:pStyle w:val="FixListStyle"/>
        <w:spacing w:after="260" w:line="280" w:lineRule="exact"/>
        <w:ind w:right="0"/>
        <w:jc w:val="both"/>
        <w:rPr>
          <w:rFonts w:ascii="Times New Roman" w:hAnsi="Times New Roman"/>
        </w:rPr>
      </w:pPr>
      <w:r w:rsidRPr="009F4AF4">
        <w:rPr>
          <w:rFonts w:ascii="Times New Roman" w:hAnsi="Times New Roman"/>
        </w:rPr>
        <w:tab/>
        <w:t xml:space="preserve">The obligation in cl 2.20(1)(c) of the </w:t>
      </w:r>
      <w:r w:rsidRPr="009F4AF4">
        <w:rPr>
          <w:rFonts w:ascii="Times New Roman" w:hAnsi="Times New Roman"/>
          <w:i/>
          <w:iCs/>
        </w:rPr>
        <w:t xml:space="preserve">State Environmental Planning Policy (Resources and Energy) </w:t>
      </w:r>
      <w:r w:rsidRPr="009F4AF4">
        <w:rPr>
          <w:rFonts w:ascii="Times New Roman" w:hAnsi="Times New Roman"/>
        </w:rPr>
        <w:t xml:space="preserve">for the Commission to consider conditions to ensure that all greenhouse gas emissions "are minimised to the greatest extent practicable" replicated the terms of cl 14(1)(c) of the </w:t>
      </w:r>
      <w:r w:rsidRPr="009F4AF4">
        <w:rPr>
          <w:rFonts w:ascii="Times New Roman" w:hAnsi="Times New Roman"/>
          <w:i/>
          <w:iCs/>
        </w:rPr>
        <w:t>State Environmental Planning Policy (Mining, Petroleum Production and Extractive Industries) 2007</w:t>
      </w:r>
      <w:r w:rsidRPr="009F4AF4">
        <w:rPr>
          <w:rFonts w:ascii="Times New Roman" w:hAnsi="Times New Roman"/>
        </w:rPr>
        <w:t xml:space="preserve"> (NSW). That predecessor provision, building on judicial developments,</w:t>
      </w:r>
      <w:r w:rsidRPr="009F4AF4">
        <w:rPr>
          <w:rStyle w:val="FootnoteReference"/>
          <w:rFonts w:ascii="Times New Roman" w:hAnsi="Times New Roman"/>
          <w:sz w:val="24"/>
        </w:rPr>
        <w:footnoteReference w:id="171"/>
      </w:r>
      <w:r w:rsidRPr="009F4AF4">
        <w:rPr>
          <w:rFonts w:ascii="Times New Roman" w:hAnsi="Times New Roman"/>
        </w:rPr>
        <w:t xml:space="preserve"> had been introduced as part of the implementation of a policy "to ensure that indirect emissions from extractive industries are considered in the decision-making process".</w:t>
      </w:r>
      <w:r w:rsidRPr="009F4AF4">
        <w:rPr>
          <w:rStyle w:val="FootnoteReference"/>
          <w:rFonts w:ascii="Times New Roman" w:hAnsi="Times New Roman"/>
          <w:sz w:val="24"/>
        </w:rPr>
        <w:footnoteReference w:id="172"/>
      </w:r>
      <w:r w:rsidRPr="009F4AF4">
        <w:rPr>
          <w:rFonts w:ascii="Times New Roman" w:hAnsi="Times New Roman"/>
        </w:rPr>
        <w:t xml:space="preserve"> In 2019, a Bill was proposed to amend cl 14(2) to omit downstream emissions as an expressly required consideration.</w:t>
      </w:r>
      <w:r w:rsidRPr="009F4AF4">
        <w:rPr>
          <w:rStyle w:val="FootnoteReference"/>
          <w:rFonts w:ascii="Times New Roman" w:hAnsi="Times New Roman"/>
          <w:sz w:val="24"/>
        </w:rPr>
        <w:footnoteReference w:id="173"/>
      </w:r>
      <w:r w:rsidRPr="009F4AF4">
        <w:rPr>
          <w:rFonts w:ascii="Times New Roman" w:hAnsi="Times New Roman"/>
        </w:rPr>
        <w:t xml:space="preserve"> A Committee of the Legislative Council was critical of the Bill on grounds which included that it would "contradict well-established principles of New South Wales planning law" and that "[g]iven that the committee heard that emissions from mining projects are overwhelmingly from downstream </w:t>
      </w:r>
      <w:r w:rsidRPr="009F4AF4">
        <w:rPr>
          <w:rFonts w:ascii="Times New Roman" w:hAnsi="Times New Roman"/>
        </w:rPr>
        <w:lastRenderedPageBreak/>
        <w:t>sources, it is imperative that any assessment of the impacts of such projects continue to include this form of emission".</w:t>
      </w:r>
      <w:r w:rsidRPr="009F4AF4">
        <w:rPr>
          <w:rStyle w:val="FootnoteReference"/>
          <w:rFonts w:ascii="Times New Roman" w:hAnsi="Times New Roman"/>
          <w:sz w:val="24"/>
        </w:rPr>
        <w:footnoteReference w:id="174"/>
      </w:r>
      <w:r w:rsidRPr="009F4AF4">
        <w:rPr>
          <w:rFonts w:ascii="Times New Roman" w:hAnsi="Times New Roman"/>
        </w:rPr>
        <w:t xml:space="preserve"> </w:t>
      </w:r>
    </w:p>
    <w:p w14:paraId="2BB7159F" w14:textId="77777777" w:rsidR="008352AC" w:rsidRPr="009F4AF4" w:rsidRDefault="008352AC" w:rsidP="009F4AF4">
      <w:pPr>
        <w:pStyle w:val="FixListStyle"/>
        <w:spacing w:after="260" w:line="280" w:lineRule="exact"/>
        <w:ind w:right="0"/>
        <w:jc w:val="both"/>
        <w:rPr>
          <w:rFonts w:ascii="Times New Roman" w:hAnsi="Times New Roman"/>
        </w:rPr>
      </w:pPr>
      <w:r w:rsidRPr="009F4AF4">
        <w:rPr>
          <w:rFonts w:ascii="Times New Roman" w:hAnsi="Times New Roman"/>
        </w:rPr>
        <w:tab/>
        <w:t xml:space="preserve">Consistently with the provision's history, the reference to "greenhouse gas emissions" in cl 2.20(1)(c) of the </w:t>
      </w:r>
      <w:r w:rsidRPr="009F4AF4">
        <w:rPr>
          <w:rFonts w:ascii="Times New Roman" w:hAnsi="Times New Roman"/>
          <w:i/>
          <w:iCs/>
        </w:rPr>
        <w:t xml:space="preserve">State Environmental Planning Policy (Resources and Energy) </w:t>
      </w:r>
      <w:r w:rsidRPr="009F4AF4">
        <w:rPr>
          <w:rFonts w:ascii="Times New Roman" w:hAnsi="Times New Roman"/>
        </w:rPr>
        <w:t>includes scope 3 emissions.</w:t>
      </w:r>
      <w:r w:rsidRPr="009F4AF4">
        <w:rPr>
          <w:rStyle w:val="FootnoteReference"/>
          <w:rFonts w:ascii="Times New Roman" w:hAnsi="Times New Roman"/>
          <w:sz w:val="24"/>
        </w:rPr>
        <w:footnoteReference w:id="175"/>
      </w:r>
      <w:r w:rsidRPr="009F4AF4">
        <w:rPr>
          <w:rFonts w:ascii="Times New Roman" w:hAnsi="Times New Roman"/>
        </w:rPr>
        <w:t xml:space="preserve"> Although cl 2.20(1)(c) does not specifically refer to either downstream or upstream emissions, cl 2.20(2) makes clear that, "[w]ithout limiting [cl 2.20(1)]", the required consideration includes "an assessment of the greenhouse gas emissions (including downstream emissions)". The same must be true of upstream emissions. </w:t>
      </w:r>
    </w:p>
    <w:p w14:paraId="29C5508D" w14:textId="77777777" w:rsidR="008352AC" w:rsidRPr="009F4AF4" w:rsidRDefault="008352AC" w:rsidP="009F4AF4">
      <w:pPr>
        <w:pStyle w:val="FixListStyle"/>
        <w:spacing w:after="260" w:line="280" w:lineRule="exact"/>
        <w:ind w:right="0"/>
        <w:jc w:val="both"/>
        <w:rPr>
          <w:rFonts w:ascii="Times New Roman" w:hAnsi="Times New Roman"/>
        </w:rPr>
      </w:pPr>
      <w:r w:rsidRPr="009F4AF4">
        <w:rPr>
          <w:rFonts w:ascii="Times New Roman" w:hAnsi="Times New Roman"/>
        </w:rPr>
        <w:tab/>
        <w:t xml:space="preserve">The inclusion of emissions of all scopes, and both downstream and upstream emissions, in cl 2.20(1)(c) requires that the Commission's reasons make manifest an active intellectual process which engages with the possibility of conditions upon all scopes of greenhouse gas emissions, including downstream and upstream emissions, to ensure that all those emissions "are minimised to the greatest extent practicable". The manifestation of an active intellectual process which engaged only with the possibility of conditions upon two per cent of those emissions is not the consideration required by cl 2.20(1)(c).   </w:t>
      </w:r>
    </w:p>
    <w:p w14:paraId="11AFF842" w14:textId="77777777" w:rsidR="008352AC" w:rsidRPr="009F4AF4" w:rsidRDefault="008352AC" w:rsidP="009F4AF4">
      <w:pPr>
        <w:pStyle w:val="HeadingL2"/>
        <w:spacing w:after="260" w:line="280" w:lineRule="exact"/>
        <w:ind w:right="0"/>
        <w:jc w:val="both"/>
        <w:rPr>
          <w:rFonts w:ascii="Times New Roman" w:hAnsi="Times New Roman"/>
        </w:rPr>
      </w:pPr>
      <w:r w:rsidRPr="009F4AF4">
        <w:rPr>
          <w:rFonts w:ascii="Times New Roman" w:hAnsi="Times New Roman"/>
        </w:rPr>
        <w:t>The Commission's consideration of scope 3 emissions</w:t>
      </w:r>
    </w:p>
    <w:p w14:paraId="26D3B6F2" w14:textId="77777777" w:rsidR="008352AC" w:rsidRPr="009F4AF4" w:rsidRDefault="008352AC" w:rsidP="009F4AF4">
      <w:pPr>
        <w:pStyle w:val="FixListStyle"/>
        <w:spacing w:after="260" w:line="280" w:lineRule="exact"/>
        <w:ind w:right="0"/>
        <w:jc w:val="both"/>
        <w:rPr>
          <w:rFonts w:ascii="Times New Roman" w:hAnsi="Times New Roman"/>
        </w:rPr>
      </w:pPr>
      <w:r w:rsidRPr="009F4AF4">
        <w:rPr>
          <w:rFonts w:ascii="Times New Roman" w:hAnsi="Times New Roman"/>
        </w:rPr>
        <w:tab/>
        <w:t xml:space="preserve">In its reasons for decision, the Commission defined scope 1, 2, and 3 emissions as follows: </w:t>
      </w:r>
    </w:p>
    <w:p w14:paraId="231E39E2" w14:textId="77777777" w:rsidR="008352AC" w:rsidRPr="009F4AF4" w:rsidRDefault="008352AC" w:rsidP="009F4AF4">
      <w:pPr>
        <w:pStyle w:val="leftright"/>
        <w:spacing w:before="0" w:after="260" w:line="280" w:lineRule="exact"/>
        <w:ind w:left="1440" w:right="0" w:hanging="720"/>
        <w:jc w:val="both"/>
        <w:rPr>
          <w:rFonts w:ascii="Times New Roman" w:hAnsi="Times New Roman"/>
        </w:rPr>
      </w:pPr>
      <w:r w:rsidRPr="009F4AF4">
        <w:rPr>
          <w:rFonts w:ascii="Times New Roman" w:hAnsi="Times New Roman"/>
        </w:rPr>
        <w:t>"•</w:t>
      </w:r>
      <w:r w:rsidRPr="009F4AF4">
        <w:rPr>
          <w:rFonts w:ascii="Times New Roman" w:hAnsi="Times New Roman"/>
        </w:rPr>
        <w:tab/>
        <w:t>Scope 1: emissions released to the atmosphere as a direct result of an activity, or series of activities, at a facility level;</w:t>
      </w:r>
    </w:p>
    <w:p w14:paraId="599F5004" w14:textId="77777777" w:rsidR="008352AC" w:rsidRPr="009F4AF4" w:rsidRDefault="008352AC" w:rsidP="009F4AF4">
      <w:pPr>
        <w:pStyle w:val="leftright"/>
        <w:spacing w:before="0" w:after="260" w:line="280" w:lineRule="exact"/>
        <w:ind w:left="1440" w:right="0" w:hanging="720"/>
        <w:jc w:val="both"/>
        <w:rPr>
          <w:rFonts w:ascii="Times New Roman" w:hAnsi="Times New Roman"/>
        </w:rPr>
      </w:pPr>
      <w:r w:rsidRPr="009F4AF4">
        <w:rPr>
          <w:rFonts w:ascii="Times New Roman" w:hAnsi="Times New Roman"/>
        </w:rPr>
        <w:t>•</w:t>
      </w:r>
      <w:r w:rsidRPr="009F4AF4">
        <w:rPr>
          <w:rFonts w:ascii="Times New Roman" w:hAnsi="Times New Roman"/>
        </w:rPr>
        <w:tab/>
        <w:t>Scope 2: emissions released to the atmosphere from the indirect consumption of an energy commodity. For example, emissions from the generation of purchased energy electricity, heat and steam used by a facility; and</w:t>
      </w:r>
    </w:p>
    <w:p w14:paraId="4FCD9D24" w14:textId="77777777" w:rsidR="008352AC" w:rsidRDefault="008352AC" w:rsidP="009F4AF4">
      <w:pPr>
        <w:pStyle w:val="leftright"/>
        <w:spacing w:before="0" w:after="260" w:line="280" w:lineRule="exact"/>
        <w:ind w:left="1440" w:right="0" w:hanging="720"/>
        <w:jc w:val="both"/>
        <w:rPr>
          <w:rFonts w:ascii="Times New Roman" w:hAnsi="Times New Roman"/>
        </w:rPr>
      </w:pPr>
      <w:r w:rsidRPr="009F4AF4">
        <w:rPr>
          <w:rFonts w:ascii="Times New Roman" w:hAnsi="Times New Roman"/>
        </w:rPr>
        <w:t>•</w:t>
      </w:r>
      <w:r w:rsidRPr="009F4AF4">
        <w:rPr>
          <w:rFonts w:ascii="Times New Roman" w:hAnsi="Times New Roman"/>
        </w:rPr>
        <w:tab/>
        <w:t>Scope 3: indirect [greenhouse gas] emissions other than scope 2 emissions that are generated in the wider economy. They occur as a consequence of the activities of a facility, but from sources not owned or controlled by that facility's business."</w:t>
      </w:r>
    </w:p>
    <w:p w14:paraId="1E12594E" w14:textId="77777777" w:rsidR="008352AC" w:rsidRPr="009F4AF4" w:rsidRDefault="008352AC" w:rsidP="009F4AF4">
      <w:pPr>
        <w:pStyle w:val="FixListStyle"/>
        <w:spacing w:after="260" w:line="280" w:lineRule="exact"/>
        <w:ind w:right="0"/>
        <w:jc w:val="both"/>
        <w:rPr>
          <w:rFonts w:ascii="Times New Roman" w:hAnsi="Times New Roman"/>
        </w:rPr>
      </w:pPr>
      <w:r w:rsidRPr="009F4AF4">
        <w:rPr>
          <w:rFonts w:ascii="Times New Roman" w:hAnsi="Times New Roman"/>
        </w:rPr>
        <w:lastRenderedPageBreak/>
        <w:tab/>
        <w:t xml:space="preserve">The Commission's consideration of conditions for scope 1 and scope 2 emissions "to ensure ... that greenhouse gas emissions are minimised to the greatest extent practicable" was comprehensive. For the two per cent or 16.07 million tonnes of scope 1 and scope 2 emissions, numerous conditions were imposed: for instance, condition B36 (limiting scope 1 and scope 2 emissions), condition B32 (preparation of an Air Quality and Greenhouse Gas Management Plan), and condition B31 (including requirements to take all reasonable steps to improve energy efficiency). Yet for the other 98 per cent, or 860 million tonnes, of greenhouse gas emissions in scope 3, no conditions were imposed or even discussed. </w:t>
      </w:r>
    </w:p>
    <w:p w14:paraId="40F8B60A" w14:textId="77777777" w:rsidR="008352AC" w:rsidRPr="009F4AF4" w:rsidRDefault="008352AC" w:rsidP="009F4AF4">
      <w:pPr>
        <w:pStyle w:val="FixListStyle"/>
        <w:spacing w:after="260" w:line="280" w:lineRule="exact"/>
        <w:ind w:right="0"/>
        <w:jc w:val="both"/>
        <w:rPr>
          <w:rFonts w:ascii="Times New Roman" w:hAnsi="Times New Roman"/>
        </w:rPr>
      </w:pPr>
      <w:r w:rsidRPr="009F4AF4">
        <w:rPr>
          <w:rFonts w:ascii="Times New Roman" w:hAnsi="Times New Roman"/>
        </w:rPr>
        <w:tab/>
        <w:t xml:space="preserve">The highest point of MACH's submission that the Commission had manifested any consideration of whether there were conditions that should be imposed to ensure that scope 3 emissions are minimised to the greatest extent practicable is the Commission's recital of the requirement in cl 2.20(1)(c) and the sentence of the Commission's reasons that reads: </w:t>
      </w:r>
    </w:p>
    <w:p w14:paraId="206C7A06" w14:textId="77777777" w:rsidR="008352AC" w:rsidRDefault="008352AC" w:rsidP="009F4AF4">
      <w:pPr>
        <w:pStyle w:val="LeftrightafterHC"/>
        <w:spacing w:before="0" w:after="260" w:line="280" w:lineRule="exact"/>
        <w:ind w:right="0"/>
        <w:jc w:val="both"/>
        <w:rPr>
          <w:rFonts w:ascii="Times New Roman" w:hAnsi="Times New Roman"/>
        </w:rPr>
      </w:pPr>
      <w:r w:rsidRPr="009F4AF4">
        <w:rPr>
          <w:rFonts w:ascii="Times New Roman" w:hAnsi="Times New Roman"/>
        </w:rPr>
        <w:t xml:space="preserve">"the Commission has considered all emissions associated with the Project (including Scope 3 emissions) in its assessment and determination". </w:t>
      </w:r>
    </w:p>
    <w:p w14:paraId="7C91EA3A" w14:textId="77777777" w:rsidR="008352AC" w:rsidRPr="009F4AF4" w:rsidRDefault="008352AC" w:rsidP="009F4AF4">
      <w:pPr>
        <w:pStyle w:val="FixListStyle"/>
        <w:spacing w:after="260" w:line="280" w:lineRule="exact"/>
        <w:ind w:right="0"/>
        <w:jc w:val="both"/>
        <w:rPr>
          <w:rFonts w:ascii="Times New Roman" w:hAnsi="Times New Roman"/>
        </w:rPr>
      </w:pPr>
      <w:r w:rsidRPr="009F4AF4">
        <w:rPr>
          <w:rFonts w:ascii="Times New Roman" w:hAnsi="Times New Roman"/>
        </w:rPr>
        <w:tab/>
        <w:t>But that sentence must be read in context, particularly by reference to the sentence immediately preceding it:</w:t>
      </w:r>
    </w:p>
    <w:p w14:paraId="04D3C02A" w14:textId="77777777" w:rsidR="008352AC" w:rsidRDefault="008352AC" w:rsidP="009F4AF4">
      <w:pPr>
        <w:pStyle w:val="LeftrightafterHC"/>
        <w:spacing w:before="0" w:after="260" w:line="280" w:lineRule="exact"/>
        <w:ind w:right="0"/>
        <w:jc w:val="both"/>
        <w:rPr>
          <w:rFonts w:ascii="Times New Roman" w:hAnsi="Times New Roman"/>
        </w:rPr>
      </w:pPr>
      <w:r w:rsidRPr="009F4AF4">
        <w:rPr>
          <w:rFonts w:ascii="Times New Roman" w:hAnsi="Times New Roman"/>
        </w:rPr>
        <w:t>"The Commission agrees with the Department and acknowledges that under the Paris Agreement accounting rules and Australian legislation, Scope 3 emissions are not included in Project emission reporting, to avoid double counting."</w:t>
      </w:r>
    </w:p>
    <w:p w14:paraId="4A7FBFEF" w14:textId="77777777" w:rsidR="008352AC" w:rsidRPr="009F4AF4" w:rsidRDefault="008352AC" w:rsidP="009F4AF4">
      <w:pPr>
        <w:pStyle w:val="NormalBody"/>
        <w:spacing w:after="260" w:line="280" w:lineRule="exact"/>
        <w:ind w:right="0"/>
        <w:jc w:val="both"/>
        <w:rPr>
          <w:rFonts w:ascii="Times New Roman" w:hAnsi="Times New Roman"/>
        </w:rPr>
      </w:pPr>
      <w:r w:rsidRPr="009F4AF4">
        <w:rPr>
          <w:rFonts w:ascii="Times New Roman" w:hAnsi="Times New Roman"/>
        </w:rPr>
        <w:t xml:space="preserve">In other words, the Commission's "consideration" of scope 3 emissions had been on the basis that they need not be addressed by minimisation conditions because scope 3 emissions were not included in the project's emission reporting.  </w:t>
      </w:r>
    </w:p>
    <w:p w14:paraId="21F301E7" w14:textId="77777777" w:rsidR="008352AC" w:rsidRPr="009F4AF4" w:rsidRDefault="008352AC" w:rsidP="009F4AF4">
      <w:pPr>
        <w:pStyle w:val="FixListStyle"/>
        <w:spacing w:after="260" w:line="280" w:lineRule="exact"/>
        <w:ind w:right="0"/>
        <w:jc w:val="both"/>
        <w:rPr>
          <w:rFonts w:ascii="Times New Roman" w:hAnsi="Times New Roman"/>
        </w:rPr>
      </w:pPr>
      <w:r w:rsidRPr="009F4AF4">
        <w:rPr>
          <w:rFonts w:ascii="Times New Roman" w:hAnsi="Times New Roman"/>
        </w:rPr>
        <w:tab/>
        <w:t xml:space="preserve">In any event, it is not clear what the Commission meant by its reference to having considered all emissions "in its assessment and determination". Does the statement mean that the Commission considered conditions to ensure that all emissions are minimised to the greatest extent practicable? Or does the statement mean that the Commission considered all emissions in its assessment and determination and concluded that it only needed to consider minimisation conditions in relation to scope 1 and scope 2 emissions?  </w:t>
      </w:r>
    </w:p>
    <w:p w14:paraId="029CB8BD" w14:textId="77777777" w:rsidR="008352AC" w:rsidRPr="009F4AF4" w:rsidRDefault="008352AC" w:rsidP="009F4AF4">
      <w:pPr>
        <w:pStyle w:val="FixListStyle"/>
        <w:spacing w:after="260" w:line="280" w:lineRule="exact"/>
        <w:ind w:right="0"/>
        <w:jc w:val="both"/>
        <w:rPr>
          <w:rFonts w:ascii="Times New Roman" w:hAnsi="Times New Roman"/>
        </w:rPr>
      </w:pPr>
      <w:r w:rsidRPr="009F4AF4">
        <w:rPr>
          <w:rFonts w:ascii="Times New Roman" w:hAnsi="Times New Roman"/>
        </w:rPr>
        <w:tab/>
        <w:t xml:space="preserve">The only open interpretation of the Commission's reasons is that the Commission did not impose any conditions concerning scope 3 emissions because it considered that it only needed to consider minimisation conditions in relation to scope 1 and scope 2 emissions, since scope 3 emissions would not be counted towards the emissions reported by New South Wales or Australia but rather would </w:t>
      </w:r>
      <w:r w:rsidRPr="009F4AF4">
        <w:rPr>
          <w:rFonts w:ascii="Times New Roman" w:hAnsi="Times New Roman"/>
        </w:rPr>
        <w:lastRenderedPageBreak/>
        <w:t xml:space="preserve">be counted in the emissions of the countries to which the coal was exported for consumption. For instance, the Commission said: </w:t>
      </w:r>
    </w:p>
    <w:p w14:paraId="5167D884" w14:textId="77777777" w:rsidR="008352AC" w:rsidRDefault="008352AC" w:rsidP="009F4AF4">
      <w:pPr>
        <w:pStyle w:val="leftright"/>
        <w:spacing w:before="0" w:after="260" w:line="280" w:lineRule="exact"/>
        <w:ind w:right="0"/>
        <w:jc w:val="both"/>
        <w:rPr>
          <w:rFonts w:ascii="Times New Roman" w:hAnsi="Times New Roman"/>
        </w:rPr>
      </w:pPr>
      <w:r w:rsidRPr="009F4AF4">
        <w:rPr>
          <w:rFonts w:ascii="Times New Roman" w:hAnsi="Times New Roman"/>
        </w:rPr>
        <w:t xml:space="preserve">"The Commission notes that the Project's Scope 3 emissions will be accounted for in the consumer countries' [greenhouse gas] emissions." </w:t>
      </w:r>
    </w:p>
    <w:p w14:paraId="17EA2017" w14:textId="77777777" w:rsidR="008352AC" w:rsidRPr="009F4AF4" w:rsidRDefault="008352AC" w:rsidP="009F4AF4">
      <w:pPr>
        <w:pStyle w:val="NormalBody"/>
        <w:spacing w:after="260" w:line="280" w:lineRule="exact"/>
        <w:ind w:right="0"/>
        <w:jc w:val="both"/>
        <w:rPr>
          <w:rFonts w:ascii="Times New Roman" w:hAnsi="Times New Roman"/>
        </w:rPr>
      </w:pPr>
      <w:r w:rsidRPr="009F4AF4">
        <w:rPr>
          <w:rFonts w:ascii="Times New Roman" w:hAnsi="Times New Roman"/>
        </w:rPr>
        <w:t>And again:</w:t>
      </w:r>
    </w:p>
    <w:p w14:paraId="0BDDDE90" w14:textId="77777777" w:rsidR="008352AC" w:rsidRDefault="008352AC" w:rsidP="009F4AF4">
      <w:pPr>
        <w:pStyle w:val="LeftrightafterHC"/>
        <w:spacing w:before="0" w:after="260" w:line="280" w:lineRule="exact"/>
        <w:ind w:right="0"/>
        <w:jc w:val="both"/>
        <w:rPr>
          <w:rFonts w:ascii="Times New Roman" w:hAnsi="Times New Roman"/>
        </w:rPr>
      </w:pPr>
      <w:r w:rsidRPr="009F4AF4">
        <w:rPr>
          <w:rFonts w:ascii="Times New Roman" w:hAnsi="Times New Roman"/>
        </w:rPr>
        <w:t xml:space="preserve">"The Commission acknowledges that although the Project's Scope 3 emissions would contribute to anthropogenic climate change, these are appropriately regulated and accounted for through broader national policies and international agreements (such as the Paris Agreement)." </w:t>
      </w:r>
    </w:p>
    <w:p w14:paraId="59AFE35F" w14:textId="77777777" w:rsidR="008352AC" w:rsidRPr="009F4AF4" w:rsidRDefault="008352AC" w:rsidP="009F4AF4">
      <w:pPr>
        <w:pStyle w:val="NormalBody"/>
        <w:spacing w:after="260" w:line="280" w:lineRule="exact"/>
        <w:ind w:right="0"/>
        <w:jc w:val="both"/>
        <w:rPr>
          <w:rFonts w:ascii="Times New Roman" w:hAnsi="Times New Roman"/>
        </w:rPr>
      </w:pPr>
      <w:r w:rsidRPr="009F4AF4">
        <w:rPr>
          <w:rFonts w:ascii="Times New Roman" w:hAnsi="Times New Roman"/>
        </w:rPr>
        <w:t>And again:</w:t>
      </w:r>
    </w:p>
    <w:p w14:paraId="4BB2A208" w14:textId="77777777" w:rsidR="008352AC" w:rsidRDefault="008352AC" w:rsidP="009F4AF4">
      <w:pPr>
        <w:pStyle w:val="LeftrightafterHC"/>
        <w:spacing w:before="0" w:after="260" w:line="280" w:lineRule="exact"/>
        <w:ind w:right="0"/>
        <w:jc w:val="both"/>
        <w:rPr>
          <w:rFonts w:ascii="Times New Roman" w:hAnsi="Times New Roman"/>
        </w:rPr>
      </w:pPr>
      <w:r w:rsidRPr="009F4AF4">
        <w:rPr>
          <w:rFonts w:ascii="Times New Roman" w:hAnsi="Times New Roman"/>
        </w:rPr>
        <w:t xml:space="preserve">"Some submissions recognised that while Scope 3 emissions are not counted towards NSW emissions, the cumulative impact of [greenhouse gas] emissions is still felt globally ... The Commission recognises the concerns expressed in these submissions, however the Commission notes that under the Paris Agreement, Scope 3 emissions are attributed to the country within which they are emitted." </w:t>
      </w:r>
    </w:p>
    <w:p w14:paraId="1EFEE3AD" w14:textId="77777777" w:rsidR="008352AC" w:rsidRPr="009F4AF4" w:rsidRDefault="008352AC" w:rsidP="009F4AF4">
      <w:pPr>
        <w:pStyle w:val="FixListStyle"/>
        <w:spacing w:after="260" w:line="280" w:lineRule="exact"/>
        <w:ind w:right="0"/>
        <w:jc w:val="both"/>
        <w:rPr>
          <w:rFonts w:ascii="Times New Roman" w:hAnsi="Times New Roman"/>
        </w:rPr>
      </w:pPr>
      <w:r w:rsidRPr="009F4AF4">
        <w:rPr>
          <w:rFonts w:ascii="Times New Roman" w:hAnsi="Times New Roman"/>
        </w:rPr>
        <w:tab/>
        <w:t xml:space="preserve">Not only is this interpretation supported by the Commission's repeated statements, but in the section of MACH's Environmental Impact Statement where the potential impacts of greenhouse gases on the environment were addressed, MACH had addressed scope 3 emissions by saying that scope 3 emissions "from the use of Project coal in overseas customer countries would be managed in accordance with customer countries['] commitments under the </w:t>
      </w:r>
      <w:r w:rsidRPr="009F4AF4">
        <w:rPr>
          <w:rFonts w:ascii="Times New Roman" w:hAnsi="Times New Roman"/>
          <w:i/>
          <w:iCs/>
        </w:rPr>
        <w:t xml:space="preserve">Paris Agreement </w:t>
      </w:r>
      <w:r w:rsidRPr="009F4AF4">
        <w:rPr>
          <w:rFonts w:ascii="Times New Roman" w:hAnsi="Times New Roman"/>
        </w:rPr>
        <w:t xml:space="preserve">... and would not contribute to Australian greenhouse gas emissions or factor into Australian greenhouse gas reduction targets". That section was then followed by a section concerning mitigation measures that addressed only scope 1 and scope 2 emissions. As MACH later explained, "[t]he greenhouse gas emissions associated with the combustion of Project product coal will be primarily addressed and regulated by the Expected Export Countries, under their [Nationally Determined Contributions]". </w:t>
      </w:r>
    </w:p>
    <w:p w14:paraId="3371245D" w14:textId="77777777" w:rsidR="008352AC" w:rsidRPr="009F4AF4" w:rsidRDefault="008352AC" w:rsidP="009F4AF4">
      <w:pPr>
        <w:pStyle w:val="FixListStyle"/>
        <w:spacing w:after="260" w:line="280" w:lineRule="exact"/>
        <w:ind w:right="0"/>
        <w:jc w:val="both"/>
        <w:rPr>
          <w:rFonts w:ascii="Times New Roman" w:hAnsi="Times New Roman"/>
        </w:rPr>
      </w:pPr>
      <w:r w:rsidRPr="009F4AF4">
        <w:rPr>
          <w:rFonts w:ascii="Times New Roman" w:hAnsi="Times New Roman"/>
        </w:rPr>
        <w:tab/>
        <w:t>This interpretation of the Commission's reasons is therefore founded on the very reasoning that had been urged by MACH. The onus had been borne by MACH to propose mitigation measures in its Environmental Impact Statement,</w:t>
      </w:r>
      <w:r w:rsidRPr="009F4AF4">
        <w:rPr>
          <w:rStyle w:val="FootnoteReference"/>
          <w:rFonts w:ascii="Times New Roman" w:hAnsi="Times New Roman"/>
          <w:sz w:val="24"/>
        </w:rPr>
        <w:footnoteReference w:id="176"/>
      </w:r>
      <w:r w:rsidRPr="009F4AF4">
        <w:rPr>
          <w:rFonts w:ascii="Times New Roman" w:hAnsi="Times New Roman"/>
        </w:rPr>
        <w:t xml:space="preserve"> and the Commission was responding to that onus consistently with the reasoning urged by MACH. </w:t>
      </w:r>
    </w:p>
    <w:p w14:paraId="168CC653" w14:textId="77777777" w:rsidR="008352AC" w:rsidRPr="009F4AF4" w:rsidRDefault="008352AC" w:rsidP="009F4AF4">
      <w:pPr>
        <w:pStyle w:val="FixListStyle"/>
        <w:spacing w:after="260" w:line="280" w:lineRule="exact"/>
        <w:ind w:right="0"/>
        <w:jc w:val="both"/>
        <w:rPr>
          <w:rFonts w:ascii="Times New Roman" w:hAnsi="Times New Roman"/>
        </w:rPr>
      </w:pPr>
      <w:r w:rsidRPr="009F4AF4">
        <w:rPr>
          <w:rFonts w:ascii="Times New Roman" w:hAnsi="Times New Roman"/>
        </w:rPr>
        <w:lastRenderedPageBreak/>
        <w:tab/>
        <w:t>Even more fundamentally, the near-impossibility of interpreting the absence of any minimisation conditions with respect to scope 3 emissions as a considered rejection of any minimisation conditions is reinforced by the fact that no party before this Court denied that there were simple conditions that could have been imposed to minimise scope 3 emissions, as had occurred in other cases.</w:t>
      </w:r>
      <w:r w:rsidRPr="009F4AF4">
        <w:rPr>
          <w:rStyle w:val="FootnoteReference"/>
          <w:rFonts w:ascii="Times New Roman" w:hAnsi="Times New Roman"/>
          <w:sz w:val="24"/>
        </w:rPr>
        <w:footnoteReference w:id="177"/>
      </w:r>
      <w:r w:rsidRPr="009F4AF4">
        <w:rPr>
          <w:rFonts w:ascii="Times New Roman" w:hAnsi="Times New Roman"/>
        </w:rPr>
        <w:t xml:space="preserve"> As Adamson JA said in the Court of Appeal:</w:t>
      </w:r>
      <w:r w:rsidRPr="009F4AF4">
        <w:rPr>
          <w:rStyle w:val="FootnoteReference"/>
          <w:rFonts w:ascii="Times New Roman" w:hAnsi="Times New Roman"/>
          <w:sz w:val="24"/>
        </w:rPr>
        <w:footnoteReference w:id="178"/>
      </w:r>
    </w:p>
    <w:p w14:paraId="31A11D05" w14:textId="77777777" w:rsidR="008352AC" w:rsidRDefault="008352AC" w:rsidP="009F4AF4">
      <w:pPr>
        <w:pStyle w:val="LeftrightafterHC"/>
        <w:spacing w:before="0" w:after="260" w:line="280" w:lineRule="exact"/>
        <w:ind w:right="0"/>
        <w:jc w:val="both"/>
        <w:rPr>
          <w:rFonts w:ascii="Times New Roman" w:hAnsi="Times New Roman"/>
        </w:rPr>
      </w:pPr>
      <w:r w:rsidRPr="009F4AF4">
        <w:rPr>
          <w:rFonts w:ascii="Times New Roman" w:hAnsi="Times New Roman"/>
        </w:rPr>
        <w:t>"[The Commission could] have imposed conditions such as requiring the coal to be washed before it is exported; limiting the coal that is exported to coal of a certain high calorific content or that the coal be exported only to those countries which have [Nationally Determined Contributions] under the Paris Agreement (or equivalent in the case of an entity such as Taiwan); requiring that coal exported from the project only be used in power stations which use technology such as carbon capture and storage or fluidised bed combustion; or requiring that MACH implement offsets to the emissions caused by the coal."</w:t>
      </w:r>
    </w:p>
    <w:p w14:paraId="0CE30B82" w14:textId="77777777" w:rsidR="008352AC" w:rsidRPr="009F4AF4" w:rsidRDefault="008352AC" w:rsidP="009F4AF4">
      <w:pPr>
        <w:pStyle w:val="NormalBody"/>
        <w:spacing w:after="260" w:line="280" w:lineRule="exact"/>
        <w:ind w:right="0"/>
        <w:jc w:val="both"/>
        <w:rPr>
          <w:rFonts w:ascii="Times New Roman" w:hAnsi="Times New Roman"/>
        </w:rPr>
      </w:pPr>
      <w:r w:rsidRPr="009F4AF4">
        <w:rPr>
          <w:rFonts w:ascii="Times New Roman" w:hAnsi="Times New Roman"/>
        </w:rPr>
        <w:t>The Commission did not say that any of these possible conditions had been considered. And even if all of these possible conditions had not occurred to the Commission, the Commission did not even say, as it had in other cases, that no conditions were imposed concerning scope 3 emissions because scope 3 emissions were outside of MACH's control</w:t>
      </w:r>
      <w:r w:rsidRPr="009F4AF4">
        <w:rPr>
          <w:rStyle w:val="FootnoteReference"/>
          <w:rFonts w:ascii="Times New Roman" w:hAnsi="Times New Roman"/>
          <w:sz w:val="24"/>
        </w:rPr>
        <w:footnoteReference w:id="179"/>
      </w:r>
      <w:r w:rsidRPr="009F4AF4">
        <w:rPr>
          <w:rFonts w:ascii="Times New Roman" w:hAnsi="Times New Roman"/>
        </w:rPr>
        <w:t xml:space="preserve"> or because no conditions had been suggested by the parties.</w:t>
      </w:r>
    </w:p>
    <w:p w14:paraId="7D3D20A9" w14:textId="77777777" w:rsidR="008352AC" w:rsidRPr="009F4AF4" w:rsidRDefault="008352AC" w:rsidP="009F4AF4">
      <w:pPr>
        <w:pStyle w:val="FixListStyle"/>
        <w:spacing w:after="260" w:line="280" w:lineRule="exact"/>
        <w:ind w:right="0"/>
        <w:jc w:val="both"/>
        <w:rPr>
          <w:rFonts w:ascii="Times New Roman" w:hAnsi="Times New Roman"/>
        </w:rPr>
      </w:pPr>
      <w:r w:rsidRPr="009F4AF4">
        <w:rPr>
          <w:rFonts w:ascii="Times New Roman" w:hAnsi="Times New Roman"/>
        </w:rPr>
        <w:tab/>
        <w:t xml:space="preserve">Finally, as explained later in these reasons, the Commission's reasons reveal that the Commission was acutely conscious of the impacts of climate change both generally and in the locality. With all of those impacts as detailed by the Commission, it would be extremely curious for the Commission to have focused only upon conditions concerning two per cent of the emissions and not even to have mentioned the possibility of any conditions to minimise 98 per cent of the emissions. In this context, the obvious interpretation of the Commission's reasons </w:t>
      </w:r>
      <w:r w:rsidRPr="009F4AF4">
        <w:rPr>
          <w:rFonts w:ascii="Times New Roman" w:hAnsi="Times New Roman"/>
        </w:rPr>
        <w:lastRenderedPageBreak/>
        <w:t xml:space="preserve">is that the Commission treated it as unnecessary to consider scope 3 emissions because they would be counted in the emissions of the countries to which the coal was exported for consumption.    </w:t>
      </w:r>
    </w:p>
    <w:p w14:paraId="2D1AFA91" w14:textId="77777777" w:rsidR="008352AC" w:rsidRPr="009F4AF4" w:rsidRDefault="008352AC" w:rsidP="009F4AF4">
      <w:pPr>
        <w:pStyle w:val="FixListStyle"/>
        <w:spacing w:after="260" w:line="280" w:lineRule="exact"/>
        <w:ind w:right="0"/>
        <w:jc w:val="both"/>
        <w:rPr>
          <w:rFonts w:ascii="Times New Roman" w:hAnsi="Times New Roman"/>
        </w:rPr>
      </w:pPr>
      <w:r w:rsidRPr="009F4AF4">
        <w:rPr>
          <w:rFonts w:ascii="Times New Roman" w:hAnsi="Times New Roman"/>
        </w:rPr>
        <w:tab/>
        <w:t xml:space="preserve">The natural and irresistible interpretation of the Commission's reasons is that the Commission was distracted by the accounting concepts of the scopes into which greenhouse gas emissions are divided. That distraction meant that the Commission treated it as unnecessary to consider in its reasons conditions to ensure that scope 3 greenhouse gas emissions are minimised to the greatest extent practicable. That was an error because cl 2.20(1)(c) of the </w:t>
      </w:r>
      <w:r w:rsidRPr="009F4AF4">
        <w:rPr>
          <w:rFonts w:ascii="Times New Roman" w:hAnsi="Times New Roman"/>
          <w:i/>
          <w:iCs/>
        </w:rPr>
        <w:t xml:space="preserve">State Environmental Planning Policy (Resources and Energy) </w:t>
      </w:r>
      <w:r w:rsidRPr="009F4AF4">
        <w:rPr>
          <w:rFonts w:ascii="Times New Roman" w:hAnsi="Times New Roman"/>
        </w:rPr>
        <w:t xml:space="preserve">does not exclude from the ambit of minimisation conditions those emissions that might be accounted for, or even regulated, by other countries. The Commission therefore did not comply with its duty to consider in its reasons whether to impose conditions to ensure that greenhouse gas emissions are minimised to the greatest extent practicable by considering only whether two per cent of the project's greenhouse gas emissions are minimised to the greatest extent practicable. </w:t>
      </w:r>
    </w:p>
    <w:p w14:paraId="7F0B5A39" w14:textId="77777777" w:rsidR="008352AC" w:rsidRPr="009F4AF4" w:rsidRDefault="008352AC" w:rsidP="009F4AF4">
      <w:pPr>
        <w:pStyle w:val="FixListStyle"/>
        <w:spacing w:after="260" w:line="280" w:lineRule="exact"/>
        <w:ind w:right="0"/>
        <w:jc w:val="both"/>
        <w:rPr>
          <w:rFonts w:ascii="Times New Roman" w:hAnsi="Times New Roman"/>
        </w:rPr>
      </w:pPr>
      <w:r w:rsidRPr="009F4AF4">
        <w:rPr>
          <w:rFonts w:ascii="Times New Roman" w:hAnsi="Times New Roman"/>
        </w:rPr>
        <w:tab/>
        <w:t>MACH did not deny that such a failure to consider was material in the sense that consideration could have affected the reasoning process of the Commission. Nor did MACH seek to establish that such a failure to consider was immaterial in the sense that the outcome was inevitable. As to the materiality upon which an applicant bears an onus, there could not have been any dispute that such a failure to consider involved "practical injustice" in the sense that the reasoning of the Commission to a conclusion could have been different had consideration been given.</w:t>
      </w:r>
      <w:r w:rsidRPr="009F4AF4">
        <w:rPr>
          <w:rStyle w:val="FootnoteReference"/>
          <w:rFonts w:ascii="Times New Roman" w:hAnsi="Times New Roman"/>
          <w:sz w:val="24"/>
        </w:rPr>
        <w:footnoteReference w:id="180"/>
      </w:r>
      <w:r w:rsidRPr="009F4AF4">
        <w:rPr>
          <w:rFonts w:ascii="Times New Roman" w:hAnsi="Times New Roman"/>
        </w:rPr>
        <w:t xml:space="preserve"> That threshold is built into a ground of judicial review concerned with mandatory relevant considerations.</w:t>
      </w:r>
      <w:r w:rsidRPr="009F4AF4">
        <w:rPr>
          <w:rStyle w:val="FootnoteReference"/>
          <w:rFonts w:ascii="Times New Roman" w:hAnsi="Times New Roman"/>
          <w:sz w:val="24"/>
        </w:rPr>
        <w:footnoteReference w:id="181"/>
      </w:r>
      <w:r w:rsidRPr="009F4AF4">
        <w:rPr>
          <w:rFonts w:ascii="Times New Roman" w:hAnsi="Times New Roman"/>
        </w:rPr>
        <w:t xml:space="preserve"> And, relevantly to the materiality onus borne by a respondent to a judicial review application once this threshold is established,</w:t>
      </w:r>
      <w:r w:rsidRPr="009F4AF4">
        <w:rPr>
          <w:rStyle w:val="FootnoteReference"/>
          <w:rFonts w:ascii="Times New Roman" w:hAnsi="Times New Roman"/>
          <w:sz w:val="24"/>
        </w:rPr>
        <w:footnoteReference w:id="182"/>
      </w:r>
      <w:r w:rsidRPr="009F4AF4">
        <w:rPr>
          <w:rFonts w:ascii="Times New Roman" w:hAnsi="Times New Roman"/>
        </w:rPr>
        <w:t xml:space="preserve"> MACH did not, and could not, establish that development consent being granted without conditions concerning scope 3 emissions was inevitable. </w:t>
      </w:r>
    </w:p>
    <w:p w14:paraId="71913CD5" w14:textId="77777777" w:rsidR="008352AC" w:rsidRPr="009F4AF4" w:rsidRDefault="008352AC" w:rsidP="009F4AF4">
      <w:pPr>
        <w:pStyle w:val="FixListStyle"/>
        <w:spacing w:after="260" w:line="280" w:lineRule="exact"/>
        <w:ind w:right="0"/>
        <w:jc w:val="both"/>
        <w:rPr>
          <w:rFonts w:ascii="Times New Roman" w:hAnsi="Times New Roman"/>
        </w:rPr>
      </w:pPr>
      <w:r w:rsidRPr="009F4AF4">
        <w:rPr>
          <w:rFonts w:ascii="Times New Roman" w:hAnsi="Times New Roman"/>
        </w:rPr>
        <w:tab/>
        <w:t xml:space="preserve">The first question should therefore be answered in favour of DAMSHEG. The first ground of DAMSHEG's amended notice of contention should be upheld on this point, and the appeal dismissed. It is convenient, nevertheless, to focus </w:t>
      </w:r>
      <w:r w:rsidRPr="009F4AF4">
        <w:rPr>
          <w:rFonts w:ascii="Times New Roman" w:hAnsi="Times New Roman"/>
        </w:rPr>
        <w:lastRenderedPageBreak/>
        <w:t xml:space="preserve">upon the part of MACH's appeal which concerns the Commission's consideration of environmental impacts more broadly. </w:t>
      </w:r>
    </w:p>
    <w:p w14:paraId="6BD7A898" w14:textId="77777777" w:rsidR="008352AC" w:rsidRPr="009F4AF4" w:rsidRDefault="008352AC" w:rsidP="009F4AF4">
      <w:pPr>
        <w:pStyle w:val="HeadingL1"/>
        <w:spacing w:after="260" w:line="280" w:lineRule="exact"/>
        <w:ind w:right="0"/>
        <w:jc w:val="both"/>
        <w:rPr>
          <w:rFonts w:ascii="Times New Roman" w:hAnsi="Times New Roman"/>
        </w:rPr>
      </w:pPr>
      <w:r w:rsidRPr="009F4AF4">
        <w:rPr>
          <w:rFonts w:ascii="Times New Roman" w:hAnsi="Times New Roman"/>
        </w:rPr>
        <w:t xml:space="preserve">Question 2: Did the Commission "take into consideration" the "likely ... environmental impacts on both the natural and built environments"? </w:t>
      </w:r>
    </w:p>
    <w:p w14:paraId="4B6BBABE" w14:textId="77777777" w:rsidR="008352AC" w:rsidRPr="009F4AF4" w:rsidRDefault="008352AC" w:rsidP="009F4AF4">
      <w:pPr>
        <w:pStyle w:val="FixListStyle"/>
        <w:spacing w:after="260" w:line="280" w:lineRule="exact"/>
        <w:ind w:right="0"/>
        <w:jc w:val="both"/>
        <w:rPr>
          <w:rFonts w:ascii="Times New Roman" w:hAnsi="Times New Roman"/>
        </w:rPr>
      </w:pPr>
      <w:r w:rsidRPr="009F4AF4">
        <w:rPr>
          <w:rFonts w:ascii="Times New Roman" w:hAnsi="Times New Roman"/>
        </w:rPr>
        <w:tab/>
        <w:t>The second question involves an issue of interpretation and an issue of application. The issue of interpretation concerns the essential meaning of s</w:t>
      </w:r>
      <w:r>
        <w:rPr>
          <w:rFonts w:ascii="Times New Roman" w:hAnsi="Times New Roman"/>
        </w:rPr>
        <w:t> </w:t>
      </w:r>
      <w:r w:rsidRPr="009F4AF4">
        <w:rPr>
          <w:rFonts w:ascii="Times New Roman" w:hAnsi="Times New Roman"/>
        </w:rPr>
        <w:t xml:space="preserve">4.15(1)(b) of the </w:t>
      </w:r>
      <w:r w:rsidRPr="009F4AF4">
        <w:rPr>
          <w:rFonts w:ascii="Times New Roman" w:hAnsi="Times New Roman"/>
          <w:i/>
          <w:iCs/>
        </w:rPr>
        <w:t>Environmental Planning and Assessment Act</w:t>
      </w:r>
      <w:r w:rsidRPr="009F4AF4">
        <w:rPr>
          <w:rFonts w:ascii="Times New Roman" w:hAnsi="Times New Roman"/>
        </w:rPr>
        <w:t xml:space="preserve">. The issue of application concerns whether the Commission correctly applied that essential meaning. </w:t>
      </w:r>
    </w:p>
    <w:p w14:paraId="7EE7D7AC" w14:textId="77777777" w:rsidR="008352AC" w:rsidRPr="009F4AF4" w:rsidRDefault="008352AC" w:rsidP="009F4AF4">
      <w:pPr>
        <w:pStyle w:val="HeadingL2"/>
        <w:spacing w:after="260" w:line="280" w:lineRule="exact"/>
        <w:ind w:right="0"/>
        <w:jc w:val="both"/>
        <w:rPr>
          <w:rFonts w:ascii="Times New Roman" w:hAnsi="Times New Roman"/>
        </w:rPr>
      </w:pPr>
      <w:r w:rsidRPr="009F4AF4">
        <w:rPr>
          <w:rFonts w:ascii="Times New Roman" w:hAnsi="Times New Roman"/>
        </w:rPr>
        <w:t>The interpretation issue</w:t>
      </w:r>
    </w:p>
    <w:p w14:paraId="1F49DAB8" w14:textId="77777777" w:rsidR="008352AC" w:rsidRPr="009F4AF4" w:rsidRDefault="008352AC" w:rsidP="009F4AF4">
      <w:pPr>
        <w:pStyle w:val="FixListStyle"/>
        <w:spacing w:after="260" w:line="280" w:lineRule="exact"/>
        <w:ind w:right="0"/>
        <w:jc w:val="both"/>
        <w:rPr>
          <w:rFonts w:ascii="Times New Roman" w:hAnsi="Times New Roman"/>
        </w:rPr>
      </w:pPr>
      <w:r w:rsidRPr="009F4AF4">
        <w:rPr>
          <w:rFonts w:ascii="Times New Roman" w:hAnsi="Times New Roman"/>
        </w:rPr>
        <w:tab/>
        <w:t xml:space="preserve">Section 4.15(1)(b) of the </w:t>
      </w:r>
      <w:r w:rsidRPr="009F4AF4">
        <w:rPr>
          <w:rFonts w:ascii="Times New Roman" w:hAnsi="Times New Roman"/>
          <w:i/>
          <w:iCs/>
        </w:rPr>
        <w:t>Environmental Planning and Assessment Act</w:t>
      </w:r>
      <w:r w:rsidRPr="009F4AF4">
        <w:rPr>
          <w:rFonts w:ascii="Times New Roman" w:hAnsi="Times New Roman"/>
        </w:rPr>
        <w:t>, which applies to the determination of a development application in respect of State significant development,</w:t>
      </w:r>
      <w:r w:rsidRPr="009F4AF4">
        <w:rPr>
          <w:rStyle w:val="FootnoteReference"/>
          <w:rFonts w:ascii="Times New Roman" w:hAnsi="Times New Roman"/>
          <w:sz w:val="24"/>
        </w:rPr>
        <w:footnoteReference w:id="183"/>
      </w:r>
      <w:r w:rsidRPr="009F4AF4">
        <w:rPr>
          <w:rFonts w:ascii="Times New Roman" w:hAnsi="Times New Roman"/>
        </w:rPr>
        <w:t xml:space="preserve"> required the Commission to "take into consideration":</w:t>
      </w:r>
    </w:p>
    <w:p w14:paraId="6F589AC9" w14:textId="77777777" w:rsidR="008352AC" w:rsidRDefault="008352AC" w:rsidP="009F4AF4">
      <w:pPr>
        <w:pStyle w:val="LeftrightafterHC"/>
        <w:spacing w:before="0" w:after="260" w:line="280" w:lineRule="exact"/>
        <w:ind w:right="0"/>
        <w:jc w:val="both"/>
        <w:rPr>
          <w:rFonts w:ascii="Times New Roman" w:hAnsi="Times New Roman"/>
        </w:rPr>
      </w:pPr>
      <w:r w:rsidRPr="009F4AF4">
        <w:rPr>
          <w:rFonts w:ascii="Times New Roman" w:hAnsi="Times New Roman"/>
        </w:rPr>
        <w:t>"the likely impacts of that development, including environmental impacts on both the natural and built environments, and social and economic impacts in the locality".</w:t>
      </w:r>
    </w:p>
    <w:p w14:paraId="3536F7F9" w14:textId="77777777" w:rsidR="008352AC" w:rsidRPr="009F4AF4" w:rsidRDefault="008352AC" w:rsidP="009F4AF4">
      <w:pPr>
        <w:pStyle w:val="FixListStyle"/>
        <w:spacing w:after="260" w:line="280" w:lineRule="exact"/>
        <w:ind w:right="0"/>
        <w:jc w:val="both"/>
        <w:rPr>
          <w:rFonts w:ascii="Times New Roman" w:hAnsi="Times New Roman"/>
        </w:rPr>
      </w:pPr>
      <w:r w:rsidRPr="009F4AF4">
        <w:rPr>
          <w:rFonts w:ascii="Times New Roman" w:hAnsi="Times New Roman"/>
        </w:rPr>
        <w:tab/>
        <w:t>MACH submitted that the proper interpretation of this provision, relevantly to this appeal, was as follows, with the additional numbering to illustrate the interpretation:</w:t>
      </w:r>
    </w:p>
    <w:p w14:paraId="18D3D51D" w14:textId="77777777" w:rsidR="008352AC" w:rsidRDefault="008352AC" w:rsidP="009F4AF4">
      <w:pPr>
        <w:pStyle w:val="LeftrightafterHC"/>
        <w:spacing w:before="0" w:after="260" w:line="280" w:lineRule="exact"/>
        <w:ind w:right="0"/>
        <w:jc w:val="both"/>
        <w:rPr>
          <w:rFonts w:ascii="Times New Roman" w:hAnsi="Times New Roman"/>
        </w:rPr>
      </w:pPr>
      <w:r w:rsidRPr="009F4AF4">
        <w:rPr>
          <w:rFonts w:ascii="Times New Roman" w:hAnsi="Times New Roman"/>
        </w:rPr>
        <w:t xml:space="preserve">"the likely impacts of that development, including </w:t>
      </w:r>
      <w:r w:rsidRPr="009F4AF4">
        <w:rPr>
          <w:rFonts w:ascii="Times New Roman" w:hAnsi="Times New Roman"/>
          <w:b/>
          <w:bCs/>
        </w:rPr>
        <w:t>[(i)]</w:t>
      </w:r>
      <w:r w:rsidRPr="009F4AF4">
        <w:rPr>
          <w:rFonts w:ascii="Times New Roman" w:hAnsi="Times New Roman"/>
        </w:rPr>
        <w:t xml:space="preserve"> environmental impacts on both the natural and built environments, and </w:t>
      </w:r>
      <w:r w:rsidRPr="009F4AF4">
        <w:rPr>
          <w:rFonts w:ascii="Times New Roman" w:hAnsi="Times New Roman"/>
          <w:b/>
          <w:bCs/>
        </w:rPr>
        <w:t>[(ii)]</w:t>
      </w:r>
      <w:r w:rsidRPr="009F4AF4">
        <w:rPr>
          <w:rFonts w:ascii="Times New Roman" w:hAnsi="Times New Roman"/>
        </w:rPr>
        <w:t xml:space="preserve"> social and economic impacts in the locality".</w:t>
      </w:r>
    </w:p>
    <w:p w14:paraId="11A38238" w14:textId="77777777" w:rsidR="008352AC" w:rsidRPr="009F4AF4" w:rsidRDefault="008352AC" w:rsidP="009F4AF4">
      <w:pPr>
        <w:pStyle w:val="FixListStyle"/>
        <w:spacing w:after="260" w:line="280" w:lineRule="exact"/>
        <w:ind w:right="0"/>
        <w:jc w:val="both"/>
        <w:rPr>
          <w:rFonts w:ascii="Times New Roman" w:hAnsi="Times New Roman"/>
        </w:rPr>
      </w:pPr>
      <w:r w:rsidRPr="009F4AF4">
        <w:rPr>
          <w:rFonts w:ascii="Times New Roman" w:hAnsi="Times New Roman"/>
        </w:rPr>
        <w:tab/>
        <w:t>DAMSHEG, supporting the approach of the Court of Appeal,</w:t>
      </w:r>
      <w:r w:rsidRPr="009F4AF4">
        <w:rPr>
          <w:rStyle w:val="FootnoteReference"/>
          <w:rFonts w:ascii="Times New Roman" w:hAnsi="Times New Roman"/>
          <w:sz w:val="24"/>
        </w:rPr>
        <w:footnoteReference w:id="184"/>
      </w:r>
      <w:r w:rsidRPr="009F4AF4">
        <w:rPr>
          <w:rFonts w:ascii="Times New Roman" w:hAnsi="Times New Roman"/>
        </w:rPr>
        <w:t xml:space="preserve"> submitted that the proper interpretation of this provision was as follows, with the additional parentheses to illustrate the interpretation:</w:t>
      </w:r>
    </w:p>
    <w:p w14:paraId="48C7592A" w14:textId="77777777" w:rsidR="008352AC" w:rsidRDefault="008352AC" w:rsidP="009F4AF4">
      <w:pPr>
        <w:pStyle w:val="LeftrightafterHC"/>
        <w:spacing w:before="0" w:after="260" w:line="280" w:lineRule="exact"/>
        <w:ind w:right="0"/>
        <w:jc w:val="both"/>
        <w:rPr>
          <w:rFonts w:ascii="Times New Roman" w:hAnsi="Times New Roman"/>
        </w:rPr>
      </w:pPr>
      <w:r w:rsidRPr="009F4AF4">
        <w:rPr>
          <w:rFonts w:ascii="Times New Roman" w:hAnsi="Times New Roman"/>
        </w:rPr>
        <w:t xml:space="preserve">"the likely impacts of that development, </w:t>
      </w:r>
      <w:r w:rsidRPr="009F4AF4">
        <w:rPr>
          <w:rFonts w:ascii="Times New Roman" w:hAnsi="Times New Roman"/>
          <w:b/>
          <w:bCs/>
        </w:rPr>
        <w:t>[(]</w:t>
      </w:r>
      <w:r w:rsidRPr="009F4AF4" w:rsidDel="008F565C">
        <w:rPr>
          <w:rFonts w:ascii="Times New Roman" w:hAnsi="Times New Roman"/>
        </w:rPr>
        <w:t xml:space="preserve"> </w:t>
      </w:r>
      <w:r w:rsidRPr="009F4AF4">
        <w:rPr>
          <w:rFonts w:ascii="Times New Roman" w:hAnsi="Times New Roman"/>
        </w:rPr>
        <w:t>including environmental impacts on both the natural and built environments, and social and economic impacts</w:t>
      </w:r>
      <w:r w:rsidRPr="009F4AF4" w:rsidDel="008F565C">
        <w:rPr>
          <w:rFonts w:ascii="Times New Roman" w:hAnsi="Times New Roman"/>
        </w:rPr>
        <w:t xml:space="preserve"> </w:t>
      </w:r>
      <w:r w:rsidRPr="009F4AF4">
        <w:rPr>
          <w:rFonts w:ascii="Times New Roman" w:hAnsi="Times New Roman"/>
          <w:b/>
          <w:bCs/>
        </w:rPr>
        <w:t>[)]</w:t>
      </w:r>
      <w:r w:rsidRPr="009F4AF4">
        <w:rPr>
          <w:rFonts w:ascii="Times New Roman" w:hAnsi="Times New Roman"/>
        </w:rPr>
        <w:t xml:space="preserve"> in the locality".</w:t>
      </w:r>
    </w:p>
    <w:p w14:paraId="22B46A4A" w14:textId="77777777" w:rsidR="008352AC" w:rsidRPr="009F4AF4" w:rsidRDefault="008352AC" w:rsidP="009F4AF4">
      <w:pPr>
        <w:pStyle w:val="FixListStyle"/>
        <w:spacing w:after="260" w:line="280" w:lineRule="exact"/>
        <w:ind w:right="0"/>
        <w:jc w:val="both"/>
        <w:rPr>
          <w:rFonts w:ascii="Times New Roman" w:hAnsi="Times New Roman"/>
        </w:rPr>
      </w:pPr>
      <w:r w:rsidRPr="009F4AF4">
        <w:rPr>
          <w:rFonts w:ascii="Times New Roman" w:hAnsi="Times New Roman"/>
        </w:rPr>
        <w:lastRenderedPageBreak/>
        <w:tab/>
        <w:t>The difference between the interpretations is that the essential meaning (the "hinge"</w:t>
      </w:r>
      <w:r w:rsidRPr="009F4AF4">
        <w:rPr>
          <w:rStyle w:val="FootnoteReference"/>
          <w:rFonts w:ascii="Times New Roman" w:hAnsi="Times New Roman"/>
          <w:sz w:val="24"/>
        </w:rPr>
        <w:footnoteReference w:id="185"/>
      </w:r>
      <w:r w:rsidRPr="009F4AF4">
        <w:rPr>
          <w:rFonts w:ascii="Times New Roman" w:hAnsi="Times New Roman"/>
        </w:rPr>
        <w:t xml:space="preserve"> or "central focus"</w:t>
      </w:r>
      <w:r w:rsidRPr="009F4AF4">
        <w:rPr>
          <w:rStyle w:val="FootnoteReference"/>
          <w:rFonts w:ascii="Times New Roman" w:hAnsi="Times New Roman"/>
          <w:sz w:val="24"/>
        </w:rPr>
        <w:footnoteReference w:id="186"/>
      </w:r>
      <w:r w:rsidRPr="009F4AF4">
        <w:rPr>
          <w:rFonts w:ascii="Times New Roman" w:hAnsi="Times New Roman"/>
        </w:rPr>
        <w:t>) arising from MACH's interpretation is the likely impacts of the development, whilst the essential meaning (also described by Ward</w:t>
      </w:r>
      <w:r>
        <w:rPr>
          <w:rFonts w:ascii="Times New Roman" w:hAnsi="Times New Roman"/>
        </w:rPr>
        <w:t> </w:t>
      </w:r>
      <w:r w:rsidRPr="009F4AF4">
        <w:rPr>
          <w:rFonts w:ascii="Times New Roman" w:hAnsi="Times New Roman"/>
        </w:rPr>
        <w:t>P in the Court of Appeal as the "essential matter"</w:t>
      </w:r>
      <w:r w:rsidRPr="009F4AF4">
        <w:rPr>
          <w:rStyle w:val="FootnoteReference"/>
          <w:rFonts w:ascii="Times New Roman" w:hAnsi="Times New Roman"/>
          <w:sz w:val="24"/>
        </w:rPr>
        <w:footnoteReference w:id="187"/>
      </w:r>
      <w:r w:rsidRPr="009F4AF4">
        <w:rPr>
          <w:rFonts w:ascii="Times New Roman" w:hAnsi="Times New Roman"/>
        </w:rPr>
        <w:t xml:space="preserve">) arising from DAMSHEG's interpretation is the likely impacts of the development </w:t>
      </w:r>
      <w:r w:rsidRPr="009F4AF4">
        <w:rPr>
          <w:rFonts w:ascii="Times New Roman" w:hAnsi="Times New Roman"/>
          <w:i/>
          <w:iCs/>
        </w:rPr>
        <w:t>in the locality</w:t>
      </w:r>
      <w:r w:rsidRPr="009F4AF4">
        <w:rPr>
          <w:rFonts w:ascii="Times New Roman" w:hAnsi="Times New Roman"/>
        </w:rPr>
        <w:t xml:space="preserve">. </w:t>
      </w:r>
    </w:p>
    <w:p w14:paraId="7E5E5E0A" w14:textId="77777777" w:rsidR="008352AC" w:rsidRPr="009F4AF4" w:rsidRDefault="008352AC" w:rsidP="009F4AF4">
      <w:pPr>
        <w:pStyle w:val="FixListStyle"/>
        <w:spacing w:after="260" w:line="280" w:lineRule="exact"/>
        <w:ind w:right="0"/>
        <w:jc w:val="both"/>
        <w:rPr>
          <w:rFonts w:ascii="Times New Roman" w:hAnsi="Times New Roman"/>
        </w:rPr>
      </w:pPr>
      <w:r w:rsidRPr="009F4AF4">
        <w:rPr>
          <w:rFonts w:ascii="Times New Roman" w:hAnsi="Times New Roman"/>
        </w:rPr>
        <w:tab/>
        <w:t xml:space="preserve">As the </w:t>
      </w:r>
      <w:r w:rsidRPr="009F4AF4" w:rsidDel="00696C73">
        <w:rPr>
          <w:rFonts w:ascii="Times New Roman" w:hAnsi="Times New Roman"/>
        </w:rPr>
        <w:t>added</w:t>
      </w:r>
      <w:r w:rsidRPr="009F4AF4">
        <w:rPr>
          <w:rFonts w:ascii="Times New Roman" w:hAnsi="Times New Roman"/>
        </w:rPr>
        <w:t xml:space="preserve"> parentheses make clear, DAMSHEG's interpretation is ungrammatical. To make grammatical sense, the comma after "environments" would need to be moved to be placed immediately before "in the locality". But that is only a marginal consideration; rules of grammar, like dictionary definitions of words, "don't determine anything".</w:t>
      </w:r>
      <w:r w:rsidRPr="009F4AF4">
        <w:rPr>
          <w:rStyle w:val="FootnoteReference"/>
          <w:rFonts w:ascii="Times New Roman" w:hAnsi="Times New Roman"/>
          <w:sz w:val="24"/>
        </w:rPr>
        <w:footnoteReference w:id="188"/>
      </w:r>
      <w:r w:rsidRPr="009F4AF4">
        <w:rPr>
          <w:rFonts w:ascii="Times New Roman" w:hAnsi="Times New Roman"/>
        </w:rPr>
        <w:t xml:space="preserve"> The interpretation of legislation proceeds by reference to the construct of the intention of a legislature,</w:t>
      </w:r>
      <w:r w:rsidRPr="009F4AF4">
        <w:rPr>
          <w:rStyle w:val="FootnoteReference"/>
          <w:rFonts w:ascii="Times New Roman" w:hAnsi="Times New Roman"/>
          <w:sz w:val="24"/>
        </w:rPr>
        <w:footnoteReference w:id="189"/>
      </w:r>
      <w:r w:rsidRPr="009F4AF4">
        <w:rPr>
          <w:rFonts w:ascii="Times New Roman" w:hAnsi="Times New Roman"/>
        </w:rPr>
        <w:t xml:space="preserve"> for which rules of grammar, with expected care in legislative drafting, are only a guide. Since legislation speaks in the language of ordinary communication, and since meaning in ordinary communication is grounded by intention,</w:t>
      </w:r>
      <w:r w:rsidRPr="009F4AF4">
        <w:rPr>
          <w:rStyle w:val="FootnoteReference"/>
          <w:rFonts w:ascii="Times New Roman" w:hAnsi="Times New Roman"/>
          <w:sz w:val="24"/>
        </w:rPr>
        <w:footnoteReference w:id="190"/>
      </w:r>
      <w:r w:rsidRPr="009F4AF4">
        <w:rPr>
          <w:rFonts w:ascii="Times New Roman" w:hAnsi="Times New Roman"/>
        </w:rPr>
        <w:t xml:space="preserve"> "meaning" in the interpretation of legislation is really shorthand for intended meaning. More accurately, since intended meaning must be set at the right level of generality, the concept is one of intended essential meaning. The intended essential meaning of s</w:t>
      </w:r>
      <w:r>
        <w:rPr>
          <w:rFonts w:ascii="Times New Roman" w:hAnsi="Times New Roman"/>
        </w:rPr>
        <w:t> </w:t>
      </w:r>
      <w:r w:rsidRPr="009F4AF4">
        <w:rPr>
          <w:rFonts w:ascii="Times New Roman" w:hAnsi="Times New Roman"/>
        </w:rPr>
        <w:t xml:space="preserve">4.15(1)(b), which is consistent with its grammatical structure, can be seen from the provision's history. </w:t>
      </w:r>
    </w:p>
    <w:p w14:paraId="054A9894" w14:textId="77777777" w:rsidR="008352AC" w:rsidRPr="009F4AF4" w:rsidRDefault="008352AC" w:rsidP="009F4AF4">
      <w:pPr>
        <w:pStyle w:val="FixListStyle"/>
        <w:spacing w:after="260" w:line="280" w:lineRule="exact"/>
        <w:ind w:right="0"/>
        <w:jc w:val="both"/>
        <w:rPr>
          <w:rFonts w:ascii="Times New Roman" w:hAnsi="Times New Roman"/>
        </w:rPr>
      </w:pPr>
      <w:r w:rsidRPr="009F4AF4">
        <w:rPr>
          <w:rFonts w:ascii="Times New Roman" w:hAnsi="Times New Roman"/>
        </w:rPr>
        <w:tab/>
        <w:t>The predecessor provisions to s 4.15(1)(b) included s 90(1)(b) and s</w:t>
      </w:r>
      <w:r>
        <w:rPr>
          <w:rFonts w:ascii="Times New Roman" w:hAnsi="Times New Roman"/>
        </w:rPr>
        <w:t> </w:t>
      </w:r>
      <w:r w:rsidRPr="009F4AF4">
        <w:rPr>
          <w:rFonts w:ascii="Times New Roman" w:hAnsi="Times New Roman"/>
        </w:rPr>
        <w:t xml:space="preserve">90(1)(d) of the </w:t>
      </w:r>
      <w:r w:rsidRPr="009F4AF4">
        <w:rPr>
          <w:rFonts w:ascii="Times New Roman" w:hAnsi="Times New Roman"/>
          <w:i/>
          <w:iCs/>
        </w:rPr>
        <w:t>Environmental Planning and Assessment Act</w:t>
      </w:r>
      <w:r w:rsidRPr="009F4AF4">
        <w:rPr>
          <w:rFonts w:ascii="Times New Roman" w:hAnsi="Times New Roman"/>
        </w:rPr>
        <w:t xml:space="preserve">. Relevant parts of those provisions required a consent authority in determining a development application to take into consideration "the impact of that development on the environment" and "the social effect and the economic effect of that development in the locality". The consideration concerning the impact of the development on the environment contrasted with many other provisions, including that concerning </w:t>
      </w:r>
      <w:r w:rsidRPr="009F4AF4">
        <w:rPr>
          <w:rFonts w:ascii="Times New Roman" w:hAnsi="Times New Roman"/>
        </w:rPr>
        <w:lastRenderedPageBreak/>
        <w:t>the social effect and the economic effect of the development, which were limited to the locality. It was held that "the impact of that development on the environment" was not constrained by locality.</w:t>
      </w:r>
      <w:r w:rsidRPr="009F4AF4">
        <w:rPr>
          <w:rStyle w:val="FootnoteReference"/>
          <w:rFonts w:ascii="Times New Roman" w:hAnsi="Times New Roman"/>
          <w:sz w:val="24"/>
        </w:rPr>
        <w:footnoteReference w:id="191"/>
      </w:r>
      <w:r w:rsidRPr="009F4AF4">
        <w:rPr>
          <w:rFonts w:ascii="Times New Roman" w:hAnsi="Times New Roman"/>
        </w:rPr>
        <w:t xml:space="preserve"> </w:t>
      </w:r>
    </w:p>
    <w:p w14:paraId="19CC0B75" w14:textId="77777777" w:rsidR="008352AC" w:rsidRPr="009F4AF4" w:rsidRDefault="008352AC" w:rsidP="009F4AF4">
      <w:pPr>
        <w:pStyle w:val="FixListStyle"/>
        <w:spacing w:after="260" w:line="280" w:lineRule="exact"/>
        <w:ind w:right="0"/>
        <w:jc w:val="both"/>
        <w:rPr>
          <w:rFonts w:ascii="Times New Roman" w:hAnsi="Times New Roman"/>
        </w:rPr>
      </w:pPr>
      <w:r w:rsidRPr="009F4AF4">
        <w:rPr>
          <w:rFonts w:ascii="Times New Roman" w:hAnsi="Times New Roman"/>
        </w:rPr>
        <w:tab/>
        <w:t>Those dual considerations were part of a long list of matters for consideration in s 90. Following a White Paper recommendation to rationalise the s 90 factors,</w:t>
      </w:r>
      <w:r w:rsidRPr="009F4AF4">
        <w:rPr>
          <w:rStyle w:val="FootnoteReference"/>
          <w:rFonts w:ascii="Times New Roman" w:hAnsi="Times New Roman"/>
          <w:sz w:val="24"/>
        </w:rPr>
        <w:footnoteReference w:id="192"/>
      </w:r>
      <w:r w:rsidRPr="009F4AF4">
        <w:rPr>
          <w:rFonts w:ascii="Times New Roman" w:hAnsi="Times New Roman"/>
        </w:rPr>
        <w:t xml:space="preserve"> a new s 79C was enacted</w:t>
      </w:r>
      <w:r w:rsidRPr="009F4AF4">
        <w:rPr>
          <w:rStyle w:val="FootnoteReference"/>
          <w:rFonts w:ascii="Times New Roman" w:hAnsi="Times New Roman"/>
          <w:sz w:val="24"/>
        </w:rPr>
        <w:footnoteReference w:id="193"/>
      </w:r>
      <w:r w:rsidRPr="009F4AF4">
        <w:rPr>
          <w:rFonts w:ascii="Times New Roman" w:hAnsi="Times New Roman"/>
        </w:rPr>
        <w:t xml:space="preserve"> which contained "a reduced and general list of considerations",</w:t>
      </w:r>
      <w:r w:rsidRPr="009F4AF4">
        <w:rPr>
          <w:rStyle w:val="FootnoteReference"/>
          <w:rFonts w:ascii="Times New Roman" w:hAnsi="Times New Roman"/>
          <w:sz w:val="24"/>
        </w:rPr>
        <w:footnoteReference w:id="194"/>
      </w:r>
      <w:r w:rsidRPr="009F4AF4">
        <w:rPr>
          <w:rFonts w:ascii="Times New Roman" w:hAnsi="Times New Roman"/>
        </w:rPr>
        <w:t xml:space="preserve"> with s 79C(1) later renumbered as s 4.15(1).</w:t>
      </w:r>
      <w:r w:rsidRPr="009F4AF4">
        <w:rPr>
          <w:rStyle w:val="FootnoteReference"/>
          <w:rFonts w:ascii="Times New Roman" w:hAnsi="Times New Roman"/>
          <w:sz w:val="24"/>
        </w:rPr>
        <w:footnoteReference w:id="195"/>
      </w:r>
      <w:r w:rsidRPr="009F4AF4">
        <w:rPr>
          <w:rFonts w:ascii="Times New Roman" w:hAnsi="Times New Roman"/>
        </w:rPr>
        <w:t xml:space="preserve"> That reduced list consolidated, without fundamentally altering, many of the s 90 factors, including, in s 79C(1)(b) (later renumbered as s 4.15(1)(b)), the previously distinct considerations of "the impact of that development on the environment" and "the social effect and the economic effect of that development in the locality". The meaning of the consideration in s 4.15(1)(b) was not relevantly changed from the interpretation given to s 90(1)(b).</w:t>
      </w:r>
      <w:r w:rsidRPr="009F4AF4">
        <w:rPr>
          <w:rStyle w:val="FootnoteReference"/>
          <w:rFonts w:ascii="Times New Roman" w:hAnsi="Times New Roman"/>
          <w:sz w:val="24"/>
        </w:rPr>
        <w:footnoteReference w:id="196"/>
      </w:r>
      <w:r w:rsidRPr="009F4AF4">
        <w:rPr>
          <w:rFonts w:ascii="Times New Roman" w:hAnsi="Times New Roman"/>
        </w:rPr>
        <w:t xml:space="preserve"> As a general environmental consideration, it includes both the impact on the environment generally and, to the extent that there are unique environmental effects in the locality, the impact on the environment in the locality.   </w:t>
      </w:r>
    </w:p>
    <w:p w14:paraId="43E048FE" w14:textId="77777777" w:rsidR="008352AC" w:rsidRPr="009F4AF4" w:rsidRDefault="008352AC" w:rsidP="009F4AF4">
      <w:pPr>
        <w:pStyle w:val="HeadingL2"/>
        <w:spacing w:after="260" w:line="280" w:lineRule="exact"/>
        <w:ind w:right="0"/>
        <w:jc w:val="both"/>
        <w:rPr>
          <w:rFonts w:ascii="Times New Roman" w:hAnsi="Times New Roman"/>
        </w:rPr>
      </w:pPr>
      <w:r w:rsidRPr="009F4AF4">
        <w:rPr>
          <w:rFonts w:ascii="Times New Roman" w:hAnsi="Times New Roman"/>
        </w:rPr>
        <w:t>The application issue</w:t>
      </w:r>
    </w:p>
    <w:p w14:paraId="0E5D08AD" w14:textId="77777777" w:rsidR="008352AC" w:rsidRPr="009F4AF4" w:rsidRDefault="008352AC" w:rsidP="009F4AF4">
      <w:pPr>
        <w:pStyle w:val="FixListStyle"/>
        <w:spacing w:after="260" w:line="280" w:lineRule="exact"/>
        <w:ind w:right="0"/>
        <w:jc w:val="both"/>
        <w:rPr>
          <w:rFonts w:ascii="Times New Roman" w:hAnsi="Times New Roman"/>
        </w:rPr>
      </w:pPr>
      <w:r w:rsidRPr="009F4AF4">
        <w:rPr>
          <w:rFonts w:ascii="Times New Roman" w:hAnsi="Times New Roman"/>
        </w:rPr>
        <w:tab/>
        <w:t xml:space="preserve">The evidence before the Commission, including the Environmental Impact Statement prepared by MACH, concerning the effect of the project on the environment must be understood in two steps. First, there was evidence concerning the contribution of the project to greenhouse gas emissions. Secondly, there was evidence concerning the potential impacts of greenhouse gas emissions on the environment. </w:t>
      </w:r>
    </w:p>
    <w:p w14:paraId="22228481" w14:textId="77777777" w:rsidR="008352AC" w:rsidRPr="009F4AF4" w:rsidRDefault="008352AC" w:rsidP="009F4AF4">
      <w:pPr>
        <w:pStyle w:val="FixListStyle"/>
        <w:spacing w:after="260" w:line="280" w:lineRule="exact"/>
        <w:ind w:right="0"/>
        <w:jc w:val="both"/>
        <w:rPr>
          <w:rFonts w:ascii="Times New Roman" w:hAnsi="Times New Roman"/>
        </w:rPr>
      </w:pPr>
      <w:r w:rsidRPr="009F4AF4">
        <w:rPr>
          <w:rFonts w:ascii="Times New Roman" w:hAnsi="Times New Roman"/>
        </w:rPr>
        <w:lastRenderedPageBreak/>
        <w:tab/>
        <w:t xml:space="preserve">These two steps are most clearly reflected in the Environmental Impact Statement. In the section concerning "Quantitative Assessment of Potential Greenhouse Gas Emissions" it was said, in terms later repeated, that "[t]he Project's contribution to climate change, including the associated environmental impacts, would be in proportion with its contribution to global greenhouse gas emissions". Then, after a section concerning mitigation measures, there was consideration of the "Potential Impacts of Climate Change on the Project". Although there was a dispute between the parties as to whether this subsequent discussion on the potential impacts of climate change concerned effects </w:t>
      </w:r>
      <w:r w:rsidRPr="009F4AF4">
        <w:rPr>
          <w:rFonts w:ascii="Times New Roman" w:hAnsi="Times New Roman"/>
          <w:i/>
          <w:iCs/>
        </w:rPr>
        <w:t xml:space="preserve">of </w:t>
      </w:r>
      <w:r w:rsidRPr="009F4AF4">
        <w:rPr>
          <w:rFonts w:ascii="Times New Roman" w:hAnsi="Times New Roman"/>
        </w:rPr>
        <w:t xml:space="preserve">the project or </w:t>
      </w:r>
      <w:r w:rsidRPr="009F4AF4">
        <w:rPr>
          <w:rFonts w:ascii="Times New Roman" w:hAnsi="Times New Roman"/>
          <w:i/>
          <w:iCs/>
        </w:rPr>
        <w:t xml:space="preserve">on </w:t>
      </w:r>
      <w:r w:rsidRPr="009F4AF4">
        <w:rPr>
          <w:rFonts w:ascii="Times New Roman" w:hAnsi="Times New Roman"/>
        </w:rPr>
        <w:t>the project, it must have been intended to concern both. The Environmental Impact Statement had previously explained that the project made a contribution to climate change and the section was then concerned with the impacts of climate change in the locality of the project and, therefore, on the project. As MACH said:</w:t>
      </w:r>
    </w:p>
    <w:p w14:paraId="2142106C" w14:textId="77777777" w:rsidR="008352AC" w:rsidRDefault="008352AC" w:rsidP="009F4AF4">
      <w:pPr>
        <w:pStyle w:val="LeftrightafterHC"/>
        <w:spacing w:before="0" w:after="260" w:line="280" w:lineRule="exact"/>
        <w:ind w:right="0"/>
        <w:jc w:val="both"/>
        <w:rPr>
          <w:rFonts w:ascii="Times New Roman" w:hAnsi="Times New Roman"/>
        </w:rPr>
      </w:pPr>
      <w:r w:rsidRPr="009F4AF4">
        <w:rPr>
          <w:rFonts w:ascii="Times New Roman" w:hAnsi="Times New Roman"/>
        </w:rPr>
        <w:t xml:space="preserve">"It is acknowledged that (subject to the efficacy of national and international greenhouse gas abatement measures) all sources of greenhouse gas emissions will contribute in some way towards the potential global, national, state and regional effects of climate change." </w:t>
      </w:r>
    </w:p>
    <w:p w14:paraId="7E7CC49D" w14:textId="77777777" w:rsidR="008352AC" w:rsidRPr="009F4AF4" w:rsidRDefault="008352AC" w:rsidP="009F4AF4">
      <w:pPr>
        <w:pStyle w:val="FixListStyle"/>
        <w:spacing w:after="260" w:line="280" w:lineRule="exact"/>
        <w:ind w:right="0"/>
        <w:jc w:val="both"/>
        <w:rPr>
          <w:rFonts w:ascii="Times New Roman" w:hAnsi="Times New Roman"/>
        </w:rPr>
      </w:pPr>
      <w:r w:rsidRPr="009F4AF4">
        <w:rPr>
          <w:rFonts w:ascii="Times New Roman" w:hAnsi="Times New Roman"/>
        </w:rPr>
        <w:tab/>
        <w:t>As to the first step, the Environmental Impact Statement estimated that the project would generate CO</w:t>
      </w:r>
      <w:r w:rsidRPr="009F4AF4">
        <w:rPr>
          <w:rFonts w:ascii="Times New Roman" w:hAnsi="Times New Roman"/>
          <w:vertAlign w:val="subscript"/>
        </w:rPr>
        <w:t>2</w:t>
      </w:r>
      <w:r w:rsidRPr="009F4AF4">
        <w:rPr>
          <w:rFonts w:ascii="Times New Roman" w:hAnsi="Times New Roman"/>
        </w:rPr>
        <w:t xml:space="preserve">-e emissions per year of approximately 33.1 million tonnes for scope 3 and 0.54 million tonnes for scope 1 and scope 2 combined. The estimated scope 3 emissions would represent approximately 0.065 per cent of global anthropogenic greenhouse gas emissions (excluding land use change) in 2017. To reiterate, the Environmental Impact Statement explained that the project's contribution to climate change, and "the associated environmental impacts, would be in proportion with its contribution to global greenhouse gas emissions". </w:t>
      </w:r>
    </w:p>
    <w:p w14:paraId="138FC2E2" w14:textId="77777777" w:rsidR="008352AC" w:rsidRPr="009F4AF4" w:rsidRDefault="008352AC" w:rsidP="009F4AF4">
      <w:pPr>
        <w:pStyle w:val="FixListStyle"/>
        <w:spacing w:after="260" w:line="280" w:lineRule="exact"/>
        <w:ind w:right="0"/>
        <w:jc w:val="both"/>
        <w:rPr>
          <w:rFonts w:ascii="Times New Roman" w:hAnsi="Times New Roman"/>
        </w:rPr>
      </w:pPr>
      <w:r w:rsidRPr="009F4AF4">
        <w:rPr>
          <w:rFonts w:ascii="Times New Roman" w:hAnsi="Times New Roman"/>
        </w:rPr>
        <w:tab/>
        <w:t>As to the second step, concerning the potential impacts of greenhouse gas emissions (to which the project would contribute) on the environment, the evidence before the Commission concerned effects on the environment generally (globally, nationally</w:t>
      </w:r>
      <w:r w:rsidRPr="009F4AF4" w:rsidDel="00D220DE">
        <w:rPr>
          <w:rFonts w:ascii="Times New Roman" w:hAnsi="Times New Roman"/>
        </w:rPr>
        <w:t>,</w:t>
      </w:r>
      <w:r w:rsidRPr="009F4AF4">
        <w:rPr>
          <w:rFonts w:ascii="Times New Roman" w:hAnsi="Times New Roman"/>
        </w:rPr>
        <w:t xml:space="preserve"> and for New South Wales) as well as on the environment in the specific locality of the project. </w:t>
      </w:r>
    </w:p>
    <w:p w14:paraId="0D3417B8" w14:textId="77777777" w:rsidR="008352AC" w:rsidRPr="009F4AF4" w:rsidRDefault="008352AC" w:rsidP="009F4AF4">
      <w:pPr>
        <w:pStyle w:val="FixListStyle"/>
        <w:spacing w:after="260" w:line="280" w:lineRule="exact"/>
        <w:ind w:right="0"/>
        <w:jc w:val="both"/>
        <w:rPr>
          <w:rFonts w:ascii="Times New Roman" w:hAnsi="Times New Roman"/>
        </w:rPr>
      </w:pPr>
      <w:r w:rsidRPr="009F4AF4">
        <w:rPr>
          <w:rFonts w:ascii="Times New Roman" w:hAnsi="Times New Roman"/>
        </w:rPr>
        <w:tab/>
        <w:t xml:space="preserve">The effects on the environment generally were discussed in the most detail in an expert report from Professor Sackett which described current climate change impacts including accelerating sea-level rise, heatwaves, more extreme wildfires, hotter days and warmer nights, intensification of the hydrological cycle, and ocean acidification. The report also described possible climate change futures, which included impacts on the environment such as increases in the intensity of hot extremes including heatwaves, heavy precipitation, agricultural and ecological droughts, increased sea levels, and high extinction risks for endemic species.  </w:t>
      </w:r>
    </w:p>
    <w:p w14:paraId="227EA97D" w14:textId="77777777" w:rsidR="008352AC" w:rsidRPr="009F4AF4" w:rsidRDefault="008352AC" w:rsidP="009F4AF4">
      <w:pPr>
        <w:pStyle w:val="FixListStyle"/>
        <w:spacing w:after="260" w:line="280" w:lineRule="exact"/>
        <w:ind w:right="0"/>
        <w:jc w:val="both"/>
        <w:rPr>
          <w:rFonts w:ascii="Times New Roman" w:hAnsi="Times New Roman"/>
        </w:rPr>
      </w:pPr>
      <w:r w:rsidRPr="009F4AF4">
        <w:rPr>
          <w:rFonts w:ascii="Times New Roman" w:hAnsi="Times New Roman"/>
        </w:rPr>
        <w:lastRenderedPageBreak/>
        <w:tab/>
        <w:t>There was also evidence of the particular effects of climate change in New South Wales and the locality of the Upper Hunter Valley. As Adamson JA said in the Court of Appeal:</w:t>
      </w:r>
      <w:r w:rsidRPr="009F4AF4">
        <w:rPr>
          <w:rStyle w:val="FootnoteReference"/>
          <w:rFonts w:ascii="Times New Roman" w:hAnsi="Times New Roman"/>
          <w:sz w:val="24"/>
        </w:rPr>
        <w:footnoteReference w:id="197"/>
      </w:r>
    </w:p>
    <w:p w14:paraId="7038EA5D" w14:textId="77777777" w:rsidR="008352AC" w:rsidRDefault="008352AC" w:rsidP="009F4AF4">
      <w:pPr>
        <w:pStyle w:val="LRIndentafterHC"/>
        <w:spacing w:before="0" w:after="260" w:line="280" w:lineRule="exact"/>
        <w:ind w:right="0"/>
        <w:jc w:val="both"/>
        <w:rPr>
          <w:rFonts w:ascii="Times New Roman" w:hAnsi="Times New Roman"/>
        </w:rPr>
      </w:pPr>
      <w:r w:rsidRPr="009F4AF4">
        <w:rPr>
          <w:rFonts w:ascii="Times New Roman" w:hAnsi="Times New Roman"/>
        </w:rPr>
        <w:t xml:space="preserve">"The evidence indicated that there were features of the locality which made the locality particularly susceptible to the effects of global warming. These features included the greater than average temperature increases in the locality as a result of global warming, as compared with average increases for the planet; the lack of altitude of coastal areas, with the consequence that any increase in sea level would have an immediate impact on the land in the vicinity; and the increased susceptibility of the locality to extreme weather events as a consequence of global warming." </w:t>
      </w:r>
    </w:p>
    <w:p w14:paraId="5283D657" w14:textId="77777777" w:rsidR="008352AC" w:rsidRPr="009F4AF4" w:rsidRDefault="008352AC" w:rsidP="009F4AF4">
      <w:pPr>
        <w:pStyle w:val="FixListStyle"/>
        <w:spacing w:after="260" w:line="280" w:lineRule="exact"/>
        <w:ind w:right="0"/>
        <w:jc w:val="both"/>
        <w:rPr>
          <w:rFonts w:ascii="Times New Roman" w:hAnsi="Times New Roman"/>
        </w:rPr>
      </w:pPr>
      <w:r w:rsidRPr="009F4AF4">
        <w:rPr>
          <w:rFonts w:ascii="Times New Roman" w:hAnsi="Times New Roman"/>
        </w:rPr>
        <w:tab/>
        <w:t xml:space="preserve">In broad terms, and assuming for the purposes of MACH's grounds of appeal and DAMSHEG's second ground of contention that the contribution of the project to greenhouse gases was a contribution to (and effect on) climate change, the evidence concerning the environment generally and the environment in the locality of the project was evidence concerning the "likely ... environmental impacts on both the natural and built environments" within s 4.15(1)(b) of the </w:t>
      </w:r>
      <w:r w:rsidRPr="009F4AF4">
        <w:rPr>
          <w:rFonts w:ascii="Times New Roman" w:hAnsi="Times New Roman"/>
          <w:i/>
          <w:iCs/>
        </w:rPr>
        <w:t>Environmental Planning and Assessment Act</w:t>
      </w:r>
      <w:r w:rsidRPr="009F4AF4">
        <w:rPr>
          <w:rFonts w:ascii="Times New Roman" w:hAnsi="Times New Roman"/>
        </w:rPr>
        <w:t>. The Court of Appeal was correct that the Commission was required to consider this evidence. But, with respect, the</w:t>
      </w:r>
      <w:r>
        <w:rPr>
          <w:rFonts w:ascii="Times New Roman" w:hAnsi="Times New Roman"/>
        </w:rPr>
        <w:t> </w:t>
      </w:r>
      <w:r w:rsidRPr="009F4AF4">
        <w:rPr>
          <w:rFonts w:ascii="Times New Roman" w:hAnsi="Times New Roman"/>
        </w:rPr>
        <w:t xml:space="preserve">Commission did so in its reasons; the Commission did not, in its reasons, neglect any consideration of environmental effects in the locality of the project. </w:t>
      </w:r>
    </w:p>
    <w:p w14:paraId="26C29874" w14:textId="77777777" w:rsidR="008352AC" w:rsidRPr="009F4AF4" w:rsidRDefault="008352AC" w:rsidP="009F4AF4">
      <w:pPr>
        <w:pStyle w:val="FixListStyle"/>
        <w:spacing w:after="260" w:line="280" w:lineRule="exact"/>
        <w:ind w:right="0"/>
        <w:jc w:val="both"/>
        <w:rPr>
          <w:rFonts w:ascii="Times New Roman" w:hAnsi="Times New Roman"/>
        </w:rPr>
      </w:pPr>
      <w:r w:rsidRPr="009F4AF4">
        <w:rPr>
          <w:rFonts w:ascii="Times New Roman" w:hAnsi="Times New Roman"/>
        </w:rPr>
        <w:tab/>
        <w:t xml:space="preserve">The Commission explained that it had "carefully considered" the material, which included all of the information above and Appendix S to the Environmental Impact Statement concerning potential impacts of climate change at all levels (globally, nationally, for New South Wales, and for the locality of the project). And, consistently with the mitigation measures concerning these potential impacts recommended by MACH in the Environmental Impact Statement, the Commission adopted conditions related to those impacts concerning bushfire management and water management and storage. </w:t>
      </w:r>
    </w:p>
    <w:p w14:paraId="125F739C" w14:textId="77777777" w:rsidR="008352AC" w:rsidRPr="009F4AF4" w:rsidRDefault="008352AC" w:rsidP="009F4AF4">
      <w:pPr>
        <w:pStyle w:val="FixListStyle"/>
        <w:spacing w:after="260" w:line="280" w:lineRule="exact"/>
        <w:ind w:right="0"/>
        <w:jc w:val="both"/>
        <w:rPr>
          <w:rFonts w:ascii="Times New Roman" w:hAnsi="Times New Roman"/>
        </w:rPr>
      </w:pPr>
      <w:r w:rsidRPr="009F4AF4">
        <w:rPr>
          <w:rFonts w:ascii="Times New Roman" w:hAnsi="Times New Roman"/>
        </w:rPr>
        <w:tab/>
        <w:t>As explained above, the Commission did not adopt any conditions concerning minimisation of scope 3 emissions; none had been recommended. As MACH said in Appendix S, "[a]ny small quantities of Project product coal sold on the domestic market ... would likely be substituting or augmenting supply from existing coal sources" and the scope 3 emissions would be accounted for under "Nationally Determined Contributions" under the Paris Agreement in the place to which the coal was sold. Although, in adopting the same approach, the</w:t>
      </w:r>
      <w:r>
        <w:rPr>
          <w:rFonts w:ascii="Times New Roman" w:hAnsi="Times New Roman"/>
        </w:rPr>
        <w:t> </w:t>
      </w:r>
      <w:r w:rsidRPr="009F4AF4">
        <w:rPr>
          <w:rFonts w:ascii="Times New Roman" w:hAnsi="Times New Roman"/>
        </w:rPr>
        <w:t xml:space="preserve">Commission erred by failing to express consideration of whether to impose conditions "to ensure ... that greenhouse gas emissions are minimised to the </w:t>
      </w:r>
      <w:r w:rsidRPr="009F4AF4">
        <w:rPr>
          <w:rFonts w:ascii="Times New Roman" w:hAnsi="Times New Roman"/>
        </w:rPr>
        <w:lastRenderedPageBreak/>
        <w:t xml:space="preserve">greatest extent practicable", the Commission nevertheless expressed consideration of all the environmental impacts of the project on the natural and built environments, including in the locality of the project.   </w:t>
      </w:r>
    </w:p>
    <w:p w14:paraId="72E2D680" w14:textId="77777777" w:rsidR="008352AC" w:rsidRDefault="008352AC" w:rsidP="009F4AF4">
      <w:pPr>
        <w:pStyle w:val="FixListStyle"/>
        <w:spacing w:after="260" w:line="280" w:lineRule="exact"/>
        <w:ind w:right="0"/>
        <w:jc w:val="both"/>
        <w:rPr>
          <w:rFonts w:ascii="Times New Roman" w:hAnsi="Times New Roman"/>
        </w:rPr>
      </w:pPr>
      <w:r w:rsidRPr="009F4AF4">
        <w:rPr>
          <w:rFonts w:ascii="Times New Roman" w:hAnsi="Times New Roman"/>
        </w:rPr>
        <w:tab/>
        <w:t>For these reasons, this second question should be answered in favour of MACH.</w:t>
      </w:r>
    </w:p>
    <w:p w14:paraId="034BDA80" w14:textId="77777777" w:rsidR="008352AC" w:rsidRPr="009F4AF4" w:rsidRDefault="008352AC" w:rsidP="009F4AF4">
      <w:pPr>
        <w:pStyle w:val="HeadingL1"/>
        <w:spacing w:after="260" w:line="280" w:lineRule="exact"/>
        <w:ind w:right="0"/>
        <w:jc w:val="both"/>
        <w:rPr>
          <w:rFonts w:ascii="Times New Roman" w:hAnsi="Times New Roman"/>
        </w:rPr>
      </w:pPr>
      <w:r w:rsidRPr="009F4AF4">
        <w:rPr>
          <w:rFonts w:ascii="Times New Roman" w:hAnsi="Times New Roman"/>
        </w:rPr>
        <w:t>Conclusion</w:t>
      </w:r>
    </w:p>
    <w:p w14:paraId="182934AE" w14:textId="77777777" w:rsidR="00686E9C" w:rsidRDefault="008352AC" w:rsidP="00686E9C">
      <w:pPr>
        <w:pStyle w:val="FixListStyle"/>
        <w:spacing w:after="260" w:line="280" w:lineRule="exact"/>
        <w:ind w:right="0"/>
        <w:jc w:val="both"/>
        <w:rPr>
          <w:rFonts w:ascii="Times New Roman" w:hAnsi="Times New Roman"/>
        </w:rPr>
      </w:pPr>
      <w:r w:rsidRPr="009F4AF4">
        <w:rPr>
          <w:rFonts w:ascii="Times New Roman" w:hAnsi="Times New Roman"/>
        </w:rPr>
        <w:tab/>
        <w:t xml:space="preserve">I agree with Gordon J that the appeal should be dismissed with costs. </w:t>
      </w:r>
    </w:p>
    <w:p w14:paraId="7FD6C402" w14:textId="77777777" w:rsidR="00686E9C" w:rsidRDefault="00686E9C" w:rsidP="00686E9C">
      <w:pPr>
        <w:pStyle w:val="FixListStyle"/>
        <w:spacing w:after="260" w:line="280" w:lineRule="exact"/>
        <w:ind w:right="0"/>
        <w:jc w:val="both"/>
        <w:rPr>
          <w:rFonts w:ascii="Times New Roman" w:hAnsi="Times New Roman"/>
        </w:rPr>
        <w:sectPr w:rsidR="00686E9C" w:rsidSect="008352AC">
          <w:headerReference w:type="even" r:id="rId27"/>
          <w:headerReference w:type="default" r:id="rId28"/>
          <w:footerReference w:type="even" r:id="rId29"/>
          <w:footerReference w:type="default" r:id="rId30"/>
          <w:headerReference w:type="first" r:id="rId31"/>
          <w:footerReference w:type="first" r:id="rId32"/>
          <w:pgSz w:w="11907" w:h="16839" w:code="9"/>
          <w:pgMar w:top="1440" w:right="1701" w:bottom="1984" w:left="1701" w:header="720" w:footer="720" w:gutter="0"/>
          <w:cols w:space="720"/>
          <w:docGrid w:linePitch="354"/>
        </w:sectPr>
      </w:pPr>
    </w:p>
    <w:p w14:paraId="3137C866" w14:textId="77777777" w:rsidR="00686E9C" w:rsidRPr="009137CA" w:rsidRDefault="00686E9C" w:rsidP="009137CA">
      <w:pPr>
        <w:pStyle w:val="FixListStyle"/>
        <w:tabs>
          <w:tab w:val="clear" w:pos="720"/>
          <w:tab w:val="left" w:pos="0"/>
        </w:tabs>
        <w:spacing w:after="260" w:line="280" w:lineRule="exact"/>
        <w:ind w:right="0"/>
        <w:jc w:val="both"/>
        <w:rPr>
          <w:rFonts w:ascii="Times New Roman" w:hAnsi="Times New Roman"/>
        </w:rPr>
      </w:pPr>
      <w:r w:rsidRPr="009137CA">
        <w:rPr>
          <w:rFonts w:ascii="Times New Roman" w:hAnsi="Times New Roman"/>
        </w:rPr>
        <w:lastRenderedPageBreak/>
        <w:t>BEECH-JONES J.   This is an appeal from a decision of the Court of Appeal of the Supreme Court of New South Wales</w:t>
      </w:r>
      <w:r w:rsidRPr="009137CA">
        <w:rPr>
          <w:rStyle w:val="FootnoteReference"/>
          <w:rFonts w:ascii="Times New Roman" w:hAnsi="Times New Roman"/>
          <w:sz w:val="24"/>
        </w:rPr>
        <w:footnoteReference w:id="198"/>
      </w:r>
      <w:r w:rsidRPr="009137CA">
        <w:rPr>
          <w:rFonts w:ascii="Times New Roman" w:hAnsi="Times New Roman"/>
        </w:rPr>
        <w:t xml:space="preserve"> allowing the first respondent's appeal from a decision of the Land and Environment Court of New South Wales.</w:t>
      </w:r>
      <w:r w:rsidRPr="009137CA">
        <w:rPr>
          <w:rStyle w:val="FootnoteReference"/>
          <w:rFonts w:ascii="Times New Roman" w:hAnsi="Times New Roman"/>
          <w:sz w:val="24"/>
        </w:rPr>
        <w:footnoteReference w:id="199"/>
      </w:r>
      <w:r w:rsidRPr="009137CA">
        <w:rPr>
          <w:rFonts w:ascii="Times New Roman" w:hAnsi="Times New Roman"/>
        </w:rPr>
        <w:t xml:space="preserve"> The Land and Environment Court dismissed judicial review proceedings brought by the first respondent, Denman Aberdeen Muswellbrook Scone Healthy Environment Group Inc ("DAMSHEG"), challenging the validity of a consent granted by the Independent Planning Commission of New South Wales ("the Commission") to a development application made by the appellant, MACH Energy Australia Pty Ltd ("MACH"). In allowing DAMSHEG's appeal, the Court of Appeal declared the consent "invalid for failure to consider a mandatory consideration".</w:t>
      </w:r>
    </w:p>
    <w:p w14:paraId="440FD097" w14:textId="77777777" w:rsidR="00686E9C" w:rsidRPr="009137CA" w:rsidRDefault="00686E9C" w:rsidP="009137CA">
      <w:pPr>
        <w:pStyle w:val="FixListStyle"/>
        <w:spacing w:after="260" w:line="280" w:lineRule="exact"/>
        <w:ind w:right="0"/>
        <w:jc w:val="both"/>
        <w:rPr>
          <w:rFonts w:ascii="Times New Roman" w:hAnsi="Times New Roman"/>
        </w:rPr>
      </w:pPr>
      <w:r w:rsidRPr="009137CA">
        <w:rPr>
          <w:rFonts w:ascii="Times New Roman" w:hAnsi="Times New Roman"/>
        </w:rPr>
        <w:tab/>
        <w:t xml:space="preserve">The proposed development (or "Project") the subject of the development application is the extension of the operational life of the Mount Pleasant Coal Mine ("the mine") in the Upper Hunter Valley region of New South Wales for a period of 22 years until 2048. MACH is the operator of the mine. </w:t>
      </w:r>
    </w:p>
    <w:p w14:paraId="2DC1FB09" w14:textId="6B346936" w:rsidR="00686E9C" w:rsidRPr="009137CA" w:rsidRDefault="00686E9C" w:rsidP="009137CA">
      <w:pPr>
        <w:pStyle w:val="FixListStyle"/>
        <w:spacing w:after="260" w:line="280" w:lineRule="exact"/>
        <w:ind w:right="0"/>
        <w:jc w:val="both"/>
        <w:rPr>
          <w:rFonts w:ascii="Times New Roman" w:hAnsi="Times New Roman"/>
        </w:rPr>
      </w:pPr>
      <w:r w:rsidRPr="009137CA">
        <w:rPr>
          <w:rFonts w:ascii="Times New Roman" w:hAnsi="Times New Roman"/>
        </w:rPr>
        <w:tab/>
        <w:t xml:space="preserve">As the other judgments make clear, the relevantly contentious aspect of the development application concerns the environmental effect of the so-called "scope 3" greenhouse gas emissions ("GHG emissions") generated by the Project. Those scope 3 GHG emissions are </w:t>
      </w:r>
      <w:r w:rsidR="009E726F">
        <w:rPr>
          <w:rFonts w:ascii="Times New Roman" w:hAnsi="Times New Roman"/>
        </w:rPr>
        <w:t xml:space="preserve">predominantly </w:t>
      </w:r>
      <w:r w:rsidRPr="009137CA">
        <w:rPr>
          <w:rFonts w:ascii="Times New Roman" w:hAnsi="Times New Roman"/>
        </w:rPr>
        <w:t>the GHG emissions generated by the consumption of the coal produced at the mine. The Project's "scope 1" GHG emissions are those generated as a direct result of the activity at the mine and its "scope 2" GHG emissions are those indirectly produced by energy consumed in undertaking that activity. The Project's scope 3 GHG emissions constitute 98 per cent of the total GHG emissions that it is anticipated will result from the Project. As the vast majority (if not all) of the coal produced by the mine is destined for export, those scope 3 GHG emissions would be generated in places outside of Australia.</w:t>
      </w:r>
    </w:p>
    <w:p w14:paraId="05C85B5E" w14:textId="77777777" w:rsidR="00686E9C" w:rsidRPr="009137CA" w:rsidRDefault="00686E9C" w:rsidP="009137CA">
      <w:pPr>
        <w:pStyle w:val="FixListStyle"/>
        <w:spacing w:after="260" w:line="280" w:lineRule="exact"/>
        <w:ind w:right="0"/>
        <w:jc w:val="both"/>
        <w:rPr>
          <w:rFonts w:ascii="Times New Roman" w:hAnsi="Times New Roman"/>
        </w:rPr>
      </w:pPr>
      <w:r w:rsidRPr="009137CA">
        <w:rPr>
          <w:rFonts w:ascii="Times New Roman" w:hAnsi="Times New Roman"/>
        </w:rPr>
        <w:tab/>
        <w:t xml:space="preserve">Contentious as such matters may be, factual disputes over the effect of GHG emissions on the climate and the means of eliminating or reducing GHG emissions are not controversies for a court hearing an application for judicial review of the grant of a development consent to resolve. Thus, it is, and was, not the function of this Court, the Court of Appeal or the Land and Environment Court (in this case) to assess the environmental effects of any of the GHG emissions involved in or arising from MACH's mining and related activities, or to address the merits or otherwise of the Commission's decision to grant the consent. Instead, the function of this Court is, and of those courts was, to decide, by reference to the issues raised </w:t>
      </w:r>
      <w:r w:rsidRPr="009137CA">
        <w:rPr>
          <w:rFonts w:ascii="Times New Roman" w:hAnsi="Times New Roman"/>
        </w:rPr>
        <w:lastRenderedPageBreak/>
        <w:t xml:space="preserve">by the parties, whether the consent was affected by jurisdictional error and should be declared invalid. </w:t>
      </w:r>
    </w:p>
    <w:p w14:paraId="7265E97B" w14:textId="77777777" w:rsidR="00686E9C" w:rsidRPr="009137CA" w:rsidRDefault="00686E9C" w:rsidP="009137CA">
      <w:pPr>
        <w:pStyle w:val="FixListStyle"/>
        <w:spacing w:after="260" w:line="280" w:lineRule="exact"/>
        <w:ind w:right="0"/>
        <w:jc w:val="both"/>
        <w:rPr>
          <w:rFonts w:ascii="Times New Roman" w:hAnsi="Times New Roman"/>
        </w:rPr>
      </w:pPr>
      <w:r w:rsidRPr="009137CA">
        <w:rPr>
          <w:rFonts w:ascii="Times New Roman" w:hAnsi="Times New Roman"/>
        </w:rPr>
        <w:tab/>
        <w:t xml:space="preserve">For the reasons set out below, which are similar to those of Gordon J but different to those of the Court of Appeal, I conclude that the consent was affected by jurisdictional error and should be declared invalid. In particular, DAMSHEG established that the Commission failed to consider a provision of an applicable environmental planning instrument, namely so much of cl 2.20(1) of the </w:t>
      </w:r>
      <w:r w:rsidRPr="009137CA">
        <w:rPr>
          <w:rFonts w:ascii="Times New Roman" w:hAnsi="Times New Roman"/>
          <w:i/>
          <w:iCs/>
        </w:rPr>
        <w:t>State Environmental Planning Policy (Resources and Energy) 2021</w:t>
      </w:r>
      <w:r w:rsidRPr="009137CA">
        <w:rPr>
          <w:rFonts w:ascii="Times New Roman" w:hAnsi="Times New Roman"/>
        </w:rPr>
        <w:t xml:space="preserve"> (NSW) ("the Resources SEPP") as provided that, before granting consent, the Commission was obliged to consider whether to grant consent subject to conditions to ensure that all GHG emissions, including scope 3 GHG emissions, are minimised to the greatest extent practicable.</w:t>
      </w:r>
      <w:r w:rsidRPr="009137CA">
        <w:rPr>
          <w:rStyle w:val="FootnoteReference"/>
          <w:rFonts w:ascii="Times New Roman" w:hAnsi="Times New Roman"/>
          <w:sz w:val="24"/>
        </w:rPr>
        <w:footnoteReference w:id="200"/>
      </w:r>
      <w:r w:rsidRPr="009137CA">
        <w:rPr>
          <w:rFonts w:ascii="Times New Roman" w:hAnsi="Times New Roman"/>
        </w:rPr>
        <w:t xml:space="preserve"> Accordingly, I would dismiss the appeal.</w:t>
      </w:r>
    </w:p>
    <w:p w14:paraId="4ABB06B3" w14:textId="77777777" w:rsidR="00686E9C" w:rsidRPr="009137CA" w:rsidRDefault="00686E9C" w:rsidP="009137CA">
      <w:pPr>
        <w:pStyle w:val="HeadingL1"/>
        <w:spacing w:after="260" w:line="280" w:lineRule="exact"/>
        <w:ind w:right="0"/>
        <w:jc w:val="both"/>
        <w:rPr>
          <w:rFonts w:ascii="Times New Roman" w:hAnsi="Times New Roman"/>
        </w:rPr>
      </w:pPr>
      <w:r w:rsidRPr="009137CA">
        <w:rPr>
          <w:rFonts w:ascii="Times New Roman" w:hAnsi="Times New Roman"/>
        </w:rPr>
        <w:t>Background</w:t>
      </w:r>
    </w:p>
    <w:p w14:paraId="03FCD3FA" w14:textId="77777777" w:rsidR="00686E9C" w:rsidRPr="009137CA" w:rsidRDefault="00686E9C" w:rsidP="009137CA">
      <w:pPr>
        <w:pStyle w:val="FixListStyle"/>
        <w:spacing w:after="260" w:line="280" w:lineRule="exact"/>
        <w:ind w:right="0"/>
        <w:jc w:val="both"/>
        <w:rPr>
          <w:rFonts w:ascii="Times New Roman" w:hAnsi="Times New Roman"/>
        </w:rPr>
      </w:pPr>
      <w:r w:rsidRPr="009137CA">
        <w:rPr>
          <w:rFonts w:ascii="Times New Roman" w:hAnsi="Times New Roman"/>
        </w:rPr>
        <w:tab/>
        <w:t xml:space="preserve">The background, statutory scheme and issues in the appeal are set out in the judgment of Gageler CJ and Jagot J and in the judgment of Gordon J. It suffices to note the following. </w:t>
      </w:r>
    </w:p>
    <w:p w14:paraId="155CD439" w14:textId="77777777" w:rsidR="00686E9C" w:rsidRPr="009137CA" w:rsidRDefault="00686E9C" w:rsidP="009137CA">
      <w:pPr>
        <w:pStyle w:val="FixListStyle"/>
        <w:spacing w:after="260" w:line="280" w:lineRule="exact"/>
        <w:ind w:right="0"/>
        <w:jc w:val="both"/>
        <w:rPr>
          <w:rFonts w:ascii="Times New Roman" w:hAnsi="Times New Roman"/>
        </w:rPr>
      </w:pPr>
      <w:r w:rsidRPr="009137CA">
        <w:rPr>
          <w:rFonts w:ascii="Times New Roman" w:hAnsi="Times New Roman"/>
        </w:rPr>
        <w:tab/>
        <w:t>MACH's proposed development was declared to be "State significant development"</w:t>
      </w:r>
      <w:r w:rsidRPr="009137CA">
        <w:rPr>
          <w:rStyle w:val="FootnoteReference"/>
          <w:rFonts w:ascii="Times New Roman" w:hAnsi="Times New Roman"/>
          <w:sz w:val="24"/>
        </w:rPr>
        <w:footnoteReference w:id="201"/>
      </w:r>
      <w:r w:rsidRPr="009137CA">
        <w:rPr>
          <w:rFonts w:ascii="Times New Roman" w:hAnsi="Times New Roman"/>
        </w:rPr>
        <w:t xml:space="preserve"> and, as such, the development application was regulated by Div 4.7 of the </w:t>
      </w:r>
      <w:r w:rsidRPr="009137CA">
        <w:rPr>
          <w:rFonts w:ascii="Times New Roman" w:hAnsi="Times New Roman"/>
          <w:i/>
          <w:iCs/>
        </w:rPr>
        <w:t>Environmental Planning and Assessment Act 1979</w:t>
      </w:r>
      <w:r w:rsidRPr="009137CA">
        <w:rPr>
          <w:rFonts w:ascii="Times New Roman" w:hAnsi="Times New Roman"/>
        </w:rPr>
        <w:t xml:space="preserve"> (NSW) ("the EPA Act"). The Commission was the designated consent authority with respect to the development application.</w:t>
      </w:r>
      <w:r w:rsidRPr="009137CA">
        <w:rPr>
          <w:rStyle w:val="FootnoteReference"/>
          <w:rFonts w:ascii="Times New Roman" w:hAnsi="Times New Roman"/>
          <w:sz w:val="24"/>
        </w:rPr>
        <w:footnoteReference w:id="202"/>
      </w:r>
      <w:r w:rsidRPr="009137CA">
        <w:rPr>
          <w:rFonts w:ascii="Times New Roman" w:hAnsi="Times New Roman"/>
        </w:rPr>
        <w:t xml:space="preserve"> The Commission was obliged to determine the application</w:t>
      </w:r>
      <w:r w:rsidRPr="009137CA">
        <w:rPr>
          <w:rStyle w:val="FootnoteReference"/>
          <w:rFonts w:ascii="Times New Roman" w:hAnsi="Times New Roman"/>
          <w:sz w:val="24"/>
        </w:rPr>
        <w:footnoteReference w:id="203"/>
      </w:r>
      <w:r w:rsidRPr="009137CA">
        <w:rPr>
          <w:rFonts w:ascii="Times New Roman" w:hAnsi="Times New Roman"/>
        </w:rPr>
        <w:t xml:space="preserve"> by either "granting consent to the application with such modifications of the proposed development or on such conditions as the consent authority may determine" or "refusing consent to the application".</w:t>
      </w:r>
      <w:r w:rsidRPr="009137CA">
        <w:rPr>
          <w:rStyle w:val="FootnoteReference"/>
          <w:rFonts w:ascii="Times New Roman" w:hAnsi="Times New Roman"/>
          <w:sz w:val="24"/>
        </w:rPr>
        <w:footnoteReference w:id="204"/>
      </w:r>
      <w:r w:rsidRPr="009137CA">
        <w:rPr>
          <w:rFonts w:ascii="Times New Roman" w:hAnsi="Times New Roman"/>
        </w:rPr>
        <w:t xml:space="preserve"> </w:t>
      </w:r>
    </w:p>
    <w:p w14:paraId="25463D3D" w14:textId="77777777" w:rsidR="00686E9C" w:rsidRPr="009137CA" w:rsidRDefault="00686E9C" w:rsidP="009137CA">
      <w:pPr>
        <w:pStyle w:val="FixListStyle"/>
        <w:spacing w:after="260" w:line="280" w:lineRule="exact"/>
        <w:ind w:right="0"/>
        <w:jc w:val="both"/>
        <w:rPr>
          <w:rFonts w:ascii="Times New Roman" w:hAnsi="Times New Roman"/>
        </w:rPr>
      </w:pPr>
      <w:r w:rsidRPr="009137CA">
        <w:rPr>
          <w:rFonts w:ascii="Times New Roman" w:hAnsi="Times New Roman"/>
        </w:rPr>
        <w:tab/>
        <w:t>MACH's development application, which included an Environmental Impact Statement ("EIS"),</w:t>
      </w:r>
      <w:r w:rsidRPr="009137CA">
        <w:rPr>
          <w:rStyle w:val="FootnoteReference"/>
          <w:rFonts w:ascii="Times New Roman" w:hAnsi="Times New Roman"/>
          <w:sz w:val="24"/>
        </w:rPr>
        <w:footnoteReference w:id="205"/>
      </w:r>
      <w:r w:rsidRPr="009137CA">
        <w:rPr>
          <w:rFonts w:ascii="Times New Roman" w:hAnsi="Times New Roman"/>
        </w:rPr>
        <w:t xml:space="preserve"> was referred to the Commission. The Minister for Planning and Public Spaces requested that the Commission conduct a public </w:t>
      </w:r>
      <w:r w:rsidRPr="009137CA">
        <w:rPr>
          <w:rFonts w:ascii="Times New Roman" w:hAnsi="Times New Roman"/>
        </w:rPr>
        <w:lastRenderedPageBreak/>
        <w:t>hearing into the development application and its determination.</w:t>
      </w:r>
      <w:r w:rsidRPr="009137CA">
        <w:rPr>
          <w:rStyle w:val="FootnoteReference"/>
          <w:rFonts w:ascii="Times New Roman" w:hAnsi="Times New Roman"/>
          <w:sz w:val="24"/>
        </w:rPr>
        <w:footnoteReference w:id="206"/>
      </w:r>
      <w:r w:rsidRPr="009137CA">
        <w:rPr>
          <w:rFonts w:ascii="Times New Roman" w:hAnsi="Times New Roman"/>
        </w:rPr>
        <w:t xml:space="preserve"> The Commission heard from members of the community and received written submissions and reports from various interested parties, including DAMSHEG and the NSW Department of Planning and Environment ("the Department"). Having conducted a public hearing, the Commission was obliged to produce a statement of its findings and recommendations.</w:t>
      </w:r>
      <w:r w:rsidRPr="009137CA">
        <w:rPr>
          <w:rStyle w:val="FootnoteReference"/>
          <w:rFonts w:ascii="Times New Roman" w:hAnsi="Times New Roman"/>
          <w:sz w:val="24"/>
        </w:rPr>
        <w:footnoteReference w:id="207"/>
      </w:r>
      <w:r w:rsidRPr="009137CA">
        <w:rPr>
          <w:rFonts w:ascii="Times New Roman" w:hAnsi="Times New Roman"/>
        </w:rPr>
        <w:t xml:space="preserve"> Separately, the Commission was subject to mandatory notification requirements that required it to provide "the reasons for the decision (having regard to any statutory requirements applying to the decision)".</w:t>
      </w:r>
      <w:r w:rsidRPr="009137CA">
        <w:rPr>
          <w:rStyle w:val="FootnoteReference"/>
          <w:rFonts w:ascii="Times New Roman" w:hAnsi="Times New Roman"/>
          <w:sz w:val="24"/>
        </w:rPr>
        <w:footnoteReference w:id="208"/>
      </w:r>
      <w:r w:rsidRPr="009137CA">
        <w:rPr>
          <w:rFonts w:ascii="Times New Roman" w:hAnsi="Times New Roman"/>
        </w:rPr>
        <w:t xml:space="preserve"> The Commission duly produced a statement of reasons for its decision to grant development consent subject to certain conditions. So much of those reasons as addressed the Project's scope 3 GHG emissions are addressed below.</w:t>
      </w:r>
    </w:p>
    <w:p w14:paraId="12A81F49" w14:textId="77777777" w:rsidR="00686E9C" w:rsidRPr="009137CA" w:rsidRDefault="00686E9C" w:rsidP="009137CA">
      <w:pPr>
        <w:pStyle w:val="FixListStyle"/>
        <w:spacing w:after="260" w:line="280" w:lineRule="exact"/>
        <w:ind w:right="0"/>
        <w:jc w:val="both"/>
        <w:rPr>
          <w:rFonts w:ascii="Times New Roman" w:hAnsi="Times New Roman"/>
        </w:rPr>
      </w:pPr>
      <w:r w:rsidRPr="009137CA">
        <w:rPr>
          <w:rFonts w:ascii="Times New Roman" w:hAnsi="Times New Roman"/>
        </w:rPr>
        <w:tab/>
        <w:t>Section 4.15(1) of the EPA Act applied to the determination of MACH's development application.</w:t>
      </w:r>
      <w:r w:rsidRPr="009137CA">
        <w:rPr>
          <w:rStyle w:val="FootnoteReference"/>
          <w:rFonts w:ascii="Times New Roman" w:hAnsi="Times New Roman"/>
          <w:sz w:val="24"/>
        </w:rPr>
        <w:footnoteReference w:id="209"/>
      </w:r>
      <w:r w:rsidRPr="009137CA">
        <w:rPr>
          <w:rFonts w:ascii="Times New Roman" w:hAnsi="Times New Roman"/>
        </w:rPr>
        <w:t xml:space="preserve"> It relevantly provides:</w:t>
      </w:r>
    </w:p>
    <w:p w14:paraId="56C4E9FE" w14:textId="77777777" w:rsidR="00686E9C" w:rsidRPr="009137CA" w:rsidRDefault="00686E9C" w:rsidP="009137CA">
      <w:pPr>
        <w:pStyle w:val="LeftrightafterHC"/>
        <w:spacing w:before="0" w:after="260" w:line="280" w:lineRule="exact"/>
        <w:ind w:right="0"/>
        <w:jc w:val="both"/>
        <w:rPr>
          <w:rFonts w:ascii="Times New Roman" w:hAnsi="Times New Roman"/>
        </w:rPr>
      </w:pPr>
      <w:r w:rsidRPr="009137CA">
        <w:rPr>
          <w:rFonts w:ascii="Times New Roman" w:hAnsi="Times New Roman"/>
        </w:rPr>
        <w:t>"In determining a development application, a consent authority is to take into consideration such of the following matters as are of relevance to the development the subject of the development application –</w:t>
      </w:r>
    </w:p>
    <w:p w14:paraId="5B519122" w14:textId="77777777" w:rsidR="00686E9C" w:rsidRPr="009137CA" w:rsidRDefault="00686E9C" w:rsidP="009137CA">
      <w:pPr>
        <w:pStyle w:val="LeftrightHanging"/>
        <w:spacing w:before="0" w:after="260" w:line="280" w:lineRule="exact"/>
        <w:ind w:right="0"/>
        <w:jc w:val="both"/>
        <w:rPr>
          <w:rFonts w:ascii="Times New Roman" w:hAnsi="Times New Roman"/>
        </w:rPr>
      </w:pPr>
      <w:r w:rsidRPr="009137CA">
        <w:rPr>
          <w:rFonts w:ascii="Times New Roman" w:hAnsi="Times New Roman"/>
        </w:rPr>
        <w:t>(a)</w:t>
      </w:r>
      <w:r w:rsidRPr="009137CA">
        <w:rPr>
          <w:rFonts w:ascii="Times New Roman" w:hAnsi="Times New Roman"/>
        </w:rPr>
        <w:tab/>
        <w:t>the provisions of –</w:t>
      </w:r>
    </w:p>
    <w:p w14:paraId="6339B9B7" w14:textId="77777777" w:rsidR="00686E9C" w:rsidRPr="009137CA" w:rsidRDefault="00686E9C" w:rsidP="009137CA">
      <w:pPr>
        <w:pStyle w:val="LRHangingMore"/>
        <w:spacing w:before="0" w:after="260" w:line="280" w:lineRule="exact"/>
        <w:ind w:right="0"/>
        <w:jc w:val="both"/>
        <w:rPr>
          <w:rFonts w:ascii="Times New Roman" w:hAnsi="Times New Roman"/>
        </w:rPr>
      </w:pPr>
      <w:r w:rsidRPr="009137CA">
        <w:rPr>
          <w:rFonts w:ascii="Times New Roman" w:hAnsi="Times New Roman"/>
        </w:rPr>
        <w:t>(i)</w:t>
      </w:r>
      <w:r w:rsidRPr="009137CA">
        <w:rPr>
          <w:rFonts w:ascii="Times New Roman" w:hAnsi="Times New Roman"/>
        </w:rPr>
        <w:tab/>
        <w:t xml:space="preserve">any environmental planning instrument, ... </w:t>
      </w:r>
    </w:p>
    <w:p w14:paraId="38967EB1" w14:textId="77777777" w:rsidR="00686E9C" w:rsidRPr="009137CA" w:rsidRDefault="00686E9C" w:rsidP="009137CA">
      <w:pPr>
        <w:pStyle w:val="LRHangingMore"/>
        <w:spacing w:before="0" w:after="260" w:line="280" w:lineRule="exact"/>
        <w:ind w:left="1440" w:right="0" w:firstLine="0"/>
        <w:jc w:val="both"/>
        <w:rPr>
          <w:rFonts w:ascii="Times New Roman" w:hAnsi="Times New Roman"/>
        </w:rPr>
      </w:pPr>
      <w:r w:rsidRPr="009137CA">
        <w:rPr>
          <w:rFonts w:ascii="Times New Roman" w:hAnsi="Times New Roman"/>
        </w:rPr>
        <w:t>that apply to the land to which the development application relates,</w:t>
      </w:r>
    </w:p>
    <w:p w14:paraId="008724A5" w14:textId="77777777" w:rsidR="00686E9C" w:rsidRPr="009137CA" w:rsidRDefault="00686E9C" w:rsidP="009137CA">
      <w:pPr>
        <w:pStyle w:val="LeftrightHanging"/>
        <w:spacing w:before="0" w:after="260" w:line="280" w:lineRule="exact"/>
        <w:ind w:right="0"/>
        <w:jc w:val="both"/>
        <w:rPr>
          <w:rFonts w:ascii="Times New Roman" w:hAnsi="Times New Roman"/>
        </w:rPr>
      </w:pPr>
      <w:r w:rsidRPr="009137CA">
        <w:rPr>
          <w:rFonts w:ascii="Times New Roman" w:hAnsi="Times New Roman"/>
        </w:rPr>
        <w:t>(b)</w:t>
      </w:r>
      <w:r w:rsidRPr="009137CA">
        <w:rPr>
          <w:rFonts w:ascii="Times New Roman" w:hAnsi="Times New Roman"/>
        </w:rPr>
        <w:tab/>
        <w:t xml:space="preserve">the likely impacts of that development, including environmental impacts on both the natural and built environments, and social and economic impacts </w:t>
      </w:r>
      <w:r w:rsidRPr="009137CA">
        <w:rPr>
          <w:rFonts w:ascii="Times New Roman" w:hAnsi="Times New Roman"/>
          <w:i/>
        </w:rPr>
        <w:t>in the locality</w:t>
      </w:r>
      <w:r w:rsidRPr="009137CA">
        <w:rPr>
          <w:rFonts w:ascii="Times New Roman" w:hAnsi="Times New Roman"/>
        </w:rPr>
        <w:t>,</w:t>
      </w:r>
    </w:p>
    <w:p w14:paraId="5B958756" w14:textId="77777777" w:rsidR="00686E9C" w:rsidRDefault="00686E9C" w:rsidP="009137CA">
      <w:pPr>
        <w:pStyle w:val="leftright"/>
        <w:spacing w:before="0" w:after="260" w:line="280" w:lineRule="exact"/>
        <w:ind w:right="0"/>
        <w:jc w:val="both"/>
        <w:rPr>
          <w:rFonts w:ascii="Times New Roman" w:hAnsi="Times New Roman"/>
        </w:rPr>
      </w:pPr>
      <w:r w:rsidRPr="009137CA">
        <w:rPr>
          <w:rFonts w:ascii="Times New Roman" w:hAnsi="Times New Roman"/>
        </w:rPr>
        <w:t>..." (emphasis added)</w:t>
      </w:r>
    </w:p>
    <w:p w14:paraId="1275CD55" w14:textId="77777777" w:rsidR="00686E9C" w:rsidRPr="009137CA" w:rsidRDefault="00686E9C" w:rsidP="009137CA">
      <w:pPr>
        <w:pStyle w:val="FixListStyle"/>
        <w:spacing w:after="260" w:line="280" w:lineRule="exact"/>
        <w:ind w:right="0"/>
        <w:jc w:val="both"/>
        <w:rPr>
          <w:rFonts w:ascii="Times New Roman" w:hAnsi="Times New Roman"/>
        </w:rPr>
      </w:pPr>
      <w:r w:rsidRPr="009137CA">
        <w:rPr>
          <w:rFonts w:ascii="Times New Roman" w:hAnsi="Times New Roman"/>
        </w:rPr>
        <w:tab/>
        <w:t xml:space="preserve">It was not in dispute between the parties that, for the purposes of s 4.15(1)(a)(i), the relevant environmental planning instrument that applied to the land to which MACH's development application relates was the Resources SEPP. </w:t>
      </w:r>
    </w:p>
    <w:p w14:paraId="4C52E1B6" w14:textId="77777777" w:rsidR="00686E9C" w:rsidRPr="009137CA" w:rsidRDefault="00686E9C" w:rsidP="009137CA">
      <w:pPr>
        <w:pStyle w:val="HeadingL1"/>
        <w:spacing w:after="260" w:line="280" w:lineRule="exact"/>
        <w:ind w:right="0"/>
        <w:jc w:val="both"/>
        <w:rPr>
          <w:rFonts w:ascii="Times New Roman" w:hAnsi="Times New Roman"/>
        </w:rPr>
      </w:pPr>
      <w:r w:rsidRPr="009137CA">
        <w:rPr>
          <w:rFonts w:ascii="Times New Roman" w:hAnsi="Times New Roman"/>
        </w:rPr>
        <w:lastRenderedPageBreak/>
        <w:t xml:space="preserve">MACH's appeal </w:t>
      </w:r>
    </w:p>
    <w:p w14:paraId="22A9E6EC" w14:textId="77777777" w:rsidR="00686E9C" w:rsidRPr="009137CA" w:rsidRDefault="00686E9C" w:rsidP="009137CA">
      <w:pPr>
        <w:pStyle w:val="FixListStyle"/>
        <w:spacing w:after="260" w:line="280" w:lineRule="exact"/>
        <w:ind w:right="0"/>
        <w:jc w:val="both"/>
        <w:rPr>
          <w:rFonts w:ascii="Times New Roman" w:hAnsi="Times New Roman"/>
        </w:rPr>
      </w:pPr>
      <w:r w:rsidRPr="009137CA">
        <w:rPr>
          <w:rFonts w:ascii="Times New Roman" w:hAnsi="Times New Roman"/>
        </w:rPr>
        <w:tab/>
        <w:t xml:space="preserve">In allowing DAMSHEG's appeal, the Court of Appeal held that, on its proper construction, either that part of s 4.15(1)(b) of the EPA Act which refers to "in the locality" is distributed across s 4.15(1)(b), or the words after the first comma in s 4.15(1)(b) (ie, after "that development,") are disjoined from the balance of the paragraph, so that the requirement to consider impacts in the locality is not an aspect of a broader obligation to consider the likely impacts of the development. On either of those constructions, the impact of the development on the environment </w:t>
      </w:r>
      <w:r w:rsidRPr="009137CA">
        <w:rPr>
          <w:rFonts w:ascii="Times New Roman" w:hAnsi="Times New Roman"/>
          <w:i/>
          <w:iCs/>
        </w:rPr>
        <w:t>in the locality</w:t>
      </w:r>
      <w:r w:rsidRPr="009137CA">
        <w:rPr>
          <w:rFonts w:ascii="Times New Roman" w:hAnsi="Times New Roman"/>
        </w:rPr>
        <w:t xml:space="preserve"> is the central focus of the provision, with the apparent consequence that the Commission was required to consider the causal connection between the Project and its impact on the environment in its locality. The Court of Appeal found that, by only referring to the impacts of GHG emissions and climate change "felt globally, without reference to the specific impacts on the locality", the Commission failed to address s 4.15(1)(b) as so construed. This failure was found to constitute jurisdictional error warranting a declaration that the consent is invalid and an order that it be set aside.</w:t>
      </w:r>
      <w:r w:rsidRPr="009137CA">
        <w:rPr>
          <w:rStyle w:val="FootnoteReference"/>
          <w:rFonts w:ascii="Times New Roman" w:hAnsi="Times New Roman"/>
          <w:sz w:val="24"/>
        </w:rPr>
        <w:footnoteReference w:id="210"/>
      </w:r>
    </w:p>
    <w:p w14:paraId="6B0CC379" w14:textId="77777777" w:rsidR="00686E9C" w:rsidRPr="009137CA" w:rsidRDefault="00686E9C" w:rsidP="009137CA">
      <w:pPr>
        <w:pStyle w:val="FixListStyle"/>
        <w:spacing w:after="260" w:line="280" w:lineRule="exact"/>
        <w:ind w:right="0"/>
        <w:jc w:val="both"/>
        <w:rPr>
          <w:rFonts w:ascii="Times New Roman" w:hAnsi="Times New Roman"/>
        </w:rPr>
      </w:pPr>
      <w:r w:rsidRPr="009137CA">
        <w:rPr>
          <w:rFonts w:ascii="Times New Roman" w:hAnsi="Times New Roman"/>
        </w:rPr>
        <w:tab/>
        <w:t xml:space="preserve">Pursuant to a grant of special leave to appeal, MACH challenges the Court of Appeal's conclusions. In its submissions in this Court MACH sought to cut across the Court of Appeal's reasoning by relying on a decision of a majority of the Court of Appeal in </w:t>
      </w:r>
      <w:r w:rsidRPr="009137CA">
        <w:rPr>
          <w:rFonts w:ascii="Times New Roman" w:hAnsi="Times New Roman"/>
          <w:i/>
          <w:iCs/>
        </w:rPr>
        <w:t>Ross v Lane</w:t>
      </w:r>
      <w:r w:rsidRPr="009137CA">
        <w:rPr>
          <w:rStyle w:val="FootnoteReference"/>
          <w:rFonts w:ascii="Times New Roman" w:hAnsi="Times New Roman"/>
          <w:sz w:val="24"/>
        </w:rPr>
        <w:footnoteReference w:id="211"/>
      </w:r>
      <w:r w:rsidRPr="009137CA">
        <w:rPr>
          <w:rFonts w:ascii="Times New Roman" w:hAnsi="Times New Roman"/>
        </w:rPr>
        <w:t xml:space="preserve"> as authority for the proposition that the matters listed in s 4.15(1) of the EPA Act, including s 4.15(1)(a) and (b), are "evaluative" and that a failure by a consent authority to take them into account cannot give rise to jurisdictional error and does not lead to invalidity. </w:t>
      </w:r>
    </w:p>
    <w:p w14:paraId="63B3EDB2" w14:textId="77777777" w:rsidR="00686E9C" w:rsidRPr="009137CA" w:rsidRDefault="00686E9C" w:rsidP="009137CA">
      <w:pPr>
        <w:pStyle w:val="FixListStyle"/>
        <w:spacing w:after="260" w:line="280" w:lineRule="exact"/>
        <w:ind w:right="0"/>
        <w:jc w:val="both"/>
        <w:rPr>
          <w:rFonts w:ascii="Times New Roman" w:hAnsi="Times New Roman"/>
        </w:rPr>
      </w:pPr>
      <w:r w:rsidRPr="009137CA">
        <w:rPr>
          <w:rFonts w:ascii="Times New Roman" w:hAnsi="Times New Roman"/>
        </w:rPr>
        <w:tab/>
        <w:t xml:space="preserve">I reject that contention. I adhere to what I concluded in dissent on this point in </w:t>
      </w:r>
      <w:r w:rsidRPr="009137CA">
        <w:rPr>
          <w:rFonts w:ascii="Times New Roman" w:hAnsi="Times New Roman"/>
          <w:i/>
          <w:iCs/>
        </w:rPr>
        <w:t>Ross v Lane</w:t>
      </w:r>
      <w:r w:rsidRPr="009137CA">
        <w:rPr>
          <w:rFonts w:ascii="Times New Roman" w:hAnsi="Times New Roman"/>
        </w:rPr>
        <w:t>, namely that there is no scope for a consent authority not to take into account each of the considerations specified in s 4.15(1)(b) to (e) of the EPA Act, "although the facts found concerning those matters and the weight to be attached to them is a matter for the consent authority".</w:t>
      </w:r>
      <w:r w:rsidRPr="009137CA">
        <w:rPr>
          <w:rStyle w:val="FootnoteReference"/>
          <w:rFonts w:ascii="Times New Roman" w:hAnsi="Times New Roman"/>
          <w:sz w:val="24"/>
        </w:rPr>
        <w:footnoteReference w:id="212"/>
      </w:r>
      <w:r w:rsidRPr="009137CA">
        <w:rPr>
          <w:rFonts w:ascii="Times New Roman" w:hAnsi="Times New Roman"/>
        </w:rPr>
        <w:t xml:space="preserve"> The same applies to s 4.15(1)(a) save for the possible circumstance where the applicability of a particular environmental instrument to a particular development application "is </w:t>
      </w:r>
      <w:r w:rsidRPr="009137CA">
        <w:rPr>
          <w:rFonts w:ascii="Times New Roman" w:hAnsi="Times New Roman"/>
        </w:rPr>
        <w:lastRenderedPageBreak/>
        <w:t>dependent on the formation of an opinion by the consent authority",</w:t>
      </w:r>
      <w:r w:rsidRPr="009137CA">
        <w:rPr>
          <w:rStyle w:val="FootnoteReference"/>
          <w:rFonts w:ascii="Times New Roman" w:hAnsi="Times New Roman"/>
          <w:sz w:val="24"/>
        </w:rPr>
        <w:footnoteReference w:id="213"/>
      </w:r>
      <w:r w:rsidRPr="009137CA">
        <w:rPr>
          <w:rFonts w:ascii="Times New Roman" w:hAnsi="Times New Roman"/>
        </w:rPr>
        <w:t xml:space="preserve"> in which case the formation of that opinion is itself a "jurisdictional fact".</w:t>
      </w:r>
      <w:r w:rsidRPr="009137CA">
        <w:rPr>
          <w:rStyle w:val="FootnoteReference"/>
          <w:rFonts w:ascii="Times New Roman" w:hAnsi="Times New Roman"/>
          <w:sz w:val="24"/>
        </w:rPr>
        <w:footnoteReference w:id="214"/>
      </w:r>
      <w:r w:rsidRPr="009137CA">
        <w:rPr>
          <w:rFonts w:ascii="Times New Roman" w:hAnsi="Times New Roman"/>
        </w:rPr>
        <w:t xml:space="preserve"> Although the consent authority is not required to apply the relevant environmental planning instrument as though it were a binding statute, the requirement to "take into consideration" the provisions of such instruments, as referred to in the opening words of s 4.15(1), means the provisions must be "give[n] weight … as a fundamental element in making" the relevant determination.</w:t>
      </w:r>
      <w:r w:rsidRPr="009137CA">
        <w:rPr>
          <w:rStyle w:val="FootnoteReference"/>
          <w:rFonts w:ascii="Times New Roman" w:hAnsi="Times New Roman"/>
          <w:sz w:val="24"/>
        </w:rPr>
        <w:footnoteReference w:id="215"/>
      </w:r>
      <w:r w:rsidRPr="009137CA">
        <w:rPr>
          <w:rFonts w:ascii="Times New Roman" w:hAnsi="Times New Roman"/>
        </w:rPr>
        <w:t xml:space="preserve"> That obligation is further addressed below. </w:t>
      </w:r>
    </w:p>
    <w:p w14:paraId="08B29F82" w14:textId="77777777" w:rsidR="00686E9C" w:rsidRPr="009137CA" w:rsidRDefault="00686E9C" w:rsidP="009137CA">
      <w:pPr>
        <w:pStyle w:val="FixListStyle"/>
        <w:spacing w:after="260" w:line="280" w:lineRule="exact"/>
        <w:ind w:right="0"/>
        <w:jc w:val="both"/>
        <w:rPr>
          <w:rFonts w:ascii="Times New Roman" w:hAnsi="Times New Roman"/>
        </w:rPr>
      </w:pPr>
      <w:r w:rsidRPr="009137CA">
        <w:rPr>
          <w:rFonts w:ascii="Times New Roman" w:hAnsi="Times New Roman"/>
        </w:rPr>
        <w:tab/>
        <w:t>Otherwise, MACH raises three grounds of appeal challenging the Court of Appeal's conclusions, namely that the Court of Appeal erred in: (1) construing s 4.15(1)(b) of the EPA Act as requiring the consent authority to consider the built and natural environmental impacts of a development "in the locality"; (2)</w:t>
      </w:r>
      <w:r>
        <w:rPr>
          <w:rFonts w:ascii="Times New Roman" w:hAnsi="Times New Roman"/>
        </w:rPr>
        <w:t> </w:t>
      </w:r>
      <w:r w:rsidRPr="009137CA">
        <w:rPr>
          <w:rFonts w:ascii="Times New Roman" w:hAnsi="Times New Roman"/>
        </w:rPr>
        <w:t xml:space="preserve">construing s 4.15(1)(b) of the EPA Act as requiring the consent authority to conduct a causal inquiry as to the impacts of climate change; and (3) finding that the impact of climate change is capable of being an environmental impact in the locality of the development within the meaning of s 4.15(1)(b) of the EPA Act. </w:t>
      </w:r>
    </w:p>
    <w:p w14:paraId="479DE989" w14:textId="77777777" w:rsidR="00686E9C" w:rsidRPr="009137CA" w:rsidRDefault="00686E9C" w:rsidP="009137CA">
      <w:pPr>
        <w:pStyle w:val="FixListStyle"/>
        <w:spacing w:after="260" w:line="280" w:lineRule="exact"/>
        <w:ind w:right="0"/>
        <w:jc w:val="both"/>
        <w:rPr>
          <w:rFonts w:ascii="Times New Roman" w:hAnsi="Times New Roman"/>
        </w:rPr>
      </w:pPr>
      <w:r w:rsidRPr="009137CA">
        <w:rPr>
          <w:rFonts w:ascii="Times New Roman" w:hAnsi="Times New Roman"/>
        </w:rPr>
        <w:tab/>
        <w:t>At the hearing of the appeal, DAMSHEG sought leave to file an amended notice of contention raising an additional ground for supporting the Court of Appeal's orders, namely that, if the Court of Appeal erred in its construction of s 4.15(1)(b) of the EPA Act, the Court of Appeal nevertheless ought to have held that the development consent was invalid on the ground that the Commission "was required to consider the likely impacts of climate change in NSW and the Hunter Valley because of the evidence before the Commission including the material in the [EIS]".</w:t>
      </w:r>
    </w:p>
    <w:p w14:paraId="1015062A" w14:textId="77777777" w:rsidR="00686E9C" w:rsidRPr="009137CA" w:rsidRDefault="00686E9C" w:rsidP="009137CA">
      <w:pPr>
        <w:pStyle w:val="FixListStyle"/>
        <w:spacing w:after="260" w:line="280" w:lineRule="exact"/>
        <w:ind w:right="0"/>
        <w:jc w:val="both"/>
        <w:rPr>
          <w:rFonts w:ascii="Times New Roman" w:hAnsi="Times New Roman"/>
        </w:rPr>
      </w:pPr>
      <w:r w:rsidRPr="009137CA">
        <w:rPr>
          <w:rFonts w:ascii="Times New Roman" w:hAnsi="Times New Roman"/>
        </w:rPr>
        <w:tab/>
        <w:t>For the reasons given by Gageler CJ and Jagot J, and the reasons given by Gordon J, I would uphold the first of MACH's grounds of appeal, grant leave to DAMSHEG to rely on an amended notice of contention, and reject the additional ground included in that notice.</w:t>
      </w:r>
      <w:r w:rsidRPr="009137CA">
        <w:rPr>
          <w:rStyle w:val="FootnoteReference"/>
          <w:rFonts w:ascii="Times New Roman" w:hAnsi="Times New Roman"/>
          <w:sz w:val="24"/>
        </w:rPr>
        <w:footnoteReference w:id="216"/>
      </w:r>
      <w:r w:rsidRPr="009137CA">
        <w:rPr>
          <w:rFonts w:ascii="Times New Roman" w:hAnsi="Times New Roman"/>
        </w:rPr>
        <w:t xml:space="preserve"> I agree with their Honours that the Court of Appeal wrongly construed s 4.15(1)(b). Properly construed, that provision requires the consent authority to take into consideration the likely impacts of the development generally. Section 4.15(1)(b) is not to be construed so that the phrase </w:t>
      </w:r>
      <w:r w:rsidRPr="009137CA">
        <w:rPr>
          <w:rFonts w:ascii="Times New Roman" w:hAnsi="Times New Roman"/>
        </w:rPr>
        <w:lastRenderedPageBreak/>
        <w:t>"in the locality" is distributed across the entirety of s 4.15(1)(b) or that the words after the first comma are disjoined from the balance of the paragraph. Depending on the consent authority's assessment, the likely impacts of the development may, and in many cases will, include impacts "in the locality" but that is neither the exclusive nor the central focus of s 4.15(1)(b).</w:t>
      </w:r>
      <w:r w:rsidRPr="009137CA">
        <w:rPr>
          <w:rStyle w:val="FootnoteReference"/>
          <w:rFonts w:ascii="Times New Roman" w:hAnsi="Times New Roman"/>
          <w:sz w:val="24"/>
        </w:rPr>
        <w:footnoteReference w:id="217"/>
      </w:r>
      <w:r w:rsidRPr="009137CA">
        <w:rPr>
          <w:rFonts w:ascii="Times New Roman" w:hAnsi="Times New Roman"/>
        </w:rPr>
        <w:t xml:space="preserve"> </w:t>
      </w:r>
    </w:p>
    <w:p w14:paraId="119A211F" w14:textId="77777777" w:rsidR="00686E9C" w:rsidRPr="009137CA" w:rsidRDefault="00686E9C" w:rsidP="009137CA">
      <w:pPr>
        <w:pStyle w:val="FixListStyle"/>
        <w:spacing w:after="260" w:line="280" w:lineRule="exact"/>
        <w:ind w:right="0"/>
        <w:jc w:val="both"/>
        <w:rPr>
          <w:rFonts w:ascii="Times New Roman" w:hAnsi="Times New Roman"/>
        </w:rPr>
      </w:pPr>
      <w:r w:rsidRPr="009137CA">
        <w:rPr>
          <w:rFonts w:ascii="Times New Roman" w:hAnsi="Times New Roman"/>
        </w:rPr>
        <w:tab/>
        <w:t>In this case, as their Honours explain,</w:t>
      </w:r>
      <w:r w:rsidRPr="009137CA">
        <w:rPr>
          <w:rStyle w:val="FootnoteReference"/>
          <w:rFonts w:ascii="Times New Roman" w:hAnsi="Times New Roman"/>
          <w:sz w:val="24"/>
        </w:rPr>
        <w:footnoteReference w:id="218"/>
      </w:r>
      <w:r w:rsidRPr="009137CA">
        <w:rPr>
          <w:rFonts w:ascii="Times New Roman" w:hAnsi="Times New Roman"/>
        </w:rPr>
        <w:t xml:space="preserve"> it was not demonstrated by DAMSHEG that the Commission failed to address what was required by s 4.15(1)(b) on the material before it. In light of that conclusion, neither ground 2 nor ground 3 of MACH's appeal arises for consideration or should be addressed. Accordingly, it is not necessary to address the submissions of the organisations that were granted leave to appear or make submissions as amici curiae on those issues.</w:t>
      </w:r>
      <w:r w:rsidRPr="009137CA">
        <w:rPr>
          <w:rStyle w:val="FootnoteReference"/>
          <w:rFonts w:ascii="Times New Roman" w:hAnsi="Times New Roman"/>
          <w:sz w:val="24"/>
        </w:rPr>
        <w:footnoteReference w:id="219"/>
      </w:r>
      <w:r w:rsidRPr="009137CA">
        <w:rPr>
          <w:rFonts w:ascii="Times New Roman" w:hAnsi="Times New Roman"/>
        </w:rPr>
        <w:t xml:space="preserve"> </w:t>
      </w:r>
    </w:p>
    <w:p w14:paraId="60F56E03" w14:textId="77777777" w:rsidR="00686E9C" w:rsidRPr="009137CA" w:rsidRDefault="00686E9C" w:rsidP="009137CA">
      <w:pPr>
        <w:pStyle w:val="HeadingL1"/>
        <w:spacing w:after="260" w:line="280" w:lineRule="exact"/>
        <w:ind w:right="0"/>
        <w:jc w:val="both"/>
        <w:rPr>
          <w:rFonts w:ascii="Times New Roman" w:hAnsi="Times New Roman"/>
        </w:rPr>
      </w:pPr>
      <w:r w:rsidRPr="009137CA">
        <w:rPr>
          <w:rFonts w:ascii="Times New Roman" w:hAnsi="Times New Roman"/>
        </w:rPr>
        <w:t>Ground 1 of DAMSHEG's amended notice of contention: cl 2.20 of the Resources SEPP</w:t>
      </w:r>
    </w:p>
    <w:p w14:paraId="428A5B6E" w14:textId="77777777" w:rsidR="00686E9C" w:rsidRPr="009137CA" w:rsidRDefault="00686E9C" w:rsidP="009137CA">
      <w:pPr>
        <w:pStyle w:val="FixListStyle"/>
        <w:spacing w:after="260" w:line="280" w:lineRule="exact"/>
        <w:ind w:right="0"/>
        <w:jc w:val="both"/>
        <w:rPr>
          <w:rFonts w:ascii="Times New Roman" w:hAnsi="Times New Roman"/>
        </w:rPr>
      </w:pPr>
      <w:r w:rsidRPr="009137CA">
        <w:rPr>
          <w:rFonts w:ascii="Times New Roman" w:hAnsi="Times New Roman"/>
        </w:rPr>
        <w:tab/>
        <w:t xml:space="preserve">There remains to consider the balance of DAMSHEG's amended notice of contention, which contends that the order of the Court of Appeal setting aside the consent should be upheld on the basis that "the Commission did not take into consideration, in the manner required by s.4.15(1)(a)(i) and cl 2.20 of the [Resources SEPP], whether development consent should be issued subject to conditions aimed at ensuring that greenhouse gas emissions (including downstream emissions) of the development are minimised to the greatest extent practicable". </w:t>
      </w:r>
    </w:p>
    <w:p w14:paraId="50E26BD8" w14:textId="77777777" w:rsidR="00686E9C" w:rsidRPr="009137CA" w:rsidRDefault="00686E9C" w:rsidP="009137CA">
      <w:pPr>
        <w:pStyle w:val="FixListStyle"/>
        <w:spacing w:after="260" w:line="280" w:lineRule="exact"/>
        <w:ind w:right="0"/>
        <w:jc w:val="both"/>
        <w:rPr>
          <w:rFonts w:ascii="Times New Roman" w:hAnsi="Times New Roman"/>
        </w:rPr>
      </w:pPr>
      <w:r w:rsidRPr="009137CA">
        <w:rPr>
          <w:rFonts w:ascii="Times New Roman" w:hAnsi="Times New Roman"/>
        </w:rPr>
        <w:tab/>
        <w:t xml:space="preserve">It was common ground that neither MACH, the Department nor DAMSHEG suggested to the Commission that any conditions be imposed on the grant of development consent to address the Project's scope 3 GHG emissions or proposed any such conditions. As will be explained, the Commission imposed conditions on the grant of development consent to address the Project's scope 1 and 2 GHG emissions. It did not impose any conditions to address the Project's scope 3 GHG emissions and did not expressly address or refer to the possibility of imposing such conditions in its reasons. </w:t>
      </w:r>
    </w:p>
    <w:p w14:paraId="195011FE" w14:textId="77777777" w:rsidR="00686E9C" w:rsidRPr="009137CA" w:rsidRDefault="00686E9C" w:rsidP="009137CA">
      <w:pPr>
        <w:pStyle w:val="FixListStyle"/>
        <w:spacing w:after="260" w:line="280" w:lineRule="exact"/>
        <w:ind w:right="0"/>
        <w:jc w:val="both"/>
        <w:rPr>
          <w:rFonts w:ascii="Times New Roman" w:hAnsi="Times New Roman"/>
        </w:rPr>
      </w:pPr>
      <w:r w:rsidRPr="009137CA">
        <w:rPr>
          <w:rFonts w:ascii="Times New Roman" w:hAnsi="Times New Roman"/>
        </w:rPr>
        <w:lastRenderedPageBreak/>
        <w:tab/>
        <w:t>The Court of Appeal rejected DAMSHEG's contention that the Commission failed to consider whether its consent to the development should be issued subject to conditions minimising scope 3 GHG emissions. The Court held that references by the Commission in its reasons to regulating scope 3 GHG emissions through international agreements, specifically the United Nations Framework Convention on Climate Change (UNFCCC) Paris Agreement 2015 ("the Paris Agreement"), meant that it could not be inferred that the Commission failed to consider whether conditions ought to be imposed on scope 3 GHG emissions. Ward P (with whom Price A-JA agreed) also concluded that "the consequence" of DAMSHEG's "apparent forensic decision" not to proffer potential conditions in its submission to the Commission meant that it could not "now complain about the Commission's ultimate conclusion that the Scope 3 emissions were regulated elsewhere" and that the conditions imposed on the consent to address scope 1 and 2 GHG emissions "were sufficient for the purposes of cl 2.20".</w:t>
      </w:r>
    </w:p>
    <w:p w14:paraId="2FCEEC8E" w14:textId="77777777" w:rsidR="00686E9C" w:rsidRPr="009137CA" w:rsidRDefault="00686E9C" w:rsidP="009137CA">
      <w:pPr>
        <w:pStyle w:val="HeadingL2"/>
        <w:spacing w:after="260" w:line="280" w:lineRule="exact"/>
        <w:ind w:right="0"/>
        <w:jc w:val="both"/>
        <w:rPr>
          <w:rFonts w:ascii="Times New Roman" w:hAnsi="Times New Roman"/>
        </w:rPr>
      </w:pPr>
      <w:r w:rsidRPr="009137CA">
        <w:rPr>
          <w:rFonts w:ascii="Times New Roman" w:hAnsi="Times New Roman"/>
        </w:rPr>
        <w:t>Failing to consider a mandatory matter or factor</w:t>
      </w:r>
    </w:p>
    <w:p w14:paraId="3055CEAA" w14:textId="77777777" w:rsidR="00686E9C" w:rsidRPr="009137CA" w:rsidRDefault="00686E9C" w:rsidP="009137CA">
      <w:pPr>
        <w:pStyle w:val="FixListStyle"/>
        <w:spacing w:after="260" w:line="280" w:lineRule="exact"/>
        <w:ind w:right="0"/>
        <w:jc w:val="both"/>
        <w:rPr>
          <w:rFonts w:ascii="Times New Roman" w:hAnsi="Times New Roman"/>
        </w:rPr>
      </w:pPr>
      <w:r w:rsidRPr="009137CA">
        <w:rPr>
          <w:rFonts w:ascii="Times New Roman" w:hAnsi="Times New Roman"/>
        </w:rPr>
        <w:tab/>
        <w:t>As the party seeking to establish jurisdictional error in the form of a failure to consider a mandatory consideration, DAMSHEG bore the onus of proof.</w:t>
      </w:r>
      <w:r w:rsidRPr="009137CA">
        <w:rPr>
          <w:rStyle w:val="FootnoteReference"/>
          <w:rFonts w:ascii="Times New Roman" w:hAnsi="Times New Roman"/>
          <w:sz w:val="24"/>
        </w:rPr>
        <w:footnoteReference w:id="220"/>
      </w:r>
      <w:r w:rsidRPr="009137CA">
        <w:rPr>
          <w:rFonts w:ascii="Times New Roman" w:hAnsi="Times New Roman"/>
        </w:rPr>
        <w:t xml:space="preserve"> In determining whether that onus has been discharged, any factual dispute regarding what reasoning process the decision maker in fact adopted is to be resolved "[l]ike other historical facts to be determined in other civil proceedings ... on the balance of probabilities by inferences drawn from the totality of the evidence".</w:t>
      </w:r>
      <w:r w:rsidRPr="009137CA">
        <w:rPr>
          <w:rStyle w:val="FootnoteReference"/>
          <w:rFonts w:ascii="Times New Roman" w:hAnsi="Times New Roman"/>
          <w:sz w:val="24"/>
        </w:rPr>
        <w:footnoteReference w:id="221"/>
      </w:r>
      <w:r w:rsidRPr="009137CA">
        <w:rPr>
          <w:rFonts w:ascii="Times New Roman" w:hAnsi="Times New Roman"/>
        </w:rPr>
        <w:t xml:space="preserve"> The absence of any reference to a matter or factor in a decision maker's reasons can support the drawing of an inference that the matter or factor was not considered or addressed by the decision maker but the drawing of such an inference is far from inevitable. All the materials that bear on the drawing of an inference must be considered.</w:t>
      </w:r>
      <w:r w:rsidRPr="009137CA">
        <w:rPr>
          <w:rStyle w:val="FootnoteReference"/>
          <w:rFonts w:ascii="Times New Roman" w:hAnsi="Times New Roman"/>
          <w:sz w:val="24"/>
        </w:rPr>
        <w:footnoteReference w:id="222"/>
      </w:r>
      <w:r w:rsidRPr="009137CA">
        <w:rPr>
          <w:rFonts w:ascii="Times New Roman" w:hAnsi="Times New Roman"/>
        </w:rPr>
        <w:t xml:space="preserve"> So far as the reasons of a decision maker are concerned, they are to </w:t>
      </w:r>
      <w:r w:rsidRPr="009137CA">
        <w:rPr>
          <w:rFonts w:ascii="Times New Roman" w:hAnsi="Times New Roman"/>
        </w:rPr>
        <w:lastRenderedPageBreak/>
        <w:t>be given a "beneficial construction"</w:t>
      </w:r>
      <w:r w:rsidRPr="009137CA">
        <w:rPr>
          <w:rStyle w:val="FootnoteReference"/>
          <w:rFonts w:ascii="Times New Roman" w:hAnsi="Times New Roman"/>
          <w:sz w:val="24"/>
        </w:rPr>
        <w:footnoteReference w:id="223"/>
      </w:r>
      <w:r w:rsidRPr="009137CA">
        <w:rPr>
          <w:rFonts w:ascii="Times New Roman" w:hAnsi="Times New Roman"/>
        </w:rPr>
        <w:t xml:space="preserve"> with the avoidance of minute and fine scrutiny by "an eye keenly attuned to the perception of error".</w:t>
      </w:r>
      <w:r w:rsidRPr="009137CA">
        <w:rPr>
          <w:rStyle w:val="FootnoteReference"/>
          <w:rFonts w:ascii="Times New Roman" w:hAnsi="Times New Roman"/>
          <w:sz w:val="24"/>
        </w:rPr>
        <w:footnoteReference w:id="224"/>
      </w:r>
      <w:r w:rsidRPr="009137CA">
        <w:rPr>
          <w:rFonts w:ascii="Times New Roman" w:hAnsi="Times New Roman"/>
        </w:rPr>
        <w:t xml:space="preserve"> </w:t>
      </w:r>
    </w:p>
    <w:p w14:paraId="66E629BF" w14:textId="77777777" w:rsidR="00686E9C" w:rsidRPr="009137CA" w:rsidRDefault="00686E9C" w:rsidP="009137CA">
      <w:pPr>
        <w:pStyle w:val="FixListStyle"/>
        <w:spacing w:after="260" w:line="280" w:lineRule="exact"/>
        <w:ind w:right="0"/>
        <w:jc w:val="both"/>
        <w:rPr>
          <w:rFonts w:ascii="Times New Roman" w:hAnsi="Times New Roman"/>
        </w:rPr>
      </w:pPr>
      <w:r w:rsidRPr="009137CA">
        <w:rPr>
          <w:rFonts w:ascii="Times New Roman" w:hAnsi="Times New Roman"/>
        </w:rPr>
        <w:tab/>
        <w:t>Having ascertained the decision maker's reasoning process, the question for the court in a case such as this is to determine whether the decision maker performed their statutory task of considering the relevant mandatory matter or factor or, more accurately, to determine whether it has been established that they did not. In some cases it may be that the relevant matter or factor was ignored or overlooked by the decision maker entirely.</w:t>
      </w:r>
      <w:r w:rsidRPr="009137CA">
        <w:rPr>
          <w:rStyle w:val="FootnoteReference"/>
          <w:rFonts w:ascii="Times New Roman" w:hAnsi="Times New Roman"/>
          <w:sz w:val="24"/>
        </w:rPr>
        <w:footnoteReference w:id="225"/>
      </w:r>
      <w:r w:rsidRPr="009137CA">
        <w:rPr>
          <w:rFonts w:ascii="Times New Roman" w:hAnsi="Times New Roman"/>
        </w:rPr>
        <w:t xml:space="preserve"> In other cases it may be that the decision maker considered or had regard to some matter or factor akin or related to the matter or factor required by the statute (or regulation or instrument) to be considered, but the court may find that, as a matter of construction, that matter or factor was not </w:t>
      </w:r>
      <w:r w:rsidRPr="009137CA">
        <w:rPr>
          <w:rFonts w:ascii="Times New Roman" w:hAnsi="Times New Roman"/>
          <w:i/>
          <w:iCs/>
        </w:rPr>
        <w:t>the</w:t>
      </w:r>
      <w:r w:rsidRPr="009137CA">
        <w:rPr>
          <w:rFonts w:ascii="Times New Roman" w:hAnsi="Times New Roman"/>
        </w:rPr>
        <w:t xml:space="preserve"> matter or factor required to be considered by the statute (or regulation or instrument). Thus, for example, in</w:t>
      </w:r>
      <w:r w:rsidRPr="009137CA">
        <w:rPr>
          <w:rFonts w:ascii="Times New Roman" w:hAnsi="Times New Roman"/>
          <w:i/>
          <w:iCs/>
        </w:rPr>
        <w:t xml:space="preserve"> R v Hunt; Ex parte Sean Investments Pty Ltd</w:t>
      </w:r>
      <w:r w:rsidRPr="009137CA">
        <w:rPr>
          <w:rFonts w:ascii="Times New Roman" w:hAnsi="Times New Roman"/>
        </w:rPr>
        <w:t>, in determining the applicable scale of fees in relation to a particular nursing home, the decision maker was obliged to "have regard to costs necessarily incurred in providing nursing home care in the nursing home".</w:t>
      </w:r>
      <w:r w:rsidRPr="009137CA">
        <w:rPr>
          <w:rStyle w:val="FootnoteReference"/>
          <w:rFonts w:ascii="Times New Roman" w:hAnsi="Times New Roman"/>
          <w:sz w:val="24"/>
        </w:rPr>
        <w:footnoteReference w:id="226"/>
      </w:r>
      <w:r w:rsidRPr="009137CA">
        <w:rPr>
          <w:rFonts w:ascii="Times New Roman" w:hAnsi="Times New Roman"/>
        </w:rPr>
        <w:t xml:space="preserve"> The decision maker failed to take that consideration into account because they proceeded on the incorrect understanding that the sole question was to consider whether a cost in the form of a rental increase was reasonably, as opposed to necessarily, incurred by the nursing home.</w:t>
      </w:r>
      <w:r w:rsidRPr="009137CA">
        <w:rPr>
          <w:rStyle w:val="FootnoteReference"/>
          <w:rFonts w:ascii="Times New Roman" w:hAnsi="Times New Roman"/>
          <w:sz w:val="24"/>
        </w:rPr>
        <w:footnoteReference w:id="227"/>
      </w:r>
      <w:r w:rsidRPr="009137CA">
        <w:rPr>
          <w:rFonts w:ascii="Times New Roman" w:hAnsi="Times New Roman"/>
        </w:rPr>
        <w:t xml:space="preserve"> </w:t>
      </w:r>
    </w:p>
    <w:p w14:paraId="26DC63FF" w14:textId="77777777" w:rsidR="00686E9C" w:rsidRPr="009137CA" w:rsidRDefault="00686E9C" w:rsidP="009137CA">
      <w:pPr>
        <w:pStyle w:val="FixListStyle"/>
        <w:spacing w:after="260" w:line="280" w:lineRule="exact"/>
        <w:ind w:right="0"/>
        <w:jc w:val="both"/>
        <w:rPr>
          <w:rFonts w:ascii="Times New Roman" w:hAnsi="Times New Roman"/>
        </w:rPr>
      </w:pPr>
      <w:r w:rsidRPr="009137CA">
        <w:rPr>
          <w:rFonts w:ascii="Times New Roman" w:hAnsi="Times New Roman"/>
        </w:rPr>
        <w:tab/>
        <w:t xml:space="preserve">In yet other cases, the decision maker may have adverted to the correct matter or factor but the court's findings with respect to the decision maker's reasoning process may establish that the decision maker did not satisfy a particular statutory requirement to "consider", "have regard to" or "take into account" the </w:t>
      </w:r>
      <w:r w:rsidRPr="009137CA">
        <w:rPr>
          <w:rFonts w:ascii="Times New Roman" w:hAnsi="Times New Roman"/>
        </w:rPr>
        <w:lastRenderedPageBreak/>
        <w:t>matter or factor. While the content of such an obligation is statute dependent,</w:t>
      </w:r>
      <w:r w:rsidRPr="009137CA">
        <w:rPr>
          <w:rStyle w:val="FootnoteReference"/>
          <w:rFonts w:ascii="Times New Roman" w:hAnsi="Times New Roman"/>
          <w:sz w:val="24"/>
        </w:rPr>
        <w:footnoteReference w:id="228"/>
      </w:r>
      <w:r w:rsidRPr="009137CA">
        <w:rPr>
          <w:rFonts w:ascii="Times New Roman" w:hAnsi="Times New Roman"/>
        </w:rPr>
        <w:t xml:space="preserve"> there are various useful formulations of what is required to discharge such an obligation, one of which has already been referred to, being that stated by Mason</w:t>
      </w:r>
      <w:r>
        <w:rPr>
          <w:rFonts w:ascii="Times New Roman" w:hAnsi="Times New Roman"/>
        </w:rPr>
        <w:t> </w:t>
      </w:r>
      <w:r w:rsidRPr="009137CA">
        <w:rPr>
          <w:rFonts w:ascii="Times New Roman" w:hAnsi="Times New Roman"/>
        </w:rPr>
        <w:t xml:space="preserve">J in </w:t>
      </w:r>
      <w:r w:rsidRPr="009137CA">
        <w:rPr>
          <w:rFonts w:ascii="Times New Roman" w:hAnsi="Times New Roman"/>
          <w:i/>
          <w:iCs/>
        </w:rPr>
        <w:t xml:space="preserve">Sean Investments </w:t>
      </w:r>
      <w:r w:rsidRPr="009137CA">
        <w:rPr>
          <w:rFonts w:ascii="Times New Roman" w:hAnsi="Times New Roman"/>
        </w:rPr>
        <w:t>concerning a statutory requirement to "have regard to" a factor. His Honour observed that the factor had to be "give[n] weight … as a fundamental element in making" the relevant determination.</w:t>
      </w:r>
      <w:r w:rsidRPr="009137CA">
        <w:rPr>
          <w:rStyle w:val="FootnoteReference"/>
          <w:rFonts w:ascii="Times New Roman" w:hAnsi="Times New Roman"/>
          <w:sz w:val="24"/>
        </w:rPr>
        <w:footnoteReference w:id="229"/>
      </w:r>
      <w:r w:rsidRPr="009137CA">
        <w:rPr>
          <w:rFonts w:ascii="Times New Roman" w:hAnsi="Times New Roman"/>
        </w:rPr>
        <w:t xml:space="preserve"> To arguably similar effect, a statutory obligation to "have regard to" information provided by an applicant for a visa has been described as requiring the decision maker to engage in "an active intellectual process" directed at the information.</w:t>
      </w:r>
      <w:r w:rsidRPr="009137CA">
        <w:rPr>
          <w:rStyle w:val="FootnoteReference"/>
          <w:rFonts w:ascii="Times New Roman" w:hAnsi="Times New Roman"/>
          <w:sz w:val="24"/>
        </w:rPr>
        <w:footnoteReference w:id="230"/>
      </w:r>
      <w:r w:rsidRPr="009137CA">
        <w:rPr>
          <w:rFonts w:ascii="Times New Roman" w:hAnsi="Times New Roman"/>
        </w:rPr>
        <w:t xml:space="preserve"> Even so, in determining whether the decision maker discharged their statutory obligation, the court does not undertake merits review.</w:t>
      </w:r>
      <w:r w:rsidRPr="009137CA">
        <w:rPr>
          <w:rStyle w:val="FootnoteReference"/>
          <w:rFonts w:ascii="Times New Roman" w:hAnsi="Times New Roman"/>
          <w:sz w:val="24"/>
        </w:rPr>
        <w:footnoteReference w:id="231"/>
      </w:r>
      <w:r w:rsidRPr="009137CA">
        <w:rPr>
          <w:rFonts w:ascii="Times New Roman" w:hAnsi="Times New Roman"/>
        </w:rPr>
        <w:t xml:space="preserve"> Leaving aside consideration of whether the decision was unreasonable, the weight to be attributed to the matter or factor in issue is a matter for the decision maker to determine.</w:t>
      </w:r>
      <w:r w:rsidRPr="009137CA">
        <w:rPr>
          <w:rStyle w:val="FootnoteReference"/>
          <w:rFonts w:ascii="Times New Roman" w:hAnsi="Times New Roman"/>
          <w:sz w:val="24"/>
        </w:rPr>
        <w:footnoteReference w:id="232"/>
      </w:r>
      <w:r w:rsidRPr="009137CA">
        <w:rPr>
          <w:rFonts w:ascii="Times New Roman" w:hAnsi="Times New Roman"/>
        </w:rPr>
        <w:t xml:space="preserve"> </w:t>
      </w:r>
    </w:p>
    <w:p w14:paraId="6FF4FEC8" w14:textId="77777777" w:rsidR="00686E9C" w:rsidRPr="009137CA" w:rsidRDefault="00686E9C" w:rsidP="009137CA">
      <w:pPr>
        <w:pStyle w:val="FixListStyle"/>
        <w:spacing w:after="260" w:line="280" w:lineRule="exact"/>
        <w:ind w:right="0"/>
        <w:jc w:val="both"/>
        <w:rPr>
          <w:rFonts w:ascii="Times New Roman" w:hAnsi="Times New Roman"/>
        </w:rPr>
      </w:pPr>
      <w:r w:rsidRPr="009137CA">
        <w:rPr>
          <w:rFonts w:ascii="Times New Roman" w:hAnsi="Times New Roman"/>
        </w:rPr>
        <w:tab/>
        <w:t>Navigating these waters is not straightforward. As Basten JA has observed, "the difficulty is to articulate a legal standard between a level of consideration which appears to be cursory or dismissive (and therefore inadequate) and a level of consideration which requires an assessment of the conclusions reached by the decision-maker (and is therefore beyond the role of the court)".</w:t>
      </w:r>
      <w:r w:rsidRPr="009137CA">
        <w:rPr>
          <w:rStyle w:val="FootnoteReference"/>
          <w:rFonts w:ascii="Times New Roman" w:hAnsi="Times New Roman"/>
          <w:sz w:val="24"/>
        </w:rPr>
        <w:footnoteReference w:id="233"/>
      </w:r>
      <w:r w:rsidRPr="009137CA">
        <w:rPr>
          <w:rFonts w:ascii="Times New Roman" w:hAnsi="Times New Roman"/>
        </w:rPr>
        <w:t xml:space="preserve"> Ultimately, what level of engagement is required of the decision maker to discharge their obligation to "consider", "have regard to" or "take into account" a mandatory matter or factor will depend upon the "subject matter and purpose of the consideration" in a given statutory context,</w:t>
      </w:r>
      <w:r w:rsidRPr="009137CA">
        <w:rPr>
          <w:rStyle w:val="FootnoteReference"/>
          <w:rFonts w:ascii="Times New Roman" w:hAnsi="Times New Roman"/>
          <w:sz w:val="24"/>
        </w:rPr>
        <w:footnoteReference w:id="234"/>
      </w:r>
      <w:r w:rsidRPr="009137CA">
        <w:rPr>
          <w:rFonts w:ascii="Times New Roman" w:hAnsi="Times New Roman"/>
        </w:rPr>
        <w:t xml:space="preserve"> </w:t>
      </w:r>
      <w:r w:rsidRPr="009137CA" w:rsidDel="004925F1">
        <w:rPr>
          <w:rFonts w:ascii="Times New Roman" w:hAnsi="Times New Roman"/>
        </w:rPr>
        <w:t xml:space="preserve">and </w:t>
      </w:r>
      <w:r w:rsidRPr="009137CA">
        <w:rPr>
          <w:rFonts w:ascii="Times New Roman" w:hAnsi="Times New Roman"/>
        </w:rPr>
        <w:t>the circumstances of the particular case.</w:t>
      </w:r>
      <w:r w:rsidRPr="009137CA">
        <w:rPr>
          <w:rStyle w:val="FootnoteReference"/>
          <w:rFonts w:ascii="Times New Roman" w:hAnsi="Times New Roman"/>
          <w:sz w:val="24"/>
        </w:rPr>
        <w:footnoteReference w:id="235"/>
      </w:r>
      <w:r w:rsidRPr="009137CA">
        <w:rPr>
          <w:rFonts w:ascii="Times New Roman" w:hAnsi="Times New Roman"/>
        </w:rPr>
        <w:t xml:space="preserve"> </w:t>
      </w:r>
    </w:p>
    <w:p w14:paraId="24DF33FF" w14:textId="77777777" w:rsidR="00686E9C" w:rsidRPr="009137CA" w:rsidRDefault="00686E9C" w:rsidP="009137CA">
      <w:pPr>
        <w:pStyle w:val="HeadingL2"/>
        <w:spacing w:after="260" w:line="280" w:lineRule="exact"/>
        <w:ind w:right="0"/>
        <w:jc w:val="both"/>
        <w:rPr>
          <w:rFonts w:ascii="Times New Roman" w:hAnsi="Times New Roman"/>
        </w:rPr>
      </w:pPr>
      <w:r w:rsidRPr="009137CA">
        <w:rPr>
          <w:rFonts w:ascii="Times New Roman" w:hAnsi="Times New Roman"/>
        </w:rPr>
        <w:lastRenderedPageBreak/>
        <w:t>Clause 2.20 of the Resources SEPP</w:t>
      </w:r>
    </w:p>
    <w:p w14:paraId="21DA827F" w14:textId="77777777" w:rsidR="00686E9C" w:rsidRPr="009137CA" w:rsidRDefault="00686E9C" w:rsidP="009137CA">
      <w:pPr>
        <w:pStyle w:val="FixListStyle"/>
        <w:spacing w:after="260" w:line="280" w:lineRule="exact"/>
        <w:ind w:right="0"/>
        <w:jc w:val="both"/>
        <w:rPr>
          <w:rFonts w:ascii="Times New Roman" w:hAnsi="Times New Roman"/>
        </w:rPr>
      </w:pPr>
      <w:r w:rsidRPr="009137CA">
        <w:rPr>
          <w:rFonts w:ascii="Times New Roman" w:hAnsi="Times New Roman"/>
        </w:rPr>
        <w:tab/>
        <w:t>The focus of the first ground of DAMSHEG's amended notice of contention is cl 2.20(1)(c) of the Resources SEPP. Clause 2.20 of the Resources SEPP provides:</w:t>
      </w:r>
    </w:p>
    <w:p w14:paraId="56CD1934" w14:textId="77777777" w:rsidR="00686E9C" w:rsidRPr="009137CA" w:rsidRDefault="00686E9C" w:rsidP="009137CA">
      <w:pPr>
        <w:pStyle w:val="LRHangingafterHC"/>
        <w:spacing w:before="0" w:after="260" w:line="280" w:lineRule="exact"/>
        <w:ind w:right="0"/>
        <w:jc w:val="both"/>
        <w:rPr>
          <w:rFonts w:ascii="Times New Roman" w:hAnsi="Times New Roman"/>
        </w:rPr>
      </w:pPr>
      <w:r w:rsidRPr="009137CA">
        <w:rPr>
          <w:rFonts w:ascii="Times New Roman" w:hAnsi="Times New Roman"/>
        </w:rPr>
        <w:t>"(1)</w:t>
      </w:r>
      <w:r w:rsidRPr="009137CA">
        <w:rPr>
          <w:rFonts w:ascii="Times New Roman" w:hAnsi="Times New Roman"/>
        </w:rPr>
        <w:tab/>
        <w:t xml:space="preserve">Before granting consent for development for the purposes of mining, petroleum production or extractive industry, the consent authority must consider whether or not the consent should be issued subject to conditions aimed at ensuring that the development is undertaken in an environmentally responsible manner, including </w:t>
      </w:r>
      <w:r w:rsidRPr="009137CA">
        <w:rPr>
          <w:rFonts w:ascii="Times New Roman" w:hAnsi="Times New Roman"/>
          <w:i/>
          <w:iCs/>
        </w:rPr>
        <w:t>conditions to ensure</w:t>
      </w:r>
      <w:r w:rsidRPr="009137CA">
        <w:rPr>
          <w:rFonts w:ascii="Times New Roman" w:hAnsi="Times New Roman"/>
        </w:rPr>
        <w:t xml:space="preserve"> the following –</w:t>
      </w:r>
    </w:p>
    <w:p w14:paraId="154CBC48" w14:textId="77777777" w:rsidR="00686E9C" w:rsidRPr="009137CA" w:rsidRDefault="00686E9C" w:rsidP="009137CA">
      <w:pPr>
        <w:pStyle w:val="LRHangingMore"/>
        <w:spacing w:before="0" w:after="260" w:line="280" w:lineRule="exact"/>
        <w:ind w:right="0"/>
        <w:jc w:val="both"/>
        <w:rPr>
          <w:rFonts w:ascii="Times New Roman" w:hAnsi="Times New Roman"/>
        </w:rPr>
      </w:pPr>
      <w:r w:rsidRPr="009137CA">
        <w:rPr>
          <w:rFonts w:ascii="Times New Roman" w:hAnsi="Times New Roman"/>
        </w:rPr>
        <w:t>(a)</w:t>
      </w:r>
      <w:r w:rsidRPr="009137CA">
        <w:rPr>
          <w:rFonts w:ascii="Times New Roman" w:hAnsi="Times New Roman"/>
        </w:rPr>
        <w:tab/>
        <w:t>that impacts on significant water resources, including surface and groundwater resources, are avoided, or are minimised to the greatest extent practicable,</w:t>
      </w:r>
    </w:p>
    <w:p w14:paraId="3BDFC835" w14:textId="77777777" w:rsidR="00686E9C" w:rsidRPr="009137CA" w:rsidRDefault="00686E9C" w:rsidP="009137CA">
      <w:pPr>
        <w:pStyle w:val="LRHangingMore"/>
        <w:spacing w:before="0" w:after="260" w:line="280" w:lineRule="exact"/>
        <w:ind w:right="0"/>
        <w:jc w:val="both"/>
        <w:rPr>
          <w:rFonts w:ascii="Times New Roman" w:hAnsi="Times New Roman"/>
        </w:rPr>
      </w:pPr>
      <w:r w:rsidRPr="009137CA">
        <w:rPr>
          <w:rFonts w:ascii="Times New Roman" w:hAnsi="Times New Roman"/>
        </w:rPr>
        <w:t>(b)</w:t>
      </w:r>
      <w:r w:rsidRPr="009137CA">
        <w:rPr>
          <w:rFonts w:ascii="Times New Roman" w:hAnsi="Times New Roman"/>
        </w:rPr>
        <w:tab/>
        <w:t>that impacts on threatened species and biodiversity, are avoided, or are minimised to the greatest extent practicable,</w:t>
      </w:r>
    </w:p>
    <w:p w14:paraId="13107FFC" w14:textId="77777777" w:rsidR="00686E9C" w:rsidRPr="009137CA" w:rsidRDefault="00686E9C" w:rsidP="009137CA">
      <w:pPr>
        <w:pStyle w:val="LRHangingMore"/>
        <w:spacing w:before="0" w:after="260" w:line="280" w:lineRule="exact"/>
        <w:ind w:right="0"/>
        <w:jc w:val="both"/>
        <w:rPr>
          <w:rFonts w:ascii="Times New Roman" w:hAnsi="Times New Roman"/>
        </w:rPr>
      </w:pPr>
      <w:r w:rsidRPr="009137CA">
        <w:rPr>
          <w:rFonts w:ascii="Times New Roman" w:hAnsi="Times New Roman"/>
        </w:rPr>
        <w:t>(c)</w:t>
      </w:r>
      <w:r w:rsidRPr="009137CA">
        <w:rPr>
          <w:rFonts w:ascii="Times New Roman" w:hAnsi="Times New Roman"/>
        </w:rPr>
        <w:tab/>
      </w:r>
      <w:r w:rsidRPr="009137CA">
        <w:rPr>
          <w:rFonts w:ascii="Times New Roman" w:hAnsi="Times New Roman"/>
          <w:i/>
          <w:iCs/>
        </w:rPr>
        <w:t>that greenhouse gas emissions are minimised to the greatest extent practicable</w:t>
      </w:r>
      <w:r w:rsidRPr="009137CA">
        <w:rPr>
          <w:rFonts w:ascii="Times New Roman" w:hAnsi="Times New Roman"/>
        </w:rPr>
        <w:t>.</w:t>
      </w:r>
    </w:p>
    <w:p w14:paraId="7B0A9B25" w14:textId="77777777" w:rsidR="00686E9C" w:rsidRDefault="00686E9C" w:rsidP="009137CA">
      <w:pPr>
        <w:pStyle w:val="LeftrightHanging"/>
        <w:spacing w:before="0" w:after="260" w:line="280" w:lineRule="exact"/>
        <w:ind w:right="0"/>
        <w:jc w:val="both"/>
        <w:rPr>
          <w:rFonts w:ascii="Times New Roman" w:hAnsi="Times New Roman"/>
        </w:rPr>
      </w:pPr>
      <w:r w:rsidRPr="009137CA">
        <w:rPr>
          <w:rFonts w:ascii="Times New Roman" w:hAnsi="Times New Roman"/>
        </w:rPr>
        <w:t>(2)</w:t>
      </w:r>
      <w:r w:rsidRPr="009137CA">
        <w:rPr>
          <w:rFonts w:ascii="Times New Roman" w:hAnsi="Times New Roman"/>
        </w:rPr>
        <w:tab/>
        <w:t xml:space="preserve">Without limiting [cl 2.20(1)], in determining a development application for development for the purposes of mining, petroleum production or extractive industry, the consent authority must consider an assessment of the </w:t>
      </w:r>
      <w:r w:rsidRPr="009137CA">
        <w:rPr>
          <w:rFonts w:ascii="Times New Roman" w:hAnsi="Times New Roman"/>
          <w:i/>
          <w:iCs/>
        </w:rPr>
        <w:t>greenhouse gas emissions (including downstream emissions)</w:t>
      </w:r>
      <w:r w:rsidRPr="009137CA">
        <w:rPr>
          <w:rFonts w:ascii="Times New Roman" w:hAnsi="Times New Roman"/>
        </w:rPr>
        <w:t xml:space="preserve"> of the development, and must do so having regard to any applicable State or national policies, programs or guidelines concerning greenhouse gas emissions." (emphasis added)</w:t>
      </w:r>
    </w:p>
    <w:p w14:paraId="60EEC7E9" w14:textId="77777777" w:rsidR="00686E9C" w:rsidRPr="009137CA" w:rsidRDefault="00686E9C" w:rsidP="009137CA">
      <w:pPr>
        <w:pStyle w:val="FixListStyle"/>
        <w:spacing w:after="260" w:line="280" w:lineRule="exact"/>
        <w:ind w:right="0"/>
        <w:jc w:val="both"/>
        <w:rPr>
          <w:rFonts w:ascii="Times New Roman" w:hAnsi="Times New Roman"/>
        </w:rPr>
      </w:pPr>
      <w:r w:rsidRPr="009137CA">
        <w:rPr>
          <w:rFonts w:ascii="Times New Roman" w:hAnsi="Times New Roman"/>
        </w:rPr>
        <w:tab/>
        <w:t>Each of cl 2.20(1) and (2) of the Resources SEPP is a "provision" of an applicable environmental planning instrument for the purposes of s 4.15(1)(a)(i) of the EPA Act. Accepting that s 4.15(1)(a)(i) of the EPA Act does not oblige the consent authority to treat the Resources SEPP as a binding statute,</w:t>
      </w:r>
      <w:r w:rsidRPr="009137CA">
        <w:rPr>
          <w:rStyle w:val="FootnoteReference"/>
          <w:rFonts w:ascii="Times New Roman" w:hAnsi="Times New Roman"/>
          <w:sz w:val="24"/>
        </w:rPr>
        <w:footnoteReference w:id="236"/>
      </w:r>
      <w:r w:rsidRPr="009137CA">
        <w:rPr>
          <w:rFonts w:ascii="Times New Roman" w:hAnsi="Times New Roman"/>
        </w:rPr>
        <w:t xml:space="preserve"> the Commission was still obliged to consider each of cl 2.20(1) and (2). In this case the Commission endeavoured to apply the Resources SEPP. Section 4.15(1)(a)(i) of the EPA Act does not enable the Commission to consider and apply only </w:t>
      </w:r>
      <w:r w:rsidRPr="009137CA">
        <w:rPr>
          <w:rFonts w:ascii="Times New Roman" w:hAnsi="Times New Roman"/>
          <w:i/>
          <w:iCs/>
        </w:rPr>
        <w:t>part</w:t>
      </w:r>
      <w:r w:rsidRPr="009137CA">
        <w:rPr>
          <w:rFonts w:ascii="Times New Roman" w:hAnsi="Times New Roman"/>
        </w:rPr>
        <w:t xml:space="preserve"> of a provision of an environmental planning instrument such as cl 2.20 (and the Commission did not purport to do so).   </w:t>
      </w:r>
    </w:p>
    <w:p w14:paraId="43781E05" w14:textId="77777777" w:rsidR="00686E9C" w:rsidRPr="009137CA" w:rsidRDefault="00686E9C" w:rsidP="009137CA">
      <w:pPr>
        <w:pStyle w:val="FixListStyle"/>
        <w:spacing w:after="260" w:line="280" w:lineRule="exact"/>
        <w:ind w:right="0"/>
        <w:jc w:val="both"/>
        <w:rPr>
          <w:rFonts w:ascii="Times New Roman" w:hAnsi="Times New Roman"/>
        </w:rPr>
      </w:pPr>
      <w:r w:rsidRPr="009137CA">
        <w:rPr>
          <w:rFonts w:ascii="Times New Roman" w:hAnsi="Times New Roman"/>
        </w:rPr>
        <w:tab/>
        <w:t>Sub</w:t>
      </w:r>
      <w:r>
        <w:rPr>
          <w:rFonts w:ascii="Times New Roman" w:hAnsi="Times New Roman"/>
        </w:rPr>
        <w:t>-</w:t>
      </w:r>
      <w:r w:rsidRPr="009137CA">
        <w:rPr>
          <w:rFonts w:ascii="Times New Roman" w:hAnsi="Times New Roman"/>
        </w:rPr>
        <w:t xml:space="preserve">clauses (1) and (2) of cl 2.20 describe distinct obligations of the consent authority. Clause 2.20(2) refers to an obligation of the consent authority </w:t>
      </w:r>
      <w:r w:rsidRPr="009137CA">
        <w:rPr>
          <w:rFonts w:ascii="Times New Roman" w:hAnsi="Times New Roman"/>
          <w:i/>
          <w:iCs/>
        </w:rPr>
        <w:t xml:space="preserve">in </w:t>
      </w:r>
      <w:r w:rsidRPr="009137CA">
        <w:rPr>
          <w:rFonts w:ascii="Times New Roman" w:hAnsi="Times New Roman"/>
          <w:i/>
          <w:iCs/>
        </w:rPr>
        <w:lastRenderedPageBreak/>
        <w:t>determining</w:t>
      </w:r>
      <w:r w:rsidRPr="009137CA">
        <w:rPr>
          <w:rFonts w:ascii="Times New Roman" w:hAnsi="Times New Roman"/>
        </w:rPr>
        <w:t xml:space="preserve"> a development application to "consider" an "assessment" of the development's GHG emissions, including "downstream" GHG emissions, which, at least in this case, correspond to scope 3 GHG emissions. That process of considering the assessment must be undertaken "having regard to any applicable State or national policies, programs or guidelines concerning greenhouse gas emissions". </w:t>
      </w:r>
    </w:p>
    <w:p w14:paraId="722480A0" w14:textId="77777777" w:rsidR="00686E9C" w:rsidRPr="009137CA" w:rsidRDefault="00686E9C" w:rsidP="009137CA">
      <w:pPr>
        <w:pStyle w:val="FixListStyle"/>
        <w:spacing w:after="260" w:line="280" w:lineRule="exact"/>
        <w:ind w:right="0"/>
        <w:jc w:val="both"/>
        <w:rPr>
          <w:rFonts w:ascii="Times New Roman" w:hAnsi="Times New Roman"/>
        </w:rPr>
      </w:pPr>
      <w:r w:rsidRPr="009137CA">
        <w:rPr>
          <w:rFonts w:ascii="Times New Roman" w:hAnsi="Times New Roman"/>
        </w:rPr>
        <w:tab/>
        <w:t xml:space="preserve">Clause 2.20(1) describes an obligation of the Commission, before </w:t>
      </w:r>
      <w:r w:rsidRPr="009137CA">
        <w:rPr>
          <w:rFonts w:ascii="Times New Roman" w:hAnsi="Times New Roman"/>
          <w:i/>
          <w:iCs/>
        </w:rPr>
        <w:t>it</w:t>
      </w:r>
      <w:r w:rsidRPr="009137CA">
        <w:rPr>
          <w:rFonts w:ascii="Times New Roman" w:hAnsi="Times New Roman"/>
        </w:rPr>
        <w:t xml:space="preserve"> </w:t>
      </w:r>
      <w:r w:rsidRPr="009137CA">
        <w:rPr>
          <w:rFonts w:ascii="Times New Roman" w:hAnsi="Times New Roman"/>
          <w:i/>
          <w:iCs/>
        </w:rPr>
        <w:t>grants consent</w:t>
      </w:r>
      <w:r w:rsidRPr="009137CA">
        <w:rPr>
          <w:rFonts w:ascii="Times New Roman" w:hAnsi="Times New Roman"/>
        </w:rPr>
        <w:t xml:space="preserve"> for development for the purposes of mining etc, namely to "consider whether ... the consent should be issued subject to conditions aimed at ensuring that the development is undertaken in an environmentally responsible manner" including, relevantly, "conditions to ensure ... that greenhouse gas emissions are minimised to the greatest extent practicable". No doubt a consideration of the GHG emissions assessment as referred to in cl 2.20(2) facilitates the performance of the obligation referred to in cl 2.20(1)(c). Absent cl 2.20(2), acting in conformity with cl 2.20(1)(c) would be difficult without an assessment of the GHG emissions resulting or arising from the development. However, the obligations are distinct. Hence cl 2.20(2) is prefaced by the words "[w]ithout limiting [cl 2.20(1)]". Without more, performance of the obligation referred to in cl 2.20(2) does not involve performance of the obligation referred to in cl 2.20(1)(c).</w:t>
      </w:r>
    </w:p>
    <w:p w14:paraId="7D678005" w14:textId="77777777" w:rsidR="00686E9C" w:rsidRPr="009137CA" w:rsidRDefault="00686E9C" w:rsidP="009137CA">
      <w:pPr>
        <w:pStyle w:val="FixListStyle"/>
        <w:spacing w:after="260" w:line="280" w:lineRule="exact"/>
        <w:ind w:right="0"/>
        <w:jc w:val="both"/>
        <w:rPr>
          <w:rFonts w:ascii="Times New Roman" w:hAnsi="Times New Roman"/>
        </w:rPr>
      </w:pPr>
      <w:r w:rsidRPr="009137CA">
        <w:rPr>
          <w:rFonts w:ascii="Times New Roman" w:hAnsi="Times New Roman"/>
        </w:rPr>
        <w:tab/>
        <w:t xml:space="preserve">It follows that the reference to "including downstream emissions" in cl 2.20(2) confirms that the reference to "greenhouse gas emissions" in cl 2.20(1)(c) must also include "downstream emissions" (ie, scope 3 GHG emissions). The scheme of cl 2.20 would be defective if, in determining a development application under cl 2.20(2), consideration was given to an assessment of all of a development's GHG emissions, including scope 3 GHG emissions, but the consent authority was only required to consider whether the consent should be issued subject to conditions to minimise scope 1 and 2 GHG emissions under cl 2.20(1)(c). Contrary to MACH's submissions, excluding scope 3 GHG emissions from any consideration of whether the consent should be issued subject to conditions to ensure that GHG emissions are minimised to the greatest extent practicable would involve a failure to comply with s 4.15(1)(a)(i). </w:t>
      </w:r>
    </w:p>
    <w:p w14:paraId="06A73070" w14:textId="77777777" w:rsidR="00686E9C" w:rsidRPr="009137CA" w:rsidRDefault="00686E9C" w:rsidP="009137CA">
      <w:pPr>
        <w:pStyle w:val="FixListStyle"/>
        <w:spacing w:after="260" w:line="280" w:lineRule="exact"/>
        <w:ind w:right="0"/>
        <w:jc w:val="both"/>
        <w:rPr>
          <w:rFonts w:ascii="Times New Roman" w:hAnsi="Times New Roman"/>
        </w:rPr>
      </w:pPr>
      <w:r w:rsidRPr="009137CA">
        <w:rPr>
          <w:rFonts w:ascii="Times New Roman" w:hAnsi="Times New Roman"/>
        </w:rPr>
        <w:tab/>
        <w:t xml:space="preserve">Moreover, the composite nature of the obligation described by cl 2.20(1)(c) to "consider whether or not the consent should be issued subject to conditions ... to ensure ... that greenhouse gas emissions are minimised to the greatest extent practicable" must be borne in mind. As was the case with the flawed consideration in </w:t>
      </w:r>
      <w:r w:rsidRPr="009137CA">
        <w:rPr>
          <w:rFonts w:ascii="Times New Roman" w:hAnsi="Times New Roman"/>
          <w:i/>
        </w:rPr>
        <w:t>Sean Investments</w:t>
      </w:r>
      <w:r w:rsidRPr="009137CA">
        <w:rPr>
          <w:rFonts w:ascii="Times New Roman" w:hAnsi="Times New Roman"/>
        </w:rPr>
        <w:t xml:space="preserve"> of whether the nursing home's increased rent was reasonably incurred as opposed to necessarily incurred,</w:t>
      </w:r>
      <w:r w:rsidRPr="009137CA">
        <w:rPr>
          <w:rStyle w:val="FootnoteReference"/>
          <w:rFonts w:ascii="Times New Roman" w:hAnsi="Times New Roman"/>
          <w:sz w:val="24"/>
        </w:rPr>
        <w:footnoteReference w:id="237"/>
      </w:r>
      <w:r w:rsidRPr="009137CA">
        <w:rPr>
          <w:rFonts w:ascii="Times New Roman" w:hAnsi="Times New Roman"/>
        </w:rPr>
        <w:t xml:space="preserve"> the obligation described by cl 2.20(1)(c) is not discharged simply by considering whether or not a consent should be issued subject to conditions in order to address or appropriately regulate scope 3 GHG emissions. The "active intellectual process" required to satisfy </w:t>
      </w:r>
      <w:r w:rsidRPr="009137CA">
        <w:rPr>
          <w:rFonts w:ascii="Times New Roman" w:hAnsi="Times New Roman"/>
        </w:rPr>
        <w:lastRenderedPageBreak/>
        <w:t>s</w:t>
      </w:r>
      <w:r>
        <w:rPr>
          <w:rFonts w:ascii="Times New Roman" w:hAnsi="Times New Roman"/>
        </w:rPr>
        <w:t> </w:t>
      </w:r>
      <w:r w:rsidRPr="009137CA">
        <w:rPr>
          <w:rFonts w:ascii="Times New Roman" w:hAnsi="Times New Roman"/>
        </w:rPr>
        <w:t xml:space="preserve">4.15(1)(a)(i) insofar as it refers to cl 2.20(1)(c) is directed to considering whether the consent should be issued subject to conditions that have a sharper objective, namely to ensure that all GHG emissions, including scope 3 GHG emissions, are minimised to the greatest extent practicable. </w:t>
      </w:r>
    </w:p>
    <w:p w14:paraId="56F9EC76" w14:textId="77777777" w:rsidR="00686E9C" w:rsidRPr="009137CA" w:rsidRDefault="00686E9C" w:rsidP="009137CA">
      <w:pPr>
        <w:pStyle w:val="HeadingL2"/>
        <w:spacing w:after="260" w:line="280" w:lineRule="exact"/>
        <w:ind w:right="0"/>
        <w:jc w:val="both"/>
        <w:rPr>
          <w:rFonts w:ascii="Times New Roman" w:hAnsi="Times New Roman"/>
        </w:rPr>
      </w:pPr>
      <w:r w:rsidRPr="009137CA">
        <w:rPr>
          <w:rFonts w:ascii="Times New Roman" w:hAnsi="Times New Roman"/>
        </w:rPr>
        <w:t>The Commission's reasons and GHG emissions</w:t>
      </w:r>
    </w:p>
    <w:p w14:paraId="4CF15869" w14:textId="77777777" w:rsidR="00686E9C" w:rsidRPr="009137CA" w:rsidRDefault="00686E9C" w:rsidP="009137CA">
      <w:pPr>
        <w:pStyle w:val="FixListStyle"/>
        <w:spacing w:after="260" w:line="280" w:lineRule="exact"/>
        <w:ind w:right="0"/>
        <w:jc w:val="both"/>
        <w:rPr>
          <w:rFonts w:ascii="Times New Roman" w:hAnsi="Times New Roman"/>
        </w:rPr>
      </w:pPr>
      <w:r w:rsidRPr="009137CA">
        <w:rPr>
          <w:rFonts w:ascii="Times New Roman" w:hAnsi="Times New Roman"/>
        </w:rPr>
        <w:tab/>
        <w:t xml:space="preserve">The Commission's reasons are lengthy and purport to be comprehensive. Even so, there is no express reference in the Commission's reasons to the Commission having considered whether consent to the development should be issued subject to any conditions concerning scope 3 GHG emissions, much less to conditions to ensure that scope 3 GHG emissions are minimised to the greatest extent practicable. However, as stated, that absence is not determinative as to whether the inference sought by DAMSHEG, that the Commission did not discharge its obligation under s 4.15(1)(a)(i) of the EPA Act to consider cl 2.20(1)(c) of the Resources SEPP, should be drawn. Further analysis of the reasons in the context of the statutory scheme is required. </w:t>
      </w:r>
    </w:p>
    <w:p w14:paraId="61D9A369" w14:textId="77777777" w:rsidR="00686E9C" w:rsidRPr="009137CA" w:rsidRDefault="00686E9C" w:rsidP="009137CA">
      <w:pPr>
        <w:pStyle w:val="FixListStyle"/>
        <w:spacing w:after="260" w:line="280" w:lineRule="exact"/>
        <w:ind w:right="0"/>
        <w:jc w:val="both"/>
        <w:rPr>
          <w:rFonts w:ascii="Times New Roman" w:hAnsi="Times New Roman"/>
        </w:rPr>
      </w:pPr>
      <w:r w:rsidRPr="009137CA">
        <w:rPr>
          <w:rFonts w:ascii="Times New Roman" w:hAnsi="Times New Roman"/>
        </w:rPr>
        <w:tab/>
        <w:t>The Commission addressed GHG emissions in section 5.3 of its reasons. That section commences with a definition of scope 1, scope 2 and scope 3 GHG emissions and then provides a description of the policy and regulatory approaches to GHG emissions under the headings "International", "National" and "State". Under the heading "International", the Commission recited that Australia is a signatory to the Paris Agreement. The reasons also noted that the Project's scope 3 GHG emissions would be accounted for in the countries to which the coal produced by the mine will be exported and also "note[d]" that, with the adoption of the Paris Agreement, "almost all countries have committed to reduce their GHG emissions and track their progress in doing so".</w:t>
      </w:r>
    </w:p>
    <w:p w14:paraId="755EE93B" w14:textId="77777777" w:rsidR="00686E9C" w:rsidRPr="009137CA" w:rsidRDefault="00686E9C" w:rsidP="009137CA">
      <w:pPr>
        <w:pStyle w:val="FixListStyle"/>
        <w:spacing w:after="260" w:line="280" w:lineRule="exact"/>
        <w:ind w:right="0"/>
        <w:jc w:val="both"/>
        <w:rPr>
          <w:rFonts w:ascii="Times New Roman" w:hAnsi="Times New Roman"/>
        </w:rPr>
      </w:pPr>
      <w:r w:rsidRPr="009137CA">
        <w:rPr>
          <w:rFonts w:ascii="Times New Roman" w:hAnsi="Times New Roman"/>
        </w:rPr>
        <w:tab/>
        <w:t xml:space="preserve">Under the headings "National" and "State", the Commission described the responses to GHG emissions and climate change at a Commonwealth and State level. At the conclusion of the discussion under the heading "State", the Commission reproduced the terms of cl 2.20(1) and (2) but preceded them with the phrase "[i]n the NSW policy context". In so stating, the Commission appears to have treated cl 2.20 of the Resources SEPP itself as part of the "State policy" as referred to in cl 2.20(2) of the Resources SEPP. </w:t>
      </w:r>
    </w:p>
    <w:p w14:paraId="55266076" w14:textId="77777777" w:rsidR="00686E9C" w:rsidRPr="009137CA" w:rsidRDefault="00686E9C" w:rsidP="009137CA">
      <w:pPr>
        <w:pStyle w:val="FixListStyle"/>
        <w:spacing w:after="260" w:line="280" w:lineRule="exact"/>
        <w:ind w:right="0"/>
        <w:jc w:val="both"/>
        <w:rPr>
          <w:rFonts w:ascii="Times New Roman" w:hAnsi="Times New Roman"/>
        </w:rPr>
      </w:pPr>
      <w:r w:rsidRPr="009137CA">
        <w:rPr>
          <w:rFonts w:ascii="Times New Roman" w:hAnsi="Times New Roman"/>
        </w:rPr>
        <w:tab/>
        <w:t>The next part of section 5.3 of the Commission's reasons is entitled "5.3.1 Project GHG Emissions". The reasons describe the "Greenhouse Gas Assessment" which accompanied MACH's EIS (ie, the "assessment" referred to in cl 2.20(2)). The reasons record that the Department noted that the assessment "indicates that 98% of the total GHG emissions generated as a consequence of the project are those associated with the downstream burning of product". Under the subheading "Scope 1 and 2 Emissions" the Commission described the level of scope 1 and 2 emissions arising from the Project and the mitigation measures that MACH was proposing or at least considering for those forms of GHG emissions.</w:t>
      </w:r>
    </w:p>
    <w:p w14:paraId="3C4F7B97" w14:textId="77777777" w:rsidR="00686E9C" w:rsidRPr="009137CA" w:rsidRDefault="00686E9C" w:rsidP="009137CA">
      <w:pPr>
        <w:pStyle w:val="FixListStyle"/>
        <w:spacing w:after="260" w:line="280" w:lineRule="exact"/>
        <w:ind w:right="0"/>
        <w:jc w:val="both"/>
        <w:rPr>
          <w:rFonts w:ascii="Times New Roman" w:hAnsi="Times New Roman"/>
        </w:rPr>
      </w:pPr>
      <w:r w:rsidRPr="009137CA">
        <w:rPr>
          <w:rFonts w:ascii="Times New Roman" w:hAnsi="Times New Roman"/>
        </w:rPr>
        <w:lastRenderedPageBreak/>
        <w:tab/>
        <w:t>The Commission's reasons then state as follows:</w:t>
      </w:r>
    </w:p>
    <w:p w14:paraId="504518D6" w14:textId="77777777" w:rsidR="00686E9C" w:rsidRPr="009137CA" w:rsidRDefault="00686E9C" w:rsidP="00FE2DC6">
      <w:pPr>
        <w:pStyle w:val="LRHangingMore"/>
        <w:spacing w:before="0" w:after="260" w:line="280" w:lineRule="exact"/>
        <w:ind w:left="1440" w:right="0"/>
        <w:jc w:val="both"/>
        <w:rPr>
          <w:rFonts w:ascii="Times New Roman" w:hAnsi="Times New Roman"/>
          <w:i/>
          <w:iCs/>
        </w:rPr>
      </w:pPr>
      <w:r w:rsidRPr="009137CA">
        <w:rPr>
          <w:rFonts w:ascii="Times New Roman" w:hAnsi="Times New Roman"/>
        </w:rPr>
        <w:tab/>
        <w:t>"</w:t>
      </w:r>
      <w:r w:rsidRPr="009137CA">
        <w:rPr>
          <w:rFonts w:ascii="Times New Roman" w:hAnsi="Times New Roman"/>
          <w:i/>
          <w:iCs/>
        </w:rPr>
        <w:t>Scope 3 Emissions</w:t>
      </w:r>
    </w:p>
    <w:p w14:paraId="05D6A070" w14:textId="77777777" w:rsidR="00686E9C" w:rsidRPr="009137CA" w:rsidRDefault="00686E9C" w:rsidP="00FE2DC6">
      <w:pPr>
        <w:pStyle w:val="LRHangingMore"/>
        <w:spacing w:before="0" w:after="260" w:line="280" w:lineRule="exact"/>
        <w:ind w:left="1440" w:right="0"/>
        <w:jc w:val="both"/>
        <w:rPr>
          <w:rFonts w:ascii="Times New Roman" w:hAnsi="Times New Roman"/>
        </w:rPr>
      </w:pPr>
      <w:r w:rsidRPr="009137CA">
        <w:rPr>
          <w:rFonts w:ascii="Times New Roman" w:hAnsi="Times New Roman"/>
        </w:rPr>
        <w:t>150.</w:t>
      </w:r>
      <w:r w:rsidRPr="009137CA">
        <w:rPr>
          <w:rFonts w:ascii="Times New Roman" w:hAnsi="Times New Roman"/>
        </w:rPr>
        <w:tab/>
        <w:t xml:space="preserve">The Commission acknowledges that the mining of coal and its combustion is a major contributor to anthropogenic climate change, which has the potential to impact future generations. The Commission acknowledges that although the Project's Scope 3 emissions would contribute to anthropogenic climate change, </w:t>
      </w:r>
      <w:r w:rsidRPr="009137CA">
        <w:rPr>
          <w:rFonts w:ascii="Times New Roman" w:hAnsi="Times New Roman"/>
          <w:i/>
          <w:iCs/>
        </w:rPr>
        <w:t>these are appropriately regulated and accounted for through broader national policies and international agreements (such as the Paris Agreement).</w:t>
      </w:r>
    </w:p>
    <w:p w14:paraId="15D5A23C" w14:textId="77777777" w:rsidR="00686E9C" w:rsidRDefault="00686E9C" w:rsidP="00FE2DC6">
      <w:pPr>
        <w:pStyle w:val="LRHangingMore"/>
        <w:spacing w:before="0" w:after="260" w:line="280" w:lineRule="exact"/>
        <w:ind w:left="1440" w:right="0"/>
        <w:jc w:val="both"/>
        <w:rPr>
          <w:rFonts w:ascii="Times New Roman" w:hAnsi="Times New Roman"/>
        </w:rPr>
      </w:pPr>
      <w:r w:rsidRPr="009137CA">
        <w:rPr>
          <w:rFonts w:ascii="Times New Roman" w:hAnsi="Times New Roman"/>
        </w:rPr>
        <w:t>151.</w:t>
      </w:r>
      <w:r w:rsidRPr="009137CA">
        <w:rPr>
          <w:rFonts w:ascii="Times New Roman" w:hAnsi="Times New Roman"/>
        </w:rPr>
        <w:tab/>
        <w:t xml:space="preserve">The Commission notes that the GHG emissions associated with burning coal to produce energy are accounted for at the international powerplants where that combustion takes place. The Commission agrees with the Department and acknowledges that under the Paris Agreement accounting rules and Australian legislation, Scope 3 emissions are not included in Project emission reporting, to avoid double counting. </w:t>
      </w:r>
      <w:r w:rsidRPr="009137CA">
        <w:rPr>
          <w:rFonts w:ascii="Times New Roman" w:hAnsi="Times New Roman"/>
          <w:i/>
          <w:iCs/>
        </w:rPr>
        <w:t>However, the Commission has considered all emissions associated with the Project (including Scope 3 emissions) in its assessment and determination</w:t>
      </w:r>
      <w:r w:rsidRPr="009137CA">
        <w:rPr>
          <w:rFonts w:ascii="Times New Roman" w:hAnsi="Times New Roman"/>
        </w:rPr>
        <w:t>." (emphasis added)</w:t>
      </w:r>
    </w:p>
    <w:p w14:paraId="3FBD9E74" w14:textId="77777777" w:rsidR="00686E9C" w:rsidRPr="009137CA" w:rsidRDefault="00686E9C" w:rsidP="009137CA">
      <w:pPr>
        <w:pStyle w:val="FixListStyle"/>
        <w:spacing w:after="260" w:line="280" w:lineRule="exact"/>
        <w:ind w:right="0"/>
        <w:jc w:val="both"/>
        <w:rPr>
          <w:rFonts w:ascii="Times New Roman" w:hAnsi="Times New Roman"/>
        </w:rPr>
      </w:pPr>
      <w:r w:rsidRPr="009137CA">
        <w:rPr>
          <w:rFonts w:ascii="Times New Roman" w:hAnsi="Times New Roman"/>
        </w:rPr>
        <w:tab/>
        <w:t>This discussion occurs in a part of the Commission's reasons that is at least principally, and perhaps solely, addressed to "considering" the GHG emissions assessment and the associated State and national (and international) policies concerning those emissions as part of the "determination" of the development application as required by cl 2.20(2) of the Resources SEPP.</w:t>
      </w:r>
    </w:p>
    <w:p w14:paraId="6874ACFE" w14:textId="77777777" w:rsidR="00686E9C" w:rsidRPr="009137CA" w:rsidRDefault="00686E9C" w:rsidP="009137CA">
      <w:pPr>
        <w:pStyle w:val="FixListStyle"/>
        <w:spacing w:after="260" w:line="280" w:lineRule="exact"/>
        <w:ind w:right="0"/>
        <w:jc w:val="both"/>
        <w:rPr>
          <w:rFonts w:ascii="Times New Roman" w:hAnsi="Times New Roman"/>
        </w:rPr>
      </w:pPr>
      <w:r w:rsidRPr="009137CA">
        <w:rPr>
          <w:rFonts w:ascii="Times New Roman" w:hAnsi="Times New Roman"/>
        </w:rPr>
        <w:tab/>
        <w:t>The last part of section 5.3 of the Commission's reasons sets out the Commission's findings (relevantly) as follows:</w:t>
      </w:r>
    </w:p>
    <w:p w14:paraId="5F1D78D8" w14:textId="77777777" w:rsidR="00686E9C" w:rsidRPr="009137CA" w:rsidRDefault="00686E9C" w:rsidP="009137CA">
      <w:pPr>
        <w:pStyle w:val="LeftrightafterHC"/>
        <w:spacing w:before="0" w:after="260" w:line="280" w:lineRule="exact"/>
        <w:ind w:right="0"/>
        <w:jc w:val="both"/>
        <w:rPr>
          <w:rFonts w:ascii="Times New Roman" w:hAnsi="Times New Roman"/>
        </w:rPr>
      </w:pPr>
      <w:r w:rsidRPr="009137CA">
        <w:rPr>
          <w:rFonts w:ascii="Times New Roman" w:hAnsi="Times New Roman"/>
        </w:rPr>
        <w:t>"5.3.2 Commission's Findings</w:t>
      </w:r>
    </w:p>
    <w:p w14:paraId="08B1D7E1" w14:textId="77777777" w:rsidR="00686E9C" w:rsidRPr="009137CA" w:rsidRDefault="00686E9C" w:rsidP="009137CA">
      <w:pPr>
        <w:pStyle w:val="LeftrightHanging"/>
        <w:spacing w:before="0" w:after="260" w:line="280" w:lineRule="exact"/>
        <w:ind w:right="0"/>
        <w:jc w:val="both"/>
        <w:rPr>
          <w:rFonts w:ascii="Times New Roman" w:hAnsi="Times New Roman"/>
        </w:rPr>
      </w:pPr>
      <w:r w:rsidRPr="009137CA">
        <w:rPr>
          <w:rFonts w:ascii="Times New Roman" w:hAnsi="Times New Roman"/>
        </w:rPr>
        <w:t>152.</w:t>
      </w:r>
      <w:r w:rsidRPr="009137CA">
        <w:rPr>
          <w:rFonts w:ascii="Times New Roman" w:hAnsi="Times New Roman"/>
        </w:rPr>
        <w:tab/>
        <w:t>...</w:t>
      </w:r>
    </w:p>
    <w:p w14:paraId="29B38B50" w14:textId="77777777" w:rsidR="00686E9C" w:rsidRPr="009137CA" w:rsidRDefault="00686E9C" w:rsidP="009137CA">
      <w:pPr>
        <w:pStyle w:val="LeftrightHanging"/>
        <w:spacing w:before="0" w:after="260" w:line="280" w:lineRule="exact"/>
        <w:ind w:right="0"/>
        <w:jc w:val="both"/>
        <w:rPr>
          <w:rFonts w:ascii="Times New Roman" w:hAnsi="Times New Roman"/>
        </w:rPr>
      </w:pPr>
      <w:r w:rsidRPr="009137CA">
        <w:rPr>
          <w:rFonts w:ascii="Times New Roman" w:hAnsi="Times New Roman"/>
        </w:rPr>
        <w:t>153.</w:t>
      </w:r>
      <w:r w:rsidRPr="009137CA">
        <w:rPr>
          <w:rFonts w:ascii="Times New Roman" w:hAnsi="Times New Roman"/>
        </w:rPr>
        <w:tab/>
        <w:t>The Commission recognises the concerns expressed in these submissions [about climate change, GHG emissions and their global effect], however the Commission notes that under the Paris Agreement, Scope 3 emissions are attributed to the country within which they are emitted. The Commission notes that with the adoption of the Paris Agreement, almost all countries have committed to reduce global GHG emissions and to track their progress in doing so.</w:t>
      </w:r>
    </w:p>
    <w:p w14:paraId="67F434DB" w14:textId="77777777" w:rsidR="00686E9C" w:rsidRPr="009137CA" w:rsidRDefault="00686E9C" w:rsidP="009137CA">
      <w:pPr>
        <w:pStyle w:val="LeftrightHanging"/>
        <w:spacing w:before="0" w:after="260" w:line="280" w:lineRule="exact"/>
        <w:ind w:right="0"/>
        <w:jc w:val="both"/>
        <w:rPr>
          <w:rFonts w:ascii="Times New Roman" w:hAnsi="Times New Roman"/>
        </w:rPr>
      </w:pPr>
      <w:r w:rsidRPr="009137CA">
        <w:rPr>
          <w:rFonts w:ascii="Times New Roman" w:hAnsi="Times New Roman"/>
        </w:rPr>
        <w:t>154.</w:t>
      </w:r>
      <w:r w:rsidRPr="009137CA">
        <w:rPr>
          <w:rFonts w:ascii="Times New Roman" w:hAnsi="Times New Roman"/>
        </w:rPr>
        <w:tab/>
      </w:r>
      <w:r w:rsidRPr="009137CA">
        <w:rPr>
          <w:rFonts w:ascii="Times New Roman" w:hAnsi="Times New Roman"/>
          <w:i/>
          <w:iCs/>
        </w:rPr>
        <w:t xml:space="preserve">The Commission has considered the matters in clauses 2.20(1) and 2.20(2) of the Resources SEPP (in addition to the mandatory </w:t>
      </w:r>
      <w:r w:rsidRPr="009137CA">
        <w:rPr>
          <w:rFonts w:ascii="Times New Roman" w:hAnsi="Times New Roman"/>
          <w:i/>
          <w:iCs/>
        </w:rPr>
        <w:lastRenderedPageBreak/>
        <w:t xml:space="preserve">considerations under section 4.15 of the [EPA Act]) and finds that the Project's Scope 1 and Scope 2 emissions have been estimated </w:t>
      </w:r>
      <w:r w:rsidRPr="009137CA">
        <w:rPr>
          <w:rFonts w:ascii="Times New Roman" w:hAnsi="Times New Roman"/>
        </w:rPr>
        <w:t>using the recommended methodologies consistent with the current national and NSW policy settings and commitments. In the absence of clear policy guidance on performance criteria or offsets, the Commission is of the view that the Project is not inconsistent with the [New South Wales Climate Change Policy Framework], the [New South Wales] Net Zero Plan or Australia's current obligations under the Paris Agreement in respect of Australia's current [Nationally Determined Contributions].</w:t>
      </w:r>
    </w:p>
    <w:p w14:paraId="1E9CA9A0" w14:textId="77777777" w:rsidR="00686E9C" w:rsidRDefault="00686E9C" w:rsidP="009137CA">
      <w:pPr>
        <w:pStyle w:val="LeftrightHanging"/>
        <w:spacing w:before="0" w:after="260" w:line="280" w:lineRule="exact"/>
        <w:ind w:right="0"/>
        <w:jc w:val="both"/>
        <w:rPr>
          <w:rFonts w:ascii="Times New Roman" w:hAnsi="Times New Roman"/>
        </w:rPr>
      </w:pPr>
      <w:r w:rsidRPr="009137CA">
        <w:rPr>
          <w:rFonts w:ascii="Times New Roman" w:hAnsi="Times New Roman"/>
        </w:rPr>
        <w:t>155.</w:t>
      </w:r>
      <w:r w:rsidRPr="009137CA">
        <w:rPr>
          <w:rFonts w:ascii="Times New Roman" w:hAnsi="Times New Roman"/>
        </w:rPr>
        <w:tab/>
        <w:t>The Commission notes there is a growing body of international, national and State policy that is aimed at reducing GHG emissions ..., particularly those associated with fugitive methane. The Commission is required to have regard to such applicable polic[i]es at the national and State level (under clause 2.20 of the Resource[s] SEPP)." (emphasis added)</w:t>
      </w:r>
    </w:p>
    <w:p w14:paraId="7B242076" w14:textId="77777777" w:rsidR="00686E9C" w:rsidRPr="009137CA" w:rsidRDefault="00686E9C" w:rsidP="009137CA">
      <w:pPr>
        <w:pStyle w:val="FixListStyle"/>
        <w:spacing w:after="260" w:line="280" w:lineRule="exact"/>
        <w:ind w:right="0"/>
        <w:jc w:val="both"/>
        <w:rPr>
          <w:rFonts w:ascii="Times New Roman" w:hAnsi="Times New Roman"/>
        </w:rPr>
      </w:pPr>
      <w:r w:rsidRPr="009137CA">
        <w:rPr>
          <w:rFonts w:ascii="Times New Roman" w:hAnsi="Times New Roman"/>
        </w:rPr>
        <w:tab/>
        <w:t xml:space="preserve">Paragraph 153 of the Commission's reasons refers to scope 3 GHG emissions and restates the effect of the Paris Agreement. The reference to fugitive methane in paragraph 155 is to methane that escapes during coal mining operations, being a form of scope 1 GHG emissions. Paragraphs 154 and 155 refer to cl 2.20 and express findings about the estimate of scope 1 and scope 2 GHG emissions in the context of relevant State and national (and international) policies. These paragraphs are clearly addressing cl 2.20(2) of the Resources SEPP in the context of scope 1 and 2 GHG emissions. </w:t>
      </w:r>
    </w:p>
    <w:p w14:paraId="33FE37B1" w14:textId="77777777" w:rsidR="00686E9C" w:rsidRPr="009137CA" w:rsidRDefault="00686E9C" w:rsidP="009137CA">
      <w:pPr>
        <w:pStyle w:val="FixListStyle"/>
        <w:spacing w:after="260" w:line="280" w:lineRule="exact"/>
        <w:ind w:right="0"/>
        <w:jc w:val="both"/>
        <w:rPr>
          <w:rFonts w:ascii="Times New Roman" w:hAnsi="Times New Roman"/>
        </w:rPr>
      </w:pPr>
      <w:r w:rsidRPr="009137CA">
        <w:rPr>
          <w:rFonts w:ascii="Times New Roman" w:hAnsi="Times New Roman"/>
        </w:rPr>
        <w:tab/>
        <w:t>Paragraphs 156 to 160 of the Commission's reasons then address whether various conditions should be attached to the consent addressing the Project's scope 1 and scope 2 GHG emissions. These paragraphs are clearly directed to the terms of cl 2.20(1)(c) but not in its application to scope 3 GHG emissions.</w:t>
      </w:r>
    </w:p>
    <w:p w14:paraId="3AAB5FA3" w14:textId="77777777" w:rsidR="00686E9C" w:rsidRPr="009137CA" w:rsidRDefault="00686E9C" w:rsidP="009137CA">
      <w:pPr>
        <w:pStyle w:val="FixListStyle"/>
        <w:spacing w:after="260" w:line="280" w:lineRule="exact"/>
        <w:ind w:right="0"/>
        <w:jc w:val="both"/>
        <w:rPr>
          <w:rFonts w:ascii="Times New Roman" w:hAnsi="Times New Roman"/>
        </w:rPr>
      </w:pPr>
      <w:r w:rsidRPr="009137CA">
        <w:rPr>
          <w:rFonts w:ascii="Times New Roman" w:hAnsi="Times New Roman"/>
        </w:rPr>
        <w:tab/>
        <w:t>Section 5.3 of the Commission's reasons concludes as follows:</w:t>
      </w:r>
    </w:p>
    <w:p w14:paraId="5B80BDFD" w14:textId="77777777" w:rsidR="00686E9C" w:rsidRDefault="00686E9C" w:rsidP="009137CA">
      <w:pPr>
        <w:pStyle w:val="LeftrightHanging"/>
        <w:spacing w:before="0" w:after="260" w:line="280" w:lineRule="exact"/>
        <w:ind w:right="0"/>
        <w:jc w:val="both"/>
        <w:rPr>
          <w:rFonts w:ascii="Times New Roman" w:hAnsi="Times New Roman"/>
        </w:rPr>
      </w:pPr>
      <w:r w:rsidRPr="009137CA">
        <w:rPr>
          <w:rFonts w:ascii="Times New Roman" w:hAnsi="Times New Roman"/>
        </w:rPr>
        <w:t>"161.</w:t>
      </w:r>
      <w:r w:rsidRPr="009137CA">
        <w:rPr>
          <w:rFonts w:ascii="Times New Roman" w:hAnsi="Times New Roman"/>
        </w:rPr>
        <w:tab/>
      </w:r>
      <w:r w:rsidRPr="009137CA">
        <w:rPr>
          <w:rFonts w:ascii="Times New Roman" w:hAnsi="Times New Roman"/>
          <w:i/>
          <w:iCs/>
        </w:rPr>
        <w:t>For the reasons set out above, the Commission finds that the GHG emissions for the Project have been adequately assessed</w:t>
      </w:r>
      <w:r w:rsidRPr="009137CA">
        <w:rPr>
          <w:rFonts w:ascii="Times New Roman" w:hAnsi="Times New Roman"/>
        </w:rPr>
        <w:t xml:space="preserve">. Subject to the imposed conditions, the Commission is satisfied that the Project can achieve the requirements of the Resources SEPP, the [EPA Act] and the relevant Commonwealth and NSW policy positions with respect to the reduction of </w:t>
      </w:r>
      <w:r w:rsidRPr="009137CA">
        <w:rPr>
          <w:rFonts w:ascii="Times New Roman" w:hAnsi="Times New Roman"/>
          <w:i/>
          <w:iCs/>
        </w:rPr>
        <w:t xml:space="preserve">fugitive emissions </w:t>
      </w:r>
      <w:r w:rsidRPr="009137CA">
        <w:rPr>
          <w:rFonts w:ascii="Times New Roman" w:hAnsi="Times New Roman"/>
        </w:rPr>
        <w:t xml:space="preserve">and the recognition of the importance of the continuation of the extraction and exportation of coal to the NSW economy." (emphasis added) </w:t>
      </w:r>
    </w:p>
    <w:p w14:paraId="75058194" w14:textId="77777777" w:rsidR="00686E9C" w:rsidRPr="009137CA" w:rsidRDefault="00686E9C" w:rsidP="009137CA">
      <w:pPr>
        <w:pStyle w:val="FixListStyle"/>
        <w:spacing w:after="260" w:line="280" w:lineRule="exact"/>
        <w:ind w:right="0"/>
        <w:jc w:val="both"/>
        <w:rPr>
          <w:rFonts w:ascii="Times New Roman" w:hAnsi="Times New Roman"/>
        </w:rPr>
      </w:pPr>
      <w:r w:rsidRPr="009137CA">
        <w:rPr>
          <w:rFonts w:ascii="Times New Roman" w:hAnsi="Times New Roman"/>
        </w:rPr>
        <w:tab/>
        <w:t xml:space="preserve">In this Court, MACH submitted that the reference to "GHG emissions" in the first sentence of this paragraph is to scope 1, scope 2 and scope 3 GHG emissions. That may be so, but all that sentence states is that those emissions have </w:t>
      </w:r>
      <w:r w:rsidRPr="009137CA">
        <w:rPr>
          <w:rFonts w:ascii="Times New Roman" w:hAnsi="Times New Roman"/>
        </w:rPr>
        <w:lastRenderedPageBreak/>
        <w:t xml:space="preserve">been "adequately assessed". Assessment is the topic addressed by cl 2.20(2) of the Resources SEPP, not by cl 2.20(1)(c). </w:t>
      </w:r>
    </w:p>
    <w:p w14:paraId="6F48EF77" w14:textId="77777777" w:rsidR="00686E9C" w:rsidRPr="009137CA" w:rsidRDefault="00686E9C" w:rsidP="009137CA">
      <w:pPr>
        <w:pStyle w:val="FixListStyle"/>
        <w:spacing w:after="260" w:line="280" w:lineRule="exact"/>
        <w:ind w:right="0"/>
        <w:jc w:val="both"/>
        <w:rPr>
          <w:rFonts w:ascii="Times New Roman" w:hAnsi="Times New Roman"/>
        </w:rPr>
      </w:pPr>
      <w:r w:rsidRPr="009137CA">
        <w:rPr>
          <w:rFonts w:ascii="Times New Roman" w:hAnsi="Times New Roman"/>
        </w:rPr>
        <w:tab/>
        <w:t xml:space="preserve">MACH also noted that the Commission stated that the "Project can achieve the requirements of the Resources SEPP" and submitted that the Commission addressed cl 2.20(1)(c) at the requisite level of particularity. That conclusion only related, however, to a reduction of "fugitive emissions" by the imposition of conditions. As noted, the reference to "fugitive emissions" is to a form of scope 1 GHG emissions. </w:t>
      </w:r>
    </w:p>
    <w:p w14:paraId="5C17AD3A" w14:textId="77777777" w:rsidR="00686E9C" w:rsidRPr="009137CA" w:rsidRDefault="00686E9C" w:rsidP="009137CA">
      <w:pPr>
        <w:pStyle w:val="FixListStyle"/>
        <w:spacing w:after="260" w:line="280" w:lineRule="exact"/>
        <w:ind w:right="0"/>
        <w:jc w:val="both"/>
        <w:rPr>
          <w:rFonts w:ascii="Times New Roman" w:hAnsi="Times New Roman"/>
        </w:rPr>
      </w:pPr>
      <w:r w:rsidRPr="009137CA">
        <w:rPr>
          <w:rFonts w:ascii="Times New Roman" w:hAnsi="Times New Roman"/>
        </w:rPr>
        <w:tab/>
        <w:t>Under the heading "5.10 Economics", the Commission dealt with an economic assessment of the Project that included analysis of the costs of scope 1 and 2 GHG emissions to be apportioned to New South Wales. The only other reference to GHG emissions in the Commission's reasons is in the conclusion section, which relevantly states:</w:t>
      </w:r>
    </w:p>
    <w:p w14:paraId="135D73CC" w14:textId="77777777" w:rsidR="00686E9C" w:rsidRPr="009137CA" w:rsidRDefault="00686E9C" w:rsidP="009137CA">
      <w:pPr>
        <w:pStyle w:val="LeftrightafterHC"/>
        <w:spacing w:before="0" w:after="260" w:line="280" w:lineRule="exact"/>
        <w:ind w:right="0"/>
        <w:jc w:val="both"/>
        <w:rPr>
          <w:rFonts w:ascii="Times New Roman" w:hAnsi="Times New Roman"/>
        </w:rPr>
      </w:pPr>
      <w:r w:rsidRPr="009137CA">
        <w:rPr>
          <w:rFonts w:ascii="Times New Roman" w:hAnsi="Times New Roman"/>
        </w:rPr>
        <w:t>"The Commission has carefully considered the Material before it as set out in section 3.1 of this report. Based on its consideration of the Material, the Commission finds that the Project should be approved subject to stringent conditions of consent for the following reasons:</w:t>
      </w:r>
    </w:p>
    <w:p w14:paraId="033017E7" w14:textId="77777777" w:rsidR="00686E9C" w:rsidRPr="009137CA" w:rsidRDefault="00686E9C" w:rsidP="009137CA">
      <w:pPr>
        <w:pStyle w:val="LeftrightHanging"/>
        <w:spacing w:before="0" w:after="260" w:line="280" w:lineRule="exact"/>
        <w:ind w:right="0"/>
        <w:jc w:val="both"/>
        <w:rPr>
          <w:rFonts w:ascii="Times New Roman" w:hAnsi="Times New Roman"/>
        </w:rPr>
      </w:pPr>
      <w:r w:rsidRPr="009137CA">
        <w:rPr>
          <w:rFonts w:ascii="Times New Roman" w:hAnsi="Times New Roman"/>
        </w:rPr>
        <w:t>•</w:t>
      </w:r>
      <w:r w:rsidRPr="009137CA">
        <w:rPr>
          <w:rFonts w:ascii="Times New Roman" w:hAnsi="Times New Roman"/>
        </w:rPr>
        <w:tab/>
        <w:t>...</w:t>
      </w:r>
    </w:p>
    <w:p w14:paraId="6711B4A2" w14:textId="77777777" w:rsidR="00686E9C" w:rsidRPr="009137CA" w:rsidRDefault="00686E9C" w:rsidP="009137CA">
      <w:pPr>
        <w:pStyle w:val="LeftrightHanging"/>
        <w:spacing w:before="0" w:after="260" w:line="280" w:lineRule="exact"/>
        <w:ind w:right="0"/>
        <w:jc w:val="both"/>
        <w:rPr>
          <w:rFonts w:ascii="Times New Roman" w:hAnsi="Times New Roman"/>
        </w:rPr>
      </w:pPr>
      <w:r w:rsidRPr="009137CA">
        <w:rPr>
          <w:rFonts w:ascii="Times New Roman" w:hAnsi="Times New Roman"/>
        </w:rPr>
        <w:t>•</w:t>
      </w:r>
      <w:r w:rsidRPr="009137CA">
        <w:rPr>
          <w:rFonts w:ascii="Times New Roman" w:hAnsi="Times New Roman"/>
        </w:rPr>
        <w:tab/>
        <w:t xml:space="preserve">the </w:t>
      </w:r>
      <w:r w:rsidRPr="009137CA">
        <w:rPr>
          <w:rFonts w:ascii="Times New Roman" w:hAnsi="Times New Roman"/>
          <w:i/>
          <w:iCs/>
        </w:rPr>
        <w:t>GHG emissions for the Project have been adequately estimated and are permissible in the context of the current climate change policy framework</w:t>
      </w:r>
      <w:r w:rsidRPr="009137CA">
        <w:rPr>
          <w:rFonts w:ascii="Times New Roman" w:hAnsi="Times New Roman"/>
        </w:rPr>
        <w:t>;</w:t>
      </w:r>
    </w:p>
    <w:p w14:paraId="2D4BA224" w14:textId="77777777" w:rsidR="00686E9C" w:rsidRPr="009137CA" w:rsidRDefault="00686E9C" w:rsidP="009137CA">
      <w:pPr>
        <w:pStyle w:val="LeftrightHanging"/>
        <w:spacing w:before="0" w:after="260" w:line="280" w:lineRule="exact"/>
        <w:ind w:right="0"/>
        <w:jc w:val="both"/>
        <w:rPr>
          <w:rFonts w:ascii="Times New Roman" w:hAnsi="Times New Roman"/>
        </w:rPr>
      </w:pPr>
      <w:r w:rsidRPr="009137CA">
        <w:rPr>
          <w:rFonts w:ascii="Times New Roman" w:hAnsi="Times New Roman"/>
        </w:rPr>
        <w:t>•</w:t>
      </w:r>
      <w:r w:rsidRPr="009137CA">
        <w:rPr>
          <w:rFonts w:ascii="Times New Roman" w:hAnsi="Times New Roman"/>
        </w:rPr>
        <w:tab/>
        <w:t>opportunities exist for the Applicant throughout the life of the Project to deploy existing, emerging and future technologies to improve the abatement of GHG emissions;</w:t>
      </w:r>
    </w:p>
    <w:p w14:paraId="49981026" w14:textId="77777777" w:rsidR="00686E9C" w:rsidRDefault="00686E9C" w:rsidP="009137CA">
      <w:pPr>
        <w:pStyle w:val="LeftrightHanging"/>
        <w:spacing w:before="0" w:after="260" w:line="280" w:lineRule="exact"/>
        <w:ind w:right="0"/>
        <w:jc w:val="both"/>
        <w:rPr>
          <w:rFonts w:ascii="Times New Roman" w:hAnsi="Times New Roman"/>
        </w:rPr>
      </w:pPr>
      <w:r w:rsidRPr="009137CA">
        <w:rPr>
          <w:rFonts w:ascii="Times New Roman" w:hAnsi="Times New Roman"/>
        </w:rPr>
        <w:t>•</w:t>
      </w:r>
      <w:r w:rsidRPr="009137CA">
        <w:rPr>
          <w:rFonts w:ascii="Times New Roman" w:hAnsi="Times New Roman"/>
        </w:rPr>
        <w:tab/>
        <w:t>..." (emphasis added)</w:t>
      </w:r>
    </w:p>
    <w:p w14:paraId="69B0702C" w14:textId="77777777" w:rsidR="00686E9C" w:rsidRPr="009137CA" w:rsidRDefault="00686E9C" w:rsidP="009137CA">
      <w:pPr>
        <w:pStyle w:val="FixListStyle"/>
        <w:spacing w:after="260" w:line="280" w:lineRule="exact"/>
        <w:ind w:right="0"/>
        <w:jc w:val="both"/>
        <w:rPr>
          <w:rFonts w:ascii="Times New Roman" w:hAnsi="Times New Roman"/>
        </w:rPr>
      </w:pPr>
      <w:r w:rsidRPr="009137CA">
        <w:rPr>
          <w:rFonts w:ascii="Times New Roman" w:hAnsi="Times New Roman"/>
        </w:rPr>
        <w:tab/>
        <w:t xml:space="preserve">Assuming that the reference to "GHG emissions" in the first of these points includes scope 3 GHG emissions, that statement is just another reference to a consideration of the assessment of GHG emissions as referred to in cl 2.20(2) of the Resources SEPP. The reference to "improv[ing] the abatement of GHG emissions" can only be a reference to the abatement of scope 1 and scope 2 GHG emissions as only those forms of emissions were sought to be abated by various initiatives proposed by MACH and the conditions imposed by the Commission. There was no proposal for the "abatement" of scope 3 GHG emissions. </w:t>
      </w:r>
    </w:p>
    <w:p w14:paraId="30CC372E" w14:textId="77777777" w:rsidR="00686E9C" w:rsidRPr="009137CA" w:rsidRDefault="00686E9C" w:rsidP="009137CA">
      <w:pPr>
        <w:pStyle w:val="HeadingL2"/>
        <w:spacing w:after="260" w:line="280" w:lineRule="exact"/>
        <w:ind w:right="0"/>
        <w:jc w:val="both"/>
        <w:rPr>
          <w:rFonts w:ascii="Times New Roman" w:hAnsi="Times New Roman"/>
        </w:rPr>
      </w:pPr>
      <w:r w:rsidRPr="009137CA">
        <w:rPr>
          <w:rFonts w:ascii="Times New Roman" w:hAnsi="Times New Roman"/>
        </w:rPr>
        <w:t>DAMSHEG discharged its onus</w:t>
      </w:r>
    </w:p>
    <w:p w14:paraId="256DA878" w14:textId="77777777" w:rsidR="00686E9C" w:rsidRPr="009137CA" w:rsidRDefault="00686E9C" w:rsidP="009137CA">
      <w:pPr>
        <w:pStyle w:val="FixListStyle"/>
        <w:spacing w:after="260" w:line="280" w:lineRule="exact"/>
        <w:ind w:right="0"/>
        <w:jc w:val="both"/>
        <w:rPr>
          <w:rFonts w:ascii="Times New Roman" w:hAnsi="Times New Roman"/>
        </w:rPr>
      </w:pPr>
      <w:r w:rsidRPr="009137CA">
        <w:rPr>
          <w:rFonts w:ascii="Times New Roman" w:hAnsi="Times New Roman"/>
        </w:rPr>
        <w:tab/>
        <w:t xml:space="preserve">DAMSHEG contended that the Court of Appeal erred in failing to draw an inference that, before granting consent, the Commission did not consider whether the consent should be issued subject to conditions to ensure that scope 3 GHG </w:t>
      </w:r>
      <w:r w:rsidRPr="009137CA">
        <w:rPr>
          <w:rFonts w:ascii="Times New Roman" w:hAnsi="Times New Roman"/>
        </w:rPr>
        <w:lastRenderedPageBreak/>
        <w:t>emissions are minimised to the greatest extent practicable. DAMSHEG relied on the absence of any express reference in the Commission's reasons to the giving of consideration to whether such conditions should be imposed in the context of the reasons as a whole, including the consideration the Commission expressly gave to imposing conditions addressing scope 1 and scope 2 GHG emissions. DAMSHEG's contention should be accepted.</w:t>
      </w:r>
    </w:p>
    <w:p w14:paraId="7AE4C561" w14:textId="77777777" w:rsidR="00686E9C" w:rsidRPr="009137CA" w:rsidRDefault="00686E9C" w:rsidP="009137CA">
      <w:pPr>
        <w:pStyle w:val="FixListStyle"/>
        <w:spacing w:after="260" w:line="280" w:lineRule="exact"/>
        <w:ind w:right="0"/>
        <w:jc w:val="both"/>
        <w:rPr>
          <w:rFonts w:ascii="Times New Roman" w:hAnsi="Times New Roman"/>
        </w:rPr>
      </w:pPr>
      <w:r w:rsidRPr="009137CA">
        <w:rPr>
          <w:rFonts w:ascii="Times New Roman" w:hAnsi="Times New Roman"/>
        </w:rPr>
        <w:tab/>
        <w:t>Reference has already been made to the absence in the Commission's reasons of any express consideration of whether conditions addressing scope 3 GHG emissions should be imposed. When considered in the context of the terms and effect of both sub</w:t>
      </w:r>
      <w:r>
        <w:rPr>
          <w:rFonts w:ascii="Times New Roman" w:hAnsi="Times New Roman"/>
        </w:rPr>
        <w:t>-</w:t>
      </w:r>
      <w:r w:rsidRPr="009137CA">
        <w:rPr>
          <w:rFonts w:ascii="Times New Roman" w:hAnsi="Times New Roman"/>
        </w:rPr>
        <w:t xml:space="preserve">cll (1) and (2) of cl 2.20 of the Resources SEPP, the structure and content of the Commission's reasons strongly support the inference sought by DAMSHEG being drawn.  </w:t>
      </w:r>
    </w:p>
    <w:p w14:paraId="35750683" w14:textId="77777777" w:rsidR="00686E9C" w:rsidRPr="009137CA" w:rsidRDefault="00686E9C" w:rsidP="009137CA">
      <w:pPr>
        <w:pStyle w:val="FixListStyle"/>
        <w:spacing w:after="260" w:line="280" w:lineRule="exact"/>
        <w:ind w:right="0"/>
        <w:jc w:val="both"/>
        <w:rPr>
          <w:rFonts w:ascii="Times New Roman" w:hAnsi="Times New Roman"/>
        </w:rPr>
      </w:pPr>
      <w:r w:rsidRPr="009137CA">
        <w:rPr>
          <w:rFonts w:ascii="Times New Roman" w:hAnsi="Times New Roman"/>
        </w:rPr>
        <w:tab/>
        <w:t>In section 5.3 of its reasons, the Commission described the international, national and State policies concerning GHG emissions, including scope 3 emissions. In section 5.3.1 the Commission outlined the "assessment" of the GHG emissions, including scope 1, 2 and 3 emissions, and discussed scope 3 GHG emissions in the context of national policies and international agreements concerning GHG emissions, specifically the Paris Agreement. In recording its findings in section 5.3.2, the Commission adverted to scope 3 GHG emissions and (again) referred to the commitments of signatory countries to the Paris Agreement before specifically addressing conditions that are only referable to minimising scope 1 and 2 GHG emissions. The only further references to scope 3 GHG emissions were the references to GHG emissions generally in the concluding paragraph of that section and the second point in the conclusion of the reasons.</w:t>
      </w:r>
      <w:r w:rsidRPr="009137CA">
        <w:rPr>
          <w:rStyle w:val="FootnoteReference"/>
          <w:rFonts w:ascii="Times New Roman" w:hAnsi="Times New Roman"/>
          <w:sz w:val="24"/>
        </w:rPr>
        <w:footnoteReference w:id="238"/>
      </w:r>
      <w:r w:rsidRPr="009137CA">
        <w:rPr>
          <w:rFonts w:ascii="Times New Roman" w:hAnsi="Times New Roman"/>
        </w:rPr>
        <w:t xml:space="preserve"> Both of those references involve a consideration of the assessment of scope 3 GHG emissions as contemplated by cl 2.20(2). All this strongly suggests the Commission discharged the obligation described in cl 2.20(2) in relation to all GHG emissions, but only discharged the obligation described in cl 2.20(1)(c) in relation to scope 1 and 2 GHG emissions.</w:t>
      </w:r>
    </w:p>
    <w:p w14:paraId="65879532" w14:textId="77777777" w:rsidR="00686E9C" w:rsidRPr="009137CA" w:rsidRDefault="00686E9C" w:rsidP="009137CA">
      <w:pPr>
        <w:pStyle w:val="FixListStyle"/>
        <w:spacing w:after="260" w:line="280" w:lineRule="exact"/>
        <w:ind w:right="0"/>
        <w:jc w:val="both"/>
        <w:rPr>
          <w:rFonts w:ascii="Times New Roman" w:hAnsi="Times New Roman"/>
        </w:rPr>
      </w:pPr>
      <w:r w:rsidRPr="009137CA">
        <w:rPr>
          <w:rFonts w:ascii="Times New Roman" w:hAnsi="Times New Roman"/>
        </w:rPr>
        <w:tab/>
        <w:t xml:space="preserve">In rejecting the inference DAMSHEG sought to have drawn, the Court of Appeal appears to have placed particular reliance on paragraph 150 of the Commission's reasons, which refers to the Project's scope 3 GHG emissions being "appropriately regulated and accounted for" under national policies and international agreements such as the Paris Agreement. In this Court, MACH also placed reliance on that paragraph. However, paragraph 150 (and 151) is addressed to the assessment (and accounting) of GHG emissions and how they are dealt with (or regulated) under the applicable State, national and international policies; evidently, that paragraph addresses cl 2.20(2). </w:t>
      </w:r>
    </w:p>
    <w:p w14:paraId="1D73958E" w14:textId="7B571A23" w:rsidR="00686E9C" w:rsidRPr="009137CA" w:rsidRDefault="00686E9C" w:rsidP="009137CA">
      <w:pPr>
        <w:pStyle w:val="FixListStyle"/>
        <w:spacing w:after="260" w:line="280" w:lineRule="exact"/>
        <w:ind w:right="0"/>
        <w:jc w:val="both"/>
        <w:rPr>
          <w:rFonts w:ascii="Times New Roman" w:hAnsi="Times New Roman"/>
        </w:rPr>
      </w:pPr>
      <w:r w:rsidRPr="009137CA">
        <w:rPr>
          <w:rFonts w:ascii="Times New Roman" w:hAnsi="Times New Roman"/>
        </w:rPr>
        <w:lastRenderedPageBreak/>
        <w:tab/>
        <w:t>Even if paragraph 150 (and the balance of the Commission's reasons) meant that I, like the Court of Appeal, was "persuaded that the effect of the Commission's consideration of how Scope 3 emissions would be controlled is that it cannot be inferred that the Commission failed to consider whether conditions ought be imposed on Scope 3 emissions",</w:t>
      </w:r>
      <w:r w:rsidR="00E57205" w:rsidRPr="00CA131E">
        <w:rPr>
          <w:rStyle w:val="FootnoteReference"/>
          <w:rFonts w:ascii="Times New Roman" w:hAnsi="Times New Roman"/>
          <w:sz w:val="24"/>
        </w:rPr>
        <w:footnoteReference w:id="239"/>
      </w:r>
      <w:r w:rsidRPr="009137CA">
        <w:rPr>
          <w:rFonts w:ascii="Times New Roman" w:hAnsi="Times New Roman"/>
        </w:rPr>
        <w:t xml:space="preserve"> which I am not, that would not be fatal to DAMSHEG's contention. In that event, I would remain of the view that the Commission did not consider cl 2.20(1)(c) by considering whether the consent should be issued subject to conditions to ensure that scope 3 GHG emissions are minimised to the greatest extent practicable. As noted, that is a much sharper obligation than simply considering whether scope 3 GHG emissions are appropriately regulated or accounted for by reference to an international treaty. If cl 2.20(1)(c) had been addressed in relation to scope 3 GHG emissions, comprising 98 per cent of all GHG emissions generated by the Project, and the Commission had decided not to impose conditions, then it is to be expected that the Commission would either have referred to possible conditions and their ineffectiveness or impracticability, or at least have stated that no such conditions were proposed and the Commission had limited material available to it to address what form such conditions could take or whether the development consent should be issued subject to any such conditions. </w:t>
      </w:r>
    </w:p>
    <w:p w14:paraId="763D1BC2" w14:textId="77777777" w:rsidR="00686E9C" w:rsidRPr="009137CA" w:rsidRDefault="00686E9C" w:rsidP="009137CA">
      <w:pPr>
        <w:pStyle w:val="FixListStyle"/>
        <w:spacing w:after="260" w:line="280" w:lineRule="exact"/>
        <w:ind w:right="0"/>
        <w:jc w:val="both"/>
        <w:rPr>
          <w:rFonts w:ascii="Times New Roman" w:hAnsi="Times New Roman"/>
        </w:rPr>
      </w:pPr>
      <w:r w:rsidRPr="009137CA">
        <w:rPr>
          <w:rFonts w:ascii="Times New Roman" w:hAnsi="Times New Roman"/>
        </w:rPr>
        <w:tab/>
        <w:t xml:space="preserve">MACH also placed reliance on the express reference to cl 2.20(1) in paragraph 154 of the Commission's reasons. However, that reference supports the drawing of the inference that DAMSHEG seeks. In that paragraph the Commission refers to "2.20(1) </w:t>
      </w:r>
      <w:r w:rsidRPr="009137CA">
        <w:rPr>
          <w:rFonts w:ascii="Times New Roman" w:hAnsi="Times New Roman"/>
          <w:i/>
          <w:iCs/>
        </w:rPr>
        <w:t>and 2.20(2)</w:t>
      </w:r>
      <w:r w:rsidRPr="009137CA">
        <w:rPr>
          <w:rFonts w:ascii="Times New Roman" w:hAnsi="Times New Roman"/>
        </w:rPr>
        <w:t>" in the context of making a finding only concerning the "estimation" (that is, the assessment) of scope 1 and scope 2 GHG emissions (emphasis added).</w:t>
      </w:r>
    </w:p>
    <w:p w14:paraId="215EE401" w14:textId="77777777" w:rsidR="00686E9C" w:rsidRPr="009137CA" w:rsidRDefault="00686E9C" w:rsidP="009137CA">
      <w:pPr>
        <w:pStyle w:val="HeadingL2"/>
        <w:spacing w:after="260" w:line="280" w:lineRule="exact"/>
        <w:ind w:right="0"/>
        <w:jc w:val="both"/>
        <w:rPr>
          <w:rFonts w:ascii="Times New Roman" w:hAnsi="Times New Roman"/>
        </w:rPr>
      </w:pPr>
      <w:r w:rsidRPr="009137CA">
        <w:rPr>
          <w:rFonts w:ascii="Times New Roman" w:hAnsi="Times New Roman"/>
        </w:rPr>
        <w:t>DAMSHEG's "forensic decision"</w:t>
      </w:r>
    </w:p>
    <w:p w14:paraId="505DBE06" w14:textId="77777777" w:rsidR="00686E9C" w:rsidRPr="009137CA" w:rsidRDefault="00686E9C" w:rsidP="009137CA">
      <w:pPr>
        <w:pStyle w:val="FixListStyle"/>
        <w:spacing w:after="260" w:line="280" w:lineRule="exact"/>
        <w:ind w:right="0"/>
        <w:jc w:val="both"/>
        <w:rPr>
          <w:rFonts w:ascii="Times New Roman" w:hAnsi="Times New Roman"/>
        </w:rPr>
      </w:pPr>
      <w:r w:rsidRPr="009137CA">
        <w:rPr>
          <w:rFonts w:ascii="Times New Roman" w:hAnsi="Times New Roman"/>
        </w:rPr>
        <w:tab/>
        <w:t xml:space="preserve">DAMSHEG also contended that, in rejecting its argument that the Commission failed to properly comply with s 4.15(1)(a)(i) of the EPA Act insofar as it refers to cl 2.20(1)(c) of the Resources SEPP, the Court of Appeal erred to the extent it relied on DAMSHEG's supposed "forensic decision" not to suggest to the Commission that it impose conditions addressing scope 3 GHG emissions. That contention should be accepted. </w:t>
      </w:r>
    </w:p>
    <w:p w14:paraId="374FC6D8" w14:textId="77777777" w:rsidR="00686E9C" w:rsidRPr="009137CA" w:rsidRDefault="00686E9C" w:rsidP="009137CA">
      <w:pPr>
        <w:pStyle w:val="FixListStyle"/>
        <w:spacing w:after="260" w:line="280" w:lineRule="exact"/>
        <w:ind w:right="0"/>
        <w:jc w:val="both"/>
        <w:rPr>
          <w:rFonts w:ascii="Times New Roman" w:hAnsi="Times New Roman"/>
        </w:rPr>
      </w:pPr>
      <w:r w:rsidRPr="009137CA">
        <w:rPr>
          <w:rFonts w:ascii="Times New Roman" w:hAnsi="Times New Roman"/>
        </w:rPr>
        <w:tab/>
        <w:t xml:space="preserve">The fact that none of MACH, the Department, DAMSHEG or any other interested party expressly submitted to the Commission that consideration should be given to granting consent to the development application subject to conditions designed to minimise scope 3 GHG emissions can affect the analysis in at least two ways. </w:t>
      </w:r>
    </w:p>
    <w:p w14:paraId="0A8C1E12" w14:textId="77777777" w:rsidR="00686E9C" w:rsidRPr="009137CA" w:rsidRDefault="00686E9C" w:rsidP="009137CA">
      <w:pPr>
        <w:pStyle w:val="FixListStyle"/>
        <w:spacing w:after="260" w:line="280" w:lineRule="exact"/>
        <w:ind w:right="0"/>
        <w:jc w:val="both"/>
        <w:rPr>
          <w:rFonts w:ascii="Times New Roman" w:hAnsi="Times New Roman"/>
        </w:rPr>
      </w:pPr>
      <w:r w:rsidRPr="009137CA">
        <w:rPr>
          <w:rFonts w:ascii="Times New Roman" w:hAnsi="Times New Roman"/>
        </w:rPr>
        <w:lastRenderedPageBreak/>
        <w:tab/>
        <w:t>On the one hand, the failure of the parties to expressly address the subject matter of cl 2.20(1)(c) relating to scope 3 GHG emissions can add to the basis for drawing an inference that, before granting the development consent, the Commission did not give any consideration to so much of cl 2.20(1)(c) as required the Commission to consider whether to impose conditions to ensure that such emissions are minimised to the greatest extent practicable. On the other hand, the absence of any submissions made to the Commission about such conditions and their practicability can make it harder to establish that any particular level of consideration the Commission might have given to imposing conditions to address scope 3 GHG emissions did not comply with s 4.15(1)(a)(i) insofar as it refers to cl 2.20(1)(c) of the Resources SEPP. This is so because the relative paucity of submissions and material concerning such conditions meant there was little material the Commission could engage with by way of an "active intellectual process".</w:t>
      </w:r>
      <w:r w:rsidRPr="009137CA">
        <w:rPr>
          <w:rStyle w:val="FootnoteReference"/>
          <w:rFonts w:ascii="Times New Roman" w:hAnsi="Times New Roman"/>
          <w:sz w:val="24"/>
        </w:rPr>
        <w:footnoteReference w:id="240"/>
      </w:r>
    </w:p>
    <w:p w14:paraId="3C6A4499" w14:textId="77777777" w:rsidR="00686E9C" w:rsidRPr="009137CA" w:rsidRDefault="00686E9C" w:rsidP="009137CA">
      <w:pPr>
        <w:pStyle w:val="FixListStyle"/>
        <w:spacing w:after="260" w:line="280" w:lineRule="exact"/>
        <w:ind w:right="0"/>
        <w:jc w:val="both"/>
        <w:rPr>
          <w:rFonts w:ascii="Times New Roman" w:hAnsi="Times New Roman"/>
        </w:rPr>
      </w:pPr>
      <w:r w:rsidRPr="009137CA">
        <w:rPr>
          <w:rFonts w:ascii="Times New Roman" w:hAnsi="Times New Roman"/>
        </w:rPr>
        <w:tab/>
        <w:t xml:space="preserve">The former is the case here. The Commission produced otherwise comprehensive reasons clearly addressing issues raised by the Department and the contentions made by MACH and interested parties. In those circumstances, the absence of any express reference in the reasons to any consideration of whether to impose conditions addressing scope 3 GHG emissions tends to suggest that the Commission confined itself to only considering those contentions. </w:t>
      </w:r>
    </w:p>
    <w:p w14:paraId="53D673ED" w14:textId="77777777" w:rsidR="00686E9C" w:rsidRPr="009137CA" w:rsidRDefault="00686E9C" w:rsidP="009137CA">
      <w:pPr>
        <w:pStyle w:val="FixListStyle"/>
        <w:spacing w:after="260" w:line="280" w:lineRule="exact"/>
        <w:ind w:right="0"/>
        <w:jc w:val="both"/>
        <w:rPr>
          <w:rFonts w:ascii="Times New Roman" w:hAnsi="Times New Roman"/>
        </w:rPr>
      </w:pPr>
      <w:r w:rsidRPr="009137CA">
        <w:rPr>
          <w:rFonts w:ascii="Times New Roman" w:hAnsi="Times New Roman"/>
        </w:rPr>
        <w:tab/>
        <w:t>In many statutory contexts, if a decision maker confines themselves to addressing the contentions made by interested or affected parties, that may be sufficient to discharge the relevant statutory obligation, at least in a particular case. But that is not this case. The effect of the grant of a consent to a development application is not limited to affecting the rights and obligations of an individual or entity vis-a-vis the State. Instead, as the EPA Act recognises,</w:t>
      </w:r>
      <w:r w:rsidRPr="009137CA">
        <w:rPr>
          <w:rStyle w:val="FootnoteReference"/>
          <w:rFonts w:ascii="Times New Roman" w:hAnsi="Times New Roman"/>
          <w:sz w:val="24"/>
        </w:rPr>
        <w:footnoteReference w:id="241"/>
      </w:r>
      <w:r w:rsidRPr="009137CA">
        <w:rPr>
          <w:rFonts w:ascii="Times New Roman" w:hAnsi="Times New Roman"/>
        </w:rPr>
        <w:t xml:space="preserve"> the grant of a development consent, especially a consent to an application for State significant development, has the capacity to significantly affect the broader (and local) environment and all the disparate groups within it. The Commission's duty to consider cl 2.20(1)(c) was not obviated by the apparently all-or-nothing approach adopted by both MACH and DAMSHEG. The public interest loomed large over the exercise of the Commission's function. </w:t>
      </w:r>
    </w:p>
    <w:p w14:paraId="652A3CD6" w14:textId="77777777" w:rsidR="00686E9C" w:rsidRPr="009137CA" w:rsidRDefault="00686E9C" w:rsidP="009137CA">
      <w:pPr>
        <w:pStyle w:val="FixListStyle"/>
        <w:spacing w:after="260" w:line="280" w:lineRule="exact"/>
        <w:ind w:right="0"/>
        <w:jc w:val="both"/>
        <w:rPr>
          <w:rFonts w:ascii="Times New Roman" w:hAnsi="Times New Roman"/>
        </w:rPr>
      </w:pPr>
      <w:r w:rsidRPr="009137CA">
        <w:rPr>
          <w:rFonts w:ascii="Times New Roman" w:hAnsi="Times New Roman"/>
        </w:rPr>
        <w:tab/>
        <w:t xml:space="preserve">The description "forensic decision" applied by the Court of Appeal to the approach adopted by an interested party such as DAMSHEG can be a distraction in the context of a decision of the kind made by the Commission in this case. Although it may have appeared that way, the interested parties who made submissions to the Commission were not engaged in an adversarial contest. A </w:t>
      </w:r>
      <w:r w:rsidRPr="009137CA">
        <w:rPr>
          <w:rFonts w:ascii="Times New Roman" w:hAnsi="Times New Roman"/>
        </w:rPr>
        <w:lastRenderedPageBreak/>
        <w:t>deliberate decision by a party affected by an administrative decision not to address the decision maker about mandatory statutory criteria, or provide available material relevant to those criteria, might warrant the refusal of relief by way of judicial review on discretionary grounds,</w:t>
      </w:r>
      <w:r w:rsidRPr="009137CA">
        <w:rPr>
          <w:rStyle w:val="FootnoteReference"/>
          <w:rFonts w:ascii="Times New Roman" w:hAnsi="Times New Roman"/>
          <w:sz w:val="24"/>
        </w:rPr>
        <w:footnoteReference w:id="242"/>
      </w:r>
      <w:r w:rsidRPr="009137CA">
        <w:rPr>
          <w:rFonts w:ascii="Times New Roman" w:hAnsi="Times New Roman"/>
        </w:rPr>
        <w:t xml:space="preserve"> but that has no application here. It was not submitted to this Court that relief should be refused on a discretionary basis and, even if it had been, the broad interests affected by the Commission's decision would weigh against its exercise.</w:t>
      </w:r>
    </w:p>
    <w:p w14:paraId="206CD39B" w14:textId="77777777" w:rsidR="00686E9C" w:rsidRPr="009137CA" w:rsidRDefault="00686E9C" w:rsidP="009137CA">
      <w:pPr>
        <w:pStyle w:val="FixListStyle"/>
        <w:spacing w:after="260" w:line="280" w:lineRule="exact"/>
        <w:ind w:right="0"/>
        <w:jc w:val="both"/>
        <w:rPr>
          <w:rFonts w:ascii="Times New Roman" w:hAnsi="Times New Roman"/>
        </w:rPr>
      </w:pPr>
      <w:r w:rsidRPr="009137CA">
        <w:rPr>
          <w:rFonts w:ascii="Times New Roman" w:hAnsi="Times New Roman"/>
        </w:rPr>
        <w:tab/>
        <w:t>Otherwise, as noted, the potential significance in the present context of the absence of such submissions or material is that it could have borne upon an assessment of whether any particular consideration the Commission might have given to imposing conditions to address scope 3 GHG emissions conformed with s 4.15(1)(a)(i) insofar as it refers to cl 2.20(1)(c). Ultimately, however, that point does not arise because the Commission never embarked upon any such consideration.</w:t>
      </w:r>
    </w:p>
    <w:p w14:paraId="09FEB070" w14:textId="77777777" w:rsidR="00686E9C" w:rsidRPr="009137CA" w:rsidRDefault="00686E9C" w:rsidP="009137CA">
      <w:pPr>
        <w:pStyle w:val="HeadingL2"/>
        <w:spacing w:after="260" w:line="280" w:lineRule="exact"/>
        <w:ind w:right="0"/>
        <w:jc w:val="both"/>
        <w:rPr>
          <w:rFonts w:ascii="Times New Roman" w:hAnsi="Times New Roman"/>
        </w:rPr>
      </w:pPr>
      <w:r w:rsidRPr="009137CA">
        <w:rPr>
          <w:rFonts w:ascii="Times New Roman" w:hAnsi="Times New Roman"/>
        </w:rPr>
        <w:t>Finding</w:t>
      </w:r>
    </w:p>
    <w:p w14:paraId="0AC364F9" w14:textId="77777777" w:rsidR="00686E9C" w:rsidRPr="009137CA" w:rsidRDefault="00686E9C" w:rsidP="009137CA">
      <w:pPr>
        <w:pStyle w:val="FixListStyle"/>
        <w:spacing w:after="260" w:line="280" w:lineRule="exact"/>
        <w:ind w:right="0"/>
        <w:jc w:val="both"/>
        <w:rPr>
          <w:rFonts w:ascii="Times New Roman" w:hAnsi="Times New Roman"/>
        </w:rPr>
      </w:pPr>
      <w:r w:rsidRPr="009137CA">
        <w:rPr>
          <w:rFonts w:ascii="Times New Roman" w:hAnsi="Times New Roman"/>
        </w:rPr>
        <w:tab/>
        <w:t>DAMSHEG proved that the Commission failed to consider so much of cl</w:t>
      </w:r>
      <w:r>
        <w:rPr>
          <w:rFonts w:ascii="Times New Roman" w:hAnsi="Times New Roman"/>
        </w:rPr>
        <w:t> </w:t>
      </w:r>
      <w:r w:rsidRPr="009137CA">
        <w:rPr>
          <w:rFonts w:ascii="Times New Roman" w:hAnsi="Times New Roman"/>
        </w:rPr>
        <w:t>2.20(1)(c) of the Resources SEPP as provides that, before granting consent, the Commission was obliged to consider whether to grant consent subject to conditions to ensure that all GHG emissions, including scope 3 GHG emissions, are minimised to the greatest extent practicable. The Court of Appeal erred in finding otherwise.</w:t>
      </w:r>
    </w:p>
    <w:p w14:paraId="05056559" w14:textId="77777777" w:rsidR="00686E9C" w:rsidRPr="009137CA" w:rsidRDefault="00686E9C" w:rsidP="009137CA">
      <w:pPr>
        <w:pStyle w:val="HeadingL2"/>
        <w:spacing w:after="260" w:line="280" w:lineRule="exact"/>
        <w:ind w:right="0"/>
        <w:jc w:val="both"/>
        <w:rPr>
          <w:rFonts w:ascii="Times New Roman" w:hAnsi="Times New Roman"/>
          <w:b/>
        </w:rPr>
      </w:pPr>
      <w:r w:rsidRPr="009137CA">
        <w:rPr>
          <w:rFonts w:ascii="Times New Roman" w:hAnsi="Times New Roman"/>
        </w:rPr>
        <w:t>Materiality</w:t>
      </w:r>
    </w:p>
    <w:p w14:paraId="3B0DC659" w14:textId="77777777" w:rsidR="00686E9C" w:rsidRPr="009137CA" w:rsidRDefault="00686E9C" w:rsidP="009137CA">
      <w:pPr>
        <w:pStyle w:val="FixListStyle"/>
        <w:spacing w:after="260" w:line="280" w:lineRule="exact"/>
        <w:ind w:right="0"/>
        <w:jc w:val="both"/>
        <w:rPr>
          <w:rFonts w:ascii="Times New Roman" w:hAnsi="Times New Roman"/>
        </w:rPr>
      </w:pPr>
      <w:r w:rsidRPr="009137CA">
        <w:rPr>
          <w:rFonts w:ascii="Times New Roman" w:hAnsi="Times New Roman"/>
        </w:rPr>
        <w:tab/>
        <w:t>I agree with Gordon J that the Commission's error in relation to s 4.15(1)(a)(i) of the EPA Act and cl 2.20(1)(c) of the Resources SEPP was material and constituted jurisdictional error.</w:t>
      </w:r>
      <w:r w:rsidRPr="009137CA">
        <w:rPr>
          <w:rStyle w:val="FootnoteReference"/>
          <w:rFonts w:ascii="Times New Roman" w:hAnsi="Times New Roman"/>
          <w:sz w:val="24"/>
        </w:rPr>
        <w:footnoteReference w:id="243"/>
      </w:r>
      <w:r w:rsidRPr="009137CA">
        <w:rPr>
          <w:rFonts w:ascii="Times New Roman" w:hAnsi="Times New Roman"/>
        </w:rPr>
        <w:t xml:space="preserve"> </w:t>
      </w:r>
    </w:p>
    <w:p w14:paraId="1A7F14F5" w14:textId="77777777" w:rsidR="00686E9C" w:rsidRPr="009137CA" w:rsidRDefault="00686E9C" w:rsidP="009137CA">
      <w:pPr>
        <w:pStyle w:val="HeadingL1"/>
        <w:spacing w:after="260" w:line="280" w:lineRule="exact"/>
        <w:ind w:right="0"/>
        <w:jc w:val="both"/>
        <w:rPr>
          <w:rFonts w:ascii="Times New Roman" w:hAnsi="Times New Roman"/>
        </w:rPr>
      </w:pPr>
      <w:r w:rsidRPr="009137CA">
        <w:rPr>
          <w:rFonts w:ascii="Times New Roman" w:hAnsi="Times New Roman"/>
        </w:rPr>
        <w:t>Conclusion</w:t>
      </w:r>
    </w:p>
    <w:p w14:paraId="1853BF91" w14:textId="77777777" w:rsidR="00686E9C" w:rsidRPr="009137CA" w:rsidRDefault="00686E9C" w:rsidP="009137CA">
      <w:pPr>
        <w:pStyle w:val="FixListStyle"/>
        <w:spacing w:after="260" w:line="280" w:lineRule="exact"/>
        <w:ind w:right="0"/>
        <w:jc w:val="both"/>
        <w:rPr>
          <w:rFonts w:ascii="Times New Roman" w:hAnsi="Times New Roman"/>
        </w:rPr>
      </w:pPr>
      <w:r w:rsidRPr="009137CA">
        <w:rPr>
          <w:rFonts w:ascii="Times New Roman" w:hAnsi="Times New Roman"/>
        </w:rPr>
        <w:tab/>
        <w:t xml:space="preserve">Ground 1 of DAMSHEG's amended notice of contention should be upheld. </w:t>
      </w:r>
    </w:p>
    <w:p w14:paraId="6E47C6D3" w14:textId="3E06B59A" w:rsidR="00AE205E" w:rsidRPr="00686E9C" w:rsidRDefault="00686E9C" w:rsidP="00686E9C">
      <w:pPr>
        <w:pStyle w:val="FixListStyle"/>
        <w:spacing w:after="260" w:line="280" w:lineRule="exact"/>
        <w:ind w:right="0"/>
        <w:jc w:val="both"/>
        <w:rPr>
          <w:rFonts w:ascii="Times New Roman" w:hAnsi="Times New Roman"/>
        </w:rPr>
      </w:pPr>
      <w:r w:rsidRPr="009137CA">
        <w:rPr>
          <w:rFonts w:ascii="Times New Roman" w:hAnsi="Times New Roman"/>
        </w:rPr>
        <w:tab/>
        <w:t>The orders proposed by Gordon J should be made.</w:t>
      </w:r>
    </w:p>
    <w:sectPr w:rsidR="00AE205E" w:rsidRPr="00686E9C" w:rsidSect="00686E9C">
      <w:headerReference w:type="even" r:id="rId33"/>
      <w:headerReference w:type="default" r:id="rId34"/>
      <w:headerReference w:type="first" r:id="rId35"/>
      <w:pgSz w:w="11907" w:h="16839" w:code="9"/>
      <w:pgMar w:top="1440" w:right="1701" w:bottom="1984" w:left="1701" w:header="720" w:footer="720" w:gutter="0"/>
      <w:cols w:space="720"/>
      <w:docGrid w:linePitch="3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2D1E2D" w14:textId="77777777" w:rsidR="004D6DD7" w:rsidRDefault="004D6DD7">
      <w:pPr>
        <w:spacing w:line="240" w:lineRule="auto"/>
      </w:pPr>
      <w:r>
        <w:separator/>
      </w:r>
    </w:p>
  </w:endnote>
  <w:endnote w:type="continuationSeparator" w:id="0">
    <w:p w14:paraId="225FF193" w14:textId="77777777" w:rsidR="004D6DD7" w:rsidRDefault="004D6DD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Univers">
    <w:panose1 w:val="020B0603020202030204"/>
    <w:charset w:val="00"/>
    <w:family w:val="swiss"/>
    <w:pitch w:val="variable"/>
    <w:sig w:usb0="8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0B159A" w14:textId="77777777" w:rsidR="00E97682" w:rsidRDefault="00E9768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50D6B" w14:textId="77777777" w:rsidR="00E97682" w:rsidRDefault="00E9768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582B9" w14:textId="77777777" w:rsidR="00E97682" w:rsidRDefault="00E9768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5F800" w14:textId="77777777" w:rsidR="00E97682" w:rsidRDefault="00E9768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C90D4" w14:textId="77777777" w:rsidR="00E97682" w:rsidRDefault="00E9768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7A534" w14:textId="77777777" w:rsidR="00E97682" w:rsidRDefault="00E97682">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DF496" w14:textId="77777777" w:rsidR="008352AC" w:rsidRDefault="008352AC">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DEAF3" w14:textId="77777777" w:rsidR="008352AC" w:rsidRDefault="008352AC">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B55E78" w14:textId="77777777" w:rsidR="008352AC" w:rsidRDefault="008352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46DA61" w14:textId="77777777" w:rsidR="004D6DD7" w:rsidRPr="007406B5" w:rsidRDefault="004D6DD7" w:rsidP="007406B5">
      <w:pPr>
        <w:pStyle w:val="Footer"/>
        <w:spacing w:before="120" w:after="20"/>
        <w:ind w:right="0"/>
        <w:rPr>
          <w:rFonts w:ascii="Times New Roman" w:hAnsi="Times New Roman"/>
        </w:rPr>
      </w:pPr>
      <w:r>
        <w:continuationSeparator/>
      </w:r>
    </w:p>
  </w:footnote>
  <w:footnote w:type="continuationSeparator" w:id="0">
    <w:p w14:paraId="28CD310D" w14:textId="77777777" w:rsidR="004D6DD7" w:rsidRPr="007406B5" w:rsidRDefault="004D6DD7" w:rsidP="007406B5">
      <w:pPr>
        <w:pStyle w:val="Footer"/>
        <w:spacing w:before="120" w:after="20"/>
        <w:ind w:right="0"/>
        <w:rPr>
          <w:rFonts w:ascii="Times New Roman" w:hAnsi="Times New Roman"/>
        </w:rPr>
      </w:pPr>
      <w:r w:rsidRPr="007406B5">
        <w:rPr>
          <w:rFonts w:ascii="Times New Roman" w:hAnsi="Times New Roman"/>
        </w:rPr>
        <w:continuationSeparator/>
      </w:r>
    </w:p>
  </w:footnote>
  <w:footnote w:type="continuationNotice" w:id="1">
    <w:p w14:paraId="33AEE20B" w14:textId="77777777" w:rsidR="004D6DD7" w:rsidRPr="008352AC" w:rsidRDefault="004D6DD7">
      <w:pPr>
        <w:jc w:val="right"/>
        <w:rPr>
          <w:rFonts w:ascii="Times New Roman" w:hAnsi="Times New Roman"/>
          <w:sz w:val="24"/>
        </w:rPr>
      </w:pPr>
    </w:p>
  </w:footnote>
  <w:footnote w:id="2">
    <w:p w14:paraId="65E6E457" w14:textId="037534C0" w:rsidR="00D3144E" w:rsidRPr="007406B5" w:rsidRDefault="00D3144E" w:rsidP="007406B5">
      <w:pPr>
        <w:pStyle w:val="FootnoteText"/>
        <w:spacing w:line="280" w:lineRule="exact"/>
        <w:ind w:right="0"/>
        <w:jc w:val="both"/>
        <w:rPr>
          <w:rFonts w:ascii="Times New Roman" w:hAnsi="Times New Roman"/>
          <w:sz w:val="24"/>
        </w:rPr>
      </w:pPr>
      <w:r w:rsidRPr="007406B5">
        <w:rPr>
          <w:rStyle w:val="FootnoteReference"/>
          <w:rFonts w:ascii="Times New Roman" w:hAnsi="Times New Roman"/>
          <w:sz w:val="22"/>
          <w:vertAlign w:val="baseline"/>
        </w:rPr>
        <w:footnoteRef/>
      </w:r>
      <w:r w:rsidRPr="007406B5">
        <w:rPr>
          <w:rFonts w:ascii="Times New Roman" w:hAnsi="Times New Roman"/>
          <w:sz w:val="24"/>
        </w:rPr>
        <w:t xml:space="preserve"> </w:t>
      </w:r>
      <w:r w:rsidRPr="007406B5">
        <w:rPr>
          <w:rFonts w:ascii="Times New Roman" w:hAnsi="Times New Roman"/>
          <w:sz w:val="24"/>
        </w:rPr>
        <w:tab/>
      </w:r>
      <w:r w:rsidR="00907B22" w:rsidRPr="007406B5">
        <w:rPr>
          <w:rFonts w:ascii="Times New Roman" w:hAnsi="Times New Roman"/>
          <w:i/>
          <w:iCs/>
          <w:sz w:val="24"/>
        </w:rPr>
        <w:t>Denman Aberdeen Muswellbrook Scone Healthy Environment Group Inc v MACH Energy Australia Pty Ltd</w:t>
      </w:r>
      <w:r w:rsidR="00907B22" w:rsidRPr="007406B5">
        <w:rPr>
          <w:rFonts w:ascii="Times New Roman" w:hAnsi="Times New Roman"/>
          <w:sz w:val="24"/>
        </w:rPr>
        <w:t xml:space="preserve"> [2024] NSWLEC 86.</w:t>
      </w:r>
    </w:p>
  </w:footnote>
  <w:footnote w:id="3">
    <w:p w14:paraId="47AAC049" w14:textId="460A631E" w:rsidR="002950E7" w:rsidRPr="007406B5" w:rsidRDefault="002950E7" w:rsidP="007406B5">
      <w:pPr>
        <w:pStyle w:val="FootnoteText"/>
        <w:spacing w:line="280" w:lineRule="exact"/>
        <w:ind w:right="0"/>
        <w:jc w:val="both"/>
        <w:rPr>
          <w:rFonts w:ascii="Times New Roman" w:hAnsi="Times New Roman"/>
          <w:sz w:val="24"/>
        </w:rPr>
      </w:pPr>
      <w:r w:rsidRPr="007406B5">
        <w:rPr>
          <w:rStyle w:val="FootnoteReference"/>
          <w:rFonts w:ascii="Times New Roman" w:hAnsi="Times New Roman"/>
          <w:sz w:val="22"/>
          <w:vertAlign w:val="baseline"/>
        </w:rPr>
        <w:footnoteRef/>
      </w:r>
      <w:r w:rsidRPr="007406B5">
        <w:rPr>
          <w:rFonts w:ascii="Times New Roman" w:hAnsi="Times New Roman"/>
          <w:sz w:val="24"/>
        </w:rPr>
        <w:t xml:space="preserve"> </w:t>
      </w:r>
      <w:r w:rsidRPr="007406B5">
        <w:rPr>
          <w:rFonts w:ascii="Times New Roman" w:hAnsi="Times New Roman"/>
          <w:sz w:val="24"/>
        </w:rPr>
        <w:tab/>
      </w:r>
      <w:r w:rsidRPr="007406B5">
        <w:rPr>
          <w:rFonts w:ascii="Times New Roman" w:hAnsi="Times New Roman"/>
          <w:i/>
          <w:iCs/>
          <w:sz w:val="24"/>
        </w:rPr>
        <w:t>Denman Aberdeen Muswellbrook Scone Healthy Environment Group Inc v MACH Energy Australia Pty Ltd</w:t>
      </w:r>
      <w:r w:rsidRPr="007406B5">
        <w:rPr>
          <w:rFonts w:ascii="Times New Roman" w:hAnsi="Times New Roman"/>
          <w:sz w:val="24"/>
        </w:rPr>
        <w:t xml:space="preserve"> </w:t>
      </w:r>
      <w:r w:rsidR="00940EFD" w:rsidRPr="007406B5">
        <w:rPr>
          <w:rFonts w:ascii="Times New Roman" w:hAnsi="Times New Roman"/>
          <w:sz w:val="24"/>
        </w:rPr>
        <w:t>(</w:t>
      </w:r>
      <w:r w:rsidRPr="007406B5">
        <w:rPr>
          <w:rFonts w:ascii="Times New Roman" w:hAnsi="Times New Roman"/>
          <w:sz w:val="24"/>
        </w:rPr>
        <w:t>2025</w:t>
      </w:r>
      <w:r w:rsidR="00940EFD" w:rsidRPr="007406B5">
        <w:rPr>
          <w:rFonts w:ascii="Times New Roman" w:hAnsi="Times New Roman"/>
          <w:sz w:val="24"/>
        </w:rPr>
        <w:t xml:space="preserve">) </w:t>
      </w:r>
      <w:r w:rsidR="00F4774B" w:rsidRPr="007406B5">
        <w:rPr>
          <w:rFonts w:ascii="Times New Roman" w:hAnsi="Times New Roman"/>
          <w:sz w:val="24"/>
        </w:rPr>
        <w:t xml:space="preserve">263 </w:t>
      </w:r>
      <w:r w:rsidR="00940EFD" w:rsidRPr="007406B5">
        <w:rPr>
          <w:rFonts w:ascii="Times New Roman" w:hAnsi="Times New Roman"/>
          <w:sz w:val="24"/>
        </w:rPr>
        <w:t>LGERA 264</w:t>
      </w:r>
      <w:r w:rsidR="004A0BF4" w:rsidRPr="007406B5">
        <w:rPr>
          <w:rFonts w:ascii="Times New Roman" w:hAnsi="Times New Roman"/>
          <w:sz w:val="24"/>
        </w:rPr>
        <w:t xml:space="preserve"> at </w:t>
      </w:r>
      <w:r w:rsidR="00282742" w:rsidRPr="007406B5">
        <w:rPr>
          <w:rFonts w:ascii="Times New Roman" w:hAnsi="Times New Roman"/>
          <w:sz w:val="24"/>
        </w:rPr>
        <w:t>290</w:t>
      </w:r>
      <w:r w:rsidR="00B14B10" w:rsidRPr="007406B5">
        <w:rPr>
          <w:rFonts w:ascii="Times New Roman" w:hAnsi="Times New Roman"/>
          <w:sz w:val="24"/>
        </w:rPr>
        <w:t>-291</w:t>
      </w:r>
      <w:r w:rsidR="00282742" w:rsidRPr="007406B5">
        <w:rPr>
          <w:rFonts w:ascii="Times New Roman" w:hAnsi="Times New Roman"/>
          <w:sz w:val="24"/>
        </w:rPr>
        <w:t xml:space="preserve"> [106]</w:t>
      </w:r>
      <w:r w:rsidR="00B14B10" w:rsidRPr="007406B5">
        <w:rPr>
          <w:rFonts w:ascii="Times New Roman" w:hAnsi="Times New Roman"/>
          <w:sz w:val="24"/>
        </w:rPr>
        <w:t>-[</w:t>
      </w:r>
      <w:r w:rsidR="00970E83" w:rsidRPr="007406B5">
        <w:rPr>
          <w:rFonts w:ascii="Times New Roman" w:hAnsi="Times New Roman"/>
          <w:sz w:val="24"/>
        </w:rPr>
        <w:t>109</w:t>
      </w:r>
      <w:r w:rsidR="00B14B10" w:rsidRPr="007406B5">
        <w:rPr>
          <w:rFonts w:ascii="Times New Roman" w:hAnsi="Times New Roman"/>
          <w:sz w:val="24"/>
        </w:rPr>
        <w:t>]</w:t>
      </w:r>
      <w:r w:rsidR="00282742" w:rsidRPr="007406B5">
        <w:rPr>
          <w:rFonts w:ascii="Times New Roman" w:hAnsi="Times New Roman"/>
          <w:sz w:val="24"/>
        </w:rPr>
        <w:t xml:space="preserve">, </w:t>
      </w:r>
      <w:r w:rsidR="008D01D8" w:rsidRPr="007406B5">
        <w:rPr>
          <w:rFonts w:ascii="Times New Roman" w:hAnsi="Times New Roman"/>
          <w:sz w:val="24"/>
        </w:rPr>
        <w:t>319-</w:t>
      </w:r>
      <w:r w:rsidR="00EE23B4" w:rsidRPr="007406B5">
        <w:rPr>
          <w:rFonts w:ascii="Times New Roman" w:hAnsi="Times New Roman"/>
          <w:sz w:val="24"/>
        </w:rPr>
        <w:t xml:space="preserve">320 </w:t>
      </w:r>
      <w:r w:rsidR="00463C38" w:rsidRPr="007406B5">
        <w:rPr>
          <w:rFonts w:ascii="Times New Roman" w:hAnsi="Times New Roman"/>
          <w:sz w:val="24"/>
        </w:rPr>
        <w:t>[235]-</w:t>
      </w:r>
      <w:r w:rsidR="00EE23B4" w:rsidRPr="007406B5">
        <w:rPr>
          <w:rFonts w:ascii="Times New Roman" w:hAnsi="Times New Roman"/>
          <w:sz w:val="24"/>
        </w:rPr>
        <w:t xml:space="preserve">[238], </w:t>
      </w:r>
      <w:r w:rsidR="00F267AC" w:rsidRPr="007406B5">
        <w:rPr>
          <w:rFonts w:ascii="Times New Roman" w:hAnsi="Times New Roman"/>
          <w:sz w:val="24"/>
        </w:rPr>
        <w:t xml:space="preserve">321 </w:t>
      </w:r>
      <w:r w:rsidR="003776CF" w:rsidRPr="007406B5">
        <w:rPr>
          <w:rFonts w:ascii="Times New Roman" w:hAnsi="Times New Roman"/>
          <w:sz w:val="24"/>
        </w:rPr>
        <w:t>[</w:t>
      </w:r>
      <w:r w:rsidR="00F267AC" w:rsidRPr="007406B5">
        <w:rPr>
          <w:rFonts w:ascii="Times New Roman" w:hAnsi="Times New Roman"/>
          <w:sz w:val="24"/>
        </w:rPr>
        <w:t>245</w:t>
      </w:r>
      <w:r w:rsidR="003776CF" w:rsidRPr="007406B5">
        <w:rPr>
          <w:rFonts w:ascii="Times New Roman" w:hAnsi="Times New Roman"/>
          <w:sz w:val="24"/>
        </w:rPr>
        <w:t>]</w:t>
      </w:r>
      <w:r w:rsidRPr="007406B5">
        <w:rPr>
          <w:rFonts w:ascii="Times New Roman" w:hAnsi="Times New Roman"/>
          <w:sz w:val="24"/>
        </w:rPr>
        <w:t>.</w:t>
      </w:r>
    </w:p>
  </w:footnote>
  <w:footnote w:id="4">
    <w:p w14:paraId="47286460" w14:textId="57E83995" w:rsidR="000B07B7" w:rsidRPr="007406B5" w:rsidRDefault="000B07B7" w:rsidP="007406B5">
      <w:pPr>
        <w:pStyle w:val="FootnoteText"/>
        <w:spacing w:line="280" w:lineRule="exact"/>
        <w:ind w:right="0"/>
        <w:jc w:val="both"/>
        <w:rPr>
          <w:rFonts w:ascii="Times New Roman" w:hAnsi="Times New Roman"/>
          <w:sz w:val="24"/>
        </w:rPr>
      </w:pPr>
      <w:r w:rsidRPr="007406B5">
        <w:rPr>
          <w:rStyle w:val="FootnoteReference"/>
          <w:rFonts w:ascii="Times New Roman" w:hAnsi="Times New Roman"/>
          <w:sz w:val="22"/>
          <w:vertAlign w:val="baseline"/>
        </w:rPr>
        <w:footnoteRef/>
      </w:r>
      <w:r w:rsidRPr="007406B5">
        <w:rPr>
          <w:rFonts w:ascii="Times New Roman" w:hAnsi="Times New Roman"/>
          <w:sz w:val="24"/>
        </w:rPr>
        <w:t xml:space="preserve"> </w:t>
      </w:r>
      <w:r w:rsidRPr="007406B5">
        <w:rPr>
          <w:rFonts w:ascii="Times New Roman" w:hAnsi="Times New Roman"/>
          <w:sz w:val="24"/>
        </w:rPr>
        <w:tab/>
      </w:r>
      <w:r w:rsidRPr="007406B5">
        <w:rPr>
          <w:rFonts w:ascii="Times New Roman" w:hAnsi="Times New Roman"/>
          <w:i/>
          <w:iCs/>
          <w:sz w:val="24"/>
        </w:rPr>
        <w:t>Denman Aberdeen Muswellbrook Scone Healthy Environment Group Inc v MACH Energy Australia Pty Ltd</w:t>
      </w:r>
      <w:r w:rsidRPr="007406B5">
        <w:rPr>
          <w:rFonts w:ascii="Times New Roman" w:hAnsi="Times New Roman"/>
          <w:sz w:val="24"/>
        </w:rPr>
        <w:t xml:space="preserve"> (2025) </w:t>
      </w:r>
      <w:r w:rsidR="00F83B65" w:rsidRPr="007406B5">
        <w:rPr>
          <w:rFonts w:ascii="Times New Roman" w:hAnsi="Times New Roman"/>
          <w:sz w:val="24"/>
        </w:rPr>
        <w:t xml:space="preserve">263 </w:t>
      </w:r>
      <w:r w:rsidRPr="007406B5">
        <w:rPr>
          <w:rFonts w:ascii="Times New Roman" w:hAnsi="Times New Roman"/>
          <w:sz w:val="24"/>
        </w:rPr>
        <w:t>LGERA 264 at</w:t>
      </w:r>
      <w:r w:rsidR="00A57F4E" w:rsidRPr="007406B5">
        <w:rPr>
          <w:rFonts w:ascii="Times New Roman" w:hAnsi="Times New Roman"/>
          <w:sz w:val="24"/>
        </w:rPr>
        <w:t xml:space="preserve"> 293 [119]-[120], </w:t>
      </w:r>
      <w:r w:rsidR="008C0D3E" w:rsidRPr="007406B5">
        <w:rPr>
          <w:rFonts w:ascii="Times New Roman" w:hAnsi="Times New Roman"/>
          <w:sz w:val="24"/>
        </w:rPr>
        <w:t>294 [124], 321 [243].</w:t>
      </w:r>
    </w:p>
  </w:footnote>
  <w:footnote w:id="5">
    <w:p w14:paraId="5A56AAC5" w14:textId="77C2C1DE" w:rsidR="00004773" w:rsidRPr="007406B5" w:rsidRDefault="00004773" w:rsidP="007406B5">
      <w:pPr>
        <w:pStyle w:val="FootnoteText"/>
        <w:spacing w:line="280" w:lineRule="exact"/>
        <w:ind w:right="0"/>
        <w:jc w:val="both"/>
        <w:rPr>
          <w:rFonts w:ascii="Times New Roman" w:hAnsi="Times New Roman"/>
          <w:sz w:val="24"/>
        </w:rPr>
      </w:pPr>
      <w:r w:rsidRPr="007406B5">
        <w:rPr>
          <w:rStyle w:val="FootnoteReference"/>
          <w:rFonts w:ascii="Times New Roman" w:hAnsi="Times New Roman"/>
          <w:sz w:val="22"/>
          <w:vertAlign w:val="baseline"/>
        </w:rPr>
        <w:footnoteRef/>
      </w:r>
      <w:r w:rsidRPr="007406B5">
        <w:rPr>
          <w:rFonts w:ascii="Times New Roman" w:hAnsi="Times New Roman"/>
          <w:sz w:val="24"/>
        </w:rPr>
        <w:t xml:space="preserve"> </w:t>
      </w:r>
      <w:r w:rsidRPr="007406B5">
        <w:rPr>
          <w:rFonts w:ascii="Times New Roman" w:hAnsi="Times New Roman"/>
          <w:sz w:val="24"/>
        </w:rPr>
        <w:tab/>
      </w:r>
      <w:r w:rsidR="005F6754" w:rsidRPr="007406B5">
        <w:rPr>
          <w:rFonts w:ascii="Times New Roman" w:hAnsi="Times New Roman"/>
          <w:sz w:val="24"/>
        </w:rPr>
        <w:t>(2022) 255 LGERA 136.</w:t>
      </w:r>
    </w:p>
  </w:footnote>
  <w:footnote w:id="6">
    <w:p w14:paraId="0A5C571A" w14:textId="7D2910B3" w:rsidR="009069E1" w:rsidRPr="007406B5" w:rsidRDefault="009069E1" w:rsidP="007406B5">
      <w:pPr>
        <w:pStyle w:val="FootnoteText"/>
        <w:spacing w:line="280" w:lineRule="exact"/>
        <w:ind w:right="0"/>
        <w:jc w:val="both"/>
        <w:rPr>
          <w:rFonts w:ascii="Times New Roman" w:hAnsi="Times New Roman"/>
          <w:sz w:val="24"/>
        </w:rPr>
      </w:pPr>
      <w:r w:rsidRPr="007406B5">
        <w:rPr>
          <w:rStyle w:val="FootnoteReference"/>
          <w:rFonts w:ascii="Times New Roman" w:hAnsi="Times New Roman"/>
          <w:sz w:val="22"/>
          <w:vertAlign w:val="baseline"/>
        </w:rPr>
        <w:footnoteRef/>
      </w:r>
      <w:r w:rsidRPr="007406B5">
        <w:rPr>
          <w:rFonts w:ascii="Times New Roman" w:hAnsi="Times New Roman"/>
          <w:sz w:val="24"/>
        </w:rPr>
        <w:t xml:space="preserve"> </w:t>
      </w:r>
      <w:r w:rsidRPr="007406B5">
        <w:rPr>
          <w:rFonts w:ascii="Times New Roman" w:hAnsi="Times New Roman"/>
          <w:sz w:val="24"/>
        </w:rPr>
        <w:tab/>
        <w:t>See (2022) 255 LGERA 136 at 144 [21].</w:t>
      </w:r>
    </w:p>
  </w:footnote>
  <w:footnote w:id="7">
    <w:p w14:paraId="5D8EF43E" w14:textId="4F6F3E51" w:rsidR="00A11345" w:rsidRPr="007406B5" w:rsidRDefault="00A11345" w:rsidP="007406B5">
      <w:pPr>
        <w:pStyle w:val="FootnoteText"/>
        <w:spacing w:line="280" w:lineRule="exact"/>
        <w:ind w:right="0"/>
        <w:jc w:val="both"/>
        <w:rPr>
          <w:rFonts w:ascii="Times New Roman" w:hAnsi="Times New Roman"/>
          <w:sz w:val="24"/>
        </w:rPr>
      </w:pPr>
      <w:r w:rsidRPr="007406B5">
        <w:rPr>
          <w:rStyle w:val="FootnoteReference"/>
          <w:rFonts w:ascii="Times New Roman" w:hAnsi="Times New Roman"/>
          <w:sz w:val="22"/>
          <w:vertAlign w:val="baseline"/>
        </w:rPr>
        <w:footnoteRef/>
      </w:r>
      <w:r w:rsidRPr="007406B5">
        <w:rPr>
          <w:rFonts w:ascii="Times New Roman" w:hAnsi="Times New Roman"/>
          <w:sz w:val="24"/>
        </w:rPr>
        <w:t xml:space="preserve"> </w:t>
      </w:r>
      <w:r w:rsidRPr="007406B5">
        <w:rPr>
          <w:rFonts w:ascii="Times New Roman" w:hAnsi="Times New Roman"/>
          <w:sz w:val="24"/>
        </w:rPr>
        <w:tab/>
        <w:t xml:space="preserve">(2022) 255 LGERA 136 at </w:t>
      </w:r>
      <w:r w:rsidR="00AC1A1F" w:rsidRPr="007406B5">
        <w:rPr>
          <w:rFonts w:ascii="Times New Roman" w:hAnsi="Times New Roman"/>
          <w:sz w:val="24"/>
        </w:rPr>
        <w:t>143 [16], 145 [23]-[24].</w:t>
      </w:r>
    </w:p>
  </w:footnote>
  <w:footnote w:id="8">
    <w:p w14:paraId="00B90953" w14:textId="7E06D959" w:rsidR="009C18A5" w:rsidRPr="007406B5" w:rsidRDefault="009C18A5" w:rsidP="007406B5">
      <w:pPr>
        <w:pStyle w:val="FootnoteText"/>
        <w:spacing w:line="280" w:lineRule="exact"/>
        <w:ind w:right="0"/>
        <w:jc w:val="both"/>
        <w:rPr>
          <w:rFonts w:ascii="Times New Roman" w:hAnsi="Times New Roman"/>
          <w:sz w:val="24"/>
        </w:rPr>
      </w:pPr>
      <w:r w:rsidRPr="007406B5">
        <w:rPr>
          <w:rStyle w:val="FootnoteReference"/>
          <w:rFonts w:ascii="Times New Roman" w:hAnsi="Times New Roman"/>
          <w:sz w:val="22"/>
          <w:vertAlign w:val="baseline"/>
        </w:rPr>
        <w:footnoteRef/>
      </w:r>
      <w:r w:rsidRPr="007406B5">
        <w:rPr>
          <w:rFonts w:ascii="Times New Roman" w:hAnsi="Times New Roman"/>
          <w:sz w:val="24"/>
        </w:rPr>
        <w:t xml:space="preserve"> </w:t>
      </w:r>
      <w:r w:rsidRPr="007406B5">
        <w:rPr>
          <w:rFonts w:ascii="Times New Roman" w:hAnsi="Times New Roman"/>
          <w:sz w:val="24"/>
        </w:rPr>
        <w:tab/>
      </w:r>
      <w:r w:rsidR="002740BD" w:rsidRPr="007406B5">
        <w:rPr>
          <w:rFonts w:ascii="Times New Roman" w:hAnsi="Times New Roman"/>
          <w:sz w:val="24"/>
        </w:rPr>
        <w:t>(2022) 255 LGERA 136 at 140 [1], 165 [102]-[103].</w:t>
      </w:r>
    </w:p>
  </w:footnote>
  <w:footnote w:id="9">
    <w:p w14:paraId="309FAF46" w14:textId="16B98483" w:rsidR="00406096" w:rsidRPr="007406B5" w:rsidRDefault="00406096" w:rsidP="007406B5">
      <w:pPr>
        <w:pStyle w:val="FootnoteText"/>
        <w:spacing w:line="280" w:lineRule="exact"/>
        <w:ind w:right="0"/>
        <w:jc w:val="both"/>
        <w:rPr>
          <w:rFonts w:ascii="Times New Roman" w:hAnsi="Times New Roman"/>
          <w:sz w:val="24"/>
        </w:rPr>
      </w:pPr>
      <w:r w:rsidRPr="007406B5">
        <w:rPr>
          <w:rStyle w:val="FootnoteReference"/>
          <w:rFonts w:ascii="Times New Roman" w:hAnsi="Times New Roman"/>
          <w:sz w:val="22"/>
          <w:vertAlign w:val="baseline"/>
        </w:rPr>
        <w:footnoteRef/>
      </w:r>
      <w:r w:rsidRPr="007406B5">
        <w:rPr>
          <w:rFonts w:ascii="Times New Roman" w:hAnsi="Times New Roman"/>
          <w:sz w:val="24"/>
        </w:rPr>
        <w:t xml:space="preserve"> </w:t>
      </w:r>
      <w:r w:rsidRPr="007406B5">
        <w:rPr>
          <w:rFonts w:ascii="Times New Roman" w:hAnsi="Times New Roman"/>
          <w:sz w:val="24"/>
        </w:rPr>
        <w:tab/>
      </w:r>
      <w:r w:rsidR="001E23FE" w:rsidRPr="007406B5">
        <w:rPr>
          <w:rFonts w:ascii="Times New Roman" w:hAnsi="Times New Roman"/>
          <w:sz w:val="24"/>
        </w:rPr>
        <w:t>(2004) 61 NSWLR 707.</w:t>
      </w:r>
    </w:p>
  </w:footnote>
  <w:footnote w:id="10">
    <w:p w14:paraId="5AC42AE4" w14:textId="5761A319" w:rsidR="00303BC5" w:rsidRPr="007406B5" w:rsidRDefault="00303BC5" w:rsidP="007406B5">
      <w:pPr>
        <w:pStyle w:val="FootnoteText"/>
        <w:spacing w:line="280" w:lineRule="exact"/>
        <w:ind w:right="0"/>
        <w:jc w:val="both"/>
        <w:rPr>
          <w:rFonts w:ascii="Times New Roman" w:hAnsi="Times New Roman"/>
          <w:sz w:val="24"/>
        </w:rPr>
      </w:pPr>
      <w:r w:rsidRPr="007406B5">
        <w:rPr>
          <w:rStyle w:val="FootnoteReference"/>
          <w:rFonts w:ascii="Times New Roman" w:hAnsi="Times New Roman"/>
          <w:sz w:val="22"/>
          <w:vertAlign w:val="baseline"/>
        </w:rPr>
        <w:footnoteRef/>
      </w:r>
      <w:r w:rsidRPr="007406B5">
        <w:rPr>
          <w:rFonts w:ascii="Times New Roman" w:hAnsi="Times New Roman"/>
          <w:sz w:val="24"/>
        </w:rPr>
        <w:t xml:space="preserve"> </w:t>
      </w:r>
      <w:r w:rsidRPr="007406B5">
        <w:rPr>
          <w:rFonts w:ascii="Times New Roman" w:hAnsi="Times New Roman"/>
          <w:sz w:val="24"/>
        </w:rPr>
        <w:tab/>
      </w:r>
      <w:r w:rsidR="002A520C" w:rsidRPr="007406B5">
        <w:rPr>
          <w:rFonts w:ascii="Times New Roman" w:hAnsi="Times New Roman"/>
          <w:sz w:val="24"/>
        </w:rPr>
        <w:t xml:space="preserve">(2004) 61 NSWLR 707 at 724 </w:t>
      </w:r>
      <w:r w:rsidR="00FC47D0" w:rsidRPr="007406B5">
        <w:rPr>
          <w:rFonts w:ascii="Times New Roman" w:hAnsi="Times New Roman"/>
          <w:sz w:val="24"/>
        </w:rPr>
        <w:t>[86]-</w:t>
      </w:r>
      <w:r w:rsidR="002A520C" w:rsidRPr="007406B5">
        <w:rPr>
          <w:rFonts w:ascii="Times New Roman" w:hAnsi="Times New Roman"/>
          <w:sz w:val="24"/>
        </w:rPr>
        <w:t>[88].</w:t>
      </w:r>
    </w:p>
  </w:footnote>
  <w:footnote w:id="11">
    <w:p w14:paraId="5A9610E7" w14:textId="6D9514B1" w:rsidR="004B41DB" w:rsidRPr="007406B5" w:rsidRDefault="004B41DB" w:rsidP="007406B5">
      <w:pPr>
        <w:pStyle w:val="FootnoteText"/>
        <w:spacing w:line="280" w:lineRule="exact"/>
        <w:ind w:right="0"/>
        <w:jc w:val="both"/>
        <w:rPr>
          <w:rFonts w:ascii="Times New Roman" w:hAnsi="Times New Roman"/>
          <w:sz w:val="24"/>
        </w:rPr>
      </w:pPr>
      <w:r w:rsidRPr="007406B5">
        <w:rPr>
          <w:rStyle w:val="FootnoteReference"/>
          <w:rFonts w:ascii="Times New Roman" w:hAnsi="Times New Roman"/>
          <w:sz w:val="22"/>
          <w:vertAlign w:val="baseline"/>
        </w:rPr>
        <w:footnoteRef/>
      </w:r>
      <w:r w:rsidRPr="007406B5">
        <w:rPr>
          <w:rFonts w:ascii="Times New Roman" w:hAnsi="Times New Roman"/>
          <w:sz w:val="24"/>
        </w:rPr>
        <w:t xml:space="preserve"> </w:t>
      </w:r>
      <w:r w:rsidRPr="007406B5">
        <w:rPr>
          <w:rFonts w:ascii="Times New Roman" w:hAnsi="Times New Roman"/>
          <w:sz w:val="24"/>
        </w:rPr>
        <w:tab/>
      </w:r>
      <w:r w:rsidR="00903DB9" w:rsidRPr="007406B5">
        <w:rPr>
          <w:rFonts w:ascii="Times New Roman" w:hAnsi="Times New Roman"/>
          <w:sz w:val="24"/>
        </w:rPr>
        <w:t>(2022) 255 LGERA 136</w:t>
      </w:r>
      <w:r w:rsidRPr="007406B5">
        <w:rPr>
          <w:rFonts w:ascii="Times New Roman" w:hAnsi="Times New Roman"/>
          <w:sz w:val="24"/>
        </w:rPr>
        <w:t xml:space="preserve"> at 158 [77].</w:t>
      </w:r>
    </w:p>
  </w:footnote>
  <w:footnote w:id="12">
    <w:p w14:paraId="25F87304" w14:textId="360A53FE" w:rsidR="009C1B2A" w:rsidRPr="007406B5" w:rsidRDefault="009C1B2A" w:rsidP="007406B5">
      <w:pPr>
        <w:pStyle w:val="FootnoteText"/>
        <w:spacing w:line="280" w:lineRule="exact"/>
        <w:ind w:right="0"/>
        <w:jc w:val="both"/>
        <w:rPr>
          <w:rFonts w:ascii="Times New Roman" w:hAnsi="Times New Roman"/>
          <w:sz w:val="24"/>
        </w:rPr>
      </w:pPr>
      <w:r w:rsidRPr="007406B5">
        <w:rPr>
          <w:rStyle w:val="FootnoteReference"/>
          <w:rFonts w:ascii="Times New Roman" w:hAnsi="Times New Roman"/>
          <w:sz w:val="22"/>
          <w:vertAlign w:val="baseline"/>
        </w:rPr>
        <w:footnoteRef/>
      </w:r>
      <w:r w:rsidRPr="007406B5">
        <w:rPr>
          <w:rFonts w:ascii="Times New Roman" w:hAnsi="Times New Roman"/>
          <w:sz w:val="24"/>
        </w:rPr>
        <w:t xml:space="preserve"> </w:t>
      </w:r>
      <w:r w:rsidRPr="007406B5">
        <w:rPr>
          <w:rFonts w:ascii="Times New Roman" w:hAnsi="Times New Roman"/>
          <w:sz w:val="24"/>
        </w:rPr>
        <w:tab/>
      </w:r>
      <w:r w:rsidR="009F10DD" w:rsidRPr="007406B5">
        <w:rPr>
          <w:rFonts w:ascii="Times New Roman" w:hAnsi="Times New Roman"/>
          <w:sz w:val="24"/>
        </w:rPr>
        <w:t xml:space="preserve">(2022) 255 LGERA 136 at </w:t>
      </w:r>
      <w:r w:rsidR="00773212" w:rsidRPr="007406B5">
        <w:rPr>
          <w:rFonts w:ascii="Times New Roman" w:hAnsi="Times New Roman"/>
          <w:sz w:val="24"/>
        </w:rPr>
        <w:t>156-157 [</w:t>
      </w:r>
      <w:r w:rsidR="00B316B5" w:rsidRPr="007406B5">
        <w:rPr>
          <w:rFonts w:ascii="Times New Roman" w:hAnsi="Times New Roman"/>
          <w:sz w:val="24"/>
        </w:rPr>
        <w:t>73], 158-</w:t>
      </w:r>
      <w:r w:rsidR="00423478" w:rsidRPr="007406B5">
        <w:rPr>
          <w:rFonts w:ascii="Times New Roman" w:hAnsi="Times New Roman"/>
          <w:sz w:val="24"/>
        </w:rPr>
        <w:t xml:space="preserve">160 </w:t>
      </w:r>
      <w:r w:rsidR="00B316B5" w:rsidRPr="007406B5">
        <w:rPr>
          <w:rFonts w:ascii="Times New Roman" w:hAnsi="Times New Roman"/>
          <w:sz w:val="24"/>
        </w:rPr>
        <w:t>[79]</w:t>
      </w:r>
      <w:r w:rsidR="00423478" w:rsidRPr="007406B5">
        <w:rPr>
          <w:rFonts w:ascii="Times New Roman" w:hAnsi="Times New Roman"/>
          <w:sz w:val="24"/>
        </w:rPr>
        <w:t xml:space="preserve">-[82], </w:t>
      </w:r>
      <w:r w:rsidR="000F3D49" w:rsidRPr="007406B5">
        <w:rPr>
          <w:rFonts w:ascii="Times New Roman" w:hAnsi="Times New Roman"/>
          <w:sz w:val="24"/>
        </w:rPr>
        <w:t>162-</w:t>
      </w:r>
      <w:r w:rsidR="006031AE" w:rsidRPr="007406B5">
        <w:rPr>
          <w:rFonts w:ascii="Times New Roman" w:hAnsi="Times New Roman"/>
          <w:sz w:val="24"/>
        </w:rPr>
        <w:t>165</w:t>
      </w:r>
      <w:r w:rsidR="000F3D49" w:rsidRPr="007406B5">
        <w:rPr>
          <w:rFonts w:ascii="Times New Roman" w:hAnsi="Times New Roman"/>
          <w:sz w:val="24"/>
        </w:rPr>
        <w:t xml:space="preserve"> [93]-</w:t>
      </w:r>
      <w:r w:rsidR="006031AE" w:rsidRPr="007406B5">
        <w:rPr>
          <w:rFonts w:ascii="Times New Roman" w:hAnsi="Times New Roman"/>
          <w:sz w:val="24"/>
        </w:rPr>
        <w:t>[103].</w:t>
      </w:r>
    </w:p>
  </w:footnote>
  <w:footnote w:id="13">
    <w:p w14:paraId="65B59ADE" w14:textId="6A5000ED" w:rsidR="009B2DAA" w:rsidRPr="007406B5" w:rsidRDefault="009B2DAA" w:rsidP="007406B5">
      <w:pPr>
        <w:pStyle w:val="FootnoteText"/>
        <w:spacing w:line="280" w:lineRule="exact"/>
        <w:ind w:right="0"/>
        <w:jc w:val="both"/>
        <w:rPr>
          <w:rFonts w:ascii="Times New Roman" w:hAnsi="Times New Roman"/>
          <w:sz w:val="24"/>
        </w:rPr>
      </w:pPr>
      <w:r w:rsidRPr="007406B5">
        <w:rPr>
          <w:rStyle w:val="FootnoteReference"/>
          <w:rFonts w:ascii="Times New Roman" w:hAnsi="Times New Roman"/>
          <w:sz w:val="22"/>
          <w:vertAlign w:val="baseline"/>
        </w:rPr>
        <w:footnoteRef/>
      </w:r>
      <w:r w:rsidRPr="007406B5">
        <w:rPr>
          <w:rFonts w:ascii="Times New Roman" w:hAnsi="Times New Roman"/>
          <w:sz w:val="24"/>
        </w:rPr>
        <w:t xml:space="preserve"> </w:t>
      </w:r>
      <w:r w:rsidRPr="007406B5">
        <w:rPr>
          <w:rFonts w:ascii="Times New Roman" w:hAnsi="Times New Roman"/>
          <w:sz w:val="24"/>
        </w:rPr>
        <w:tab/>
      </w:r>
      <w:r w:rsidR="008C4D9F" w:rsidRPr="007406B5">
        <w:rPr>
          <w:rFonts w:ascii="Times New Roman" w:hAnsi="Times New Roman"/>
          <w:sz w:val="24"/>
        </w:rPr>
        <w:t>(</w:t>
      </w:r>
      <w:r w:rsidRPr="007406B5">
        <w:rPr>
          <w:rFonts w:ascii="Times New Roman" w:hAnsi="Times New Roman"/>
          <w:sz w:val="24"/>
        </w:rPr>
        <w:t>2022) 255 LGERA 136 at 163 [94].</w:t>
      </w:r>
    </w:p>
  </w:footnote>
  <w:footnote w:id="14">
    <w:p w14:paraId="218EDF39" w14:textId="44E6F555" w:rsidR="008C4D9F" w:rsidRPr="007406B5" w:rsidRDefault="008C4D9F" w:rsidP="007406B5">
      <w:pPr>
        <w:pStyle w:val="FootnoteText"/>
        <w:spacing w:line="280" w:lineRule="exact"/>
        <w:ind w:right="0"/>
        <w:jc w:val="both"/>
        <w:rPr>
          <w:rFonts w:ascii="Times New Roman" w:hAnsi="Times New Roman"/>
          <w:sz w:val="24"/>
        </w:rPr>
      </w:pPr>
      <w:r w:rsidRPr="007406B5">
        <w:rPr>
          <w:rStyle w:val="FootnoteReference"/>
          <w:rFonts w:ascii="Times New Roman" w:hAnsi="Times New Roman"/>
          <w:sz w:val="22"/>
          <w:vertAlign w:val="baseline"/>
        </w:rPr>
        <w:footnoteRef/>
      </w:r>
      <w:r w:rsidRPr="007406B5">
        <w:rPr>
          <w:rFonts w:ascii="Times New Roman" w:hAnsi="Times New Roman"/>
          <w:sz w:val="24"/>
        </w:rPr>
        <w:t xml:space="preserve"> </w:t>
      </w:r>
      <w:r w:rsidRPr="007406B5">
        <w:rPr>
          <w:rFonts w:ascii="Times New Roman" w:hAnsi="Times New Roman"/>
          <w:sz w:val="24"/>
        </w:rPr>
        <w:tab/>
        <w:t xml:space="preserve">(2022) 255 LGERA 136 at </w:t>
      </w:r>
      <w:r w:rsidR="00A564DB" w:rsidRPr="007406B5">
        <w:rPr>
          <w:rFonts w:ascii="Times New Roman" w:hAnsi="Times New Roman"/>
          <w:sz w:val="24"/>
        </w:rPr>
        <w:t>164 [100] (emphasis added).</w:t>
      </w:r>
    </w:p>
  </w:footnote>
  <w:footnote w:id="15">
    <w:p w14:paraId="107BB414" w14:textId="2A57E450" w:rsidR="00C66FEF" w:rsidRPr="007406B5" w:rsidRDefault="00C66FEF" w:rsidP="007406B5">
      <w:pPr>
        <w:pStyle w:val="FootnoteText"/>
        <w:spacing w:line="280" w:lineRule="exact"/>
        <w:ind w:right="0"/>
        <w:jc w:val="both"/>
        <w:rPr>
          <w:rFonts w:ascii="Times New Roman" w:hAnsi="Times New Roman"/>
          <w:sz w:val="24"/>
        </w:rPr>
      </w:pPr>
      <w:r w:rsidRPr="007406B5">
        <w:rPr>
          <w:rStyle w:val="FootnoteReference"/>
          <w:rFonts w:ascii="Times New Roman" w:hAnsi="Times New Roman"/>
          <w:sz w:val="22"/>
          <w:vertAlign w:val="baseline"/>
        </w:rPr>
        <w:footnoteRef/>
      </w:r>
      <w:r w:rsidRPr="007406B5">
        <w:rPr>
          <w:rFonts w:ascii="Times New Roman" w:hAnsi="Times New Roman"/>
          <w:sz w:val="24"/>
        </w:rPr>
        <w:t xml:space="preserve"> </w:t>
      </w:r>
      <w:r w:rsidRPr="007406B5">
        <w:rPr>
          <w:rFonts w:ascii="Times New Roman" w:hAnsi="Times New Roman"/>
          <w:sz w:val="24"/>
        </w:rPr>
        <w:tab/>
      </w:r>
      <w:r w:rsidR="00583C42" w:rsidRPr="007406B5">
        <w:rPr>
          <w:rFonts w:ascii="Times New Roman" w:hAnsi="Times New Roman"/>
          <w:sz w:val="24"/>
        </w:rPr>
        <w:t>(2023) 256 LGERA 24.</w:t>
      </w:r>
    </w:p>
  </w:footnote>
  <w:footnote w:id="16">
    <w:p w14:paraId="2428AF85" w14:textId="6932BBF4" w:rsidR="00793267" w:rsidRPr="007406B5" w:rsidRDefault="00793267" w:rsidP="007406B5">
      <w:pPr>
        <w:pStyle w:val="FootnoteText"/>
        <w:spacing w:line="280" w:lineRule="exact"/>
        <w:ind w:right="0"/>
        <w:jc w:val="both"/>
        <w:rPr>
          <w:rFonts w:ascii="Times New Roman" w:hAnsi="Times New Roman"/>
          <w:sz w:val="24"/>
        </w:rPr>
      </w:pPr>
      <w:r w:rsidRPr="007406B5">
        <w:rPr>
          <w:rStyle w:val="FootnoteReference"/>
          <w:rFonts w:ascii="Times New Roman" w:hAnsi="Times New Roman"/>
          <w:sz w:val="22"/>
          <w:vertAlign w:val="baseline"/>
        </w:rPr>
        <w:footnoteRef/>
      </w:r>
      <w:r w:rsidRPr="007406B5">
        <w:rPr>
          <w:rFonts w:ascii="Times New Roman" w:hAnsi="Times New Roman"/>
          <w:sz w:val="24"/>
        </w:rPr>
        <w:t xml:space="preserve"> </w:t>
      </w:r>
      <w:r w:rsidRPr="007406B5">
        <w:rPr>
          <w:rFonts w:ascii="Times New Roman" w:hAnsi="Times New Roman"/>
          <w:sz w:val="24"/>
        </w:rPr>
        <w:tab/>
        <w:t xml:space="preserve">(2023) 256 LGERA 24 at </w:t>
      </w:r>
      <w:r w:rsidR="00F94AEB" w:rsidRPr="007406B5">
        <w:rPr>
          <w:rFonts w:ascii="Times New Roman" w:hAnsi="Times New Roman"/>
          <w:sz w:val="24"/>
        </w:rPr>
        <w:t>39 [50].</w:t>
      </w:r>
    </w:p>
  </w:footnote>
  <w:footnote w:id="17">
    <w:p w14:paraId="0B8C2735" w14:textId="7594BF4B" w:rsidR="00A33461" w:rsidRPr="007406B5" w:rsidRDefault="00A33461" w:rsidP="007406B5">
      <w:pPr>
        <w:pStyle w:val="FootnoteText"/>
        <w:spacing w:line="280" w:lineRule="exact"/>
        <w:ind w:right="0"/>
        <w:jc w:val="both"/>
        <w:rPr>
          <w:rFonts w:ascii="Times New Roman" w:hAnsi="Times New Roman"/>
          <w:sz w:val="24"/>
        </w:rPr>
      </w:pPr>
      <w:r w:rsidRPr="007406B5">
        <w:rPr>
          <w:rStyle w:val="FootnoteReference"/>
          <w:rFonts w:ascii="Times New Roman" w:hAnsi="Times New Roman"/>
          <w:sz w:val="22"/>
          <w:vertAlign w:val="baseline"/>
        </w:rPr>
        <w:footnoteRef/>
      </w:r>
      <w:r w:rsidRPr="007406B5">
        <w:rPr>
          <w:rFonts w:ascii="Times New Roman" w:hAnsi="Times New Roman"/>
          <w:sz w:val="24"/>
        </w:rPr>
        <w:t xml:space="preserve"> </w:t>
      </w:r>
      <w:r w:rsidRPr="007406B5">
        <w:rPr>
          <w:rFonts w:ascii="Times New Roman" w:hAnsi="Times New Roman"/>
          <w:sz w:val="24"/>
        </w:rPr>
        <w:tab/>
        <w:t xml:space="preserve">Or, in that case, the Commissioner of the Land and Environment Court of New South Wales exercising the function under s 34(3) of the </w:t>
      </w:r>
      <w:r w:rsidRPr="007406B5">
        <w:rPr>
          <w:rFonts w:ascii="Times New Roman" w:hAnsi="Times New Roman"/>
          <w:i/>
          <w:iCs/>
          <w:sz w:val="24"/>
        </w:rPr>
        <w:t>Land and Environment Court Act 1979</w:t>
      </w:r>
      <w:r w:rsidRPr="007406B5">
        <w:rPr>
          <w:rFonts w:ascii="Times New Roman" w:hAnsi="Times New Roman"/>
          <w:sz w:val="24"/>
        </w:rPr>
        <w:t xml:space="preserve"> (NSW).</w:t>
      </w:r>
      <w:r w:rsidR="005D550C" w:rsidRPr="007406B5">
        <w:rPr>
          <w:rFonts w:ascii="Times New Roman" w:hAnsi="Times New Roman"/>
          <w:sz w:val="24"/>
        </w:rPr>
        <w:t xml:space="preserve"> See </w:t>
      </w:r>
      <w:r w:rsidR="00261284" w:rsidRPr="007406B5">
        <w:rPr>
          <w:rFonts w:ascii="Times New Roman" w:hAnsi="Times New Roman"/>
          <w:sz w:val="24"/>
        </w:rPr>
        <w:t xml:space="preserve">(2023) 256 LGERA 24 at </w:t>
      </w:r>
      <w:r w:rsidR="00930DA6" w:rsidRPr="007406B5">
        <w:rPr>
          <w:rFonts w:ascii="Times New Roman" w:hAnsi="Times New Roman"/>
          <w:sz w:val="24"/>
        </w:rPr>
        <w:t xml:space="preserve">40 [53], </w:t>
      </w:r>
      <w:r w:rsidR="007F5BE0" w:rsidRPr="007406B5">
        <w:rPr>
          <w:rFonts w:ascii="Times New Roman" w:hAnsi="Times New Roman"/>
          <w:sz w:val="24"/>
        </w:rPr>
        <w:t>44 [74].</w:t>
      </w:r>
    </w:p>
  </w:footnote>
  <w:footnote w:id="18">
    <w:p w14:paraId="3E3B5E10" w14:textId="04E59611" w:rsidR="00E603B4" w:rsidRPr="007406B5" w:rsidRDefault="00E603B4" w:rsidP="007406B5">
      <w:pPr>
        <w:pStyle w:val="FootnoteText"/>
        <w:spacing w:line="280" w:lineRule="exact"/>
        <w:ind w:right="0"/>
        <w:jc w:val="both"/>
        <w:rPr>
          <w:rFonts w:ascii="Times New Roman" w:hAnsi="Times New Roman"/>
          <w:sz w:val="24"/>
        </w:rPr>
      </w:pPr>
      <w:r w:rsidRPr="007406B5">
        <w:rPr>
          <w:rStyle w:val="FootnoteReference"/>
          <w:rFonts w:ascii="Times New Roman" w:hAnsi="Times New Roman"/>
          <w:sz w:val="22"/>
          <w:vertAlign w:val="baseline"/>
        </w:rPr>
        <w:footnoteRef/>
      </w:r>
      <w:r w:rsidRPr="007406B5">
        <w:rPr>
          <w:rFonts w:ascii="Times New Roman" w:hAnsi="Times New Roman"/>
          <w:sz w:val="24"/>
        </w:rPr>
        <w:t xml:space="preserve"> </w:t>
      </w:r>
      <w:r w:rsidRPr="007406B5">
        <w:rPr>
          <w:rFonts w:ascii="Times New Roman" w:hAnsi="Times New Roman"/>
          <w:sz w:val="24"/>
        </w:rPr>
        <w:tab/>
      </w:r>
      <w:r w:rsidR="00333AC4" w:rsidRPr="007406B5">
        <w:rPr>
          <w:rFonts w:ascii="Times New Roman" w:hAnsi="Times New Roman"/>
          <w:sz w:val="24"/>
        </w:rPr>
        <w:t>(2024) 260 LGERA 297.</w:t>
      </w:r>
    </w:p>
  </w:footnote>
  <w:footnote w:id="19">
    <w:p w14:paraId="08B2CE5A" w14:textId="3EEC3E4B" w:rsidR="005541B2" w:rsidRPr="007406B5" w:rsidRDefault="005541B2" w:rsidP="007406B5">
      <w:pPr>
        <w:pStyle w:val="FootnoteText"/>
        <w:spacing w:line="280" w:lineRule="exact"/>
        <w:ind w:right="0"/>
        <w:jc w:val="both"/>
        <w:rPr>
          <w:rFonts w:ascii="Times New Roman" w:hAnsi="Times New Roman"/>
          <w:sz w:val="24"/>
        </w:rPr>
      </w:pPr>
      <w:r w:rsidRPr="007406B5">
        <w:rPr>
          <w:rStyle w:val="FootnoteReference"/>
          <w:rFonts w:ascii="Times New Roman" w:hAnsi="Times New Roman"/>
          <w:sz w:val="22"/>
          <w:vertAlign w:val="baseline"/>
        </w:rPr>
        <w:footnoteRef/>
      </w:r>
      <w:r w:rsidRPr="007406B5">
        <w:rPr>
          <w:rFonts w:ascii="Times New Roman" w:hAnsi="Times New Roman"/>
          <w:sz w:val="24"/>
        </w:rPr>
        <w:t xml:space="preserve"> </w:t>
      </w:r>
      <w:r w:rsidRPr="007406B5">
        <w:rPr>
          <w:rFonts w:ascii="Times New Roman" w:hAnsi="Times New Roman"/>
          <w:sz w:val="24"/>
        </w:rPr>
        <w:tab/>
        <w:t xml:space="preserve">(2024) 260 LGERA 297 at </w:t>
      </w:r>
      <w:r w:rsidR="009973AF" w:rsidRPr="007406B5">
        <w:rPr>
          <w:rFonts w:ascii="Times New Roman" w:hAnsi="Times New Roman"/>
          <w:sz w:val="24"/>
        </w:rPr>
        <w:t xml:space="preserve">319 </w:t>
      </w:r>
      <w:r w:rsidRPr="007406B5">
        <w:rPr>
          <w:rFonts w:ascii="Times New Roman" w:hAnsi="Times New Roman"/>
          <w:sz w:val="24"/>
        </w:rPr>
        <w:t>[101].</w:t>
      </w:r>
    </w:p>
  </w:footnote>
  <w:footnote w:id="20">
    <w:p w14:paraId="35BBE8DA" w14:textId="081E8F61" w:rsidR="00202C2A" w:rsidRPr="007406B5" w:rsidRDefault="00202C2A" w:rsidP="007406B5">
      <w:pPr>
        <w:pStyle w:val="FootnoteText"/>
        <w:spacing w:line="280" w:lineRule="exact"/>
        <w:ind w:right="0"/>
        <w:jc w:val="both"/>
        <w:rPr>
          <w:rFonts w:ascii="Times New Roman" w:hAnsi="Times New Roman"/>
          <w:sz w:val="24"/>
        </w:rPr>
      </w:pPr>
      <w:r w:rsidRPr="007406B5">
        <w:rPr>
          <w:rStyle w:val="FootnoteReference"/>
          <w:rFonts w:ascii="Times New Roman" w:hAnsi="Times New Roman"/>
          <w:sz w:val="22"/>
          <w:vertAlign w:val="baseline"/>
        </w:rPr>
        <w:footnoteRef/>
      </w:r>
      <w:r w:rsidRPr="007406B5">
        <w:rPr>
          <w:rFonts w:ascii="Times New Roman" w:hAnsi="Times New Roman"/>
          <w:sz w:val="24"/>
        </w:rPr>
        <w:t xml:space="preserve"> </w:t>
      </w:r>
      <w:r w:rsidRPr="007406B5">
        <w:rPr>
          <w:rFonts w:ascii="Times New Roman" w:hAnsi="Times New Roman"/>
          <w:sz w:val="24"/>
        </w:rPr>
        <w:tab/>
        <w:t xml:space="preserve">(2024) 260 LGERA 297 at </w:t>
      </w:r>
      <w:r w:rsidR="00866A9F" w:rsidRPr="007406B5">
        <w:rPr>
          <w:rFonts w:ascii="Times New Roman" w:hAnsi="Times New Roman"/>
          <w:sz w:val="24"/>
        </w:rPr>
        <w:t>319</w:t>
      </w:r>
      <w:r w:rsidRPr="007406B5">
        <w:rPr>
          <w:rFonts w:ascii="Times New Roman" w:hAnsi="Times New Roman"/>
          <w:sz w:val="24"/>
        </w:rPr>
        <w:t xml:space="preserve"> </w:t>
      </w:r>
      <w:r w:rsidR="00925CEF" w:rsidRPr="007406B5">
        <w:rPr>
          <w:rFonts w:ascii="Times New Roman" w:hAnsi="Times New Roman"/>
          <w:sz w:val="24"/>
        </w:rPr>
        <w:t>[100].</w:t>
      </w:r>
    </w:p>
  </w:footnote>
  <w:footnote w:id="21">
    <w:p w14:paraId="7358EC14" w14:textId="0F1427ED" w:rsidR="00D02530" w:rsidRPr="007406B5" w:rsidRDefault="00D02530" w:rsidP="007406B5">
      <w:pPr>
        <w:pStyle w:val="FootnoteText"/>
        <w:spacing w:line="280" w:lineRule="exact"/>
        <w:ind w:right="0"/>
        <w:jc w:val="both"/>
        <w:rPr>
          <w:rFonts w:ascii="Times New Roman" w:hAnsi="Times New Roman"/>
          <w:sz w:val="24"/>
        </w:rPr>
      </w:pPr>
      <w:r w:rsidRPr="007406B5">
        <w:rPr>
          <w:rStyle w:val="FootnoteReference"/>
          <w:rFonts w:ascii="Times New Roman" w:hAnsi="Times New Roman"/>
          <w:sz w:val="22"/>
          <w:vertAlign w:val="baseline"/>
        </w:rPr>
        <w:footnoteRef/>
      </w:r>
      <w:r w:rsidRPr="007406B5">
        <w:rPr>
          <w:rFonts w:ascii="Times New Roman" w:hAnsi="Times New Roman"/>
          <w:sz w:val="24"/>
        </w:rPr>
        <w:t xml:space="preserve"> </w:t>
      </w:r>
      <w:r w:rsidRPr="007406B5">
        <w:rPr>
          <w:rFonts w:ascii="Times New Roman" w:hAnsi="Times New Roman"/>
          <w:sz w:val="24"/>
        </w:rPr>
        <w:tab/>
      </w:r>
      <w:r w:rsidR="009A2CE0" w:rsidRPr="007406B5">
        <w:rPr>
          <w:rFonts w:ascii="Times New Roman" w:hAnsi="Times New Roman"/>
          <w:i/>
          <w:iCs/>
          <w:sz w:val="24"/>
        </w:rPr>
        <w:t xml:space="preserve">Enfield City </w:t>
      </w:r>
      <w:r w:rsidRPr="007406B5">
        <w:rPr>
          <w:rFonts w:ascii="Times New Roman" w:hAnsi="Times New Roman"/>
          <w:i/>
          <w:iCs/>
          <w:sz w:val="24"/>
        </w:rPr>
        <w:t xml:space="preserve">Corporation v Development Assessment </w:t>
      </w:r>
      <w:r w:rsidR="0060271E" w:rsidRPr="007406B5">
        <w:rPr>
          <w:rFonts w:ascii="Times New Roman" w:hAnsi="Times New Roman"/>
          <w:i/>
          <w:iCs/>
          <w:sz w:val="24"/>
        </w:rPr>
        <w:t>Commission</w:t>
      </w:r>
      <w:r w:rsidR="0060271E" w:rsidRPr="007406B5">
        <w:rPr>
          <w:rFonts w:ascii="Times New Roman" w:hAnsi="Times New Roman"/>
          <w:sz w:val="24"/>
        </w:rPr>
        <w:t xml:space="preserve"> </w:t>
      </w:r>
      <w:r w:rsidRPr="007406B5">
        <w:rPr>
          <w:rFonts w:ascii="Times New Roman" w:hAnsi="Times New Roman"/>
          <w:sz w:val="24"/>
        </w:rPr>
        <w:t xml:space="preserve">(2000) 199 CLR 135 at </w:t>
      </w:r>
      <w:r w:rsidR="00A02DE9" w:rsidRPr="007406B5">
        <w:rPr>
          <w:rFonts w:ascii="Times New Roman" w:hAnsi="Times New Roman"/>
          <w:sz w:val="24"/>
        </w:rPr>
        <w:t>149 [33].</w:t>
      </w:r>
    </w:p>
  </w:footnote>
  <w:footnote w:id="22">
    <w:p w14:paraId="72674EAB" w14:textId="693042CC" w:rsidR="00AE77AF" w:rsidRPr="007406B5" w:rsidRDefault="00AE77AF" w:rsidP="007406B5">
      <w:pPr>
        <w:pStyle w:val="FootnoteText"/>
        <w:spacing w:line="280" w:lineRule="exact"/>
        <w:ind w:right="0"/>
        <w:jc w:val="both"/>
        <w:rPr>
          <w:rFonts w:ascii="Times New Roman" w:hAnsi="Times New Roman"/>
          <w:sz w:val="24"/>
        </w:rPr>
      </w:pPr>
      <w:r w:rsidRPr="007406B5">
        <w:rPr>
          <w:rStyle w:val="FootnoteReference"/>
          <w:rFonts w:ascii="Times New Roman" w:hAnsi="Times New Roman"/>
          <w:sz w:val="22"/>
          <w:vertAlign w:val="baseline"/>
        </w:rPr>
        <w:footnoteRef/>
      </w:r>
      <w:r w:rsidRPr="007406B5">
        <w:rPr>
          <w:rFonts w:ascii="Times New Roman" w:hAnsi="Times New Roman"/>
          <w:sz w:val="24"/>
        </w:rPr>
        <w:t xml:space="preserve"> </w:t>
      </w:r>
      <w:r w:rsidRPr="007406B5">
        <w:rPr>
          <w:rFonts w:ascii="Times New Roman" w:hAnsi="Times New Roman"/>
          <w:sz w:val="24"/>
        </w:rPr>
        <w:tab/>
        <w:t>Defined in EPA Act, s 1.5.</w:t>
      </w:r>
    </w:p>
  </w:footnote>
  <w:footnote w:id="23">
    <w:p w14:paraId="43DA5DC3" w14:textId="55073FA0" w:rsidR="00AA098A" w:rsidRPr="007406B5" w:rsidRDefault="00AA098A" w:rsidP="007406B5">
      <w:pPr>
        <w:pStyle w:val="FootnoteText"/>
        <w:spacing w:line="280" w:lineRule="exact"/>
        <w:ind w:right="0"/>
        <w:jc w:val="both"/>
        <w:rPr>
          <w:rFonts w:ascii="Times New Roman" w:hAnsi="Times New Roman"/>
          <w:sz w:val="24"/>
        </w:rPr>
      </w:pPr>
      <w:r w:rsidRPr="007406B5">
        <w:rPr>
          <w:rStyle w:val="FootnoteReference"/>
          <w:rFonts w:ascii="Times New Roman" w:hAnsi="Times New Roman"/>
          <w:sz w:val="22"/>
          <w:vertAlign w:val="baseline"/>
        </w:rPr>
        <w:footnoteRef/>
      </w:r>
      <w:r w:rsidRPr="007406B5">
        <w:rPr>
          <w:rFonts w:ascii="Times New Roman" w:hAnsi="Times New Roman"/>
          <w:sz w:val="24"/>
        </w:rPr>
        <w:t xml:space="preserve"> </w:t>
      </w:r>
      <w:r w:rsidRPr="007406B5">
        <w:rPr>
          <w:rFonts w:ascii="Times New Roman" w:hAnsi="Times New Roman"/>
          <w:sz w:val="24"/>
        </w:rPr>
        <w:tab/>
        <w:t>EPA Act, ss 4.1-4.3.</w:t>
      </w:r>
    </w:p>
  </w:footnote>
  <w:footnote w:id="24">
    <w:p w14:paraId="10162945" w14:textId="1817F82C" w:rsidR="00261E1B" w:rsidRPr="007406B5" w:rsidRDefault="00261E1B" w:rsidP="007406B5">
      <w:pPr>
        <w:pStyle w:val="FootnoteText"/>
        <w:spacing w:line="280" w:lineRule="exact"/>
        <w:ind w:right="0"/>
        <w:jc w:val="both"/>
        <w:rPr>
          <w:rFonts w:ascii="Times New Roman" w:hAnsi="Times New Roman"/>
          <w:sz w:val="24"/>
        </w:rPr>
      </w:pPr>
      <w:r w:rsidRPr="007406B5">
        <w:rPr>
          <w:rStyle w:val="FootnoteReference"/>
          <w:rFonts w:ascii="Times New Roman" w:hAnsi="Times New Roman"/>
          <w:sz w:val="22"/>
          <w:vertAlign w:val="baseline"/>
        </w:rPr>
        <w:footnoteRef/>
      </w:r>
      <w:r w:rsidRPr="007406B5">
        <w:rPr>
          <w:rFonts w:ascii="Times New Roman" w:hAnsi="Times New Roman"/>
          <w:b/>
          <w:bCs/>
          <w:sz w:val="24"/>
        </w:rPr>
        <w:t xml:space="preserve"> </w:t>
      </w:r>
      <w:r w:rsidRPr="007406B5">
        <w:rPr>
          <w:rFonts w:ascii="Times New Roman" w:hAnsi="Times New Roman"/>
          <w:sz w:val="24"/>
        </w:rPr>
        <w:tab/>
        <w:t xml:space="preserve">Defined in </w:t>
      </w:r>
      <w:r w:rsidR="00EE6DCD" w:rsidRPr="007406B5">
        <w:rPr>
          <w:rFonts w:ascii="Times New Roman" w:hAnsi="Times New Roman"/>
          <w:sz w:val="24"/>
        </w:rPr>
        <w:t xml:space="preserve">the </w:t>
      </w:r>
      <w:r w:rsidRPr="007406B5">
        <w:rPr>
          <w:rFonts w:ascii="Times New Roman" w:hAnsi="Times New Roman"/>
          <w:sz w:val="24"/>
        </w:rPr>
        <w:t>EPA Act, s </w:t>
      </w:r>
      <w:r w:rsidR="00A3069D" w:rsidRPr="007406B5">
        <w:rPr>
          <w:rFonts w:ascii="Times New Roman" w:hAnsi="Times New Roman"/>
          <w:sz w:val="24"/>
        </w:rPr>
        <w:t>1.4.</w:t>
      </w:r>
      <w:r w:rsidR="007E2BC7" w:rsidRPr="007406B5">
        <w:rPr>
          <w:rFonts w:ascii="Times New Roman" w:hAnsi="Times New Roman"/>
          <w:sz w:val="24"/>
        </w:rPr>
        <w:t xml:space="preserve"> See also </w:t>
      </w:r>
      <w:r w:rsidR="00AB4C3A" w:rsidRPr="007406B5">
        <w:rPr>
          <w:rFonts w:ascii="Times New Roman" w:hAnsi="Times New Roman"/>
          <w:sz w:val="24"/>
        </w:rPr>
        <w:t>s </w:t>
      </w:r>
      <w:r w:rsidR="002B39AE" w:rsidRPr="007406B5">
        <w:rPr>
          <w:rFonts w:ascii="Times New Roman" w:hAnsi="Times New Roman"/>
          <w:sz w:val="24"/>
        </w:rPr>
        <w:t>4.15(3)</w:t>
      </w:r>
      <w:r w:rsidR="00137F59" w:rsidRPr="007406B5">
        <w:rPr>
          <w:rFonts w:ascii="Times New Roman" w:hAnsi="Times New Roman"/>
          <w:sz w:val="24"/>
        </w:rPr>
        <w:t>(b)</w:t>
      </w:r>
      <w:r w:rsidR="002B39AE" w:rsidRPr="007406B5">
        <w:rPr>
          <w:rFonts w:ascii="Times New Roman" w:hAnsi="Times New Roman"/>
          <w:sz w:val="24"/>
        </w:rPr>
        <w:t>.</w:t>
      </w:r>
      <w:r w:rsidR="00B510A1" w:rsidRPr="007406B5">
        <w:rPr>
          <w:rFonts w:ascii="Times New Roman" w:hAnsi="Times New Roman"/>
          <w:sz w:val="24"/>
        </w:rPr>
        <w:t xml:space="preserve"> In summary, </w:t>
      </w:r>
      <w:r w:rsidR="00D35968" w:rsidRPr="007406B5">
        <w:rPr>
          <w:rFonts w:ascii="Times New Roman" w:hAnsi="Times New Roman"/>
          <w:sz w:val="24"/>
        </w:rPr>
        <w:t xml:space="preserve">a provision of an </w:t>
      </w:r>
      <w:r w:rsidR="00AD1194" w:rsidRPr="007406B5">
        <w:rPr>
          <w:rFonts w:ascii="Times New Roman" w:hAnsi="Times New Roman"/>
          <w:sz w:val="24"/>
        </w:rPr>
        <w:t>environmental</w:t>
      </w:r>
      <w:r w:rsidR="00D35968" w:rsidRPr="007406B5">
        <w:rPr>
          <w:rFonts w:ascii="Times New Roman" w:hAnsi="Times New Roman"/>
          <w:sz w:val="24"/>
        </w:rPr>
        <w:t xml:space="preserve"> planning instrument</w:t>
      </w:r>
      <w:r w:rsidR="00AD1194" w:rsidRPr="007406B5">
        <w:rPr>
          <w:rFonts w:ascii="Times New Roman" w:hAnsi="Times New Roman"/>
          <w:sz w:val="24"/>
        </w:rPr>
        <w:t xml:space="preserve"> "by or under which requirements are specified or standards are fixed in respect of any aspect of" development </w:t>
      </w:r>
      <w:r w:rsidR="00526D3C" w:rsidRPr="007406B5">
        <w:rPr>
          <w:rFonts w:ascii="Times New Roman" w:hAnsi="Times New Roman"/>
          <w:sz w:val="24"/>
        </w:rPr>
        <w:t xml:space="preserve">is a "development standard". </w:t>
      </w:r>
      <w:r w:rsidR="00007AF1" w:rsidRPr="007406B5">
        <w:rPr>
          <w:rFonts w:ascii="Times New Roman" w:hAnsi="Times New Roman"/>
          <w:sz w:val="24"/>
        </w:rPr>
        <w:t>For a</w:t>
      </w:r>
      <w:r w:rsidR="00526D3C" w:rsidRPr="007406B5">
        <w:rPr>
          <w:rFonts w:ascii="Times New Roman" w:hAnsi="Times New Roman"/>
          <w:sz w:val="24"/>
        </w:rPr>
        <w:t xml:space="preserve"> </w:t>
      </w:r>
      <w:r w:rsidR="006E6E5A" w:rsidRPr="007406B5">
        <w:rPr>
          <w:rFonts w:ascii="Times New Roman" w:hAnsi="Times New Roman"/>
          <w:sz w:val="24"/>
        </w:rPr>
        <w:t xml:space="preserve">development application for development that does not comply with a so-called "non-discretionary </w:t>
      </w:r>
      <w:r w:rsidR="004E5D2A" w:rsidRPr="007406B5">
        <w:rPr>
          <w:rFonts w:ascii="Times New Roman" w:hAnsi="Times New Roman"/>
          <w:sz w:val="24"/>
        </w:rPr>
        <w:t>development standard"</w:t>
      </w:r>
      <w:r w:rsidR="00B90193" w:rsidRPr="007406B5">
        <w:rPr>
          <w:rFonts w:ascii="Times New Roman" w:hAnsi="Times New Roman"/>
          <w:sz w:val="24"/>
        </w:rPr>
        <w:t>,</w:t>
      </w:r>
      <w:r w:rsidR="004E5D2A" w:rsidRPr="007406B5">
        <w:rPr>
          <w:rFonts w:ascii="Times New Roman" w:hAnsi="Times New Roman"/>
          <w:sz w:val="24"/>
        </w:rPr>
        <w:t xml:space="preserve"> </w:t>
      </w:r>
      <w:r w:rsidR="00137F59" w:rsidRPr="007406B5">
        <w:rPr>
          <w:rFonts w:ascii="Times New Roman" w:hAnsi="Times New Roman"/>
          <w:sz w:val="24"/>
        </w:rPr>
        <w:t>a "</w:t>
      </w:r>
      <w:r w:rsidR="00007AF1" w:rsidRPr="007406B5">
        <w:rPr>
          <w:rFonts w:ascii="Times New Roman" w:hAnsi="Times New Roman"/>
          <w:sz w:val="24"/>
        </w:rPr>
        <w:t>provision of an environmental planning instrument that allows flexibility in the application of a development standard may be applied to the non-discretionary development standard</w:t>
      </w:r>
      <w:r w:rsidR="00B90193" w:rsidRPr="007406B5">
        <w:rPr>
          <w:rFonts w:ascii="Times New Roman" w:hAnsi="Times New Roman"/>
          <w:sz w:val="24"/>
        </w:rPr>
        <w:t>"</w:t>
      </w:r>
      <w:r w:rsidR="00007AF1" w:rsidRPr="007406B5">
        <w:rPr>
          <w:rFonts w:ascii="Times New Roman" w:hAnsi="Times New Roman"/>
          <w:sz w:val="24"/>
        </w:rPr>
        <w:t xml:space="preserve">. </w:t>
      </w:r>
    </w:p>
  </w:footnote>
  <w:footnote w:id="25">
    <w:p w14:paraId="3169435B" w14:textId="77777777" w:rsidR="00101A6E" w:rsidRPr="007406B5" w:rsidRDefault="00101A6E" w:rsidP="007406B5">
      <w:pPr>
        <w:pStyle w:val="FootnoteText"/>
        <w:spacing w:line="280" w:lineRule="exact"/>
        <w:ind w:right="0"/>
        <w:jc w:val="both"/>
        <w:rPr>
          <w:rFonts w:ascii="Times New Roman" w:hAnsi="Times New Roman"/>
          <w:sz w:val="24"/>
        </w:rPr>
      </w:pPr>
      <w:r w:rsidRPr="007406B5">
        <w:rPr>
          <w:rStyle w:val="FootnoteReference"/>
          <w:rFonts w:ascii="Times New Roman" w:hAnsi="Times New Roman"/>
          <w:sz w:val="22"/>
          <w:vertAlign w:val="baseline"/>
        </w:rPr>
        <w:footnoteRef/>
      </w:r>
      <w:r w:rsidRPr="007406B5">
        <w:rPr>
          <w:rFonts w:ascii="Times New Roman" w:hAnsi="Times New Roman"/>
          <w:sz w:val="24"/>
        </w:rPr>
        <w:t xml:space="preserve"> </w:t>
      </w:r>
      <w:r w:rsidRPr="007406B5">
        <w:rPr>
          <w:rFonts w:ascii="Times New Roman" w:hAnsi="Times New Roman"/>
          <w:sz w:val="24"/>
        </w:rPr>
        <w:tab/>
        <w:t>(2023) 256 LGERA 24.</w:t>
      </w:r>
    </w:p>
  </w:footnote>
  <w:footnote w:id="26">
    <w:p w14:paraId="6BCA4364" w14:textId="1ABAB70B" w:rsidR="00601A05" w:rsidRPr="007406B5" w:rsidRDefault="00601A05" w:rsidP="007406B5">
      <w:pPr>
        <w:pStyle w:val="FootnoteText"/>
        <w:spacing w:line="280" w:lineRule="exact"/>
        <w:ind w:right="0"/>
        <w:jc w:val="both"/>
        <w:rPr>
          <w:rFonts w:ascii="Times New Roman" w:hAnsi="Times New Roman"/>
          <w:sz w:val="24"/>
        </w:rPr>
      </w:pPr>
      <w:r w:rsidRPr="007406B5">
        <w:rPr>
          <w:rStyle w:val="FootnoteReference"/>
          <w:rFonts w:ascii="Times New Roman" w:hAnsi="Times New Roman"/>
          <w:sz w:val="22"/>
          <w:vertAlign w:val="baseline"/>
        </w:rPr>
        <w:footnoteRef/>
      </w:r>
      <w:r w:rsidRPr="007406B5">
        <w:rPr>
          <w:rFonts w:ascii="Times New Roman" w:hAnsi="Times New Roman"/>
          <w:sz w:val="24"/>
        </w:rPr>
        <w:t xml:space="preserve"> </w:t>
      </w:r>
      <w:r w:rsidRPr="007406B5">
        <w:rPr>
          <w:rFonts w:ascii="Times New Roman" w:hAnsi="Times New Roman"/>
          <w:sz w:val="24"/>
        </w:rPr>
        <w:tab/>
      </w:r>
      <w:r w:rsidR="00AB4D4C" w:rsidRPr="007406B5">
        <w:rPr>
          <w:rFonts w:ascii="Times New Roman" w:hAnsi="Times New Roman"/>
          <w:sz w:val="24"/>
        </w:rPr>
        <w:t xml:space="preserve">(2023) 256 LGERA 24 at </w:t>
      </w:r>
      <w:r w:rsidR="009D2C8D" w:rsidRPr="007406B5">
        <w:rPr>
          <w:rFonts w:ascii="Times New Roman" w:hAnsi="Times New Roman"/>
          <w:sz w:val="24"/>
        </w:rPr>
        <w:t>43 [72].</w:t>
      </w:r>
    </w:p>
  </w:footnote>
  <w:footnote w:id="27">
    <w:p w14:paraId="3A94E754" w14:textId="3858C50F" w:rsidR="00773F14" w:rsidRPr="007406B5" w:rsidRDefault="00773F14" w:rsidP="007406B5">
      <w:pPr>
        <w:pStyle w:val="FootnoteText"/>
        <w:spacing w:line="280" w:lineRule="exact"/>
        <w:ind w:right="0"/>
        <w:jc w:val="both"/>
        <w:rPr>
          <w:rFonts w:ascii="Times New Roman" w:hAnsi="Times New Roman"/>
          <w:sz w:val="24"/>
        </w:rPr>
      </w:pPr>
      <w:r w:rsidRPr="007406B5">
        <w:rPr>
          <w:rStyle w:val="FootnoteReference"/>
          <w:rFonts w:ascii="Times New Roman" w:hAnsi="Times New Roman"/>
          <w:sz w:val="22"/>
          <w:vertAlign w:val="baseline"/>
        </w:rPr>
        <w:footnoteRef/>
      </w:r>
      <w:r w:rsidRPr="007406B5">
        <w:rPr>
          <w:rFonts w:ascii="Times New Roman" w:hAnsi="Times New Roman"/>
          <w:sz w:val="24"/>
        </w:rPr>
        <w:t xml:space="preserve"> </w:t>
      </w:r>
      <w:r w:rsidRPr="007406B5">
        <w:rPr>
          <w:rFonts w:ascii="Times New Roman" w:hAnsi="Times New Roman"/>
          <w:sz w:val="24"/>
        </w:rPr>
        <w:tab/>
        <w:t xml:space="preserve">That the maximum height provision was a "development standard" that was subject to another provision of the environmental planning instrument </w:t>
      </w:r>
      <w:r w:rsidR="007D5A50" w:rsidRPr="007406B5">
        <w:rPr>
          <w:rFonts w:ascii="Times New Roman" w:hAnsi="Times New Roman"/>
          <w:sz w:val="24"/>
        </w:rPr>
        <w:t>(cl 4.6)</w:t>
      </w:r>
      <w:r w:rsidR="00DA4CF9" w:rsidRPr="007406B5">
        <w:rPr>
          <w:rFonts w:ascii="Times New Roman" w:hAnsi="Times New Roman"/>
          <w:sz w:val="24"/>
        </w:rPr>
        <w:t>,</w:t>
      </w:r>
      <w:r w:rsidR="007D5A50" w:rsidRPr="007406B5">
        <w:rPr>
          <w:rFonts w:ascii="Times New Roman" w:hAnsi="Times New Roman"/>
          <w:sz w:val="24"/>
        </w:rPr>
        <w:t xml:space="preserve"> </w:t>
      </w:r>
      <w:r w:rsidR="00943BA4" w:rsidRPr="007406B5">
        <w:rPr>
          <w:rFonts w:ascii="Times New Roman" w:hAnsi="Times New Roman"/>
          <w:sz w:val="24"/>
        </w:rPr>
        <w:t xml:space="preserve">enabling the consent authority </w:t>
      </w:r>
      <w:r w:rsidR="001F2DAB" w:rsidRPr="007406B5">
        <w:rPr>
          <w:rFonts w:ascii="Times New Roman" w:hAnsi="Times New Roman"/>
          <w:sz w:val="24"/>
        </w:rPr>
        <w:t>to grant development consent to a development that did not comply with the maximum height provision on being satisfied as to certain matters</w:t>
      </w:r>
      <w:r w:rsidR="006F7343" w:rsidRPr="007406B5">
        <w:rPr>
          <w:rFonts w:ascii="Times New Roman" w:hAnsi="Times New Roman"/>
          <w:sz w:val="24"/>
        </w:rPr>
        <w:t>,</w:t>
      </w:r>
      <w:r w:rsidR="001F2DAB" w:rsidRPr="007406B5">
        <w:rPr>
          <w:rFonts w:ascii="Times New Roman" w:hAnsi="Times New Roman"/>
          <w:sz w:val="24"/>
        </w:rPr>
        <w:t xml:space="preserve"> </w:t>
      </w:r>
      <w:r w:rsidR="00B1649B" w:rsidRPr="007406B5">
        <w:rPr>
          <w:rFonts w:ascii="Times New Roman" w:hAnsi="Times New Roman"/>
          <w:sz w:val="24"/>
        </w:rPr>
        <w:t xml:space="preserve">did </w:t>
      </w:r>
      <w:r w:rsidR="001F2DAB" w:rsidRPr="007406B5">
        <w:rPr>
          <w:rFonts w:ascii="Times New Roman" w:hAnsi="Times New Roman"/>
          <w:sz w:val="24"/>
        </w:rPr>
        <w:t xml:space="preserve">not alter the fact that the maximum </w:t>
      </w:r>
      <w:r w:rsidR="007D5A50" w:rsidRPr="007406B5">
        <w:rPr>
          <w:rFonts w:ascii="Times New Roman" w:hAnsi="Times New Roman"/>
          <w:sz w:val="24"/>
        </w:rPr>
        <w:t>height</w:t>
      </w:r>
      <w:r w:rsidR="001F2DAB" w:rsidRPr="007406B5">
        <w:rPr>
          <w:rFonts w:ascii="Times New Roman" w:hAnsi="Times New Roman"/>
          <w:sz w:val="24"/>
        </w:rPr>
        <w:t xml:space="preserve"> </w:t>
      </w:r>
      <w:r w:rsidR="007D5A50" w:rsidRPr="007406B5">
        <w:rPr>
          <w:rFonts w:ascii="Times New Roman" w:hAnsi="Times New Roman"/>
          <w:sz w:val="24"/>
        </w:rPr>
        <w:t>provision</w:t>
      </w:r>
      <w:r w:rsidR="001F2DAB" w:rsidRPr="007406B5">
        <w:rPr>
          <w:rFonts w:ascii="Times New Roman" w:hAnsi="Times New Roman"/>
          <w:sz w:val="24"/>
        </w:rPr>
        <w:t xml:space="preserve"> had the effect of prohibiting the </w:t>
      </w:r>
      <w:r w:rsidR="007D5A50" w:rsidRPr="007406B5">
        <w:rPr>
          <w:rFonts w:ascii="Times New Roman" w:hAnsi="Times New Roman"/>
          <w:sz w:val="24"/>
        </w:rPr>
        <w:t>carrying</w:t>
      </w:r>
      <w:r w:rsidR="001F2DAB" w:rsidRPr="007406B5">
        <w:rPr>
          <w:rFonts w:ascii="Times New Roman" w:hAnsi="Times New Roman"/>
          <w:sz w:val="24"/>
        </w:rPr>
        <w:t xml:space="preserve"> out of </w:t>
      </w:r>
      <w:r w:rsidR="00B1649B" w:rsidRPr="007406B5">
        <w:rPr>
          <w:rFonts w:ascii="Times New Roman" w:hAnsi="Times New Roman"/>
          <w:sz w:val="24"/>
        </w:rPr>
        <w:t xml:space="preserve">the </w:t>
      </w:r>
      <w:r w:rsidR="001F2DAB" w:rsidRPr="007406B5">
        <w:rPr>
          <w:rFonts w:ascii="Times New Roman" w:hAnsi="Times New Roman"/>
          <w:sz w:val="24"/>
        </w:rPr>
        <w:t xml:space="preserve">development under </w:t>
      </w:r>
      <w:r w:rsidR="00B1649B" w:rsidRPr="007406B5">
        <w:rPr>
          <w:rFonts w:ascii="Times New Roman" w:hAnsi="Times New Roman"/>
          <w:sz w:val="24"/>
        </w:rPr>
        <w:t xml:space="preserve">s 4.3(a) of the </w:t>
      </w:r>
      <w:r w:rsidR="007D5A50" w:rsidRPr="007406B5">
        <w:rPr>
          <w:rFonts w:ascii="Times New Roman" w:hAnsi="Times New Roman"/>
          <w:sz w:val="24"/>
        </w:rPr>
        <w:t>EPA Act unless and until the other provision was satisfied. See</w:t>
      </w:r>
      <w:r w:rsidR="00B1649B" w:rsidRPr="007406B5">
        <w:rPr>
          <w:rFonts w:ascii="Times New Roman" w:hAnsi="Times New Roman"/>
          <w:sz w:val="24"/>
        </w:rPr>
        <w:t>, eg, (</w:t>
      </w:r>
      <w:r w:rsidR="007D5A50" w:rsidRPr="007406B5">
        <w:rPr>
          <w:rFonts w:ascii="Times New Roman" w:hAnsi="Times New Roman"/>
          <w:sz w:val="24"/>
        </w:rPr>
        <w:t xml:space="preserve">2023) 256 LGERA 24 at </w:t>
      </w:r>
      <w:r w:rsidR="00B11AB1" w:rsidRPr="007406B5">
        <w:rPr>
          <w:rFonts w:ascii="Times New Roman" w:hAnsi="Times New Roman"/>
          <w:sz w:val="24"/>
        </w:rPr>
        <w:t>43 [67].</w:t>
      </w:r>
    </w:p>
  </w:footnote>
  <w:footnote w:id="28">
    <w:p w14:paraId="4B8322B5" w14:textId="77777777" w:rsidR="00A22156" w:rsidRPr="007406B5" w:rsidRDefault="00A22156" w:rsidP="007406B5">
      <w:pPr>
        <w:pStyle w:val="FootnoteText"/>
        <w:spacing w:line="280" w:lineRule="exact"/>
        <w:ind w:right="0"/>
        <w:jc w:val="both"/>
        <w:rPr>
          <w:rFonts w:ascii="Times New Roman" w:hAnsi="Times New Roman"/>
          <w:sz w:val="24"/>
        </w:rPr>
      </w:pPr>
      <w:r w:rsidRPr="007406B5">
        <w:rPr>
          <w:rStyle w:val="FootnoteReference"/>
          <w:rFonts w:ascii="Times New Roman" w:hAnsi="Times New Roman"/>
          <w:sz w:val="22"/>
          <w:vertAlign w:val="baseline"/>
        </w:rPr>
        <w:footnoteRef/>
      </w:r>
      <w:r w:rsidRPr="007406B5">
        <w:rPr>
          <w:rFonts w:ascii="Times New Roman" w:hAnsi="Times New Roman"/>
          <w:sz w:val="24"/>
        </w:rPr>
        <w:t xml:space="preserve"> </w:t>
      </w:r>
      <w:r w:rsidRPr="007406B5">
        <w:rPr>
          <w:rFonts w:ascii="Times New Roman" w:hAnsi="Times New Roman"/>
          <w:sz w:val="24"/>
        </w:rPr>
        <w:tab/>
        <w:t>(2004) 61 NSWLR 707.</w:t>
      </w:r>
    </w:p>
  </w:footnote>
  <w:footnote w:id="29">
    <w:p w14:paraId="6F8C00BE" w14:textId="7AD82608" w:rsidR="0038573B" w:rsidRPr="007406B5" w:rsidRDefault="0038573B" w:rsidP="007406B5">
      <w:pPr>
        <w:pStyle w:val="FootnoteText"/>
        <w:spacing w:line="280" w:lineRule="exact"/>
        <w:ind w:right="0"/>
        <w:jc w:val="both"/>
        <w:rPr>
          <w:rFonts w:ascii="Times New Roman" w:hAnsi="Times New Roman"/>
          <w:sz w:val="24"/>
        </w:rPr>
      </w:pPr>
      <w:r w:rsidRPr="007406B5">
        <w:rPr>
          <w:rStyle w:val="FootnoteReference"/>
          <w:rFonts w:ascii="Times New Roman" w:hAnsi="Times New Roman"/>
          <w:sz w:val="22"/>
          <w:vertAlign w:val="baseline"/>
        </w:rPr>
        <w:footnoteRef/>
      </w:r>
      <w:r w:rsidRPr="007406B5">
        <w:rPr>
          <w:rFonts w:ascii="Times New Roman" w:hAnsi="Times New Roman"/>
          <w:sz w:val="24"/>
        </w:rPr>
        <w:t xml:space="preserve"> </w:t>
      </w:r>
      <w:r w:rsidRPr="007406B5">
        <w:rPr>
          <w:rFonts w:ascii="Times New Roman" w:hAnsi="Times New Roman"/>
          <w:sz w:val="24"/>
        </w:rPr>
        <w:tab/>
      </w:r>
      <w:r w:rsidRPr="007406B5">
        <w:rPr>
          <w:rFonts w:ascii="Times New Roman" w:hAnsi="Times New Roman"/>
          <w:i/>
          <w:iCs/>
          <w:sz w:val="24"/>
        </w:rPr>
        <w:t>Denman Aberdeen Muswellbrook Scone Healthy Environment Group Inc v MACH Energy Australia Pty Ltd</w:t>
      </w:r>
      <w:r w:rsidRPr="007406B5">
        <w:rPr>
          <w:rFonts w:ascii="Times New Roman" w:hAnsi="Times New Roman"/>
          <w:sz w:val="24"/>
        </w:rPr>
        <w:t xml:space="preserve"> (2025) 263 LGERA 264 at 291 [109]</w:t>
      </w:r>
      <w:r w:rsidR="00B5572A" w:rsidRPr="007406B5">
        <w:rPr>
          <w:rFonts w:ascii="Times New Roman" w:hAnsi="Times New Roman"/>
          <w:sz w:val="24"/>
        </w:rPr>
        <w:t>,</w:t>
      </w:r>
      <w:r w:rsidR="00E31249" w:rsidRPr="007406B5">
        <w:rPr>
          <w:rFonts w:ascii="Times New Roman" w:hAnsi="Times New Roman"/>
          <w:sz w:val="24"/>
        </w:rPr>
        <w:t xml:space="preserve"> </w:t>
      </w:r>
      <w:r w:rsidR="00B5572A" w:rsidRPr="007406B5">
        <w:rPr>
          <w:rFonts w:ascii="Times New Roman" w:hAnsi="Times New Roman"/>
          <w:sz w:val="24"/>
        </w:rPr>
        <w:t>s</w:t>
      </w:r>
      <w:r w:rsidR="00E31249" w:rsidRPr="007406B5">
        <w:rPr>
          <w:rFonts w:ascii="Times New Roman" w:hAnsi="Times New Roman"/>
          <w:sz w:val="24"/>
        </w:rPr>
        <w:t>ee also at 321 [245].</w:t>
      </w:r>
    </w:p>
  </w:footnote>
  <w:footnote w:id="30">
    <w:p w14:paraId="6DD4708C" w14:textId="5E41A35E" w:rsidR="00765A21" w:rsidRPr="007406B5" w:rsidRDefault="00765A21" w:rsidP="007406B5">
      <w:pPr>
        <w:pStyle w:val="FootnoteText"/>
        <w:spacing w:line="280" w:lineRule="exact"/>
        <w:ind w:right="0"/>
        <w:jc w:val="both"/>
        <w:rPr>
          <w:rFonts w:ascii="Times New Roman" w:hAnsi="Times New Roman"/>
          <w:sz w:val="24"/>
        </w:rPr>
      </w:pPr>
      <w:r w:rsidRPr="007406B5">
        <w:rPr>
          <w:rStyle w:val="FootnoteReference"/>
          <w:rFonts w:ascii="Times New Roman" w:hAnsi="Times New Roman"/>
          <w:sz w:val="22"/>
          <w:vertAlign w:val="baseline"/>
        </w:rPr>
        <w:footnoteRef/>
      </w:r>
      <w:r w:rsidRPr="007406B5">
        <w:rPr>
          <w:rFonts w:ascii="Times New Roman" w:hAnsi="Times New Roman"/>
          <w:sz w:val="24"/>
        </w:rPr>
        <w:t xml:space="preserve"> </w:t>
      </w:r>
      <w:r w:rsidRPr="007406B5">
        <w:rPr>
          <w:rFonts w:ascii="Times New Roman" w:hAnsi="Times New Roman"/>
          <w:sz w:val="24"/>
        </w:rPr>
        <w:tab/>
      </w:r>
      <w:r w:rsidR="00A30D48" w:rsidRPr="007406B5">
        <w:rPr>
          <w:rFonts w:ascii="Times New Roman" w:hAnsi="Times New Roman"/>
          <w:i/>
          <w:iCs/>
          <w:sz w:val="24"/>
        </w:rPr>
        <w:t>Denman Aberdeen Muswellbrook Scone Healthy Environment Group Inc v MACH Energy Australia Pty Ltd</w:t>
      </w:r>
      <w:r w:rsidR="00A30D48" w:rsidRPr="007406B5">
        <w:rPr>
          <w:rFonts w:ascii="Times New Roman" w:hAnsi="Times New Roman"/>
          <w:sz w:val="24"/>
        </w:rPr>
        <w:t xml:space="preserve"> </w:t>
      </w:r>
      <w:r w:rsidR="00CC550E" w:rsidRPr="007406B5">
        <w:rPr>
          <w:rFonts w:ascii="Times New Roman" w:hAnsi="Times New Roman"/>
          <w:sz w:val="24"/>
        </w:rPr>
        <w:t>(</w:t>
      </w:r>
      <w:r w:rsidR="00A30D48" w:rsidRPr="007406B5">
        <w:rPr>
          <w:rFonts w:ascii="Times New Roman" w:hAnsi="Times New Roman"/>
          <w:sz w:val="24"/>
        </w:rPr>
        <w:t>2025</w:t>
      </w:r>
      <w:r w:rsidR="00CC550E" w:rsidRPr="007406B5">
        <w:rPr>
          <w:rFonts w:ascii="Times New Roman" w:hAnsi="Times New Roman"/>
          <w:sz w:val="24"/>
        </w:rPr>
        <w:t>)</w:t>
      </w:r>
      <w:r w:rsidR="00A30D48" w:rsidRPr="007406B5">
        <w:rPr>
          <w:rFonts w:ascii="Times New Roman" w:hAnsi="Times New Roman"/>
          <w:sz w:val="24"/>
        </w:rPr>
        <w:t xml:space="preserve"> </w:t>
      </w:r>
      <w:r w:rsidR="008D4314" w:rsidRPr="007406B5">
        <w:rPr>
          <w:rFonts w:ascii="Times New Roman" w:hAnsi="Times New Roman"/>
          <w:sz w:val="24"/>
        </w:rPr>
        <w:t>263 LGERA 264</w:t>
      </w:r>
      <w:r w:rsidR="00A30D48" w:rsidRPr="007406B5">
        <w:rPr>
          <w:rFonts w:ascii="Times New Roman" w:hAnsi="Times New Roman"/>
          <w:sz w:val="24"/>
        </w:rPr>
        <w:t xml:space="preserve"> </w:t>
      </w:r>
      <w:r w:rsidRPr="007406B5">
        <w:rPr>
          <w:rFonts w:ascii="Times New Roman" w:hAnsi="Times New Roman"/>
          <w:sz w:val="24"/>
        </w:rPr>
        <w:t xml:space="preserve">at </w:t>
      </w:r>
      <w:r w:rsidR="00977A3A" w:rsidRPr="007406B5">
        <w:rPr>
          <w:rFonts w:ascii="Times New Roman" w:hAnsi="Times New Roman"/>
          <w:sz w:val="24"/>
        </w:rPr>
        <w:t xml:space="preserve">291 </w:t>
      </w:r>
      <w:r w:rsidRPr="007406B5">
        <w:rPr>
          <w:rFonts w:ascii="Times New Roman" w:hAnsi="Times New Roman"/>
          <w:sz w:val="24"/>
        </w:rPr>
        <w:t>[109]</w:t>
      </w:r>
      <w:r w:rsidR="00801B96" w:rsidRPr="007406B5">
        <w:rPr>
          <w:rFonts w:ascii="Times New Roman" w:hAnsi="Times New Roman"/>
          <w:sz w:val="24"/>
        </w:rPr>
        <w:t>,</w:t>
      </w:r>
      <w:r w:rsidR="001D022A" w:rsidRPr="007406B5">
        <w:rPr>
          <w:rFonts w:ascii="Times New Roman" w:hAnsi="Times New Roman"/>
          <w:sz w:val="24"/>
        </w:rPr>
        <w:t xml:space="preserve"> </w:t>
      </w:r>
      <w:r w:rsidR="00801B96" w:rsidRPr="007406B5">
        <w:rPr>
          <w:rFonts w:ascii="Times New Roman" w:hAnsi="Times New Roman"/>
          <w:sz w:val="24"/>
        </w:rPr>
        <w:t>s</w:t>
      </w:r>
      <w:r w:rsidR="001D022A" w:rsidRPr="007406B5">
        <w:rPr>
          <w:rFonts w:ascii="Times New Roman" w:hAnsi="Times New Roman"/>
          <w:sz w:val="24"/>
        </w:rPr>
        <w:t>ee also at</w:t>
      </w:r>
      <w:r w:rsidRPr="007406B5">
        <w:rPr>
          <w:rFonts w:ascii="Times New Roman" w:hAnsi="Times New Roman"/>
          <w:sz w:val="24"/>
        </w:rPr>
        <w:t xml:space="preserve"> </w:t>
      </w:r>
      <w:r w:rsidR="004478A5" w:rsidRPr="007406B5">
        <w:rPr>
          <w:rFonts w:ascii="Times New Roman" w:hAnsi="Times New Roman"/>
          <w:sz w:val="24"/>
        </w:rPr>
        <w:t xml:space="preserve">321 </w:t>
      </w:r>
      <w:r w:rsidR="001D022A" w:rsidRPr="007406B5">
        <w:rPr>
          <w:rFonts w:ascii="Times New Roman" w:hAnsi="Times New Roman"/>
          <w:sz w:val="24"/>
        </w:rPr>
        <w:t>[245].</w:t>
      </w:r>
    </w:p>
  </w:footnote>
  <w:footnote w:id="31">
    <w:p w14:paraId="49573E7C" w14:textId="40776A25" w:rsidR="000D6A32" w:rsidRPr="007406B5" w:rsidRDefault="000D6A32" w:rsidP="007406B5">
      <w:pPr>
        <w:pStyle w:val="FootnoteText"/>
        <w:spacing w:line="280" w:lineRule="exact"/>
        <w:ind w:right="0"/>
        <w:jc w:val="both"/>
        <w:rPr>
          <w:rFonts w:ascii="Times New Roman" w:hAnsi="Times New Roman"/>
          <w:sz w:val="24"/>
        </w:rPr>
      </w:pPr>
      <w:r w:rsidRPr="007406B5">
        <w:rPr>
          <w:rStyle w:val="FootnoteReference"/>
          <w:rFonts w:ascii="Times New Roman" w:hAnsi="Times New Roman"/>
          <w:sz w:val="22"/>
          <w:vertAlign w:val="baseline"/>
        </w:rPr>
        <w:footnoteRef/>
      </w:r>
      <w:r w:rsidRPr="007406B5">
        <w:rPr>
          <w:rFonts w:ascii="Times New Roman" w:hAnsi="Times New Roman"/>
          <w:sz w:val="24"/>
        </w:rPr>
        <w:t xml:space="preserve"> </w:t>
      </w:r>
      <w:r w:rsidRPr="007406B5">
        <w:rPr>
          <w:rFonts w:ascii="Times New Roman" w:hAnsi="Times New Roman"/>
          <w:sz w:val="24"/>
        </w:rPr>
        <w:tab/>
      </w:r>
      <w:r w:rsidR="00E060F7" w:rsidRPr="007406B5">
        <w:rPr>
          <w:rFonts w:ascii="Times New Roman" w:hAnsi="Times New Roman"/>
          <w:i/>
          <w:iCs/>
          <w:sz w:val="24"/>
        </w:rPr>
        <w:t>Denman Aberdeen Muswellbrook Scone Healthy Environment Group Inc v MACH Energy Australia Pty Ltd</w:t>
      </w:r>
      <w:r w:rsidR="00E060F7" w:rsidRPr="007406B5">
        <w:rPr>
          <w:rFonts w:ascii="Times New Roman" w:hAnsi="Times New Roman"/>
          <w:sz w:val="24"/>
        </w:rPr>
        <w:t xml:space="preserve"> (2025) 263 LGERA 264 at </w:t>
      </w:r>
      <w:r w:rsidR="00B974B7" w:rsidRPr="007406B5">
        <w:rPr>
          <w:rFonts w:ascii="Times New Roman" w:hAnsi="Times New Roman"/>
          <w:sz w:val="24"/>
        </w:rPr>
        <w:t>291</w:t>
      </w:r>
      <w:r w:rsidR="00E060F7" w:rsidRPr="007406B5">
        <w:rPr>
          <w:rFonts w:ascii="Times New Roman" w:hAnsi="Times New Roman"/>
          <w:sz w:val="24"/>
        </w:rPr>
        <w:t xml:space="preserve"> [108]</w:t>
      </w:r>
      <w:r w:rsidR="00801B96" w:rsidRPr="007406B5">
        <w:rPr>
          <w:rFonts w:ascii="Times New Roman" w:hAnsi="Times New Roman"/>
          <w:sz w:val="24"/>
        </w:rPr>
        <w:t>,</w:t>
      </w:r>
      <w:r w:rsidR="00A766ED" w:rsidRPr="007406B5">
        <w:rPr>
          <w:rFonts w:ascii="Times New Roman" w:hAnsi="Times New Roman"/>
          <w:sz w:val="24"/>
        </w:rPr>
        <w:t xml:space="preserve"> </w:t>
      </w:r>
      <w:r w:rsidR="00801B96" w:rsidRPr="007406B5">
        <w:rPr>
          <w:rFonts w:ascii="Times New Roman" w:hAnsi="Times New Roman"/>
          <w:sz w:val="24"/>
        </w:rPr>
        <w:t>s</w:t>
      </w:r>
      <w:r w:rsidR="00A766ED" w:rsidRPr="007406B5">
        <w:rPr>
          <w:rFonts w:ascii="Times New Roman" w:hAnsi="Times New Roman"/>
          <w:sz w:val="24"/>
        </w:rPr>
        <w:t>ee also at 321 [245].</w:t>
      </w:r>
    </w:p>
  </w:footnote>
  <w:footnote w:id="32">
    <w:p w14:paraId="23DC62DD" w14:textId="4B664E5F" w:rsidR="0036296F" w:rsidRPr="007406B5" w:rsidRDefault="0036296F" w:rsidP="007406B5">
      <w:pPr>
        <w:pStyle w:val="FootnoteText"/>
        <w:spacing w:line="280" w:lineRule="exact"/>
        <w:ind w:right="0"/>
        <w:jc w:val="both"/>
        <w:rPr>
          <w:rFonts w:ascii="Times New Roman" w:hAnsi="Times New Roman"/>
          <w:sz w:val="24"/>
        </w:rPr>
      </w:pPr>
      <w:r w:rsidRPr="007406B5">
        <w:rPr>
          <w:rStyle w:val="FootnoteReference"/>
          <w:rFonts w:ascii="Times New Roman" w:hAnsi="Times New Roman"/>
          <w:sz w:val="22"/>
          <w:vertAlign w:val="baseline"/>
        </w:rPr>
        <w:footnoteRef/>
      </w:r>
      <w:r w:rsidRPr="007406B5">
        <w:rPr>
          <w:rFonts w:ascii="Times New Roman" w:hAnsi="Times New Roman"/>
          <w:sz w:val="24"/>
        </w:rPr>
        <w:t xml:space="preserve"> </w:t>
      </w:r>
      <w:r w:rsidRPr="007406B5">
        <w:rPr>
          <w:rFonts w:ascii="Times New Roman" w:hAnsi="Times New Roman"/>
          <w:sz w:val="24"/>
        </w:rPr>
        <w:tab/>
      </w:r>
      <w:r w:rsidR="00A30D48" w:rsidRPr="007406B5">
        <w:rPr>
          <w:rFonts w:ascii="Times New Roman" w:hAnsi="Times New Roman"/>
          <w:i/>
          <w:iCs/>
          <w:sz w:val="24"/>
        </w:rPr>
        <w:t>Denman Aberdeen Muswellbrook Scone Healthy Environment Group Inc v MACH Energy Australia Pty Ltd</w:t>
      </w:r>
      <w:r w:rsidR="00A30D48" w:rsidRPr="007406B5">
        <w:rPr>
          <w:rFonts w:ascii="Times New Roman" w:hAnsi="Times New Roman"/>
          <w:sz w:val="24"/>
        </w:rPr>
        <w:t xml:space="preserve"> </w:t>
      </w:r>
      <w:r w:rsidR="00167A41" w:rsidRPr="007406B5">
        <w:rPr>
          <w:rFonts w:ascii="Times New Roman" w:hAnsi="Times New Roman"/>
          <w:sz w:val="24"/>
        </w:rPr>
        <w:t>(2025) 263 LGERA 264</w:t>
      </w:r>
      <w:r w:rsidR="00A30D48" w:rsidRPr="007406B5">
        <w:rPr>
          <w:rFonts w:ascii="Times New Roman" w:hAnsi="Times New Roman"/>
          <w:sz w:val="24"/>
        </w:rPr>
        <w:t xml:space="preserve"> </w:t>
      </w:r>
      <w:r w:rsidR="000B7A0D" w:rsidRPr="007406B5">
        <w:rPr>
          <w:rFonts w:ascii="Times New Roman" w:hAnsi="Times New Roman"/>
          <w:sz w:val="24"/>
        </w:rPr>
        <w:t xml:space="preserve">at </w:t>
      </w:r>
      <w:r w:rsidR="00BE26DC" w:rsidRPr="007406B5">
        <w:rPr>
          <w:rFonts w:ascii="Times New Roman" w:hAnsi="Times New Roman"/>
          <w:sz w:val="24"/>
        </w:rPr>
        <w:t>319</w:t>
      </w:r>
      <w:r w:rsidR="00197830" w:rsidRPr="007406B5">
        <w:rPr>
          <w:rFonts w:ascii="Times New Roman" w:hAnsi="Times New Roman"/>
          <w:sz w:val="24"/>
        </w:rPr>
        <w:t xml:space="preserve"> </w:t>
      </w:r>
      <w:r w:rsidR="000B7A0D" w:rsidRPr="007406B5">
        <w:rPr>
          <w:rFonts w:ascii="Times New Roman" w:hAnsi="Times New Roman"/>
          <w:sz w:val="24"/>
        </w:rPr>
        <w:t>[235]</w:t>
      </w:r>
      <w:r w:rsidR="00801B96" w:rsidRPr="007406B5">
        <w:rPr>
          <w:rFonts w:ascii="Times New Roman" w:hAnsi="Times New Roman"/>
          <w:sz w:val="24"/>
        </w:rPr>
        <w:t>,</w:t>
      </w:r>
      <w:r w:rsidR="00E545AF" w:rsidRPr="007406B5">
        <w:rPr>
          <w:rFonts w:ascii="Times New Roman" w:hAnsi="Times New Roman"/>
          <w:sz w:val="24"/>
        </w:rPr>
        <w:t xml:space="preserve"> </w:t>
      </w:r>
      <w:r w:rsidR="00801B96" w:rsidRPr="007406B5">
        <w:rPr>
          <w:rFonts w:ascii="Times New Roman" w:hAnsi="Times New Roman"/>
          <w:sz w:val="24"/>
        </w:rPr>
        <w:t>s</w:t>
      </w:r>
      <w:r w:rsidR="00E545AF" w:rsidRPr="007406B5">
        <w:rPr>
          <w:rFonts w:ascii="Times New Roman" w:hAnsi="Times New Roman"/>
          <w:sz w:val="24"/>
        </w:rPr>
        <w:t xml:space="preserve">ee also at </w:t>
      </w:r>
      <w:r w:rsidR="00071CA8" w:rsidRPr="007406B5">
        <w:rPr>
          <w:rFonts w:ascii="Times New Roman" w:hAnsi="Times New Roman"/>
          <w:sz w:val="24"/>
        </w:rPr>
        <w:t xml:space="preserve">321 </w:t>
      </w:r>
      <w:r w:rsidR="00E545AF" w:rsidRPr="007406B5">
        <w:rPr>
          <w:rFonts w:ascii="Times New Roman" w:hAnsi="Times New Roman"/>
          <w:sz w:val="24"/>
        </w:rPr>
        <w:t>[245].</w:t>
      </w:r>
    </w:p>
  </w:footnote>
  <w:footnote w:id="33">
    <w:p w14:paraId="6E8E0A7E" w14:textId="286800B3" w:rsidR="00CA46CB" w:rsidRPr="007406B5" w:rsidRDefault="00CA46CB" w:rsidP="007406B5">
      <w:pPr>
        <w:pStyle w:val="FootnoteText"/>
        <w:spacing w:line="280" w:lineRule="exact"/>
        <w:ind w:right="0"/>
        <w:jc w:val="both"/>
        <w:rPr>
          <w:rFonts w:ascii="Times New Roman" w:hAnsi="Times New Roman"/>
          <w:sz w:val="24"/>
        </w:rPr>
      </w:pPr>
      <w:r w:rsidRPr="007406B5">
        <w:rPr>
          <w:rStyle w:val="FootnoteReference"/>
          <w:rFonts w:ascii="Times New Roman" w:hAnsi="Times New Roman"/>
          <w:sz w:val="22"/>
          <w:vertAlign w:val="baseline"/>
        </w:rPr>
        <w:footnoteRef/>
      </w:r>
      <w:r w:rsidRPr="007406B5">
        <w:rPr>
          <w:rFonts w:ascii="Times New Roman" w:hAnsi="Times New Roman"/>
          <w:sz w:val="24"/>
        </w:rPr>
        <w:t xml:space="preserve"> </w:t>
      </w:r>
      <w:r w:rsidRPr="007406B5">
        <w:rPr>
          <w:rFonts w:ascii="Times New Roman" w:hAnsi="Times New Roman"/>
          <w:sz w:val="24"/>
        </w:rPr>
        <w:tab/>
      </w:r>
      <w:r w:rsidR="00A30D48" w:rsidRPr="007406B5">
        <w:rPr>
          <w:rFonts w:ascii="Times New Roman" w:hAnsi="Times New Roman"/>
          <w:i/>
          <w:iCs/>
          <w:sz w:val="24"/>
        </w:rPr>
        <w:t>Denman Aberdeen Muswellbrook Scone Healthy Environment Group Inc v MACH Energy Australia Pty Ltd</w:t>
      </w:r>
      <w:r w:rsidR="00A30D48" w:rsidRPr="007406B5">
        <w:rPr>
          <w:rFonts w:ascii="Times New Roman" w:hAnsi="Times New Roman"/>
          <w:sz w:val="24"/>
        </w:rPr>
        <w:t xml:space="preserve"> </w:t>
      </w:r>
      <w:r w:rsidR="007A41E9" w:rsidRPr="007406B5">
        <w:rPr>
          <w:rFonts w:ascii="Times New Roman" w:hAnsi="Times New Roman"/>
          <w:sz w:val="24"/>
        </w:rPr>
        <w:t xml:space="preserve">(2025) 263 LGERA 264 </w:t>
      </w:r>
      <w:r w:rsidR="00E545AF" w:rsidRPr="007406B5">
        <w:rPr>
          <w:rFonts w:ascii="Times New Roman" w:hAnsi="Times New Roman"/>
          <w:sz w:val="24"/>
        </w:rPr>
        <w:t xml:space="preserve">at </w:t>
      </w:r>
      <w:r w:rsidR="007A41E9" w:rsidRPr="007406B5">
        <w:rPr>
          <w:rFonts w:ascii="Times New Roman" w:hAnsi="Times New Roman"/>
          <w:sz w:val="24"/>
        </w:rPr>
        <w:t xml:space="preserve">320 </w:t>
      </w:r>
      <w:r w:rsidR="00E545AF" w:rsidRPr="007406B5">
        <w:rPr>
          <w:rFonts w:ascii="Times New Roman" w:hAnsi="Times New Roman"/>
          <w:sz w:val="24"/>
        </w:rPr>
        <w:t>[236]</w:t>
      </w:r>
      <w:r w:rsidR="007A41E9" w:rsidRPr="007406B5">
        <w:rPr>
          <w:rFonts w:ascii="Times New Roman" w:hAnsi="Times New Roman"/>
          <w:sz w:val="24"/>
        </w:rPr>
        <w:t xml:space="preserve"> (emphasis omitted)</w:t>
      </w:r>
      <w:r w:rsidR="00801B96" w:rsidRPr="007406B5">
        <w:rPr>
          <w:rFonts w:ascii="Times New Roman" w:hAnsi="Times New Roman"/>
          <w:sz w:val="24"/>
        </w:rPr>
        <w:t>,</w:t>
      </w:r>
      <w:r w:rsidR="00E545AF" w:rsidRPr="007406B5">
        <w:rPr>
          <w:rFonts w:ascii="Times New Roman" w:hAnsi="Times New Roman"/>
          <w:sz w:val="24"/>
        </w:rPr>
        <w:t xml:space="preserve"> </w:t>
      </w:r>
      <w:r w:rsidR="00801B96" w:rsidRPr="007406B5">
        <w:rPr>
          <w:rFonts w:ascii="Times New Roman" w:hAnsi="Times New Roman"/>
          <w:sz w:val="24"/>
        </w:rPr>
        <w:t>s</w:t>
      </w:r>
      <w:r w:rsidR="00E545AF" w:rsidRPr="007406B5">
        <w:rPr>
          <w:rFonts w:ascii="Times New Roman" w:hAnsi="Times New Roman"/>
          <w:sz w:val="24"/>
        </w:rPr>
        <w:t xml:space="preserve">ee also at </w:t>
      </w:r>
      <w:r w:rsidR="007A41E9" w:rsidRPr="007406B5">
        <w:rPr>
          <w:rFonts w:ascii="Times New Roman" w:hAnsi="Times New Roman"/>
          <w:sz w:val="24"/>
        </w:rPr>
        <w:t xml:space="preserve">321 </w:t>
      </w:r>
      <w:r w:rsidR="00E545AF" w:rsidRPr="007406B5">
        <w:rPr>
          <w:rFonts w:ascii="Times New Roman" w:hAnsi="Times New Roman"/>
          <w:sz w:val="24"/>
        </w:rPr>
        <w:t>[245].</w:t>
      </w:r>
    </w:p>
  </w:footnote>
  <w:footnote w:id="34">
    <w:p w14:paraId="406D2E29" w14:textId="511B48AC" w:rsidR="006C33F8" w:rsidRPr="007406B5" w:rsidRDefault="006C33F8" w:rsidP="007406B5">
      <w:pPr>
        <w:pStyle w:val="FootnoteText"/>
        <w:spacing w:line="280" w:lineRule="exact"/>
        <w:ind w:right="0"/>
        <w:jc w:val="both"/>
        <w:rPr>
          <w:rFonts w:ascii="Times New Roman" w:hAnsi="Times New Roman"/>
          <w:sz w:val="24"/>
        </w:rPr>
      </w:pPr>
      <w:r w:rsidRPr="007406B5">
        <w:rPr>
          <w:rStyle w:val="FootnoteReference"/>
          <w:rFonts w:ascii="Times New Roman" w:hAnsi="Times New Roman"/>
          <w:sz w:val="22"/>
          <w:vertAlign w:val="baseline"/>
        </w:rPr>
        <w:footnoteRef/>
      </w:r>
      <w:r w:rsidRPr="007406B5">
        <w:rPr>
          <w:rFonts w:ascii="Times New Roman" w:hAnsi="Times New Roman"/>
          <w:sz w:val="24"/>
        </w:rPr>
        <w:t xml:space="preserve"> </w:t>
      </w:r>
      <w:r w:rsidRPr="007406B5">
        <w:rPr>
          <w:rFonts w:ascii="Times New Roman" w:hAnsi="Times New Roman"/>
          <w:sz w:val="24"/>
        </w:rPr>
        <w:tab/>
      </w:r>
      <w:r w:rsidR="005E56A2" w:rsidRPr="007406B5">
        <w:rPr>
          <w:rFonts w:ascii="Times New Roman" w:hAnsi="Times New Roman"/>
          <w:i/>
          <w:iCs/>
          <w:sz w:val="24"/>
        </w:rPr>
        <w:t>Denman Aberdeen Muswellbrook Scone Healthy Environment Group Inc v MACH Energy Australia Pty Ltd</w:t>
      </w:r>
      <w:r w:rsidR="005E56A2" w:rsidRPr="007406B5">
        <w:rPr>
          <w:rFonts w:ascii="Times New Roman" w:hAnsi="Times New Roman"/>
          <w:sz w:val="24"/>
        </w:rPr>
        <w:t xml:space="preserve"> (2025) 263 LGERA 264 at </w:t>
      </w:r>
      <w:r w:rsidR="00A43E72" w:rsidRPr="007406B5">
        <w:rPr>
          <w:rFonts w:ascii="Times New Roman" w:hAnsi="Times New Roman"/>
          <w:sz w:val="24"/>
        </w:rPr>
        <w:t>320</w:t>
      </w:r>
      <w:r w:rsidR="005E56A2" w:rsidRPr="007406B5">
        <w:rPr>
          <w:rFonts w:ascii="Times New Roman" w:hAnsi="Times New Roman"/>
          <w:sz w:val="24"/>
        </w:rPr>
        <w:t xml:space="preserve"> [238]</w:t>
      </w:r>
      <w:r w:rsidR="00801B96" w:rsidRPr="007406B5">
        <w:rPr>
          <w:rFonts w:ascii="Times New Roman" w:hAnsi="Times New Roman"/>
          <w:sz w:val="24"/>
        </w:rPr>
        <w:t>,</w:t>
      </w:r>
      <w:r w:rsidR="00A766ED" w:rsidRPr="007406B5">
        <w:rPr>
          <w:rFonts w:ascii="Times New Roman" w:hAnsi="Times New Roman"/>
          <w:sz w:val="24"/>
        </w:rPr>
        <w:t xml:space="preserve"> </w:t>
      </w:r>
      <w:r w:rsidR="00801B96" w:rsidRPr="007406B5">
        <w:rPr>
          <w:rFonts w:ascii="Times New Roman" w:hAnsi="Times New Roman"/>
          <w:sz w:val="24"/>
        </w:rPr>
        <w:t>s</w:t>
      </w:r>
      <w:r w:rsidR="00A766ED" w:rsidRPr="007406B5">
        <w:rPr>
          <w:rFonts w:ascii="Times New Roman" w:hAnsi="Times New Roman"/>
          <w:sz w:val="24"/>
        </w:rPr>
        <w:t>ee also at 321 [245].</w:t>
      </w:r>
    </w:p>
  </w:footnote>
  <w:footnote w:id="35">
    <w:p w14:paraId="41FE1427" w14:textId="77777777" w:rsidR="00867270" w:rsidRPr="007406B5" w:rsidRDefault="00867270" w:rsidP="007406B5">
      <w:pPr>
        <w:pStyle w:val="FootnoteText"/>
        <w:spacing w:line="280" w:lineRule="exact"/>
        <w:ind w:right="0"/>
        <w:jc w:val="both"/>
        <w:rPr>
          <w:rFonts w:ascii="Times New Roman" w:hAnsi="Times New Roman"/>
          <w:sz w:val="24"/>
        </w:rPr>
      </w:pPr>
      <w:r w:rsidRPr="007406B5">
        <w:rPr>
          <w:rStyle w:val="FootnoteReference"/>
          <w:rFonts w:ascii="Times New Roman" w:hAnsi="Times New Roman"/>
          <w:sz w:val="22"/>
          <w:vertAlign w:val="baseline"/>
        </w:rPr>
        <w:footnoteRef/>
      </w:r>
      <w:r w:rsidRPr="007406B5">
        <w:rPr>
          <w:rFonts w:ascii="Times New Roman" w:hAnsi="Times New Roman"/>
          <w:sz w:val="24"/>
        </w:rPr>
        <w:t xml:space="preserve"> </w:t>
      </w:r>
      <w:r w:rsidRPr="007406B5">
        <w:rPr>
          <w:rFonts w:ascii="Times New Roman" w:hAnsi="Times New Roman"/>
          <w:sz w:val="24"/>
        </w:rPr>
        <w:tab/>
        <w:t>(2001) 51 NSWLR 589 at 602-603 [71]-[76].</w:t>
      </w:r>
    </w:p>
  </w:footnote>
  <w:footnote w:id="36">
    <w:p w14:paraId="4DCA7586" w14:textId="77777777" w:rsidR="000B624A" w:rsidRPr="007406B5" w:rsidRDefault="000B624A" w:rsidP="007406B5">
      <w:pPr>
        <w:pStyle w:val="FootnoteText"/>
        <w:spacing w:line="280" w:lineRule="exact"/>
        <w:ind w:right="0"/>
        <w:jc w:val="both"/>
        <w:rPr>
          <w:rFonts w:ascii="Times New Roman" w:hAnsi="Times New Roman"/>
          <w:sz w:val="24"/>
        </w:rPr>
      </w:pPr>
      <w:r w:rsidRPr="007406B5">
        <w:rPr>
          <w:rStyle w:val="FootnoteReference"/>
          <w:rFonts w:ascii="Times New Roman" w:hAnsi="Times New Roman"/>
          <w:sz w:val="22"/>
          <w:vertAlign w:val="baseline"/>
        </w:rPr>
        <w:footnoteRef/>
      </w:r>
      <w:r w:rsidRPr="007406B5">
        <w:rPr>
          <w:rFonts w:ascii="Times New Roman" w:hAnsi="Times New Roman"/>
          <w:sz w:val="24"/>
        </w:rPr>
        <w:t xml:space="preserve"> </w:t>
      </w:r>
      <w:r w:rsidRPr="007406B5">
        <w:rPr>
          <w:rFonts w:ascii="Times New Roman" w:hAnsi="Times New Roman"/>
          <w:sz w:val="24"/>
        </w:rPr>
        <w:tab/>
        <w:t>(1979) 180 CLR 322 at 329.</w:t>
      </w:r>
    </w:p>
  </w:footnote>
  <w:footnote w:id="37">
    <w:p w14:paraId="7A4AC71E" w14:textId="77777777" w:rsidR="00A86C5F" w:rsidRPr="007406B5" w:rsidRDefault="00A86C5F" w:rsidP="007406B5">
      <w:pPr>
        <w:pStyle w:val="FootnoteText"/>
        <w:spacing w:line="280" w:lineRule="exact"/>
        <w:ind w:right="0"/>
        <w:jc w:val="both"/>
        <w:rPr>
          <w:rFonts w:ascii="Times New Roman" w:hAnsi="Times New Roman"/>
          <w:sz w:val="24"/>
        </w:rPr>
      </w:pPr>
      <w:r w:rsidRPr="007406B5">
        <w:rPr>
          <w:rStyle w:val="FootnoteReference"/>
          <w:rFonts w:ascii="Times New Roman" w:hAnsi="Times New Roman"/>
          <w:sz w:val="22"/>
          <w:vertAlign w:val="baseline"/>
        </w:rPr>
        <w:footnoteRef/>
      </w:r>
      <w:r w:rsidRPr="007406B5">
        <w:rPr>
          <w:rFonts w:ascii="Times New Roman" w:hAnsi="Times New Roman"/>
          <w:sz w:val="24"/>
        </w:rPr>
        <w:t xml:space="preserve"> </w:t>
      </w:r>
      <w:r w:rsidRPr="007406B5">
        <w:rPr>
          <w:rFonts w:ascii="Times New Roman" w:hAnsi="Times New Roman"/>
          <w:sz w:val="24"/>
        </w:rPr>
        <w:tab/>
        <w:t>(1997) 42 NSWLR 70 at 79-80.</w:t>
      </w:r>
    </w:p>
  </w:footnote>
  <w:footnote w:id="38">
    <w:p w14:paraId="3D117F1E" w14:textId="190A6CBB" w:rsidR="0069295F" w:rsidRPr="007406B5" w:rsidRDefault="0069295F" w:rsidP="007406B5">
      <w:pPr>
        <w:pStyle w:val="FootnoteText"/>
        <w:spacing w:line="280" w:lineRule="exact"/>
        <w:ind w:right="0"/>
        <w:jc w:val="both"/>
        <w:rPr>
          <w:rFonts w:ascii="Times New Roman" w:hAnsi="Times New Roman"/>
          <w:sz w:val="24"/>
        </w:rPr>
      </w:pPr>
      <w:r w:rsidRPr="007406B5">
        <w:rPr>
          <w:rStyle w:val="FootnoteReference"/>
          <w:rFonts w:ascii="Times New Roman" w:hAnsi="Times New Roman"/>
          <w:sz w:val="22"/>
          <w:vertAlign w:val="baseline"/>
        </w:rPr>
        <w:footnoteRef/>
      </w:r>
      <w:r w:rsidRPr="007406B5">
        <w:rPr>
          <w:rFonts w:ascii="Times New Roman" w:hAnsi="Times New Roman"/>
          <w:sz w:val="24"/>
        </w:rPr>
        <w:t xml:space="preserve"> </w:t>
      </w:r>
      <w:r w:rsidRPr="007406B5">
        <w:rPr>
          <w:rFonts w:ascii="Times New Roman" w:hAnsi="Times New Roman"/>
          <w:sz w:val="24"/>
        </w:rPr>
        <w:tab/>
      </w:r>
      <w:r w:rsidR="00B04349" w:rsidRPr="007406B5">
        <w:rPr>
          <w:rFonts w:ascii="Times New Roman" w:hAnsi="Times New Roman"/>
          <w:i/>
          <w:iCs/>
          <w:sz w:val="24"/>
        </w:rPr>
        <w:t>Hoxton Park Residents Action Group Inc v Liverpool City Council</w:t>
      </w:r>
      <w:r w:rsidR="00B04349" w:rsidRPr="007406B5">
        <w:rPr>
          <w:rFonts w:ascii="Times New Roman" w:hAnsi="Times New Roman"/>
          <w:sz w:val="24"/>
        </w:rPr>
        <w:t xml:space="preserve"> (2011) 81 NSWLR 638 </w:t>
      </w:r>
      <w:r w:rsidR="0063084B" w:rsidRPr="007406B5">
        <w:rPr>
          <w:rFonts w:ascii="Times New Roman" w:hAnsi="Times New Roman"/>
          <w:sz w:val="24"/>
        </w:rPr>
        <w:t xml:space="preserve">at </w:t>
      </w:r>
      <w:r w:rsidR="008816CF" w:rsidRPr="007406B5">
        <w:rPr>
          <w:rFonts w:ascii="Times New Roman" w:hAnsi="Times New Roman"/>
          <w:sz w:val="24"/>
        </w:rPr>
        <w:t>651</w:t>
      </w:r>
      <w:r w:rsidR="0063084B" w:rsidRPr="007406B5">
        <w:rPr>
          <w:rFonts w:ascii="Times New Roman" w:hAnsi="Times New Roman"/>
          <w:sz w:val="24"/>
        </w:rPr>
        <w:t xml:space="preserve"> [46].</w:t>
      </w:r>
    </w:p>
  </w:footnote>
  <w:footnote w:id="39">
    <w:p w14:paraId="258D43C9" w14:textId="7661EB1F" w:rsidR="00F60417" w:rsidRPr="007406B5" w:rsidRDefault="00F60417" w:rsidP="007406B5">
      <w:pPr>
        <w:pStyle w:val="FootnoteText"/>
        <w:spacing w:line="280" w:lineRule="exact"/>
        <w:ind w:right="0"/>
        <w:jc w:val="both"/>
        <w:rPr>
          <w:rFonts w:ascii="Times New Roman" w:hAnsi="Times New Roman"/>
          <w:sz w:val="24"/>
        </w:rPr>
      </w:pPr>
      <w:r w:rsidRPr="007406B5">
        <w:rPr>
          <w:rStyle w:val="FootnoteReference"/>
          <w:rFonts w:ascii="Times New Roman" w:hAnsi="Times New Roman"/>
          <w:sz w:val="22"/>
          <w:vertAlign w:val="baseline"/>
        </w:rPr>
        <w:footnoteRef/>
      </w:r>
      <w:r w:rsidRPr="007406B5">
        <w:rPr>
          <w:rFonts w:ascii="Times New Roman" w:hAnsi="Times New Roman"/>
          <w:sz w:val="24"/>
        </w:rPr>
        <w:t xml:space="preserve"> </w:t>
      </w:r>
      <w:r w:rsidRPr="007406B5">
        <w:rPr>
          <w:rFonts w:ascii="Times New Roman" w:hAnsi="Times New Roman"/>
          <w:sz w:val="24"/>
        </w:rPr>
        <w:tab/>
      </w:r>
      <w:r w:rsidRPr="007406B5">
        <w:rPr>
          <w:rFonts w:ascii="Times New Roman" w:hAnsi="Times New Roman"/>
          <w:i/>
          <w:iCs/>
          <w:sz w:val="24"/>
        </w:rPr>
        <w:t>Foster v Minister for Customs and Justice</w:t>
      </w:r>
      <w:r w:rsidRPr="007406B5">
        <w:rPr>
          <w:rFonts w:ascii="Times New Roman" w:hAnsi="Times New Roman"/>
          <w:sz w:val="24"/>
        </w:rPr>
        <w:t xml:space="preserve"> (2000) 200 CLR 442 at </w:t>
      </w:r>
      <w:r w:rsidR="0009336D" w:rsidRPr="007406B5">
        <w:rPr>
          <w:rFonts w:ascii="Times New Roman" w:hAnsi="Times New Roman"/>
          <w:sz w:val="24"/>
        </w:rPr>
        <w:t>452</w:t>
      </w:r>
      <w:r w:rsidRPr="007406B5">
        <w:rPr>
          <w:rFonts w:ascii="Times New Roman" w:hAnsi="Times New Roman"/>
          <w:sz w:val="24"/>
        </w:rPr>
        <w:t xml:space="preserve"> [23].</w:t>
      </w:r>
    </w:p>
  </w:footnote>
  <w:footnote w:id="40">
    <w:p w14:paraId="017AC2E5" w14:textId="3396E690" w:rsidR="004E3126" w:rsidRPr="007406B5" w:rsidRDefault="004E3126" w:rsidP="007406B5">
      <w:pPr>
        <w:pStyle w:val="FootnoteText"/>
        <w:spacing w:line="280" w:lineRule="exact"/>
        <w:ind w:right="0"/>
        <w:jc w:val="both"/>
        <w:rPr>
          <w:rFonts w:ascii="Times New Roman" w:hAnsi="Times New Roman"/>
          <w:sz w:val="24"/>
        </w:rPr>
      </w:pPr>
      <w:r w:rsidRPr="007406B5">
        <w:rPr>
          <w:rStyle w:val="FootnoteReference"/>
          <w:rFonts w:ascii="Times New Roman" w:hAnsi="Times New Roman"/>
          <w:sz w:val="22"/>
          <w:vertAlign w:val="baseline"/>
        </w:rPr>
        <w:footnoteRef/>
      </w:r>
      <w:r w:rsidRPr="007406B5">
        <w:rPr>
          <w:rFonts w:ascii="Times New Roman" w:hAnsi="Times New Roman"/>
          <w:sz w:val="24"/>
        </w:rPr>
        <w:t xml:space="preserve"> </w:t>
      </w:r>
      <w:r w:rsidRPr="007406B5">
        <w:rPr>
          <w:rFonts w:ascii="Times New Roman" w:hAnsi="Times New Roman"/>
          <w:sz w:val="24"/>
        </w:rPr>
        <w:tab/>
      </w:r>
      <w:r w:rsidR="00521ECD" w:rsidRPr="007406B5">
        <w:rPr>
          <w:rFonts w:ascii="Times New Roman" w:hAnsi="Times New Roman"/>
          <w:i/>
          <w:iCs/>
          <w:sz w:val="24"/>
        </w:rPr>
        <w:t>Foster v Minister for Customs and Justice</w:t>
      </w:r>
      <w:r w:rsidR="00521ECD" w:rsidRPr="007406B5">
        <w:rPr>
          <w:rFonts w:ascii="Times New Roman" w:hAnsi="Times New Roman"/>
          <w:sz w:val="24"/>
        </w:rPr>
        <w:t xml:space="preserve"> (2000) 200 CLR 442 at 452 [23]. </w:t>
      </w:r>
    </w:p>
  </w:footnote>
  <w:footnote w:id="41">
    <w:p w14:paraId="617DD8E4" w14:textId="77777777" w:rsidR="00154D5B" w:rsidRPr="007406B5" w:rsidRDefault="00154D5B" w:rsidP="007406B5">
      <w:pPr>
        <w:pStyle w:val="FootnoteText"/>
        <w:spacing w:line="280" w:lineRule="exact"/>
        <w:ind w:right="0"/>
        <w:jc w:val="both"/>
        <w:rPr>
          <w:rFonts w:ascii="Times New Roman" w:hAnsi="Times New Roman"/>
          <w:sz w:val="24"/>
        </w:rPr>
      </w:pPr>
      <w:r w:rsidRPr="007406B5">
        <w:rPr>
          <w:rStyle w:val="FootnoteReference"/>
          <w:rFonts w:ascii="Times New Roman" w:hAnsi="Times New Roman"/>
          <w:sz w:val="22"/>
          <w:vertAlign w:val="baseline"/>
        </w:rPr>
        <w:footnoteRef/>
      </w:r>
      <w:r w:rsidRPr="007406B5">
        <w:rPr>
          <w:rFonts w:ascii="Times New Roman" w:hAnsi="Times New Roman"/>
          <w:sz w:val="24"/>
        </w:rPr>
        <w:t xml:space="preserve"> </w:t>
      </w:r>
      <w:r w:rsidRPr="007406B5">
        <w:rPr>
          <w:rFonts w:ascii="Times New Roman" w:hAnsi="Times New Roman"/>
          <w:sz w:val="24"/>
        </w:rPr>
        <w:tab/>
        <w:t xml:space="preserve">eg, </w:t>
      </w:r>
      <w:r w:rsidRPr="007406B5">
        <w:rPr>
          <w:rFonts w:ascii="Times New Roman" w:hAnsi="Times New Roman"/>
          <w:i/>
          <w:iCs/>
          <w:sz w:val="24"/>
        </w:rPr>
        <w:t>Environmental Planning and Assessment Regulation 2000</w:t>
      </w:r>
      <w:r w:rsidRPr="007406B5">
        <w:rPr>
          <w:rFonts w:ascii="Times New Roman" w:hAnsi="Times New Roman"/>
          <w:sz w:val="24"/>
        </w:rPr>
        <w:t xml:space="preserve"> (NSW), Sch 2, cll 3(1), 6, 7.</w:t>
      </w:r>
    </w:p>
  </w:footnote>
  <w:footnote w:id="42">
    <w:p w14:paraId="0489AB49" w14:textId="1D9A86B1" w:rsidR="00562935" w:rsidRPr="007406B5" w:rsidRDefault="00562935" w:rsidP="007406B5">
      <w:pPr>
        <w:pStyle w:val="FootnoteText"/>
        <w:spacing w:line="280" w:lineRule="exact"/>
        <w:ind w:right="0"/>
        <w:jc w:val="both"/>
        <w:rPr>
          <w:rFonts w:ascii="Times New Roman" w:hAnsi="Times New Roman"/>
          <w:sz w:val="24"/>
        </w:rPr>
      </w:pPr>
      <w:r w:rsidRPr="007406B5">
        <w:rPr>
          <w:rStyle w:val="FootnoteReference"/>
          <w:rFonts w:ascii="Times New Roman" w:hAnsi="Times New Roman"/>
          <w:sz w:val="22"/>
          <w:vertAlign w:val="baseline"/>
        </w:rPr>
        <w:footnoteRef/>
      </w:r>
      <w:r w:rsidRPr="007406B5">
        <w:rPr>
          <w:rFonts w:ascii="Times New Roman" w:hAnsi="Times New Roman"/>
          <w:sz w:val="24"/>
        </w:rPr>
        <w:t xml:space="preserve"> </w:t>
      </w:r>
      <w:r w:rsidRPr="007406B5">
        <w:rPr>
          <w:rFonts w:ascii="Times New Roman" w:hAnsi="Times New Roman"/>
          <w:sz w:val="24"/>
        </w:rPr>
        <w:tab/>
      </w:r>
      <w:r w:rsidR="00D76B6C" w:rsidRPr="007406B5">
        <w:rPr>
          <w:rFonts w:ascii="Times New Roman" w:hAnsi="Times New Roman"/>
          <w:sz w:val="24"/>
        </w:rPr>
        <w:t>Australia signed the Paris Agreement on 22 April 2016</w:t>
      </w:r>
      <w:r w:rsidRPr="007406B5">
        <w:rPr>
          <w:rFonts w:ascii="Times New Roman" w:hAnsi="Times New Roman"/>
          <w:sz w:val="24"/>
        </w:rPr>
        <w:t>.</w:t>
      </w:r>
    </w:p>
  </w:footnote>
  <w:footnote w:id="43">
    <w:p w14:paraId="2DDCCFC2" w14:textId="687A0E4A" w:rsidR="00FF460E" w:rsidRPr="007406B5" w:rsidRDefault="00FF460E" w:rsidP="007406B5">
      <w:pPr>
        <w:pStyle w:val="FootnoteText"/>
        <w:spacing w:line="280" w:lineRule="exact"/>
        <w:ind w:right="0"/>
        <w:jc w:val="both"/>
        <w:rPr>
          <w:rFonts w:ascii="Times New Roman" w:hAnsi="Times New Roman"/>
          <w:sz w:val="24"/>
        </w:rPr>
      </w:pPr>
      <w:r w:rsidRPr="007406B5">
        <w:rPr>
          <w:rStyle w:val="FootnoteReference"/>
          <w:rFonts w:ascii="Times New Roman" w:hAnsi="Times New Roman"/>
          <w:sz w:val="22"/>
          <w:vertAlign w:val="baseline"/>
        </w:rPr>
        <w:footnoteRef/>
      </w:r>
      <w:r w:rsidRPr="007406B5">
        <w:rPr>
          <w:rFonts w:ascii="Times New Roman" w:hAnsi="Times New Roman"/>
          <w:sz w:val="24"/>
        </w:rPr>
        <w:t xml:space="preserve"> </w:t>
      </w:r>
      <w:r w:rsidRPr="007406B5">
        <w:rPr>
          <w:rFonts w:ascii="Times New Roman" w:hAnsi="Times New Roman"/>
          <w:sz w:val="24"/>
        </w:rPr>
        <w:tab/>
      </w:r>
      <w:r w:rsidRPr="007406B5">
        <w:rPr>
          <w:rFonts w:ascii="Times New Roman" w:hAnsi="Times New Roman"/>
          <w:i/>
          <w:iCs/>
          <w:sz w:val="24"/>
        </w:rPr>
        <w:t>Denman Aberdeen Muswellbrook Scone Healthy Environment Group Inc v MACH Energy Australia Pty Ltd</w:t>
      </w:r>
      <w:r w:rsidRPr="007406B5">
        <w:rPr>
          <w:rFonts w:ascii="Times New Roman" w:hAnsi="Times New Roman"/>
          <w:sz w:val="24"/>
        </w:rPr>
        <w:t xml:space="preserve"> (2025) 263 LGERA 264 at </w:t>
      </w:r>
      <w:r w:rsidR="00D210FB" w:rsidRPr="007406B5">
        <w:rPr>
          <w:rFonts w:ascii="Times New Roman" w:hAnsi="Times New Roman"/>
          <w:sz w:val="24"/>
        </w:rPr>
        <w:t>320</w:t>
      </w:r>
      <w:r w:rsidRPr="007406B5">
        <w:rPr>
          <w:rFonts w:ascii="Times New Roman" w:hAnsi="Times New Roman"/>
          <w:sz w:val="24"/>
        </w:rPr>
        <w:t xml:space="preserve"> [238].</w:t>
      </w:r>
    </w:p>
  </w:footnote>
  <w:footnote w:id="44">
    <w:p w14:paraId="0D97DBE6" w14:textId="2D830F57" w:rsidR="00A22DD0" w:rsidRPr="007406B5" w:rsidRDefault="00A22DD0" w:rsidP="007406B5">
      <w:pPr>
        <w:pStyle w:val="FootnoteText"/>
        <w:spacing w:line="280" w:lineRule="exact"/>
        <w:ind w:right="0"/>
        <w:jc w:val="both"/>
        <w:rPr>
          <w:rFonts w:ascii="Times New Roman" w:hAnsi="Times New Roman"/>
          <w:sz w:val="24"/>
        </w:rPr>
      </w:pPr>
      <w:r w:rsidRPr="007406B5">
        <w:rPr>
          <w:rStyle w:val="FootnoteReference"/>
          <w:rFonts w:ascii="Times New Roman" w:hAnsi="Times New Roman"/>
          <w:sz w:val="22"/>
          <w:vertAlign w:val="baseline"/>
        </w:rPr>
        <w:footnoteRef/>
      </w:r>
      <w:r w:rsidRPr="007406B5">
        <w:rPr>
          <w:rFonts w:ascii="Times New Roman" w:hAnsi="Times New Roman"/>
          <w:sz w:val="24"/>
        </w:rPr>
        <w:t xml:space="preserve"> </w:t>
      </w:r>
      <w:r w:rsidRPr="007406B5">
        <w:rPr>
          <w:rFonts w:ascii="Times New Roman" w:hAnsi="Times New Roman"/>
          <w:sz w:val="24"/>
        </w:rPr>
        <w:tab/>
      </w:r>
      <w:r w:rsidR="00B12E6A" w:rsidRPr="007406B5">
        <w:rPr>
          <w:rFonts w:ascii="Times New Roman" w:hAnsi="Times New Roman"/>
          <w:i/>
          <w:iCs/>
          <w:sz w:val="24"/>
        </w:rPr>
        <w:t>Denman Aberdeen Muswellbrook Scone Healthy Environment Group Inc v MACH Energy Australia Pty Ltd</w:t>
      </w:r>
      <w:r w:rsidR="00B12E6A" w:rsidRPr="007406B5">
        <w:rPr>
          <w:rFonts w:ascii="Times New Roman" w:hAnsi="Times New Roman"/>
          <w:sz w:val="24"/>
        </w:rPr>
        <w:t xml:space="preserve"> (2025) 263 LGERA 264 at</w:t>
      </w:r>
      <w:r w:rsidRPr="007406B5">
        <w:rPr>
          <w:rFonts w:ascii="Times New Roman" w:hAnsi="Times New Roman"/>
          <w:sz w:val="24"/>
        </w:rPr>
        <w:t xml:space="preserve"> </w:t>
      </w:r>
      <w:r w:rsidR="00B12E6A" w:rsidRPr="007406B5">
        <w:rPr>
          <w:rFonts w:ascii="Times New Roman" w:hAnsi="Times New Roman"/>
          <w:sz w:val="24"/>
        </w:rPr>
        <w:t xml:space="preserve">320 </w:t>
      </w:r>
      <w:r w:rsidRPr="007406B5">
        <w:rPr>
          <w:rFonts w:ascii="Times New Roman" w:hAnsi="Times New Roman"/>
          <w:sz w:val="24"/>
        </w:rPr>
        <w:t>[237].</w:t>
      </w:r>
    </w:p>
  </w:footnote>
  <w:footnote w:id="45">
    <w:p w14:paraId="2521823D" w14:textId="77777777" w:rsidR="004D2653" w:rsidRPr="00992F81" w:rsidRDefault="004D2653" w:rsidP="00992F81">
      <w:pPr>
        <w:pStyle w:val="FootnoteText"/>
        <w:spacing w:line="280" w:lineRule="exact"/>
        <w:ind w:right="0"/>
        <w:jc w:val="both"/>
        <w:rPr>
          <w:rFonts w:ascii="Times New Roman" w:hAnsi="Times New Roman"/>
          <w:sz w:val="24"/>
        </w:rPr>
      </w:pPr>
      <w:r w:rsidRPr="00992F81">
        <w:rPr>
          <w:rStyle w:val="FootnoteReference"/>
          <w:rFonts w:ascii="Times New Roman" w:hAnsi="Times New Roman"/>
          <w:sz w:val="22"/>
          <w:vertAlign w:val="baseline"/>
        </w:rPr>
        <w:footnoteRef/>
      </w:r>
      <w:r w:rsidRPr="00992F81">
        <w:rPr>
          <w:rFonts w:ascii="Times New Roman" w:hAnsi="Times New Roman"/>
          <w:sz w:val="24"/>
        </w:rPr>
        <w:t xml:space="preserve"> </w:t>
      </w:r>
      <w:r w:rsidRPr="00992F81">
        <w:rPr>
          <w:rFonts w:ascii="Times New Roman" w:hAnsi="Times New Roman"/>
          <w:sz w:val="24"/>
        </w:rPr>
        <w:tab/>
        <w:t>Grounds 1 and 2 of MACH's appeal and Ground 2 of DAMSHEG's amended notice of contention.</w:t>
      </w:r>
    </w:p>
  </w:footnote>
  <w:footnote w:id="46">
    <w:p w14:paraId="118E25DF" w14:textId="77777777" w:rsidR="004D2653" w:rsidRPr="00992F81" w:rsidRDefault="004D2653" w:rsidP="00992F81">
      <w:pPr>
        <w:pStyle w:val="FootnoteText"/>
        <w:spacing w:line="280" w:lineRule="exact"/>
        <w:ind w:right="0"/>
        <w:jc w:val="both"/>
        <w:rPr>
          <w:rFonts w:ascii="Times New Roman" w:hAnsi="Times New Roman"/>
          <w:sz w:val="24"/>
        </w:rPr>
      </w:pPr>
      <w:r w:rsidRPr="00992F81">
        <w:rPr>
          <w:rStyle w:val="FootnoteReference"/>
          <w:rFonts w:ascii="Times New Roman" w:hAnsi="Times New Roman"/>
          <w:sz w:val="22"/>
          <w:vertAlign w:val="baseline"/>
        </w:rPr>
        <w:footnoteRef/>
      </w:r>
      <w:r w:rsidRPr="00992F81">
        <w:rPr>
          <w:rFonts w:ascii="Times New Roman" w:hAnsi="Times New Roman"/>
          <w:sz w:val="24"/>
        </w:rPr>
        <w:t xml:space="preserve"> </w:t>
      </w:r>
      <w:r w:rsidRPr="00992F81">
        <w:rPr>
          <w:rFonts w:ascii="Times New Roman" w:hAnsi="Times New Roman"/>
          <w:sz w:val="24"/>
        </w:rPr>
        <w:tab/>
        <w:t xml:space="preserve">See EPA Act, s 4.5(a); </w:t>
      </w:r>
      <w:r w:rsidRPr="00992F81">
        <w:rPr>
          <w:rFonts w:ascii="Times New Roman" w:hAnsi="Times New Roman"/>
          <w:i/>
          <w:iCs/>
          <w:sz w:val="24"/>
        </w:rPr>
        <w:t xml:space="preserve">State Environmental </w:t>
      </w:r>
      <w:r w:rsidRPr="00992F81">
        <w:rPr>
          <w:rFonts w:ascii="Times New Roman" w:hAnsi="Times New Roman"/>
          <w:i/>
          <w:sz w:val="24"/>
        </w:rPr>
        <w:t>Planning</w:t>
      </w:r>
      <w:r w:rsidRPr="00992F81">
        <w:rPr>
          <w:rFonts w:ascii="Times New Roman" w:hAnsi="Times New Roman"/>
          <w:i/>
          <w:iCs/>
          <w:sz w:val="24"/>
        </w:rPr>
        <w:t xml:space="preserve"> Policy (Planning Systems) 2021 </w:t>
      </w:r>
      <w:r w:rsidRPr="00992F81">
        <w:rPr>
          <w:rFonts w:ascii="Times New Roman" w:hAnsi="Times New Roman"/>
          <w:sz w:val="24"/>
        </w:rPr>
        <w:t>(NSW), cl 2.7. The Commission was the consent authority as more than 50 unique public submissions had been made by way of objection.</w:t>
      </w:r>
    </w:p>
  </w:footnote>
  <w:footnote w:id="47">
    <w:p w14:paraId="154F88F9" w14:textId="77777777" w:rsidR="004D2653" w:rsidRPr="00992F81" w:rsidRDefault="004D2653" w:rsidP="00992F81">
      <w:pPr>
        <w:pStyle w:val="FootnoteText"/>
        <w:spacing w:line="280" w:lineRule="exact"/>
        <w:ind w:right="0"/>
        <w:jc w:val="both"/>
        <w:rPr>
          <w:rFonts w:ascii="Times New Roman" w:hAnsi="Times New Roman"/>
          <w:sz w:val="24"/>
        </w:rPr>
      </w:pPr>
      <w:r w:rsidRPr="00992F81">
        <w:rPr>
          <w:rStyle w:val="FootnoteReference"/>
          <w:rFonts w:ascii="Times New Roman" w:hAnsi="Times New Roman"/>
          <w:sz w:val="22"/>
          <w:vertAlign w:val="baseline"/>
        </w:rPr>
        <w:footnoteRef/>
      </w:r>
      <w:r w:rsidRPr="00992F81">
        <w:rPr>
          <w:rFonts w:ascii="Times New Roman" w:hAnsi="Times New Roman"/>
          <w:sz w:val="24"/>
        </w:rPr>
        <w:t xml:space="preserve"> </w:t>
      </w:r>
      <w:r w:rsidRPr="00992F81">
        <w:rPr>
          <w:rFonts w:ascii="Times New Roman" w:hAnsi="Times New Roman"/>
          <w:sz w:val="24"/>
        </w:rPr>
        <w:tab/>
        <w:t>Ground 1 of DAMSHEG's amended notice of contention.</w:t>
      </w:r>
    </w:p>
  </w:footnote>
  <w:footnote w:id="48">
    <w:p w14:paraId="27466B56" w14:textId="77777777" w:rsidR="004D2653" w:rsidRPr="00992F81" w:rsidRDefault="004D2653" w:rsidP="00992F81">
      <w:pPr>
        <w:pStyle w:val="FootnoteText"/>
        <w:spacing w:line="280" w:lineRule="exact"/>
        <w:ind w:right="0"/>
        <w:jc w:val="both"/>
        <w:rPr>
          <w:rFonts w:ascii="Times New Roman" w:hAnsi="Times New Roman"/>
          <w:sz w:val="24"/>
        </w:rPr>
      </w:pPr>
      <w:r w:rsidRPr="00992F81">
        <w:rPr>
          <w:rStyle w:val="FootnoteReference"/>
          <w:rFonts w:ascii="Times New Roman" w:hAnsi="Times New Roman"/>
          <w:sz w:val="22"/>
          <w:vertAlign w:val="baseline"/>
        </w:rPr>
        <w:footnoteRef/>
      </w:r>
      <w:r w:rsidRPr="00992F81">
        <w:rPr>
          <w:rFonts w:ascii="Times New Roman" w:hAnsi="Times New Roman"/>
          <w:sz w:val="24"/>
        </w:rPr>
        <w:t xml:space="preserve"> </w:t>
      </w:r>
      <w:r w:rsidRPr="00992F81">
        <w:rPr>
          <w:rFonts w:ascii="Times New Roman" w:hAnsi="Times New Roman"/>
          <w:sz w:val="24"/>
        </w:rPr>
        <w:tab/>
        <w:t xml:space="preserve">Resources SEPP, cl 2.20(2) read with cl 2.20(1)(c). </w:t>
      </w:r>
    </w:p>
  </w:footnote>
  <w:footnote w:id="49">
    <w:p w14:paraId="53908288" w14:textId="77777777" w:rsidR="004D2653" w:rsidRPr="00992F81" w:rsidRDefault="004D2653" w:rsidP="00992F81">
      <w:pPr>
        <w:pStyle w:val="FootnoteText"/>
        <w:spacing w:line="280" w:lineRule="exact"/>
        <w:ind w:right="0"/>
        <w:jc w:val="both"/>
        <w:rPr>
          <w:rFonts w:ascii="Times New Roman" w:hAnsi="Times New Roman"/>
          <w:sz w:val="24"/>
        </w:rPr>
      </w:pPr>
      <w:r w:rsidRPr="00992F81">
        <w:rPr>
          <w:rStyle w:val="FootnoteReference"/>
          <w:rFonts w:ascii="Times New Roman" w:hAnsi="Times New Roman"/>
          <w:sz w:val="22"/>
          <w:vertAlign w:val="baseline"/>
        </w:rPr>
        <w:footnoteRef/>
      </w:r>
      <w:r w:rsidRPr="00992F81">
        <w:rPr>
          <w:rFonts w:ascii="Times New Roman" w:hAnsi="Times New Roman"/>
          <w:sz w:val="24"/>
        </w:rPr>
        <w:t xml:space="preserve"> </w:t>
      </w:r>
      <w:r w:rsidRPr="00992F81">
        <w:rPr>
          <w:rFonts w:ascii="Times New Roman" w:hAnsi="Times New Roman"/>
          <w:sz w:val="24"/>
        </w:rPr>
        <w:tab/>
        <w:t xml:space="preserve">LEC Act, s 25E. See also LEC Act, s 4(1) definition of "Court", s 25A(1)(b). </w:t>
      </w:r>
    </w:p>
  </w:footnote>
  <w:footnote w:id="50">
    <w:p w14:paraId="69EC6F66" w14:textId="77777777" w:rsidR="004D2653" w:rsidRPr="00992F81" w:rsidRDefault="004D2653" w:rsidP="00992F81">
      <w:pPr>
        <w:pStyle w:val="FootnoteText"/>
        <w:spacing w:line="280" w:lineRule="exact"/>
        <w:ind w:right="0"/>
        <w:jc w:val="both"/>
        <w:rPr>
          <w:rFonts w:ascii="Times New Roman" w:hAnsi="Times New Roman"/>
          <w:b/>
          <w:bCs/>
          <w:sz w:val="24"/>
        </w:rPr>
      </w:pPr>
      <w:r w:rsidRPr="00992F81">
        <w:rPr>
          <w:rStyle w:val="FootnoteReference"/>
          <w:rFonts w:ascii="Times New Roman" w:hAnsi="Times New Roman"/>
          <w:sz w:val="22"/>
          <w:vertAlign w:val="baseline"/>
        </w:rPr>
        <w:footnoteRef/>
      </w:r>
      <w:r w:rsidRPr="00992F81">
        <w:rPr>
          <w:rFonts w:ascii="Times New Roman" w:hAnsi="Times New Roman"/>
          <w:sz w:val="24"/>
        </w:rPr>
        <w:t xml:space="preserve"> </w:t>
      </w:r>
      <w:r w:rsidRPr="00992F81">
        <w:rPr>
          <w:rFonts w:ascii="Times New Roman" w:hAnsi="Times New Roman"/>
          <w:sz w:val="24"/>
        </w:rPr>
        <w:tab/>
        <w:t xml:space="preserve">LEC Act, s 25B(1)(b) read with s 25B(2). The Minister or consent authority may apply to the Court for an order declaring the development consent to be valid or revoking the suspension once the terms specified under s 25B have been substantially complied with: LEC Act, s 25C. </w:t>
      </w:r>
    </w:p>
  </w:footnote>
  <w:footnote w:id="51">
    <w:p w14:paraId="2E7A8DA6" w14:textId="77777777" w:rsidR="004D2653" w:rsidRPr="00992F81" w:rsidRDefault="004D2653" w:rsidP="00992F81">
      <w:pPr>
        <w:pStyle w:val="FootnoteText"/>
        <w:spacing w:line="280" w:lineRule="exact"/>
        <w:ind w:right="0"/>
        <w:jc w:val="both"/>
        <w:rPr>
          <w:rFonts w:ascii="Times New Roman" w:hAnsi="Times New Roman"/>
          <w:i/>
          <w:iCs/>
          <w:sz w:val="24"/>
        </w:rPr>
      </w:pPr>
      <w:r w:rsidRPr="00992F81">
        <w:rPr>
          <w:rStyle w:val="FootnoteReference"/>
          <w:rFonts w:ascii="Times New Roman" w:hAnsi="Times New Roman"/>
          <w:sz w:val="22"/>
          <w:vertAlign w:val="baseline"/>
        </w:rPr>
        <w:footnoteRef/>
      </w:r>
      <w:r w:rsidRPr="00992F81">
        <w:rPr>
          <w:rFonts w:ascii="Times New Roman" w:hAnsi="Times New Roman"/>
          <w:sz w:val="24"/>
        </w:rPr>
        <w:t xml:space="preserve"> </w:t>
      </w:r>
      <w:r w:rsidRPr="00992F81">
        <w:rPr>
          <w:rFonts w:ascii="Times New Roman" w:hAnsi="Times New Roman"/>
          <w:sz w:val="24"/>
        </w:rPr>
        <w:tab/>
      </w:r>
      <w:r w:rsidRPr="00992F81">
        <w:rPr>
          <w:rFonts w:ascii="Times New Roman" w:hAnsi="Times New Roman"/>
          <w:i/>
          <w:iCs/>
          <w:sz w:val="24"/>
        </w:rPr>
        <w:t xml:space="preserve">Ross v Lane </w:t>
      </w:r>
      <w:r w:rsidRPr="00992F81">
        <w:rPr>
          <w:rFonts w:ascii="Times New Roman" w:hAnsi="Times New Roman"/>
          <w:sz w:val="24"/>
        </w:rPr>
        <w:t xml:space="preserve">(2022) 255 LGERA 136 at 163 [94]. </w:t>
      </w:r>
    </w:p>
  </w:footnote>
  <w:footnote w:id="52">
    <w:p w14:paraId="2E98DADE" w14:textId="77777777" w:rsidR="004D2653" w:rsidRPr="00992F81" w:rsidRDefault="004D2653" w:rsidP="00992F81">
      <w:pPr>
        <w:pStyle w:val="FootnoteText"/>
        <w:spacing w:line="280" w:lineRule="exact"/>
        <w:ind w:right="0"/>
        <w:jc w:val="both"/>
        <w:rPr>
          <w:rFonts w:ascii="Times New Roman" w:hAnsi="Times New Roman"/>
          <w:i/>
          <w:iCs/>
          <w:sz w:val="24"/>
        </w:rPr>
      </w:pPr>
      <w:r w:rsidRPr="00992F81">
        <w:rPr>
          <w:rStyle w:val="FootnoteReference"/>
          <w:rFonts w:ascii="Times New Roman" w:hAnsi="Times New Roman"/>
          <w:sz w:val="22"/>
          <w:vertAlign w:val="baseline"/>
        </w:rPr>
        <w:footnoteRef/>
      </w:r>
      <w:r w:rsidRPr="00992F81">
        <w:rPr>
          <w:rFonts w:ascii="Times New Roman" w:hAnsi="Times New Roman"/>
          <w:sz w:val="24"/>
        </w:rPr>
        <w:t xml:space="preserve"> </w:t>
      </w:r>
      <w:r w:rsidRPr="00992F81">
        <w:rPr>
          <w:rFonts w:ascii="Times New Roman" w:hAnsi="Times New Roman"/>
          <w:sz w:val="24"/>
        </w:rPr>
        <w:tab/>
      </w:r>
      <w:r w:rsidRPr="00992F81">
        <w:rPr>
          <w:rFonts w:ascii="Times New Roman" w:hAnsi="Times New Roman"/>
          <w:i/>
          <w:iCs/>
          <w:sz w:val="24"/>
        </w:rPr>
        <w:t xml:space="preserve">Ross v Lane </w:t>
      </w:r>
      <w:r w:rsidRPr="00992F81">
        <w:rPr>
          <w:rFonts w:ascii="Times New Roman" w:hAnsi="Times New Roman"/>
          <w:sz w:val="24"/>
        </w:rPr>
        <w:t xml:space="preserve">(2022) 255 LGERA 136 at 163 [94]. </w:t>
      </w:r>
    </w:p>
  </w:footnote>
  <w:footnote w:id="53">
    <w:p w14:paraId="39114E04" w14:textId="77777777" w:rsidR="004D2653" w:rsidRPr="00992F81" w:rsidRDefault="004D2653" w:rsidP="00992F81">
      <w:pPr>
        <w:pStyle w:val="FootnoteText"/>
        <w:spacing w:line="280" w:lineRule="exact"/>
        <w:ind w:right="0"/>
        <w:jc w:val="both"/>
        <w:rPr>
          <w:rFonts w:ascii="Times New Roman" w:hAnsi="Times New Roman"/>
          <w:sz w:val="24"/>
        </w:rPr>
      </w:pPr>
      <w:r w:rsidRPr="00992F81">
        <w:rPr>
          <w:rStyle w:val="FootnoteReference"/>
          <w:rFonts w:ascii="Times New Roman" w:hAnsi="Times New Roman"/>
          <w:sz w:val="22"/>
          <w:vertAlign w:val="baseline"/>
        </w:rPr>
        <w:footnoteRef/>
      </w:r>
      <w:r w:rsidRPr="00992F81">
        <w:rPr>
          <w:rFonts w:ascii="Times New Roman" w:hAnsi="Times New Roman"/>
          <w:sz w:val="24"/>
        </w:rPr>
        <w:t xml:space="preserve"> </w:t>
      </w:r>
      <w:r w:rsidRPr="00992F81">
        <w:rPr>
          <w:rFonts w:ascii="Times New Roman" w:hAnsi="Times New Roman"/>
          <w:sz w:val="24"/>
        </w:rPr>
        <w:tab/>
        <w:t>See EPA Act, s 4.15(1)(d).</w:t>
      </w:r>
    </w:p>
  </w:footnote>
  <w:footnote w:id="54">
    <w:p w14:paraId="67EAC159" w14:textId="77777777" w:rsidR="004D2653" w:rsidRPr="00992F81" w:rsidRDefault="004D2653" w:rsidP="00992F81">
      <w:pPr>
        <w:pStyle w:val="FootnoteText"/>
        <w:spacing w:line="280" w:lineRule="exact"/>
        <w:ind w:right="0"/>
        <w:jc w:val="both"/>
        <w:rPr>
          <w:rFonts w:ascii="Times New Roman" w:hAnsi="Times New Roman"/>
          <w:sz w:val="24"/>
        </w:rPr>
      </w:pPr>
      <w:r w:rsidRPr="00992F81">
        <w:rPr>
          <w:rStyle w:val="FootnoteReference"/>
          <w:rFonts w:ascii="Times New Roman" w:hAnsi="Times New Roman"/>
          <w:sz w:val="22"/>
          <w:vertAlign w:val="baseline"/>
        </w:rPr>
        <w:footnoteRef/>
      </w:r>
      <w:r w:rsidRPr="00992F81">
        <w:rPr>
          <w:rFonts w:ascii="Times New Roman" w:hAnsi="Times New Roman"/>
          <w:sz w:val="24"/>
        </w:rPr>
        <w:t xml:space="preserve"> </w:t>
      </w:r>
      <w:r w:rsidRPr="00992F81">
        <w:rPr>
          <w:rFonts w:ascii="Times New Roman" w:hAnsi="Times New Roman"/>
          <w:sz w:val="24"/>
        </w:rPr>
        <w:tab/>
      </w:r>
      <w:r w:rsidRPr="00992F81">
        <w:rPr>
          <w:rFonts w:ascii="Times New Roman" w:eastAsia="Calibri" w:hAnsi="Times New Roman"/>
          <w:i/>
          <w:iCs/>
          <w:sz w:val="24"/>
        </w:rPr>
        <w:t xml:space="preserve">R v Hunt; Ex parte Sean Investments Pty Ltd </w:t>
      </w:r>
      <w:r w:rsidRPr="00992F81">
        <w:rPr>
          <w:rFonts w:ascii="Times New Roman" w:eastAsia="Calibri" w:hAnsi="Times New Roman"/>
          <w:sz w:val="24"/>
        </w:rPr>
        <w:t>(1979) 180 CLR 322 at 329.</w:t>
      </w:r>
    </w:p>
  </w:footnote>
  <w:footnote w:id="55">
    <w:p w14:paraId="340861A1" w14:textId="77777777" w:rsidR="004D2653" w:rsidRPr="00992F81" w:rsidRDefault="004D2653" w:rsidP="00992F81">
      <w:pPr>
        <w:pStyle w:val="FootnoteText"/>
        <w:spacing w:line="280" w:lineRule="exact"/>
        <w:ind w:right="0"/>
        <w:jc w:val="both"/>
        <w:rPr>
          <w:rFonts w:ascii="Times New Roman" w:hAnsi="Times New Roman"/>
          <w:sz w:val="24"/>
        </w:rPr>
      </w:pPr>
      <w:r w:rsidRPr="00992F81">
        <w:rPr>
          <w:rStyle w:val="FootnoteReference"/>
          <w:rFonts w:ascii="Times New Roman" w:hAnsi="Times New Roman"/>
          <w:sz w:val="22"/>
          <w:vertAlign w:val="baseline"/>
        </w:rPr>
        <w:footnoteRef/>
      </w:r>
      <w:r w:rsidRPr="00992F81">
        <w:rPr>
          <w:rFonts w:ascii="Times New Roman" w:hAnsi="Times New Roman"/>
          <w:sz w:val="24"/>
        </w:rPr>
        <w:t xml:space="preserve"> </w:t>
      </w:r>
      <w:r w:rsidRPr="00992F81">
        <w:rPr>
          <w:rFonts w:ascii="Times New Roman" w:hAnsi="Times New Roman"/>
          <w:sz w:val="24"/>
        </w:rPr>
        <w:tab/>
      </w:r>
      <w:r w:rsidRPr="00992F81">
        <w:rPr>
          <w:rFonts w:ascii="Times New Roman" w:hAnsi="Times New Roman"/>
          <w:i/>
          <w:iCs/>
          <w:sz w:val="24"/>
        </w:rPr>
        <w:t xml:space="preserve">Minister for Aboriginal Affairs v Peko-Wallsend Ltd </w:t>
      </w:r>
      <w:r w:rsidRPr="00992F81">
        <w:rPr>
          <w:rFonts w:ascii="Times New Roman" w:hAnsi="Times New Roman"/>
          <w:sz w:val="24"/>
        </w:rPr>
        <w:t>(1986) 162 CLR 24 at 41.</w:t>
      </w:r>
    </w:p>
  </w:footnote>
  <w:footnote w:id="56">
    <w:p w14:paraId="40961F5A" w14:textId="77777777" w:rsidR="004D2653" w:rsidRPr="00992F81" w:rsidRDefault="004D2653" w:rsidP="00992F81">
      <w:pPr>
        <w:pStyle w:val="FootnoteText"/>
        <w:spacing w:line="280" w:lineRule="exact"/>
        <w:ind w:right="0"/>
        <w:jc w:val="both"/>
        <w:rPr>
          <w:rFonts w:ascii="Times New Roman" w:hAnsi="Times New Roman"/>
          <w:sz w:val="24"/>
        </w:rPr>
      </w:pPr>
      <w:r w:rsidRPr="00992F81">
        <w:rPr>
          <w:rStyle w:val="FootnoteReference"/>
          <w:rFonts w:ascii="Times New Roman" w:hAnsi="Times New Roman"/>
          <w:sz w:val="22"/>
          <w:vertAlign w:val="baseline"/>
        </w:rPr>
        <w:footnoteRef/>
      </w:r>
      <w:r w:rsidRPr="00992F81">
        <w:rPr>
          <w:rFonts w:ascii="Times New Roman" w:hAnsi="Times New Roman"/>
          <w:sz w:val="24"/>
        </w:rPr>
        <w:t xml:space="preserve"> </w:t>
      </w:r>
      <w:r w:rsidRPr="00992F81">
        <w:rPr>
          <w:rFonts w:ascii="Times New Roman" w:hAnsi="Times New Roman"/>
          <w:sz w:val="24"/>
        </w:rPr>
        <w:tab/>
      </w:r>
      <w:r w:rsidRPr="00992F81">
        <w:rPr>
          <w:rFonts w:ascii="Times New Roman" w:hAnsi="Times New Roman"/>
          <w:i/>
          <w:iCs/>
          <w:sz w:val="24"/>
        </w:rPr>
        <w:t>Minister for Immigration and Citizenship v Li</w:t>
      </w:r>
      <w:r w:rsidRPr="00992F81">
        <w:rPr>
          <w:rFonts w:ascii="Times New Roman" w:hAnsi="Times New Roman"/>
          <w:sz w:val="24"/>
        </w:rPr>
        <w:t xml:space="preserve"> (2013) 249 CLR 332 at 350 [26]. </w:t>
      </w:r>
    </w:p>
  </w:footnote>
  <w:footnote w:id="57">
    <w:p w14:paraId="5A3D8C92" w14:textId="77777777" w:rsidR="004D2653" w:rsidRPr="00992F81" w:rsidRDefault="004D2653" w:rsidP="00992F81">
      <w:pPr>
        <w:pStyle w:val="FootnoteText"/>
        <w:spacing w:line="280" w:lineRule="exact"/>
        <w:ind w:right="0"/>
        <w:jc w:val="both"/>
        <w:rPr>
          <w:rFonts w:ascii="Times New Roman" w:hAnsi="Times New Roman"/>
          <w:sz w:val="24"/>
        </w:rPr>
      </w:pPr>
      <w:r w:rsidRPr="00992F81">
        <w:rPr>
          <w:rStyle w:val="FootnoteReference"/>
          <w:rFonts w:ascii="Times New Roman" w:hAnsi="Times New Roman"/>
          <w:sz w:val="22"/>
          <w:vertAlign w:val="baseline"/>
        </w:rPr>
        <w:footnoteRef/>
      </w:r>
      <w:r w:rsidRPr="00992F81">
        <w:rPr>
          <w:rFonts w:ascii="Times New Roman" w:hAnsi="Times New Roman"/>
          <w:sz w:val="24"/>
        </w:rPr>
        <w:t xml:space="preserve"> </w:t>
      </w:r>
      <w:r w:rsidRPr="00992F81">
        <w:rPr>
          <w:rFonts w:ascii="Times New Roman" w:hAnsi="Times New Roman"/>
          <w:sz w:val="24"/>
        </w:rPr>
        <w:tab/>
        <w:t xml:space="preserve">(2022) 255 LGERA 136 at 149 [37]. </w:t>
      </w:r>
    </w:p>
  </w:footnote>
  <w:footnote w:id="58">
    <w:p w14:paraId="0646A4D2" w14:textId="77777777" w:rsidR="004D2653" w:rsidRPr="00992F81" w:rsidRDefault="004D2653" w:rsidP="00992F81">
      <w:pPr>
        <w:pStyle w:val="FootnoteText"/>
        <w:spacing w:line="280" w:lineRule="exact"/>
        <w:ind w:right="0"/>
        <w:jc w:val="both"/>
        <w:rPr>
          <w:rFonts w:ascii="Times New Roman" w:hAnsi="Times New Roman"/>
          <w:sz w:val="24"/>
        </w:rPr>
      </w:pPr>
      <w:r w:rsidRPr="00992F81">
        <w:rPr>
          <w:rStyle w:val="FootnoteReference"/>
          <w:rFonts w:ascii="Times New Roman" w:hAnsi="Times New Roman"/>
          <w:sz w:val="22"/>
          <w:vertAlign w:val="baseline"/>
        </w:rPr>
        <w:footnoteRef/>
      </w:r>
      <w:r w:rsidRPr="00992F81">
        <w:rPr>
          <w:rFonts w:ascii="Times New Roman" w:hAnsi="Times New Roman"/>
          <w:sz w:val="24"/>
        </w:rPr>
        <w:t xml:space="preserve"> </w:t>
      </w:r>
      <w:r w:rsidRPr="00992F81">
        <w:rPr>
          <w:rFonts w:ascii="Times New Roman" w:hAnsi="Times New Roman"/>
          <w:sz w:val="24"/>
        </w:rPr>
        <w:tab/>
        <w:t>EPA Act, s 1.4(1) definitions of "environmental planning instrument" and</w:t>
      </w:r>
      <w:r>
        <w:rPr>
          <w:rFonts w:ascii="Times New Roman" w:hAnsi="Times New Roman"/>
          <w:sz w:val="24"/>
        </w:rPr>
        <w:t> </w:t>
      </w:r>
      <w:r w:rsidRPr="00992F81">
        <w:rPr>
          <w:rFonts w:ascii="Times New Roman" w:hAnsi="Times New Roman"/>
          <w:sz w:val="24"/>
        </w:rPr>
        <w:t>"State</w:t>
      </w:r>
      <w:r>
        <w:rPr>
          <w:rFonts w:ascii="Times New Roman" w:hAnsi="Times New Roman"/>
          <w:sz w:val="24"/>
        </w:rPr>
        <w:t> </w:t>
      </w:r>
      <w:r w:rsidRPr="00992F81">
        <w:rPr>
          <w:rFonts w:ascii="Times New Roman" w:hAnsi="Times New Roman"/>
          <w:sz w:val="24"/>
        </w:rPr>
        <w:t>environmental planning policy". See also s 3.13(2)(a).</w:t>
      </w:r>
    </w:p>
  </w:footnote>
  <w:footnote w:id="59">
    <w:p w14:paraId="5F2DAF5B" w14:textId="77777777" w:rsidR="004D2653" w:rsidRPr="00992F81" w:rsidRDefault="004D2653" w:rsidP="00992F81">
      <w:pPr>
        <w:pStyle w:val="FootnoteText"/>
        <w:spacing w:line="280" w:lineRule="exact"/>
        <w:ind w:right="0"/>
        <w:jc w:val="both"/>
        <w:rPr>
          <w:rFonts w:ascii="Times New Roman" w:hAnsi="Times New Roman"/>
          <w:sz w:val="24"/>
        </w:rPr>
      </w:pPr>
      <w:r w:rsidRPr="00992F81">
        <w:rPr>
          <w:rStyle w:val="FootnoteReference"/>
          <w:rFonts w:ascii="Times New Roman" w:hAnsi="Times New Roman"/>
          <w:sz w:val="22"/>
          <w:vertAlign w:val="baseline"/>
        </w:rPr>
        <w:footnoteRef/>
      </w:r>
      <w:r w:rsidRPr="00992F81">
        <w:rPr>
          <w:rFonts w:ascii="Times New Roman" w:hAnsi="Times New Roman"/>
          <w:sz w:val="24"/>
        </w:rPr>
        <w:t xml:space="preserve"> </w:t>
      </w:r>
      <w:r w:rsidRPr="00992F81">
        <w:rPr>
          <w:rFonts w:ascii="Times New Roman" w:hAnsi="Times New Roman"/>
          <w:sz w:val="24"/>
        </w:rPr>
        <w:tab/>
        <w:t>See EPA Act, s 4.36.</w:t>
      </w:r>
    </w:p>
  </w:footnote>
  <w:footnote w:id="60">
    <w:p w14:paraId="76AD1032" w14:textId="77777777" w:rsidR="004D2653" w:rsidRPr="00992F81" w:rsidRDefault="004D2653" w:rsidP="00992F81">
      <w:pPr>
        <w:pStyle w:val="FootnoteText"/>
        <w:spacing w:line="280" w:lineRule="exact"/>
        <w:ind w:right="0"/>
        <w:jc w:val="both"/>
        <w:rPr>
          <w:rFonts w:ascii="Times New Roman" w:hAnsi="Times New Roman"/>
          <w:bCs/>
          <w:sz w:val="24"/>
        </w:rPr>
      </w:pPr>
      <w:r w:rsidRPr="00992F81">
        <w:rPr>
          <w:rStyle w:val="FootnoteReference"/>
          <w:rFonts w:ascii="Times New Roman" w:hAnsi="Times New Roman"/>
          <w:sz w:val="22"/>
          <w:vertAlign w:val="baseline"/>
        </w:rPr>
        <w:footnoteRef/>
      </w:r>
      <w:r w:rsidRPr="00992F81">
        <w:rPr>
          <w:rFonts w:ascii="Times New Roman" w:hAnsi="Times New Roman"/>
          <w:sz w:val="24"/>
        </w:rPr>
        <w:t xml:space="preserve"> </w:t>
      </w:r>
      <w:r w:rsidRPr="00992F81">
        <w:rPr>
          <w:rFonts w:ascii="Times New Roman" w:hAnsi="Times New Roman"/>
          <w:sz w:val="24"/>
        </w:rPr>
        <w:tab/>
      </w:r>
      <w:r w:rsidRPr="00992F81">
        <w:rPr>
          <w:rFonts w:ascii="Times New Roman" w:hAnsi="Times New Roman"/>
          <w:bCs/>
          <w:sz w:val="24"/>
        </w:rPr>
        <w:t>The GHG Assessment itself attached a "Greenhouse Gas Calculations Report".</w:t>
      </w:r>
    </w:p>
  </w:footnote>
  <w:footnote w:id="61">
    <w:p w14:paraId="68533BB5" w14:textId="77777777" w:rsidR="004D2653" w:rsidRPr="00992F81" w:rsidRDefault="004D2653" w:rsidP="00992F81">
      <w:pPr>
        <w:pStyle w:val="FootnoteText"/>
        <w:spacing w:line="280" w:lineRule="exact"/>
        <w:ind w:right="0"/>
        <w:jc w:val="both"/>
        <w:rPr>
          <w:rFonts w:ascii="Times New Roman" w:hAnsi="Times New Roman"/>
          <w:sz w:val="24"/>
        </w:rPr>
      </w:pPr>
      <w:r w:rsidRPr="00992F81">
        <w:rPr>
          <w:rStyle w:val="FootnoteReference"/>
          <w:rFonts w:ascii="Times New Roman" w:hAnsi="Times New Roman"/>
          <w:sz w:val="22"/>
          <w:vertAlign w:val="baseline"/>
        </w:rPr>
        <w:footnoteRef/>
      </w:r>
      <w:r w:rsidRPr="00992F81">
        <w:rPr>
          <w:rFonts w:ascii="Times New Roman" w:hAnsi="Times New Roman"/>
          <w:sz w:val="24"/>
        </w:rPr>
        <w:t xml:space="preserve"> </w:t>
      </w:r>
      <w:r w:rsidRPr="00992F81">
        <w:rPr>
          <w:rFonts w:ascii="Times New Roman" w:hAnsi="Times New Roman"/>
          <w:sz w:val="24"/>
        </w:rPr>
        <w:tab/>
        <w:t>United Nations Framework Convention on Climate Change Kyoto Protocol (1998); United Nations Framework Convention on Climate Change Paris Agreement (2015).</w:t>
      </w:r>
    </w:p>
  </w:footnote>
  <w:footnote w:id="62">
    <w:p w14:paraId="5C267E2C" w14:textId="77777777" w:rsidR="004D2653" w:rsidRPr="00992F81" w:rsidRDefault="004D2653" w:rsidP="00992F81">
      <w:pPr>
        <w:pStyle w:val="FootnoteText"/>
        <w:spacing w:line="280" w:lineRule="exact"/>
        <w:ind w:right="0"/>
        <w:jc w:val="both"/>
        <w:rPr>
          <w:rFonts w:ascii="Times New Roman" w:hAnsi="Times New Roman"/>
          <w:sz w:val="24"/>
        </w:rPr>
      </w:pPr>
      <w:r w:rsidRPr="00992F81">
        <w:rPr>
          <w:rStyle w:val="FootnoteReference"/>
          <w:rFonts w:ascii="Times New Roman" w:hAnsi="Times New Roman"/>
          <w:sz w:val="22"/>
          <w:vertAlign w:val="baseline"/>
        </w:rPr>
        <w:footnoteRef/>
      </w:r>
      <w:r w:rsidRPr="00992F81">
        <w:rPr>
          <w:rFonts w:ascii="Times New Roman" w:hAnsi="Times New Roman"/>
          <w:sz w:val="24"/>
        </w:rPr>
        <w:t xml:space="preserve"> </w:t>
      </w:r>
      <w:r w:rsidRPr="00992F81">
        <w:rPr>
          <w:rFonts w:ascii="Times New Roman" w:hAnsi="Times New Roman"/>
          <w:sz w:val="24"/>
        </w:rPr>
        <w:tab/>
        <w:t>If a facility exceeds its baseline level, it is generally required to surrender Australian carbon credit units, equivalent to the exceedance, to the Clean Energy Regulator.</w:t>
      </w:r>
    </w:p>
  </w:footnote>
  <w:footnote w:id="63">
    <w:p w14:paraId="4BC33BA5" w14:textId="77777777" w:rsidR="004D2653" w:rsidRPr="00992F81" w:rsidRDefault="004D2653" w:rsidP="00992F81">
      <w:pPr>
        <w:pStyle w:val="FootnoteText"/>
        <w:spacing w:line="280" w:lineRule="exact"/>
        <w:ind w:right="0"/>
        <w:jc w:val="both"/>
        <w:rPr>
          <w:rFonts w:ascii="Times New Roman" w:hAnsi="Times New Roman"/>
          <w:sz w:val="24"/>
        </w:rPr>
      </w:pPr>
      <w:r w:rsidRPr="00992F81">
        <w:rPr>
          <w:rStyle w:val="FootnoteReference"/>
          <w:rFonts w:ascii="Times New Roman" w:hAnsi="Times New Roman"/>
          <w:sz w:val="22"/>
          <w:vertAlign w:val="baseline"/>
        </w:rPr>
        <w:footnoteRef/>
      </w:r>
      <w:r w:rsidRPr="00992F81">
        <w:rPr>
          <w:rFonts w:ascii="Times New Roman" w:hAnsi="Times New Roman"/>
          <w:sz w:val="24"/>
        </w:rPr>
        <w:t xml:space="preserve"> </w:t>
      </w:r>
      <w:r w:rsidRPr="00992F81">
        <w:rPr>
          <w:rFonts w:ascii="Times New Roman" w:hAnsi="Times New Roman"/>
          <w:sz w:val="24"/>
        </w:rPr>
        <w:tab/>
        <w:t xml:space="preserve">The GHG Protocol was developed by the World Business Council for Sustainable Development and World Resources Institute. See also Australia, Department of Industry, Science, Energy and Resources, </w:t>
      </w:r>
      <w:r w:rsidRPr="00992F81">
        <w:rPr>
          <w:rFonts w:ascii="Times New Roman" w:hAnsi="Times New Roman"/>
          <w:i/>
          <w:sz w:val="24"/>
        </w:rPr>
        <w:t>National Greenhouse Accounts Factors: Australian National Greenhouse Accounts</w:t>
      </w:r>
      <w:r w:rsidRPr="00992F81">
        <w:rPr>
          <w:rFonts w:ascii="Times New Roman" w:hAnsi="Times New Roman"/>
          <w:sz w:val="24"/>
        </w:rPr>
        <w:t xml:space="preserve"> (2020), which also applies the concept of Scope 1, 2 and 3 emissions. In the EIS, the GHG Protocol was adopted </w:t>
      </w:r>
      <w:r w:rsidRPr="00992F81" w:rsidDel="00FF7C48">
        <w:rPr>
          <w:rFonts w:ascii="Times New Roman" w:hAnsi="Times New Roman"/>
          <w:sz w:val="24"/>
        </w:rPr>
        <w:t xml:space="preserve">in </w:t>
      </w:r>
      <w:r w:rsidRPr="00992F81">
        <w:rPr>
          <w:rFonts w:ascii="Times New Roman" w:hAnsi="Times New Roman"/>
          <w:bCs/>
          <w:sz w:val="24"/>
        </w:rPr>
        <w:t>Section</w:t>
      </w:r>
      <w:r>
        <w:rPr>
          <w:rFonts w:ascii="Times New Roman" w:hAnsi="Times New Roman"/>
          <w:bCs/>
          <w:sz w:val="24"/>
        </w:rPr>
        <w:t> </w:t>
      </w:r>
      <w:r w:rsidRPr="00992F81">
        <w:rPr>
          <w:rFonts w:ascii="Times New Roman" w:hAnsi="Times New Roman"/>
          <w:sz w:val="24"/>
        </w:rPr>
        <w:t>7.21.2 and in the GHG Assessment.</w:t>
      </w:r>
    </w:p>
  </w:footnote>
  <w:footnote w:id="64">
    <w:p w14:paraId="1BD404BB" w14:textId="77777777" w:rsidR="004D2653" w:rsidRPr="00992F81" w:rsidRDefault="004D2653" w:rsidP="00992F81">
      <w:pPr>
        <w:pStyle w:val="FootnoteText"/>
        <w:spacing w:line="280" w:lineRule="exact"/>
        <w:ind w:right="0"/>
        <w:jc w:val="both"/>
        <w:rPr>
          <w:rFonts w:ascii="Times New Roman" w:hAnsi="Times New Roman"/>
          <w:sz w:val="24"/>
        </w:rPr>
      </w:pPr>
      <w:r w:rsidRPr="00992F81">
        <w:rPr>
          <w:rStyle w:val="FootnoteReference"/>
          <w:rFonts w:ascii="Times New Roman" w:hAnsi="Times New Roman"/>
          <w:sz w:val="22"/>
          <w:vertAlign w:val="baseline"/>
        </w:rPr>
        <w:footnoteRef/>
      </w:r>
      <w:r w:rsidRPr="00992F81">
        <w:rPr>
          <w:rFonts w:ascii="Times New Roman" w:hAnsi="Times New Roman"/>
          <w:sz w:val="24"/>
        </w:rPr>
        <w:t xml:space="preserve"> </w:t>
      </w:r>
      <w:r w:rsidRPr="00992F81">
        <w:rPr>
          <w:rFonts w:ascii="Times New Roman" w:hAnsi="Times New Roman"/>
          <w:sz w:val="24"/>
        </w:rPr>
        <w:tab/>
        <w:t>Fugitive emissions are the emissions that escape when coal is extracted from the</w:t>
      </w:r>
      <w:r>
        <w:rPr>
          <w:rFonts w:ascii="Times New Roman" w:hAnsi="Times New Roman"/>
          <w:sz w:val="24"/>
        </w:rPr>
        <w:t> </w:t>
      </w:r>
      <w:r w:rsidRPr="00992F81">
        <w:rPr>
          <w:rFonts w:ascii="Times New Roman" w:hAnsi="Times New Roman"/>
          <w:sz w:val="24"/>
        </w:rPr>
        <w:t xml:space="preserve">ground. </w:t>
      </w:r>
    </w:p>
  </w:footnote>
  <w:footnote w:id="65">
    <w:p w14:paraId="2FC640F8" w14:textId="77777777" w:rsidR="004D2653" w:rsidRPr="00992F81" w:rsidRDefault="004D2653" w:rsidP="00992F81">
      <w:pPr>
        <w:pStyle w:val="FootnoteText"/>
        <w:spacing w:line="280" w:lineRule="exact"/>
        <w:ind w:right="0"/>
        <w:jc w:val="both"/>
        <w:rPr>
          <w:rFonts w:ascii="Times New Roman" w:hAnsi="Times New Roman"/>
          <w:sz w:val="24"/>
        </w:rPr>
      </w:pPr>
      <w:r w:rsidRPr="00992F81">
        <w:rPr>
          <w:rStyle w:val="FootnoteReference"/>
          <w:rFonts w:ascii="Times New Roman" w:hAnsi="Times New Roman"/>
          <w:sz w:val="22"/>
          <w:vertAlign w:val="baseline"/>
        </w:rPr>
        <w:footnoteRef/>
      </w:r>
      <w:r w:rsidRPr="00992F81">
        <w:rPr>
          <w:rFonts w:ascii="Times New Roman" w:hAnsi="Times New Roman"/>
          <w:sz w:val="24"/>
        </w:rPr>
        <w:t xml:space="preserve"> </w:t>
      </w:r>
      <w:r w:rsidRPr="00992F81">
        <w:rPr>
          <w:rFonts w:ascii="Times New Roman" w:hAnsi="Times New Roman"/>
          <w:sz w:val="24"/>
        </w:rPr>
        <w:tab/>
        <w:t>See [</w:t>
      </w:r>
      <w:r>
        <w:rPr>
          <w:rFonts w:ascii="Times New Roman" w:hAnsi="Times New Roman"/>
          <w:sz w:val="24"/>
        </w:rPr>
        <w:t>95</w:t>
      </w:r>
      <w:r w:rsidRPr="00992F81">
        <w:rPr>
          <w:rFonts w:ascii="Times New Roman" w:hAnsi="Times New Roman"/>
          <w:sz w:val="24"/>
        </w:rPr>
        <w:t>]</w:t>
      </w:r>
      <w:r w:rsidRPr="00992F81" w:rsidDel="00AC1AA1">
        <w:rPr>
          <w:rFonts w:ascii="Times New Roman" w:hAnsi="Times New Roman"/>
          <w:sz w:val="24"/>
        </w:rPr>
        <w:t xml:space="preserve"> above</w:t>
      </w:r>
      <w:r w:rsidRPr="00992F81">
        <w:rPr>
          <w:rFonts w:ascii="Times New Roman" w:hAnsi="Times New Roman"/>
          <w:sz w:val="24"/>
        </w:rPr>
        <w:t>.</w:t>
      </w:r>
    </w:p>
  </w:footnote>
  <w:footnote w:id="66">
    <w:p w14:paraId="63B7250F" w14:textId="77777777" w:rsidR="004D2653" w:rsidRPr="00992F81" w:rsidRDefault="004D2653" w:rsidP="00992F81">
      <w:pPr>
        <w:pStyle w:val="FootnoteText"/>
        <w:spacing w:line="280" w:lineRule="exact"/>
        <w:ind w:right="0"/>
        <w:jc w:val="both"/>
        <w:rPr>
          <w:rFonts w:ascii="Times New Roman" w:hAnsi="Times New Roman"/>
          <w:sz w:val="24"/>
        </w:rPr>
      </w:pPr>
      <w:r w:rsidRPr="00992F81">
        <w:rPr>
          <w:rStyle w:val="FootnoteReference"/>
          <w:rFonts w:ascii="Times New Roman" w:hAnsi="Times New Roman"/>
          <w:sz w:val="22"/>
          <w:vertAlign w:val="baseline"/>
        </w:rPr>
        <w:footnoteRef/>
      </w:r>
      <w:r w:rsidRPr="00992F81">
        <w:rPr>
          <w:rFonts w:ascii="Times New Roman" w:hAnsi="Times New Roman"/>
          <w:sz w:val="24"/>
        </w:rPr>
        <w:t xml:space="preserve"> </w:t>
      </w:r>
      <w:r w:rsidRPr="00992F81">
        <w:rPr>
          <w:rFonts w:ascii="Times New Roman" w:hAnsi="Times New Roman"/>
          <w:sz w:val="24"/>
        </w:rPr>
        <w:tab/>
        <w:t>See [</w:t>
      </w:r>
      <w:r>
        <w:rPr>
          <w:rFonts w:ascii="Times New Roman" w:hAnsi="Times New Roman"/>
          <w:sz w:val="24"/>
        </w:rPr>
        <w:t>99</w:t>
      </w:r>
      <w:r w:rsidRPr="00992F81">
        <w:rPr>
          <w:rFonts w:ascii="Times New Roman" w:hAnsi="Times New Roman"/>
          <w:sz w:val="24"/>
        </w:rPr>
        <w:t>] above.</w:t>
      </w:r>
    </w:p>
  </w:footnote>
  <w:footnote w:id="67">
    <w:p w14:paraId="0415AEC8" w14:textId="77777777" w:rsidR="004D2653" w:rsidRPr="00992F81" w:rsidRDefault="004D2653" w:rsidP="00992F81">
      <w:pPr>
        <w:pStyle w:val="FootnoteText"/>
        <w:spacing w:line="280" w:lineRule="exact"/>
        <w:ind w:right="0"/>
        <w:jc w:val="both"/>
        <w:rPr>
          <w:rFonts w:ascii="Times New Roman" w:hAnsi="Times New Roman"/>
          <w:sz w:val="24"/>
        </w:rPr>
      </w:pPr>
      <w:r w:rsidRPr="00992F81">
        <w:rPr>
          <w:rStyle w:val="FootnoteReference"/>
          <w:rFonts w:ascii="Times New Roman" w:hAnsi="Times New Roman"/>
          <w:sz w:val="22"/>
          <w:vertAlign w:val="baseline"/>
        </w:rPr>
        <w:footnoteRef/>
      </w:r>
      <w:r w:rsidRPr="00992F81">
        <w:rPr>
          <w:rFonts w:ascii="Times New Roman" w:hAnsi="Times New Roman"/>
          <w:sz w:val="24"/>
        </w:rPr>
        <w:t xml:space="preserve"> </w:t>
      </w:r>
      <w:r w:rsidRPr="00992F81">
        <w:rPr>
          <w:rFonts w:ascii="Times New Roman" w:hAnsi="Times New Roman"/>
          <w:sz w:val="24"/>
        </w:rPr>
        <w:tab/>
        <w:t>See [</w:t>
      </w:r>
      <w:r>
        <w:rPr>
          <w:rFonts w:ascii="Times New Roman" w:hAnsi="Times New Roman"/>
          <w:sz w:val="24"/>
        </w:rPr>
        <w:t>98</w:t>
      </w:r>
      <w:r w:rsidRPr="00992F81">
        <w:rPr>
          <w:rFonts w:ascii="Times New Roman" w:hAnsi="Times New Roman"/>
          <w:sz w:val="24"/>
        </w:rPr>
        <w:t>] above.</w:t>
      </w:r>
    </w:p>
  </w:footnote>
  <w:footnote w:id="68">
    <w:p w14:paraId="4EDEEB93" w14:textId="77777777" w:rsidR="004D2653" w:rsidRPr="00992F81" w:rsidRDefault="004D2653" w:rsidP="00992F81">
      <w:pPr>
        <w:pStyle w:val="FootnoteText"/>
        <w:spacing w:line="280" w:lineRule="exact"/>
        <w:ind w:right="0"/>
        <w:jc w:val="both"/>
        <w:rPr>
          <w:rFonts w:ascii="Times New Roman" w:hAnsi="Times New Roman"/>
          <w:sz w:val="24"/>
        </w:rPr>
      </w:pPr>
      <w:r w:rsidRPr="00992F81">
        <w:rPr>
          <w:rStyle w:val="FootnoteReference"/>
          <w:rFonts w:ascii="Times New Roman" w:hAnsi="Times New Roman"/>
          <w:sz w:val="22"/>
          <w:vertAlign w:val="baseline"/>
        </w:rPr>
        <w:footnoteRef/>
      </w:r>
      <w:r w:rsidRPr="00992F81">
        <w:rPr>
          <w:rFonts w:ascii="Times New Roman" w:hAnsi="Times New Roman"/>
          <w:sz w:val="24"/>
        </w:rPr>
        <w:t xml:space="preserve"> </w:t>
      </w:r>
      <w:r w:rsidRPr="00992F81">
        <w:rPr>
          <w:rFonts w:ascii="Times New Roman" w:hAnsi="Times New Roman"/>
          <w:sz w:val="24"/>
        </w:rPr>
        <w:tab/>
        <w:t>See [</w:t>
      </w:r>
      <w:r>
        <w:rPr>
          <w:rFonts w:ascii="Times New Roman" w:hAnsi="Times New Roman"/>
          <w:sz w:val="24"/>
        </w:rPr>
        <w:t>98</w:t>
      </w:r>
      <w:r w:rsidRPr="00992F81">
        <w:rPr>
          <w:rFonts w:ascii="Times New Roman" w:hAnsi="Times New Roman"/>
          <w:sz w:val="24"/>
        </w:rPr>
        <w:t>] above.</w:t>
      </w:r>
    </w:p>
  </w:footnote>
  <w:footnote w:id="69">
    <w:p w14:paraId="590033BA" w14:textId="77777777" w:rsidR="004D2653" w:rsidRPr="00992F81" w:rsidRDefault="004D2653" w:rsidP="00992F81">
      <w:pPr>
        <w:pStyle w:val="FootnoteText"/>
        <w:spacing w:line="280" w:lineRule="exact"/>
        <w:ind w:right="0"/>
        <w:jc w:val="both"/>
        <w:rPr>
          <w:rFonts w:ascii="Times New Roman" w:hAnsi="Times New Roman"/>
          <w:sz w:val="24"/>
        </w:rPr>
      </w:pPr>
      <w:r w:rsidRPr="00992F81">
        <w:rPr>
          <w:rStyle w:val="FootnoteReference"/>
          <w:rFonts w:ascii="Times New Roman" w:hAnsi="Times New Roman"/>
          <w:sz w:val="22"/>
          <w:vertAlign w:val="baseline"/>
        </w:rPr>
        <w:footnoteRef/>
      </w:r>
      <w:r w:rsidRPr="00992F81">
        <w:rPr>
          <w:rFonts w:ascii="Times New Roman" w:hAnsi="Times New Roman"/>
          <w:sz w:val="24"/>
        </w:rPr>
        <w:t xml:space="preserve"> </w:t>
      </w:r>
      <w:r w:rsidRPr="00992F81">
        <w:rPr>
          <w:rFonts w:ascii="Times New Roman" w:hAnsi="Times New Roman"/>
          <w:sz w:val="24"/>
        </w:rPr>
        <w:tab/>
        <w:t>See [</w:t>
      </w:r>
      <w:r>
        <w:rPr>
          <w:rFonts w:ascii="Times New Roman" w:hAnsi="Times New Roman"/>
          <w:sz w:val="24"/>
        </w:rPr>
        <w:t>99</w:t>
      </w:r>
      <w:r w:rsidRPr="00992F81">
        <w:rPr>
          <w:rFonts w:ascii="Times New Roman" w:hAnsi="Times New Roman"/>
          <w:sz w:val="24"/>
        </w:rPr>
        <w:t>] above.</w:t>
      </w:r>
    </w:p>
  </w:footnote>
  <w:footnote w:id="70">
    <w:p w14:paraId="77CD51CA" w14:textId="77777777" w:rsidR="004D2653" w:rsidRPr="00992F81" w:rsidRDefault="004D2653" w:rsidP="00992F81">
      <w:pPr>
        <w:pStyle w:val="FootnoteText"/>
        <w:spacing w:line="280" w:lineRule="exact"/>
        <w:ind w:right="0"/>
        <w:jc w:val="both"/>
        <w:rPr>
          <w:rFonts w:ascii="Times New Roman" w:hAnsi="Times New Roman"/>
          <w:sz w:val="24"/>
        </w:rPr>
      </w:pPr>
      <w:r w:rsidRPr="00992F81">
        <w:rPr>
          <w:rStyle w:val="FootnoteReference"/>
          <w:rFonts w:ascii="Times New Roman" w:hAnsi="Times New Roman"/>
          <w:sz w:val="22"/>
          <w:vertAlign w:val="baseline"/>
        </w:rPr>
        <w:footnoteRef/>
      </w:r>
      <w:r w:rsidRPr="00992F81">
        <w:rPr>
          <w:rFonts w:ascii="Times New Roman" w:hAnsi="Times New Roman"/>
          <w:sz w:val="24"/>
        </w:rPr>
        <w:t xml:space="preserve"> </w:t>
      </w:r>
      <w:r w:rsidRPr="00992F81">
        <w:rPr>
          <w:rFonts w:ascii="Times New Roman" w:hAnsi="Times New Roman"/>
          <w:sz w:val="24"/>
        </w:rPr>
        <w:tab/>
        <w:t>See [</w:t>
      </w:r>
      <w:r>
        <w:rPr>
          <w:rFonts w:ascii="Times New Roman" w:hAnsi="Times New Roman"/>
          <w:sz w:val="24"/>
        </w:rPr>
        <w:t>103</w:t>
      </w:r>
      <w:r w:rsidRPr="00992F81">
        <w:rPr>
          <w:rFonts w:ascii="Times New Roman" w:hAnsi="Times New Roman"/>
          <w:sz w:val="24"/>
        </w:rPr>
        <w:t xml:space="preserve">] </w:t>
      </w:r>
      <w:r w:rsidRPr="00992F81" w:rsidDel="00402827">
        <w:rPr>
          <w:rFonts w:ascii="Times New Roman" w:hAnsi="Times New Roman"/>
          <w:sz w:val="24"/>
        </w:rPr>
        <w:t xml:space="preserve">above </w:t>
      </w:r>
      <w:r w:rsidRPr="00992F81">
        <w:rPr>
          <w:rFonts w:ascii="Times New Roman" w:hAnsi="Times New Roman"/>
          <w:sz w:val="24"/>
        </w:rPr>
        <w:t>and [</w:t>
      </w:r>
      <w:r>
        <w:rPr>
          <w:rFonts w:ascii="Times New Roman" w:hAnsi="Times New Roman"/>
          <w:sz w:val="24"/>
        </w:rPr>
        <w:t>156</w:t>
      </w:r>
      <w:r w:rsidRPr="00992F81">
        <w:rPr>
          <w:rFonts w:ascii="Times New Roman" w:hAnsi="Times New Roman"/>
          <w:sz w:val="24"/>
        </w:rPr>
        <w:t xml:space="preserve">] below. </w:t>
      </w:r>
    </w:p>
  </w:footnote>
  <w:footnote w:id="71">
    <w:p w14:paraId="1AC7AFD1" w14:textId="77777777" w:rsidR="004D2653" w:rsidRPr="00992F81" w:rsidRDefault="004D2653" w:rsidP="00992F81">
      <w:pPr>
        <w:pStyle w:val="FootnoteText"/>
        <w:spacing w:line="280" w:lineRule="exact"/>
        <w:ind w:right="0"/>
        <w:jc w:val="both"/>
        <w:rPr>
          <w:rFonts w:ascii="Times New Roman" w:hAnsi="Times New Roman"/>
          <w:sz w:val="24"/>
        </w:rPr>
      </w:pPr>
      <w:r w:rsidRPr="00992F81">
        <w:rPr>
          <w:rStyle w:val="FootnoteReference"/>
          <w:rFonts w:ascii="Times New Roman" w:hAnsi="Times New Roman"/>
          <w:sz w:val="22"/>
          <w:vertAlign w:val="baseline"/>
        </w:rPr>
        <w:footnoteRef/>
      </w:r>
      <w:r w:rsidRPr="00992F81">
        <w:rPr>
          <w:rFonts w:ascii="Times New Roman" w:hAnsi="Times New Roman"/>
          <w:sz w:val="24"/>
        </w:rPr>
        <w:t xml:space="preserve"> </w:t>
      </w:r>
      <w:r w:rsidRPr="00992F81">
        <w:rPr>
          <w:rFonts w:ascii="Times New Roman" w:hAnsi="Times New Roman"/>
          <w:sz w:val="24"/>
        </w:rPr>
        <w:tab/>
        <w:t>See [</w:t>
      </w:r>
      <w:r>
        <w:rPr>
          <w:rFonts w:ascii="Times New Roman" w:hAnsi="Times New Roman"/>
          <w:sz w:val="24"/>
        </w:rPr>
        <w:t>99</w:t>
      </w:r>
      <w:r w:rsidRPr="00992F81">
        <w:rPr>
          <w:rFonts w:ascii="Times New Roman" w:hAnsi="Times New Roman"/>
          <w:sz w:val="24"/>
        </w:rPr>
        <w:t>] above.</w:t>
      </w:r>
    </w:p>
  </w:footnote>
  <w:footnote w:id="72">
    <w:p w14:paraId="79B09B19" w14:textId="77777777" w:rsidR="004D2653" w:rsidRPr="00992F81" w:rsidRDefault="004D2653" w:rsidP="00992F81">
      <w:pPr>
        <w:pStyle w:val="FootnoteText"/>
        <w:spacing w:line="280" w:lineRule="exact"/>
        <w:ind w:right="0"/>
        <w:jc w:val="both"/>
        <w:rPr>
          <w:rFonts w:ascii="Times New Roman" w:hAnsi="Times New Roman"/>
          <w:sz w:val="24"/>
        </w:rPr>
      </w:pPr>
      <w:r w:rsidRPr="00992F81">
        <w:rPr>
          <w:rStyle w:val="FootnoteReference"/>
          <w:rFonts w:ascii="Times New Roman" w:hAnsi="Times New Roman"/>
          <w:sz w:val="22"/>
          <w:vertAlign w:val="baseline"/>
        </w:rPr>
        <w:footnoteRef/>
      </w:r>
      <w:r w:rsidRPr="00992F81">
        <w:rPr>
          <w:rFonts w:ascii="Times New Roman" w:hAnsi="Times New Roman"/>
          <w:sz w:val="24"/>
        </w:rPr>
        <w:t xml:space="preserve"> </w:t>
      </w:r>
      <w:r w:rsidRPr="00992F81">
        <w:rPr>
          <w:rFonts w:ascii="Times New Roman" w:hAnsi="Times New Roman"/>
          <w:sz w:val="24"/>
        </w:rPr>
        <w:tab/>
        <w:t>See [</w:t>
      </w:r>
      <w:r>
        <w:rPr>
          <w:rFonts w:ascii="Times New Roman" w:hAnsi="Times New Roman"/>
          <w:sz w:val="24"/>
        </w:rPr>
        <w:t>112</w:t>
      </w:r>
      <w:r w:rsidRPr="00992F81">
        <w:rPr>
          <w:rFonts w:ascii="Times New Roman" w:hAnsi="Times New Roman"/>
          <w:sz w:val="24"/>
        </w:rPr>
        <w:t>] above.</w:t>
      </w:r>
    </w:p>
  </w:footnote>
  <w:footnote w:id="73">
    <w:p w14:paraId="073AF470" w14:textId="77777777" w:rsidR="004D2653" w:rsidRPr="00992F81" w:rsidRDefault="004D2653" w:rsidP="00992F81">
      <w:pPr>
        <w:pStyle w:val="FootnoteText"/>
        <w:spacing w:line="280" w:lineRule="exact"/>
        <w:ind w:right="0"/>
        <w:jc w:val="both"/>
        <w:rPr>
          <w:rFonts w:ascii="Times New Roman" w:hAnsi="Times New Roman"/>
          <w:sz w:val="24"/>
        </w:rPr>
      </w:pPr>
      <w:r w:rsidRPr="00992F81">
        <w:rPr>
          <w:rStyle w:val="FootnoteReference"/>
          <w:rFonts w:ascii="Times New Roman" w:hAnsi="Times New Roman"/>
          <w:sz w:val="22"/>
          <w:vertAlign w:val="baseline"/>
        </w:rPr>
        <w:footnoteRef/>
      </w:r>
      <w:r w:rsidRPr="00992F81">
        <w:rPr>
          <w:rFonts w:ascii="Times New Roman" w:hAnsi="Times New Roman"/>
          <w:sz w:val="24"/>
        </w:rPr>
        <w:t xml:space="preserve"> </w:t>
      </w:r>
      <w:r w:rsidRPr="00992F81">
        <w:rPr>
          <w:rFonts w:ascii="Times New Roman" w:hAnsi="Times New Roman"/>
          <w:sz w:val="24"/>
        </w:rPr>
        <w:tab/>
        <w:t>See [</w:t>
      </w:r>
      <w:r>
        <w:rPr>
          <w:rFonts w:ascii="Times New Roman" w:hAnsi="Times New Roman"/>
          <w:sz w:val="24"/>
        </w:rPr>
        <w:t>101</w:t>
      </w:r>
      <w:r w:rsidRPr="00992F81">
        <w:rPr>
          <w:rFonts w:ascii="Times New Roman" w:hAnsi="Times New Roman"/>
          <w:sz w:val="24"/>
        </w:rPr>
        <w:t>] above.</w:t>
      </w:r>
    </w:p>
  </w:footnote>
  <w:footnote w:id="74">
    <w:p w14:paraId="7BC024F5" w14:textId="77777777" w:rsidR="004D2653" w:rsidRPr="00992F81" w:rsidRDefault="004D2653" w:rsidP="00992F81">
      <w:pPr>
        <w:pStyle w:val="FootnoteText"/>
        <w:spacing w:line="280" w:lineRule="exact"/>
        <w:ind w:right="0"/>
        <w:jc w:val="both"/>
        <w:rPr>
          <w:rFonts w:ascii="Times New Roman" w:hAnsi="Times New Roman"/>
          <w:sz w:val="24"/>
        </w:rPr>
      </w:pPr>
      <w:r w:rsidRPr="00992F81">
        <w:rPr>
          <w:rStyle w:val="FootnoteReference"/>
          <w:rFonts w:ascii="Times New Roman" w:hAnsi="Times New Roman"/>
          <w:sz w:val="22"/>
          <w:vertAlign w:val="baseline"/>
        </w:rPr>
        <w:footnoteRef/>
      </w:r>
      <w:r w:rsidRPr="00992F81">
        <w:rPr>
          <w:rFonts w:ascii="Times New Roman" w:hAnsi="Times New Roman"/>
          <w:sz w:val="24"/>
        </w:rPr>
        <w:t xml:space="preserve"> </w:t>
      </w:r>
      <w:r w:rsidRPr="00992F81">
        <w:rPr>
          <w:rFonts w:ascii="Times New Roman" w:hAnsi="Times New Roman"/>
          <w:sz w:val="24"/>
        </w:rPr>
        <w:tab/>
        <w:t>See [</w:t>
      </w:r>
      <w:r>
        <w:rPr>
          <w:rFonts w:ascii="Times New Roman" w:hAnsi="Times New Roman"/>
          <w:sz w:val="24"/>
        </w:rPr>
        <w:t>95</w:t>
      </w:r>
      <w:r w:rsidRPr="00992F81">
        <w:rPr>
          <w:rFonts w:ascii="Times New Roman" w:hAnsi="Times New Roman"/>
          <w:sz w:val="24"/>
        </w:rPr>
        <w:t>]-[</w:t>
      </w:r>
      <w:r>
        <w:rPr>
          <w:rFonts w:ascii="Times New Roman" w:hAnsi="Times New Roman"/>
          <w:sz w:val="24"/>
        </w:rPr>
        <w:t>96</w:t>
      </w:r>
      <w:r w:rsidRPr="00992F81">
        <w:rPr>
          <w:rFonts w:ascii="Times New Roman" w:hAnsi="Times New Roman"/>
          <w:sz w:val="24"/>
        </w:rPr>
        <w:t>] above. As indicated, the "assessment boundary" for the Project in the</w:t>
      </w:r>
      <w:r>
        <w:rPr>
          <w:rFonts w:ascii="Times New Roman" w:hAnsi="Times New Roman"/>
          <w:sz w:val="24"/>
        </w:rPr>
        <w:t> </w:t>
      </w:r>
      <w:r w:rsidRPr="00992F81">
        <w:rPr>
          <w:rFonts w:ascii="Times New Roman" w:hAnsi="Times New Roman"/>
          <w:sz w:val="24"/>
        </w:rPr>
        <w:t>diagram in the GHG Assessment included Scope 3 emissions, both upstream and downstream.</w:t>
      </w:r>
    </w:p>
  </w:footnote>
  <w:footnote w:id="75">
    <w:p w14:paraId="1556B4A8" w14:textId="77777777" w:rsidR="004D2653" w:rsidRPr="00992F81" w:rsidRDefault="004D2653" w:rsidP="00992F81">
      <w:pPr>
        <w:pStyle w:val="FootnoteText"/>
        <w:spacing w:line="280" w:lineRule="exact"/>
        <w:ind w:right="0"/>
        <w:jc w:val="both"/>
        <w:rPr>
          <w:rFonts w:ascii="Times New Roman" w:hAnsi="Times New Roman"/>
          <w:sz w:val="24"/>
        </w:rPr>
      </w:pPr>
      <w:r w:rsidRPr="00992F81">
        <w:rPr>
          <w:rStyle w:val="FootnoteReference"/>
          <w:rFonts w:ascii="Times New Roman" w:hAnsi="Times New Roman"/>
          <w:sz w:val="22"/>
          <w:vertAlign w:val="baseline"/>
        </w:rPr>
        <w:footnoteRef/>
      </w:r>
      <w:r w:rsidRPr="00992F81">
        <w:rPr>
          <w:rFonts w:ascii="Times New Roman" w:hAnsi="Times New Roman"/>
          <w:sz w:val="24"/>
        </w:rPr>
        <w:t xml:space="preserve"> </w:t>
      </w:r>
      <w:r w:rsidRPr="00992F81">
        <w:rPr>
          <w:rFonts w:ascii="Times New Roman" w:hAnsi="Times New Roman"/>
          <w:sz w:val="24"/>
        </w:rPr>
        <w:tab/>
        <w:t>See [</w:t>
      </w:r>
      <w:r>
        <w:rPr>
          <w:rFonts w:ascii="Times New Roman" w:hAnsi="Times New Roman"/>
          <w:sz w:val="24"/>
        </w:rPr>
        <w:t>127</w:t>
      </w:r>
      <w:r w:rsidRPr="00992F81">
        <w:rPr>
          <w:rFonts w:ascii="Times New Roman" w:hAnsi="Times New Roman"/>
          <w:sz w:val="24"/>
        </w:rPr>
        <w:t>] below.</w:t>
      </w:r>
    </w:p>
  </w:footnote>
  <w:footnote w:id="76">
    <w:p w14:paraId="3A5D4901" w14:textId="77777777" w:rsidR="004D2653" w:rsidRPr="00992F81" w:rsidRDefault="004D2653" w:rsidP="00992F81">
      <w:pPr>
        <w:pStyle w:val="FootnoteText"/>
        <w:spacing w:line="280" w:lineRule="exact"/>
        <w:ind w:right="0"/>
        <w:jc w:val="both"/>
        <w:rPr>
          <w:rFonts w:ascii="Times New Roman" w:hAnsi="Times New Roman"/>
          <w:sz w:val="24"/>
        </w:rPr>
      </w:pPr>
      <w:r w:rsidRPr="00992F81">
        <w:rPr>
          <w:rStyle w:val="FootnoteReference"/>
          <w:rFonts w:ascii="Times New Roman" w:hAnsi="Times New Roman"/>
          <w:sz w:val="22"/>
          <w:vertAlign w:val="baseline"/>
        </w:rPr>
        <w:footnoteRef/>
      </w:r>
      <w:r w:rsidRPr="00992F81">
        <w:rPr>
          <w:rFonts w:ascii="Times New Roman" w:hAnsi="Times New Roman"/>
          <w:sz w:val="24"/>
        </w:rPr>
        <w:t xml:space="preserve"> </w:t>
      </w:r>
      <w:r w:rsidRPr="00992F81">
        <w:rPr>
          <w:rFonts w:ascii="Times New Roman" w:hAnsi="Times New Roman"/>
          <w:sz w:val="24"/>
        </w:rPr>
        <w:tab/>
        <w:t xml:space="preserve">Section 5.1 addressed noise and Section 5.2 addressed air quality. </w:t>
      </w:r>
    </w:p>
  </w:footnote>
  <w:footnote w:id="77">
    <w:p w14:paraId="27C67924" w14:textId="77777777" w:rsidR="004D2653" w:rsidRPr="00992F81" w:rsidRDefault="004D2653" w:rsidP="00992F81">
      <w:pPr>
        <w:pStyle w:val="FootnoteText"/>
        <w:spacing w:line="280" w:lineRule="exact"/>
        <w:ind w:right="0"/>
        <w:jc w:val="both"/>
        <w:rPr>
          <w:rFonts w:ascii="Times New Roman" w:hAnsi="Times New Roman"/>
          <w:sz w:val="24"/>
        </w:rPr>
      </w:pPr>
      <w:r w:rsidRPr="00992F81">
        <w:rPr>
          <w:rStyle w:val="FootnoteReference"/>
          <w:rFonts w:ascii="Times New Roman" w:hAnsi="Times New Roman"/>
          <w:sz w:val="22"/>
          <w:vertAlign w:val="baseline"/>
        </w:rPr>
        <w:footnoteRef/>
      </w:r>
      <w:r w:rsidRPr="00992F81">
        <w:rPr>
          <w:rFonts w:ascii="Times New Roman" w:hAnsi="Times New Roman"/>
          <w:sz w:val="24"/>
        </w:rPr>
        <w:t xml:space="preserve"> </w:t>
      </w:r>
      <w:r w:rsidRPr="00992F81">
        <w:rPr>
          <w:rFonts w:ascii="Times New Roman" w:hAnsi="Times New Roman"/>
          <w:sz w:val="24"/>
        </w:rPr>
        <w:tab/>
        <w:t>See [</w:t>
      </w:r>
      <w:r>
        <w:rPr>
          <w:rFonts w:ascii="Times New Roman" w:hAnsi="Times New Roman"/>
          <w:sz w:val="24"/>
        </w:rPr>
        <w:t>92</w:t>
      </w:r>
      <w:r w:rsidRPr="00992F81">
        <w:rPr>
          <w:rFonts w:ascii="Times New Roman" w:hAnsi="Times New Roman"/>
          <w:sz w:val="24"/>
        </w:rPr>
        <w:t>]-[</w:t>
      </w:r>
      <w:r>
        <w:rPr>
          <w:rFonts w:ascii="Times New Roman" w:hAnsi="Times New Roman"/>
          <w:sz w:val="24"/>
        </w:rPr>
        <w:t>94</w:t>
      </w:r>
      <w:r w:rsidRPr="00992F81">
        <w:rPr>
          <w:rFonts w:ascii="Times New Roman" w:hAnsi="Times New Roman"/>
          <w:sz w:val="24"/>
        </w:rPr>
        <w:t>] above.</w:t>
      </w:r>
    </w:p>
  </w:footnote>
  <w:footnote w:id="78">
    <w:p w14:paraId="04222263" w14:textId="77777777" w:rsidR="004D2653" w:rsidRPr="00992F81" w:rsidRDefault="004D2653" w:rsidP="00992F81">
      <w:pPr>
        <w:pStyle w:val="FootnoteText"/>
        <w:spacing w:line="280" w:lineRule="exact"/>
        <w:ind w:right="0"/>
        <w:jc w:val="both"/>
        <w:rPr>
          <w:rFonts w:ascii="Times New Roman" w:hAnsi="Times New Roman"/>
          <w:sz w:val="24"/>
        </w:rPr>
      </w:pPr>
      <w:r w:rsidRPr="00992F81">
        <w:rPr>
          <w:rStyle w:val="FootnoteReference"/>
          <w:rFonts w:ascii="Times New Roman" w:hAnsi="Times New Roman"/>
          <w:sz w:val="22"/>
          <w:vertAlign w:val="baseline"/>
        </w:rPr>
        <w:footnoteRef/>
      </w:r>
      <w:r w:rsidRPr="00992F81">
        <w:rPr>
          <w:rFonts w:ascii="Times New Roman" w:hAnsi="Times New Roman"/>
          <w:sz w:val="24"/>
        </w:rPr>
        <w:t xml:space="preserve"> </w:t>
      </w:r>
      <w:r w:rsidRPr="00992F81">
        <w:rPr>
          <w:rFonts w:ascii="Times New Roman" w:hAnsi="Times New Roman"/>
          <w:sz w:val="24"/>
        </w:rPr>
        <w:tab/>
        <w:t>After MACH lodged its EIS, it provided updated greenhouse gas emission estimations dated 31 March 2022.</w:t>
      </w:r>
    </w:p>
  </w:footnote>
  <w:footnote w:id="79">
    <w:p w14:paraId="2C8DEE4F" w14:textId="77777777" w:rsidR="004D2653" w:rsidRPr="00992F81" w:rsidRDefault="004D2653" w:rsidP="00992F81">
      <w:pPr>
        <w:pStyle w:val="FootnoteText"/>
        <w:spacing w:line="280" w:lineRule="exact"/>
        <w:ind w:right="0"/>
        <w:jc w:val="both"/>
        <w:rPr>
          <w:rFonts w:ascii="Times New Roman" w:hAnsi="Times New Roman"/>
          <w:sz w:val="24"/>
        </w:rPr>
      </w:pPr>
      <w:r w:rsidRPr="00992F81">
        <w:rPr>
          <w:rStyle w:val="FootnoteReference"/>
          <w:rFonts w:ascii="Times New Roman" w:hAnsi="Times New Roman"/>
          <w:sz w:val="22"/>
          <w:vertAlign w:val="baseline"/>
        </w:rPr>
        <w:footnoteRef/>
      </w:r>
      <w:r w:rsidRPr="00992F81">
        <w:rPr>
          <w:rFonts w:ascii="Times New Roman" w:hAnsi="Times New Roman"/>
          <w:sz w:val="24"/>
        </w:rPr>
        <w:t xml:space="preserve"> </w:t>
      </w:r>
      <w:r w:rsidRPr="00992F81">
        <w:rPr>
          <w:rFonts w:ascii="Times New Roman" w:hAnsi="Times New Roman"/>
          <w:sz w:val="24"/>
        </w:rPr>
        <w:tab/>
        <w:t>See [</w:t>
      </w:r>
      <w:r>
        <w:rPr>
          <w:rFonts w:ascii="Times New Roman" w:hAnsi="Times New Roman"/>
          <w:sz w:val="24"/>
        </w:rPr>
        <w:t>112</w:t>
      </w:r>
      <w:r w:rsidRPr="00992F81">
        <w:rPr>
          <w:rFonts w:ascii="Times New Roman" w:hAnsi="Times New Roman"/>
          <w:sz w:val="24"/>
        </w:rPr>
        <w:t>] and [</w:t>
      </w:r>
      <w:r>
        <w:rPr>
          <w:rFonts w:ascii="Times New Roman" w:hAnsi="Times New Roman"/>
          <w:sz w:val="24"/>
        </w:rPr>
        <w:t>115</w:t>
      </w:r>
      <w:r w:rsidRPr="00992F81">
        <w:rPr>
          <w:rFonts w:ascii="Times New Roman" w:hAnsi="Times New Roman"/>
          <w:sz w:val="24"/>
        </w:rPr>
        <w:t>] above.</w:t>
      </w:r>
    </w:p>
  </w:footnote>
  <w:footnote w:id="80">
    <w:p w14:paraId="5BFC04F8" w14:textId="77777777" w:rsidR="004D2653" w:rsidRPr="00992F81" w:rsidRDefault="004D2653" w:rsidP="00992F81">
      <w:pPr>
        <w:pStyle w:val="FootnoteText"/>
        <w:spacing w:line="280" w:lineRule="exact"/>
        <w:ind w:right="0"/>
        <w:jc w:val="both"/>
        <w:rPr>
          <w:rFonts w:ascii="Times New Roman" w:hAnsi="Times New Roman"/>
          <w:sz w:val="24"/>
        </w:rPr>
      </w:pPr>
      <w:r w:rsidRPr="00992F81">
        <w:rPr>
          <w:rStyle w:val="FootnoteReference"/>
          <w:rFonts w:ascii="Times New Roman" w:hAnsi="Times New Roman"/>
          <w:sz w:val="22"/>
          <w:vertAlign w:val="baseline"/>
        </w:rPr>
        <w:footnoteRef/>
      </w:r>
      <w:r w:rsidRPr="00992F81">
        <w:rPr>
          <w:rFonts w:ascii="Times New Roman" w:hAnsi="Times New Roman"/>
          <w:sz w:val="24"/>
        </w:rPr>
        <w:t xml:space="preserve"> </w:t>
      </w:r>
      <w:r w:rsidRPr="00992F81">
        <w:rPr>
          <w:rFonts w:ascii="Times New Roman" w:hAnsi="Times New Roman"/>
          <w:sz w:val="24"/>
        </w:rPr>
        <w:tab/>
        <w:t>Fugitive emissions are Scope 1 emissions: see [</w:t>
      </w:r>
      <w:r>
        <w:rPr>
          <w:rFonts w:ascii="Times New Roman" w:hAnsi="Times New Roman"/>
          <w:sz w:val="24"/>
        </w:rPr>
        <w:t>95</w:t>
      </w:r>
      <w:r w:rsidRPr="00992F81">
        <w:rPr>
          <w:rFonts w:ascii="Times New Roman" w:hAnsi="Times New Roman"/>
          <w:sz w:val="24"/>
        </w:rPr>
        <w:t xml:space="preserve">] above. </w:t>
      </w:r>
    </w:p>
  </w:footnote>
  <w:footnote w:id="81">
    <w:p w14:paraId="6E5787BD" w14:textId="77777777" w:rsidR="004D2653" w:rsidRPr="00992F81" w:rsidRDefault="004D2653" w:rsidP="00992F81">
      <w:pPr>
        <w:pStyle w:val="FootnoteText"/>
        <w:spacing w:line="280" w:lineRule="exact"/>
        <w:ind w:right="0"/>
        <w:jc w:val="both"/>
        <w:rPr>
          <w:rFonts w:ascii="Times New Roman" w:hAnsi="Times New Roman"/>
          <w:sz w:val="24"/>
        </w:rPr>
      </w:pPr>
      <w:r w:rsidRPr="00992F81">
        <w:rPr>
          <w:rStyle w:val="FootnoteReference"/>
          <w:rFonts w:ascii="Times New Roman" w:hAnsi="Times New Roman"/>
          <w:sz w:val="22"/>
          <w:vertAlign w:val="baseline"/>
        </w:rPr>
        <w:footnoteRef/>
      </w:r>
      <w:r w:rsidRPr="00992F81">
        <w:rPr>
          <w:rFonts w:ascii="Times New Roman" w:hAnsi="Times New Roman"/>
          <w:sz w:val="24"/>
        </w:rPr>
        <w:t xml:space="preserve"> </w:t>
      </w:r>
      <w:r w:rsidRPr="00992F81">
        <w:rPr>
          <w:rFonts w:ascii="Times New Roman" w:hAnsi="Times New Roman"/>
          <w:sz w:val="24"/>
        </w:rPr>
        <w:tab/>
        <w:t>See [</w:t>
      </w:r>
      <w:r>
        <w:rPr>
          <w:rFonts w:ascii="Times New Roman" w:hAnsi="Times New Roman"/>
          <w:sz w:val="24"/>
        </w:rPr>
        <w:t>78</w:t>
      </w:r>
      <w:r w:rsidRPr="00992F81">
        <w:rPr>
          <w:rFonts w:ascii="Times New Roman" w:hAnsi="Times New Roman"/>
          <w:sz w:val="24"/>
        </w:rPr>
        <w:t>] above.</w:t>
      </w:r>
    </w:p>
  </w:footnote>
  <w:footnote w:id="82">
    <w:p w14:paraId="2EFF6236" w14:textId="77777777" w:rsidR="004D2653" w:rsidRPr="00992F81" w:rsidRDefault="004D2653" w:rsidP="00992F81">
      <w:pPr>
        <w:pStyle w:val="FootnoteText"/>
        <w:spacing w:line="280" w:lineRule="exact"/>
        <w:ind w:right="0"/>
        <w:jc w:val="both"/>
        <w:rPr>
          <w:rFonts w:ascii="Times New Roman" w:hAnsi="Times New Roman"/>
          <w:sz w:val="24"/>
        </w:rPr>
      </w:pPr>
      <w:r w:rsidRPr="00992F81">
        <w:rPr>
          <w:rStyle w:val="FootnoteReference"/>
          <w:rFonts w:ascii="Times New Roman" w:hAnsi="Times New Roman"/>
          <w:sz w:val="22"/>
          <w:vertAlign w:val="baseline"/>
        </w:rPr>
        <w:footnoteRef/>
      </w:r>
      <w:r w:rsidRPr="00992F81">
        <w:rPr>
          <w:rFonts w:ascii="Times New Roman" w:hAnsi="Times New Roman"/>
          <w:sz w:val="24"/>
        </w:rPr>
        <w:t xml:space="preserve"> </w:t>
      </w:r>
      <w:r w:rsidRPr="00992F81">
        <w:rPr>
          <w:rFonts w:ascii="Times New Roman" w:hAnsi="Times New Roman"/>
          <w:sz w:val="24"/>
        </w:rPr>
        <w:tab/>
        <w:t>See [</w:t>
      </w:r>
      <w:r>
        <w:rPr>
          <w:rFonts w:ascii="Times New Roman" w:hAnsi="Times New Roman"/>
          <w:sz w:val="24"/>
        </w:rPr>
        <w:t>76</w:t>
      </w:r>
      <w:r w:rsidRPr="00992F81">
        <w:rPr>
          <w:rFonts w:ascii="Times New Roman" w:hAnsi="Times New Roman"/>
          <w:sz w:val="24"/>
        </w:rPr>
        <w:t>]-[</w:t>
      </w:r>
      <w:r>
        <w:rPr>
          <w:rFonts w:ascii="Times New Roman" w:hAnsi="Times New Roman"/>
          <w:sz w:val="24"/>
        </w:rPr>
        <w:t>79</w:t>
      </w:r>
      <w:r w:rsidRPr="00992F81">
        <w:rPr>
          <w:rFonts w:ascii="Times New Roman" w:hAnsi="Times New Roman"/>
          <w:sz w:val="24"/>
        </w:rPr>
        <w:t>] above.</w:t>
      </w:r>
    </w:p>
  </w:footnote>
  <w:footnote w:id="83">
    <w:p w14:paraId="16677189" w14:textId="77777777" w:rsidR="004D2653" w:rsidRPr="00992F81" w:rsidRDefault="004D2653" w:rsidP="00992F81">
      <w:pPr>
        <w:pStyle w:val="FootnoteText"/>
        <w:spacing w:line="280" w:lineRule="exact"/>
        <w:ind w:right="0"/>
        <w:jc w:val="both"/>
        <w:rPr>
          <w:rFonts w:ascii="Times New Roman" w:hAnsi="Times New Roman"/>
          <w:sz w:val="24"/>
        </w:rPr>
      </w:pPr>
      <w:r w:rsidRPr="00992F81">
        <w:rPr>
          <w:rStyle w:val="FootnoteReference"/>
          <w:rFonts w:ascii="Times New Roman" w:hAnsi="Times New Roman"/>
          <w:sz w:val="22"/>
          <w:vertAlign w:val="baseline"/>
        </w:rPr>
        <w:footnoteRef/>
      </w:r>
      <w:r w:rsidRPr="00992F81">
        <w:rPr>
          <w:rFonts w:ascii="Times New Roman" w:hAnsi="Times New Roman"/>
          <w:sz w:val="24"/>
        </w:rPr>
        <w:t xml:space="preserve"> </w:t>
      </w:r>
      <w:r w:rsidRPr="00992F81">
        <w:rPr>
          <w:rFonts w:ascii="Times New Roman" w:hAnsi="Times New Roman"/>
          <w:sz w:val="24"/>
        </w:rPr>
        <w:tab/>
        <w:t xml:space="preserve">See, eg, </w:t>
      </w:r>
      <w:r w:rsidRPr="00992F81">
        <w:rPr>
          <w:rFonts w:ascii="Times New Roman" w:hAnsi="Times New Roman"/>
          <w:i/>
          <w:iCs/>
          <w:sz w:val="24"/>
        </w:rPr>
        <w:t xml:space="preserve">Palmanova Pty Ltd v The Commonwealth </w:t>
      </w:r>
      <w:r w:rsidRPr="00992F81">
        <w:rPr>
          <w:rFonts w:ascii="Times New Roman" w:hAnsi="Times New Roman"/>
          <w:sz w:val="24"/>
        </w:rPr>
        <w:t>(2025) 99 ALJR 1362 at 1364</w:t>
      </w:r>
      <w:r>
        <w:rPr>
          <w:rFonts w:ascii="Times New Roman" w:hAnsi="Times New Roman"/>
          <w:sz w:val="24"/>
        </w:rPr>
        <w:noBreakHyphen/>
      </w:r>
      <w:r w:rsidRPr="00992F81">
        <w:rPr>
          <w:rFonts w:ascii="Times New Roman" w:hAnsi="Times New Roman"/>
          <w:sz w:val="24"/>
        </w:rPr>
        <w:t xml:space="preserve">1365 [4]; 424 ALR 768 at 769-770. </w:t>
      </w:r>
    </w:p>
  </w:footnote>
  <w:footnote w:id="84">
    <w:p w14:paraId="197B45ED" w14:textId="77777777" w:rsidR="004D2653" w:rsidRPr="00992F81" w:rsidRDefault="004D2653" w:rsidP="00992F81">
      <w:pPr>
        <w:pStyle w:val="FootnoteText"/>
        <w:spacing w:line="280" w:lineRule="exact"/>
        <w:ind w:right="0"/>
        <w:jc w:val="both"/>
        <w:rPr>
          <w:rFonts w:ascii="Times New Roman" w:hAnsi="Times New Roman"/>
          <w:i/>
          <w:iCs/>
          <w:sz w:val="24"/>
        </w:rPr>
      </w:pPr>
      <w:r w:rsidRPr="00992F81">
        <w:rPr>
          <w:rStyle w:val="FootnoteReference"/>
          <w:rFonts w:ascii="Times New Roman" w:hAnsi="Times New Roman"/>
          <w:sz w:val="22"/>
          <w:vertAlign w:val="baseline"/>
        </w:rPr>
        <w:footnoteRef/>
      </w:r>
      <w:r w:rsidRPr="00992F81">
        <w:rPr>
          <w:rFonts w:ascii="Times New Roman" w:hAnsi="Times New Roman"/>
          <w:sz w:val="24"/>
        </w:rPr>
        <w:t xml:space="preserve"> </w:t>
      </w:r>
      <w:r w:rsidRPr="00992F81">
        <w:rPr>
          <w:rFonts w:ascii="Times New Roman" w:hAnsi="Times New Roman"/>
          <w:sz w:val="24"/>
        </w:rPr>
        <w:tab/>
      </w:r>
      <w:r w:rsidRPr="00992F81">
        <w:rPr>
          <w:rFonts w:ascii="Times New Roman" w:hAnsi="Times New Roman"/>
          <w:i/>
          <w:iCs/>
          <w:sz w:val="24"/>
        </w:rPr>
        <w:t xml:space="preserve">Ross v Lane </w:t>
      </w:r>
      <w:r w:rsidRPr="00992F81">
        <w:rPr>
          <w:rFonts w:ascii="Times New Roman" w:hAnsi="Times New Roman"/>
          <w:sz w:val="24"/>
        </w:rPr>
        <w:t>(2022) 255 LGERA 136 at 165 [102].</w:t>
      </w:r>
    </w:p>
  </w:footnote>
  <w:footnote w:id="85">
    <w:p w14:paraId="29364E92" w14:textId="77777777" w:rsidR="004D2653" w:rsidRPr="00992F81" w:rsidRDefault="004D2653" w:rsidP="00992F81">
      <w:pPr>
        <w:pStyle w:val="FootnoteText"/>
        <w:spacing w:line="280" w:lineRule="exact"/>
        <w:ind w:right="0"/>
        <w:jc w:val="both"/>
        <w:rPr>
          <w:rFonts w:ascii="Times New Roman" w:hAnsi="Times New Roman"/>
          <w:sz w:val="24"/>
        </w:rPr>
      </w:pPr>
      <w:r w:rsidRPr="00992F81">
        <w:rPr>
          <w:rStyle w:val="FootnoteReference"/>
          <w:rFonts w:ascii="Times New Roman" w:hAnsi="Times New Roman"/>
          <w:sz w:val="22"/>
          <w:vertAlign w:val="baseline"/>
        </w:rPr>
        <w:footnoteRef/>
      </w:r>
      <w:r w:rsidRPr="00992F81">
        <w:rPr>
          <w:rFonts w:ascii="Times New Roman" w:hAnsi="Times New Roman"/>
          <w:sz w:val="24"/>
        </w:rPr>
        <w:t xml:space="preserve"> </w:t>
      </w:r>
      <w:r w:rsidRPr="00992F81">
        <w:rPr>
          <w:rFonts w:ascii="Times New Roman" w:hAnsi="Times New Roman"/>
          <w:sz w:val="24"/>
        </w:rPr>
        <w:tab/>
      </w:r>
      <w:r w:rsidRPr="00992F81">
        <w:rPr>
          <w:rFonts w:ascii="Times New Roman" w:hAnsi="Times New Roman"/>
          <w:i/>
          <w:iCs/>
          <w:sz w:val="24"/>
        </w:rPr>
        <w:t>Li</w:t>
      </w:r>
      <w:r w:rsidRPr="00992F81">
        <w:rPr>
          <w:rFonts w:ascii="Times New Roman" w:hAnsi="Times New Roman"/>
          <w:sz w:val="24"/>
        </w:rPr>
        <w:t xml:space="preserve"> (2013) 249 CLR 332 at 350 [26]. </w:t>
      </w:r>
    </w:p>
  </w:footnote>
  <w:footnote w:id="86">
    <w:p w14:paraId="2370F6BB" w14:textId="77777777" w:rsidR="004D2653" w:rsidRPr="00992F81" w:rsidRDefault="004D2653" w:rsidP="00992F81">
      <w:pPr>
        <w:pStyle w:val="FootnoteText"/>
        <w:spacing w:line="280" w:lineRule="exact"/>
        <w:ind w:right="0"/>
        <w:jc w:val="both"/>
        <w:rPr>
          <w:rFonts w:ascii="Times New Roman" w:hAnsi="Times New Roman"/>
          <w:sz w:val="24"/>
        </w:rPr>
      </w:pPr>
      <w:r w:rsidRPr="00992F81">
        <w:rPr>
          <w:rStyle w:val="FootnoteReference"/>
          <w:rFonts w:ascii="Times New Roman" w:hAnsi="Times New Roman"/>
          <w:sz w:val="22"/>
          <w:vertAlign w:val="baseline"/>
        </w:rPr>
        <w:footnoteRef/>
      </w:r>
      <w:r w:rsidRPr="00992F81">
        <w:rPr>
          <w:rFonts w:ascii="Times New Roman" w:hAnsi="Times New Roman"/>
          <w:sz w:val="24"/>
        </w:rPr>
        <w:t xml:space="preserve"> </w:t>
      </w:r>
      <w:r w:rsidRPr="00992F81">
        <w:rPr>
          <w:rFonts w:ascii="Times New Roman" w:hAnsi="Times New Roman"/>
          <w:sz w:val="24"/>
        </w:rPr>
        <w:tab/>
        <w:t>See [</w:t>
      </w:r>
      <w:r>
        <w:rPr>
          <w:rFonts w:ascii="Times New Roman" w:hAnsi="Times New Roman"/>
          <w:sz w:val="24"/>
        </w:rPr>
        <w:t>83</w:t>
      </w:r>
      <w:r w:rsidRPr="00992F81">
        <w:rPr>
          <w:rFonts w:ascii="Times New Roman" w:hAnsi="Times New Roman"/>
          <w:sz w:val="24"/>
        </w:rPr>
        <w:t>] above.</w:t>
      </w:r>
    </w:p>
  </w:footnote>
  <w:footnote w:id="87">
    <w:p w14:paraId="3FB6268C" w14:textId="77777777" w:rsidR="004D2653" w:rsidRPr="00992F81" w:rsidRDefault="004D2653" w:rsidP="00992F81">
      <w:pPr>
        <w:pStyle w:val="FootnoteText"/>
        <w:spacing w:line="280" w:lineRule="exact"/>
        <w:ind w:right="0"/>
        <w:jc w:val="both"/>
        <w:rPr>
          <w:rFonts w:ascii="Times New Roman" w:hAnsi="Times New Roman"/>
          <w:sz w:val="24"/>
        </w:rPr>
      </w:pPr>
      <w:r w:rsidRPr="00992F81">
        <w:rPr>
          <w:rStyle w:val="FootnoteReference"/>
          <w:rFonts w:ascii="Times New Roman" w:hAnsi="Times New Roman"/>
          <w:sz w:val="22"/>
          <w:vertAlign w:val="baseline"/>
        </w:rPr>
        <w:footnoteRef/>
      </w:r>
      <w:r w:rsidRPr="00992F81">
        <w:rPr>
          <w:rFonts w:ascii="Times New Roman" w:hAnsi="Times New Roman"/>
          <w:sz w:val="24"/>
        </w:rPr>
        <w:t xml:space="preserve"> </w:t>
      </w:r>
      <w:r w:rsidRPr="00992F81">
        <w:rPr>
          <w:rFonts w:ascii="Times New Roman" w:hAnsi="Times New Roman"/>
          <w:sz w:val="24"/>
        </w:rPr>
        <w:tab/>
        <w:t xml:space="preserve">This accords with and reflects the predecessor provisions: EPA Act (as in force on 30 June 1998), s 90(1)(b) and (d); </w:t>
      </w:r>
      <w:r w:rsidRPr="00992F81">
        <w:rPr>
          <w:rFonts w:ascii="Times New Roman" w:hAnsi="Times New Roman"/>
          <w:i/>
          <w:iCs/>
          <w:sz w:val="24"/>
        </w:rPr>
        <w:t xml:space="preserve">Environmental Planning and Assessment Amendment Act 1997 </w:t>
      </w:r>
      <w:r w:rsidRPr="00992F81">
        <w:rPr>
          <w:rFonts w:ascii="Times New Roman" w:hAnsi="Times New Roman"/>
          <w:sz w:val="24"/>
        </w:rPr>
        <w:t xml:space="preserve">(NSW), s 3, Sch 1, item 32; New South Wales, Legislative Assembly, </w:t>
      </w:r>
      <w:r w:rsidRPr="00992F81">
        <w:rPr>
          <w:rFonts w:ascii="Times New Roman" w:hAnsi="Times New Roman"/>
          <w:i/>
          <w:iCs/>
          <w:sz w:val="24"/>
        </w:rPr>
        <w:t xml:space="preserve">Parliamentary Debates </w:t>
      </w:r>
      <w:r w:rsidRPr="00992F81">
        <w:rPr>
          <w:rFonts w:ascii="Times New Roman" w:hAnsi="Times New Roman"/>
          <w:sz w:val="24"/>
        </w:rPr>
        <w:t xml:space="preserve">(Hansard), 15 October 1997 at 828; </w:t>
      </w:r>
      <w:r w:rsidRPr="00992F81">
        <w:rPr>
          <w:rFonts w:ascii="Times New Roman" w:hAnsi="Times New Roman"/>
          <w:i/>
          <w:iCs/>
          <w:sz w:val="24"/>
        </w:rPr>
        <w:t xml:space="preserve">Environmental Planning and Assessment Amendment Act 2017 </w:t>
      </w:r>
      <w:r w:rsidRPr="00992F81">
        <w:rPr>
          <w:rFonts w:ascii="Times New Roman" w:hAnsi="Times New Roman"/>
          <w:sz w:val="24"/>
        </w:rPr>
        <w:t>(NSW), Sch 4.2, item 1.</w:t>
      </w:r>
    </w:p>
  </w:footnote>
  <w:footnote w:id="88">
    <w:p w14:paraId="49F18EB1" w14:textId="77777777" w:rsidR="004D2653" w:rsidRPr="00992F81" w:rsidRDefault="004D2653" w:rsidP="00992F81">
      <w:pPr>
        <w:pStyle w:val="FootnoteText"/>
        <w:spacing w:line="280" w:lineRule="exact"/>
        <w:ind w:right="0"/>
        <w:jc w:val="both"/>
        <w:rPr>
          <w:rFonts w:ascii="Times New Roman" w:hAnsi="Times New Roman"/>
          <w:sz w:val="24"/>
        </w:rPr>
      </w:pPr>
      <w:r w:rsidRPr="00992F81">
        <w:rPr>
          <w:rStyle w:val="FootnoteReference"/>
          <w:rFonts w:ascii="Times New Roman" w:hAnsi="Times New Roman"/>
          <w:sz w:val="22"/>
          <w:vertAlign w:val="baseline"/>
        </w:rPr>
        <w:footnoteRef/>
      </w:r>
      <w:r w:rsidRPr="00992F81">
        <w:rPr>
          <w:rFonts w:ascii="Times New Roman" w:hAnsi="Times New Roman"/>
          <w:sz w:val="24"/>
        </w:rPr>
        <w:t xml:space="preserve"> </w:t>
      </w:r>
      <w:r w:rsidRPr="00992F81">
        <w:rPr>
          <w:rFonts w:ascii="Times New Roman" w:hAnsi="Times New Roman"/>
          <w:sz w:val="24"/>
        </w:rPr>
        <w:tab/>
        <w:t xml:space="preserve">Section 1.4(1) provides that "environment" "includes all aspects of the surroundings of humans, whether affecting any human as an individual or in his or her social groupings". </w:t>
      </w:r>
    </w:p>
  </w:footnote>
  <w:footnote w:id="89">
    <w:p w14:paraId="52FC013A" w14:textId="77777777" w:rsidR="004D2653" w:rsidRPr="00992F81" w:rsidRDefault="004D2653" w:rsidP="00992F81">
      <w:pPr>
        <w:pStyle w:val="FootnoteText"/>
        <w:spacing w:line="280" w:lineRule="exact"/>
        <w:ind w:right="0"/>
        <w:jc w:val="both"/>
        <w:rPr>
          <w:rFonts w:ascii="Times New Roman" w:hAnsi="Times New Roman"/>
          <w:sz w:val="24"/>
        </w:rPr>
      </w:pPr>
      <w:r w:rsidRPr="00992F81">
        <w:rPr>
          <w:rStyle w:val="FootnoteReference"/>
          <w:rFonts w:ascii="Times New Roman" w:hAnsi="Times New Roman"/>
          <w:sz w:val="22"/>
          <w:vertAlign w:val="baseline"/>
        </w:rPr>
        <w:footnoteRef/>
      </w:r>
      <w:r w:rsidRPr="00992F81">
        <w:rPr>
          <w:rFonts w:ascii="Times New Roman" w:hAnsi="Times New Roman"/>
          <w:sz w:val="24"/>
        </w:rPr>
        <w:t xml:space="preserve"> </w:t>
      </w:r>
      <w:r w:rsidRPr="00992F81">
        <w:rPr>
          <w:rFonts w:ascii="Times New Roman" w:hAnsi="Times New Roman"/>
          <w:sz w:val="24"/>
        </w:rPr>
        <w:tab/>
        <w:t>See [</w:t>
      </w:r>
      <w:r>
        <w:rPr>
          <w:rFonts w:ascii="Times New Roman" w:hAnsi="Times New Roman"/>
          <w:sz w:val="24"/>
        </w:rPr>
        <w:t>149</w:t>
      </w:r>
      <w:r w:rsidRPr="00992F81">
        <w:rPr>
          <w:rFonts w:ascii="Times New Roman" w:hAnsi="Times New Roman"/>
          <w:sz w:val="24"/>
        </w:rPr>
        <w:t>] above.</w:t>
      </w:r>
    </w:p>
  </w:footnote>
  <w:footnote w:id="90">
    <w:p w14:paraId="28C8019D" w14:textId="77777777" w:rsidR="004D2653" w:rsidRPr="00992F81" w:rsidRDefault="004D2653" w:rsidP="00992F81">
      <w:pPr>
        <w:pStyle w:val="FootnoteText"/>
        <w:spacing w:line="280" w:lineRule="exact"/>
        <w:ind w:right="0"/>
        <w:jc w:val="both"/>
        <w:rPr>
          <w:rFonts w:ascii="Times New Roman" w:hAnsi="Times New Roman"/>
          <w:sz w:val="24"/>
        </w:rPr>
      </w:pPr>
      <w:r w:rsidRPr="00992F81">
        <w:rPr>
          <w:rStyle w:val="FootnoteReference"/>
          <w:rFonts w:ascii="Times New Roman" w:hAnsi="Times New Roman"/>
          <w:sz w:val="22"/>
          <w:vertAlign w:val="baseline"/>
        </w:rPr>
        <w:footnoteRef/>
      </w:r>
      <w:r w:rsidRPr="00992F81">
        <w:rPr>
          <w:rFonts w:ascii="Times New Roman" w:hAnsi="Times New Roman"/>
          <w:sz w:val="24"/>
        </w:rPr>
        <w:t xml:space="preserve"> </w:t>
      </w:r>
      <w:r w:rsidRPr="00992F81">
        <w:rPr>
          <w:rFonts w:ascii="Times New Roman" w:hAnsi="Times New Roman"/>
          <w:sz w:val="24"/>
        </w:rPr>
        <w:tab/>
        <w:t>See [</w:t>
      </w:r>
      <w:r>
        <w:rPr>
          <w:rFonts w:ascii="Times New Roman" w:hAnsi="Times New Roman"/>
          <w:sz w:val="24"/>
        </w:rPr>
        <w:t>102</w:t>
      </w:r>
      <w:r w:rsidRPr="00992F81">
        <w:rPr>
          <w:rFonts w:ascii="Times New Roman" w:hAnsi="Times New Roman"/>
          <w:sz w:val="24"/>
        </w:rPr>
        <w:t>]-[</w:t>
      </w:r>
      <w:r>
        <w:rPr>
          <w:rFonts w:ascii="Times New Roman" w:hAnsi="Times New Roman"/>
          <w:sz w:val="24"/>
        </w:rPr>
        <w:t>103</w:t>
      </w:r>
      <w:r w:rsidRPr="00992F81">
        <w:rPr>
          <w:rFonts w:ascii="Times New Roman" w:hAnsi="Times New Roman"/>
          <w:sz w:val="24"/>
        </w:rPr>
        <w:t>] and [</w:t>
      </w:r>
      <w:r>
        <w:rPr>
          <w:rFonts w:ascii="Times New Roman" w:hAnsi="Times New Roman"/>
          <w:sz w:val="24"/>
        </w:rPr>
        <w:t>106</w:t>
      </w:r>
      <w:r w:rsidRPr="00992F81">
        <w:rPr>
          <w:rFonts w:ascii="Times New Roman" w:hAnsi="Times New Roman"/>
          <w:sz w:val="24"/>
        </w:rPr>
        <w:t>] above.</w:t>
      </w:r>
    </w:p>
  </w:footnote>
  <w:footnote w:id="91">
    <w:p w14:paraId="1BF29AF6" w14:textId="77777777" w:rsidR="004D2653" w:rsidRPr="00992F81" w:rsidRDefault="004D2653" w:rsidP="00992F81">
      <w:pPr>
        <w:pStyle w:val="FootnoteText"/>
        <w:spacing w:line="280" w:lineRule="exact"/>
        <w:ind w:right="0"/>
        <w:jc w:val="both"/>
        <w:rPr>
          <w:rFonts w:ascii="Times New Roman" w:hAnsi="Times New Roman"/>
          <w:sz w:val="24"/>
        </w:rPr>
      </w:pPr>
      <w:r w:rsidRPr="00992F81">
        <w:rPr>
          <w:rStyle w:val="FootnoteReference"/>
          <w:rFonts w:ascii="Times New Roman" w:hAnsi="Times New Roman"/>
          <w:sz w:val="22"/>
          <w:vertAlign w:val="baseline"/>
        </w:rPr>
        <w:footnoteRef/>
      </w:r>
      <w:r w:rsidRPr="00992F81">
        <w:rPr>
          <w:rFonts w:ascii="Times New Roman" w:hAnsi="Times New Roman"/>
          <w:sz w:val="24"/>
        </w:rPr>
        <w:t xml:space="preserve"> </w:t>
      </w:r>
      <w:r w:rsidRPr="00992F81">
        <w:rPr>
          <w:rFonts w:ascii="Times New Roman" w:hAnsi="Times New Roman"/>
          <w:sz w:val="24"/>
        </w:rPr>
        <w:tab/>
        <w:t>See [</w:t>
      </w:r>
      <w:r>
        <w:rPr>
          <w:rFonts w:ascii="Times New Roman" w:hAnsi="Times New Roman"/>
          <w:sz w:val="24"/>
        </w:rPr>
        <w:t>102</w:t>
      </w:r>
      <w:r w:rsidRPr="00992F81">
        <w:rPr>
          <w:rFonts w:ascii="Times New Roman" w:hAnsi="Times New Roman"/>
          <w:sz w:val="24"/>
        </w:rPr>
        <w:t>] above.</w:t>
      </w:r>
    </w:p>
  </w:footnote>
  <w:footnote w:id="92">
    <w:p w14:paraId="452F8850" w14:textId="77777777" w:rsidR="004D2653" w:rsidRPr="00992F81" w:rsidRDefault="004D2653" w:rsidP="00992F81">
      <w:pPr>
        <w:pStyle w:val="FootnoteText"/>
        <w:spacing w:line="280" w:lineRule="exact"/>
        <w:ind w:right="0"/>
        <w:jc w:val="both"/>
        <w:rPr>
          <w:rFonts w:ascii="Times New Roman" w:hAnsi="Times New Roman"/>
          <w:sz w:val="24"/>
        </w:rPr>
      </w:pPr>
      <w:r w:rsidRPr="00992F81">
        <w:rPr>
          <w:rStyle w:val="FootnoteReference"/>
          <w:rFonts w:ascii="Times New Roman" w:hAnsi="Times New Roman"/>
          <w:sz w:val="22"/>
          <w:vertAlign w:val="baseline"/>
        </w:rPr>
        <w:footnoteRef/>
      </w:r>
      <w:r w:rsidRPr="00992F81">
        <w:rPr>
          <w:rFonts w:ascii="Times New Roman" w:hAnsi="Times New Roman"/>
          <w:sz w:val="24"/>
        </w:rPr>
        <w:t xml:space="preserve"> </w:t>
      </w:r>
      <w:r w:rsidRPr="00992F81">
        <w:rPr>
          <w:rFonts w:ascii="Times New Roman" w:hAnsi="Times New Roman"/>
          <w:sz w:val="24"/>
        </w:rPr>
        <w:tab/>
        <w:t>See [</w:t>
      </w:r>
      <w:r>
        <w:rPr>
          <w:rFonts w:ascii="Times New Roman" w:hAnsi="Times New Roman"/>
          <w:sz w:val="24"/>
        </w:rPr>
        <w:t>100</w:t>
      </w:r>
      <w:r w:rsidRPr="00992F81">
        <w:rPr>
          <w:rFonts w:ascii="Times New Roman" w:hAnsi="Times New Roman"/>
          <w:sz w:val="24"/>
        </w:rPr>
        <w:t>] and [</w:t>
      </w:r>
      <w:r>
        <w:rPr>
          <w:rFonts w:ascii="Times New Roman" w:hAnsi="Times New Roman"/>
          <w:sz w:val="24"/>
        </w:rPr>
        <w:t>102</w:t>
      </w:r>
      <w:r w:rsidRPr="00992F81">
        <w:rPr>
          <w:rFonts w:ascii="Times New Roman" w:hAnsi="Times New Roman"/>
          <w:sz w:val="24"/>
        </w:rPr>
        <w:t xml:space="preserve">] above. </w:t>
      </w:r>
    </w:p>
  </w:footnote>
  <w:footnote w:id="93">
    <w:p w14:paraId="4B8D40B3" w14:textId="77777777" w:rsidR="004D2653" w:rsidRPr="00992F81" w:rsidRDefault="004D2653" w:rsidP="00992F81">
      <w:pPr>
        <w:pStyle w:val="FootnoteText"/>
        <w:spacing w:line="280" w:lineRule="exact"/>
        <w:ind w:right="0"/>
        <w:jc w:val="both"/>
        <w:rPr>
          <w:rFonts w:ascii="Times New Roman" w:hAnsi="Times New Roman"/>
          <w:sz w:val="24"/>
        </w:rPr>
      </w:pPr>
      <w:r w:rsidRPr="00992F81">
        <w:rPr>
          <w:rStyle w:val="FootnoteReference"/>
          <w:rFonts w:ascii="Times New Roman" w:hAnsi="Times New Roman"/>
          <w:sz w:val="22"/>
          <w:vertAlign w:val="baseline"/>
        </w:rPr>
        <w:footnoteRef/>
      </w:r>
      <w:r w:rsidRPr="00992F81">
        <w:rPr>
          <w:rFonts w:ascii="Times New Roman" w:hAnsi="Times New Roman"/>
          <w:sz w:val="24"/>
        </w:rPr>
        <w:t xml:space="preserve"> </w:t>
      </w:r>
      <w:r w:rsidRPr="00992F81">
        <w:rPr>
          <w:rFonts w:ascii="Times New Roman" w:hAnsi="Times New Roman"/>
          <w:sz w:val="24"/>
        </w:rPr>
        <w:tab/>
        <w:t>See [</w:t>
      </w:r>
      <w:r>
        <w:rPr>
          <w:rFonts w:ascii="Times New Roman" w:hAnsi="Times New Roman"/>
          <w:sz w:val="24"/>
        </w:rPr>
        <w:t>103</w:t>
      </w:r>
      <w:r w:rsidRPr="00992F81">
        <w:rPr>
          <w:rFonts w:ascii="Times New Roman" w:hAnsi="Times New Roman"/>
          <w:sz w:val="24"/>
        </w:rPr>
        <w:t>] above.</w:t>
      </w:r>
    </w:p>
  </w:footnote>
  <w:footnote w:id="94">
    <w:p w14:paraId="04F7F27D" w14:textId="77777777" w:rsidR="004D2653" w:rsidRPr="00992F81" w:rsidRDefault="004D2653" w:rsidP="00992F81">
      <w:pPr>
        <w:pStyle w:val="FootnoteText"/>
        <w:spacing w:line="280" w:lineRule="exact"/>
        <w:ind w:right="0"/>
        <w:jc w:val="both"/>
        <w:rPr>
          <w:rFonts w:ascii="Times New Roman" w:hAnsi="Times New Roman"/>
          <w:sz w:val="24"/>
        </w:rPr>
      </w:pPr>
      <w:r w:rsidRPr="00992F81">
        <w:rPr>
          <w:rStyle w:val="FootnoteReference"/>
          <w:rFonts w:ascii="Times New Roman" w:hAnsi="Times New Roman"/>
          <w:sz w:val="22"/>
          <w:vertAlign w:val="baseline"/>
        </w:rPr>
        <w:footnoteRef/>
      </w:r>
      <w:r w:rsidRPr="00992F81">
        <w:rPr>
          <w:rFonts w:ascii="Times New Roman" w:hAnsi="Times New Roman"/>
          <w:sz w:val="24"/>
        </w:rPr>
        <w:t xml:space="preserve"> </w:t>
      </w:r>
      <w:r w:rsidRPr="00992F81">
        <w:rPr>
          <w:rFonts w:ascii="Times New Roman" w:hAnsi="Times New Roman"/>
          <w:sz w:val="24"/>
        </w:rPr>
        <w:tab/>
        <w:t>See [</w:t>
      </w:r>
      <w:r>
        <w:rPr>
          <w:rFonts w:ascii="Times New Roman" w:hAnsi="Times New Roman"/>
          <w:sz w:val="24"/>
        </w:rPr>
        <w:t>124</w:t>
      </w:r>
      <w:r w:rsidRPr="00992F81">
        <w:rPr>
          <w:rFonts w:ascii="Times New Roman" w:hAnsi="Times New Roman"/>
          <w:sz w:val="24"/>
        </w:rPr>
        <w:t>] above.</w:t>
      </w:r>
    </w:p>
  </w:footnote>
  <w:footnote w:id="95">
    <w:p w14:paraId="371E689F" w14:textId="77777777" w:rsidR="004D2653" w:rsidRPr="00992F81" w:rsidRDefault="004D2653" w:rsidP="00992F81">
      <w:pPr>
        <w:pStyle w:val="FootnoteText"/>
        <w:spacing w:line="280" w:lineRule="exact"/>
        <w:ind w:right="0"/>
        <w:jc w:val="both"/>
        <w:rPr>
          <w:rFonts w:ascii="Times New Roman" w:hAnsi="Times New Roman"/>
          <w:sz w:val="24"/>
        </w:rPr>
      </w:pPr>
      <w:r w:rsidRPr="00992F81">
        <w:rPr>
          <w:rStyle w:val="FootnoteReference"/>
          <w:rFonts w:ascii="Times New Roman" w:hAnsi="Times New Roman"/>
          <w:sz w:val="22"/>
          <w:vertAlign w:val="baseline"/>
        </w:rPr>
        <w:footnoteRef/>
      </w:r>
      <w:r w:rsidRPr="00992F81">
        <w:rPr>
          <w:rFonts w:ascii="Times New Roman" w:hAnsi="Times New Roman"/>
          <w:sz w:val="24"/>
        </w:rPr>
        <w:t xml:space="preserve"> </w:t>
      </w:r>
      <w:r w:rsidRPr="00992F81">
        <w:rPr>
          <w:rFonts w:ascii="Times New Roman" w:hAnsi="Times New Roman"/>
          <w:sz w:val="24"/>
        </w:rPr>
        <w:tab/>
        <w:t xml:space="preserve">Section 5.1 addressed noise. Section 5.2 addressed air quality. </w:t>
      </w:r>
    </w:p>
  </w:footnote>
  <w:footnote w:id="96">
    <w:p w14:paraId="24A072FB" w14:textId="77777777" w:rsidR="004D2653" w:rsidRPr="00992F81" w:rsidRDefault="004D2653" w:rsidP="00992F81">
      <w:pPr>
        <w:pStyle w:val="FootnoteText"/>
        <w:spacing w:line="280" w:lineRule="exact"/>
        <w:ind w:right="0"/>
        <w:jc w:val="both"/>
        <w:rPr>
          <w:rFonts w:ascii="Times New Roman" w:hAnsi="Times New Roman"/>
          <w:sz w:val="24"/>
        </w:rPr>
      </w:pPr>
      <w:r w:rsidRPr="00992F81">
        <w:rPr>
          <w:rStyle w:val="FootnoteReference"/>
          <w:rFonts w:ascii="Times New Roman" w:hAnsi="Times New Roman"/>
          <w:sz w:val="22"/>
          <w:vertAlign w:val="baseline"/>
        </w:rPr>
        <w:footnoteRef/>
      </w:r>
      <w:r w:rsidRPr="00992F81">
        <w:rPr>
          <w:rFonts w:ascii="Times New Roman" w:hAnsi="Times New Roman"/>
          <w:sz w:val="24"/>
        </w:rPr>
        <w:t xml:space="preserve"> </w:t>
      </w:r>
      <w:r w:rsidRPr="00992F81">
        <w:rPr>
          <w:rFonts w:ascii="Times New Roman" w:hAnsi="Times New Roman"/>
          <w:sz w:val="24"/>
        </w:rPr>
        <w:tab/>
        <w:t>See [</w:t>
      </w:r>
      <w:r>
        <w:rPr>
          <w:rFonts w:ascii="Times New Roman" w:hAnsi="Times New Roman"/>
          <w:sz w:val="24"/>
        </w:rPr>
        <w:t>102</w:t>
      </w:r>
      <w:r w:rsidRPr="00992F81">
        <w:rPr>
          <w:rFonts w:ascii="Times New Roman" w:hAnsi="Times New Roman"/>
          <w:sz w:val="24"/>
        </w:rPr>
        <w:t>]-[</w:t>
      </w:r>
      <w:r>
        <w:rPr>
          <w:rFonts w:ascii="Times New Roman" w:hAnsi="Times New Roman"/>
          <w:sz w:val="24"/>
        </w:rPr>
        <w:t>103</w:t>
      </w:r>
      <w:r w:rsidRPr="00992F81">
        <w:rPr>
          <w:rFonts w:ascii="Times New Roman" w:hAnsi="Times New Roman"/>
          <w:sz w:val="24"/>
        </w:rPr>
        <w:t>] above.</w:t>
      </w:r>
    </w:p>
  </w:footnote>
  <w:footnote w:id="97">
    <w:p w14:paraId="3A67CB25" w14:textId="77777777" w:rsidR="004D2653" w:rsidRPr="00992F81" w:rsidRDefault="004D2653" w:rsidP="00992F81">
      <w:pPr>
        <w:pStyle w:val="FootnoteText"/>
        <w:spacing w:line="280" w:lineRule="exact"/>
        <w:ind w:right="0"/>
        <w:jc w:val="both"/>
        <w:rPr>
          <w:rFonts w:ascii="Times New Roman" w:hAnsi="Times New Roman"/>
          <w:sz w:val="24"/>
        </w:rPr>
      </w:pPr>
      <w:r w:rsidRPr="00992F81">
        <w:rPr>
          <w:rStyle w:val="FootnoteReference"/>
          <w:rFonts w:ascii="Times New Roman" w:hAnsi="Times New Roman"/>
          <w:sz w:val="22"/>
          <w:vertAlign w:val="baseline"/>
        </w:rPr>
        <w:footnoteRef/>
      </w:r>
      <w:r w:rsidRPr="00992F81">
        <w:rPr>
          <w:rFonts w:ascii="Times New Roman" w:hAnsi="Times New Roman"/>
          <w:sz w:val="24"/>
        </w:rPr>
        <w:t xml:space="preserve"> </w:t>
      </w:r>
      <w:r w:rsidRPr="00992F81">
        <w:rPr>
          <w:rFonts w:ascii="Times New Roman" w:hAnsi="Times New Roman"/>
          <w:sz w:val="24"/>
        </w:rPr>
        <w:tab/>
      </w:r>
      <w:r w:rsidRPr="00992F81">
        <w:rPr>
          <w:rFonts w:ascii="Times New Roman" w:hAnsi="Times New Roman"/>
          <w:i/>
          <w:iCs/>
          <w:sz w:val="24"/>
        </w:rPr>
        <w:t xml:space="preserve">Notaras </w:t>
      </w:r>
      <w:r w:rsidRPr="00992F81">
        <w:rPr>
          <w:rFonts w:ascii="Times New Roman" w:hAnsi="Times New Roman"/>
          <w:sz w:val="24"/>
        </w:rPr>
        <w:t xml:space="preserve">(2007) 161 LGERA 230 at 261 [120], quoting </w:t>
      </w:r>
      <w:r w:rsidRPr="00992F81">
        <w:rPr>
          <w:rFonts w:ascii="Times New Roman" w:hAnsi="Times New Roman"/>
          <w:i/>
          <w:iCs/>
          <w:sz w:val="24"/>
        </w:rPr>
        <w:t>Walsh v Parramatta City Council</w:t>
      </w:r>
      <w:r w:rsidRPr="00992F81">
        <w:rPr>
          <w:rFonts w:ascii="Times New Roman" w:hAnsi="Times New Roman"/>
          <w:sz w:val="24"/>
        </w:rPr>
        <w:t xml:space="preserve"> (2007) 161 LGERA 118 at 130-131 [58], in turn citing (inter alia) </w:t>
      </w:r>
      <w:r w:rsidRPr="00992F81">
        <w:rPr>
          <w:rFonts w:ascii="Times New Roman" w:hAnsi="Times New Roman"/>
          <w:i/>
          <w:iCs/>
          <w:sz w:val="24"/>
        </w:rPr>
        <w:t>Sean</w:t>
      </w:r>
      <w:r>
        <w:rPr>
          <w:rFonts w:ascii="Times New Roman" w:hAnsi="Times New Roman"/>
          <w:i/>
          <w:iCs/>
          <w:sz w:val="24"/>
        </w:rPr>
        <w:t> </w:t>
      </w:r>
      <w:r w:rsidRPr="00992F81">
        <w:rPr>
          <w:rFonts w:ascii="Times New Roman" w:hAnsi="Times New Roman"/>
          <w:i/>
          <w:iCs/>
          <w:sz w:val="24"/>
        </w:rPr>
        <w:t>Investments</w:t>
      </w:r>
      <w:r w:rsidRPr="00992F81">
        <w:rPr>
          <w:rFonts w:ascii="Times New Roman" w:hAnsi="Times New Roman"/>
          <w:i/>
          <w:sz w:val="24"/>
        </w:rPr>
        <w:t xml:space="preserve"> </w:t>
      </w:r>
      <w:r w:rsidRPr="00992F81">
        <w:rPr>
          <w:rFonts w:ascii="Times New Roman" w:hAnsi="Times New Roman"/>
          <w:i/>
          <w:iCs/>
          <w:sz w:val="24"/>
        </w:rPr>
        <w:t>Pty Ltd v MacKellar</w:t>
      </w:r>
      <w:r w:rsidRPr="00992F81">
        <w:rPr>
          <w:rFonts w:ascii="Times New Roman" w:hAnsi="Times New Roman"/>
          <w:sz w:val="24"/>
        </w:rPr>
        <w:t xml:space="preserve"> (1981) 38 ALR 363 at 375. That passage was subsequently cited with approval and applied in </w:t>
      </w:r>
      <w:r w:rsidRPr="00992F81">
        <w:rPr>
          <w:rFonts w:ascii="Times New Roman" w:hAnsi="Times New Roman"/>
          <w:i/>
          <w:iCs/>
          <w:sz w:val="24"/>
        </w:rPr>
        <w:t>Minister for Planning v Walker</w:t>
      </w:r>
      <w:r w:rsidRPr="00992F81">
        <w:rPr>
          <w:rFonts w:ascii="Times New Roman" w:hAnsi="Times New Roman"/>
          <w:sz w:val="24"/>
        </w:rPr>
        <w:t xml:space="preserve"> (2008) 161 LGERA 423 at 449 [35].</w:t>
      </w:r>
    </w:p>
  </w:footnote>
  <w:footnote w:id="98">
    <w:p w14:paraId="3AE91A9E" w14:textId="77777777" w:rsidR="004D2653" w:rsidRPr="00992F81" w:rsidRDefault="004D2653" w:rsidP="00992F81">
      <w:pPr>
        <w:pStyle w:val="FootnoteText"/>
        <w:spacing w:line="280" w:lineRule="exact"/>
        <w:ind w:right="0"/>
        <w:jc w:val="both"/>
        <w:rPr>
          <w:rFonts w:ascii="Times New Roman" w:hAnsi="Times New Roman"/>
          <w:sz w:val="24"/>
        </w:rPr>
      </w:pPr>
      <w:r w:rsidRPr="00992F81">
        <w:rPr>
          <w:rStyle w:val="FootnoteReference"/>
          <w:rFonts w:ascii="Times New Roman" w:hAnsi="Times New Roman"/>
          <w:sz w:val="22"/>
          <w:vertAlign w:val="baseline"/>
        </w:rPr>
        <w:footnoteRef/>
      </w:r>
      <w:r w:rsidRPr="00992F81">
        <w:rPr>
          <w:rFonts w:ascii="Times New Roman" w:hAnsi="Times New Roman"/>
          <w:sz w:val="24"/>
        </w:rPr>
        <w:t xml:space="preserve"> </w:t>
      </w:r>
      <w:r w:rsidRPr="00992F81">
        <w:rPr>
          <w:rFonts w:ascii="Times New Roman" w:hAnsi="Times New Roman"/>
          <w:sz w:val="24"/>
        </w:rPr>
        <w:tab/>
      </w:r>
      <w:r w:rsidRPr="00992F81">
        <w:rPr>
          <w:rFonts w:ascii="Times New Roman" w:hAnsi="Times New Roman"/>
          <w:i/>
          <w:iCs/>
          <w:sz w:val="24"/>
        </w:rPr>
        <w:t>Notaras</w:t>
      </w:r>
      <w:r w:rsidRPr="00992F81">
        <w:rPr>
          <w:rFonts w:ascii="Times New Roman" w:hAnsi="Times New Roman"/>
          <w:sz w:val="24"/>
        </w:rPr>
        <w:t xml:space="preserve"> (2007) 161 LGERA 230 at 261 [120].</w:t>
      </w:r>
    </w:p>
  </w:footnote>
  <w:footnote w:id="99">
    <w:p w14:paraId="1BAEE083" w14:textId="77777777" w:rsidR="004D2653" w:rsidRPr="00992F81" w:rsidRDefault="004D2653" w:rsidP="00992F81">
      <w:pPr>
        <w:pStyle w:val="FootnoteText"/>
        <w:spacing w:line="280" w:lineRule="exact"/>
        <w:ind w:right="0"/>
        <w:jc w:val="both"/>
        <w:rPr>
          <w:rFonts w:ascii="Times New Roman" w:hAnsi="Times New Roman"/>
          <w:sz w:val="24"/>
        </w:rPr>
      </w:pPr>
      <w:r w:rsidRPr="00992F81">
        <w:rPr>
          <w:rStyle w:val="FootnoteReference"/>
          <w:rFonts w:ascii="Times New Roman" w:hAnsi="Times New Roman"/>
          <w:sz w:val="22"/>
          <w:vertAlign w:val="baseline"/>
        </w:rPr>
        <w:footnoteRef/>
      </w:r>
      <w:r w:rsidRPr="00992F81">
        <w:rPr>
          <w:rFonts w:ascii="Times New Roman" w:hAnsi="Times New Roman"/>
          <w:sz w:val="24"/>
        </w:rPr>
        <w:t xml:space="preserve"> </w:t>
      </w:r>
      <w:r w:rsidRPr="00992F81">
        <w:rPr>
          <w:rFonts w:ascii="Times New Roman" w:hAnsi="Times New Roman"/>
          <w:sz w:val="24"/>
        </w:rPr>
        <w:tab/>
      </w:r>
      <w:r w:rsidRPr="00992F81">
        <w:rPr>
          <w:rFonts w:ascii="Times New Roman" w:hAnsi="Times New Roman"/>
          <w:i/>
          <w:sz w:val="24"/>
        </w:rPr>
        <w:t xml:space="preserve">Upper Mooki Landcare </w:t>
      </w:r>
      <w:r w:rsidRPr="00992F81">
        <w:rPr>
          <w:rFonts w:ascii="Times New Roman" w:hAnsi="Times New Roman"/>
          <w:sz w:val="24"/>
        </w:rPr>
        <w:t>(2016) 216 LGERA 40 at 73 [136]. See also 74 [141].</w:t>
      </w:r>
    </w:p>
  </w:footnote>
  <w:footnote w:id="100">
    <w:p w14:paraId="1EE7D583" w14:textId="77777777" w:rsidR="004D2653" w:rsidRPr="00992F81" w:rsidRDefault="004D2653" w:rsidP="00992F81">
      <w:pPr>
        <w:pStyle w:val="FootnoteText"/>
        <w:spacing w:line="280" w:lineRule="exact"/>
        <w:ind w:right="0"/>
        <w:jc w:val="both"/>
        <w:rPr>
          <w:rFonts w:ascii="Times New Roman" w:hAnsi="Times New Roman"/>
          <w:sz w:val="24"/>
        </w:rPr>
      </w:pPr>
      <w:r w:rsidRPr="00992F81">
        <w:rPr>
          <w:rStyle w:val="FootnoteReference"/>
          <w:rFonts w:ascii="Times New Roman" w:hAnsi="Times New Roman"/>
          <w:sz w:val="22"/>
          <w:vertAlign w:val="baseline"/>
        </w:rPr>
        <w:footnoteRef/>
      </w:r>
      <w:r w:rsidRPr="00992F81">
        <w:rPr>
          <w:rFonts w:ascii="Times New Roman" w:hAnsi="Times New Roman"/>
          <w:sz w:val="24"/>
        </w:rPr>
        <w:t xml:space="preserve"> </w:t>
      </w:r>
      <w:r w:rsidRPr="00992F81">
        <w:rPr>
          <w:rFonts w:ascii="Times New Roman" w:hAnsi="Times New Roman"/>
          <w:sz w:val="24"/>
        </w:rPr>
        <w:tab/>
        <w:t xml:space="preserve">See, eg, </w:t>
      </w:r>
      <w:r w:rsidRPr="00992F81">
        <w:rPr>
          <w:rFonts w:ascii="Times New Roman" w:hAnsi="Times New Roman"/>
          <w:i/>
          <w:iCs/>
          <w:sz w:val="24"/>
        </w:rPr>
        <w:t>Li</w:t>
      </w:r>
      <w:r w:rsidRPr="00992F81">
        <w:rPr>
          <w:rFonts w:ascii="Times New Roman" w:hAnsi="Times New Roman"/>
          <w:sz w:val="24"/>
        </w:rPr>
        <w:t xml:space="preserve"> (2013) 249 CLR 332 at 350 [26].</w:t>
      </w:r>
    </w:p>
  </w:footnote>
  <w:footnote w:id="101">
    <w:p w14:paraId="3EF6C6DA" w14:textId="77777777" w:rsidR="004D2653" w:rsidRPr="00992F81" w:rsidRDefault="004D2653" w:rsidP="00992F81">
      <w:pPr>
        <w:pStyle w:val="FootnoteText"/>
        <w:spacing w:line="280" w:lineRule="exact"/>
        <w:ind w:right="0"/>
        <w:jc w:val="both"/>
        <w:rPr>
          <w:rFonts w:ascii="Times New Roman" w:hAnsi="Times New Roman"/>
          <w:sz w:val="24"/>
        </w:rPr>
      </w:pPr>
      <w:r w:rsidRPr="00992F81">
        <w:rPr>
          <w:rStyle w:val="FootnoteReference"/>
          <w:rFonts w:ascii="Times New Roman" w:hAnsi="Times New Roman"/>
          <w:sz w:val="22"/>
          <w:vertAlign w:val="baseline"/>
        </w:rPr>
        <w:footnoteRef/>
      </w:r>
      <w:r w:rsidRPr="00992F81">
        <w:rPr>
          <w:rFonts w:ascii="Times New Roman" w:hAnsi="Times New Roman"/>
          <w:sz w:val="24"/>
        </w:rPr>
        <w:t xml:space="preserve"> </w:t>
      </w:r>
      <w:r w:rsidRPr="00992F81">
        <w:rPr>
          <w:rFonts w:ascii="Times New Roman" w:hAnsi="Times New Roman"/>
          <w:sz w:val="24"/>
        </w:rPr>
        <w:tab/>
        <w:t>Section 7.21.3 (headed "Quantitative Assessment of Potential Greenhouse Gas Emissions").</w:t>
      </w:r>
    </w:p>
  </w:footnote>
  <w:footnote w:id="102">
    <w:p w14:paraId="1C375EE2" w14:textId="77777777" w:rsidR="004D2653" w:rsidRPr="00992F81" w:rsidRDefault="004D2653" w:rsidP="00992F81">
      <w:pPr>
        <w:pStyle w:val="FootnoteText"/>
        <w:spacing w:line="280" w:lineRule="exact"/>
        <w:ind w:right="0"/>
        <w:jc w:val="both"/>
        <w:rPr>
          <w:rFonts w:ascii="Times New Roman" w:hAnsi="Times New Roman"/>
          <w:sz w:val="24"/>
        </w:rPr>
      </w:pPr>
      <w:r w:rsidRPr="00992F81">
        <w:rPr>
          <w:rStyle w:val="FootnoteReference"/>
          <w:rFonts w:ascii="Times New Roman" w:hAnsi="Times New Roman"/>
          <w:sz w:val="22"/>
          <w:vertAlign w:val="baseline"/>
        </w:rPr>
        <w:footnoteRef/>
      </w:r>
      <w:r w:rsidRPr="00992F81">
        <w:rPr>
          <w:rFonts w:ascii="Times New Roman" w:hAnsi="Times New Roman"/>
          <w:sz w:val="24"/>
        </w:rPr>
        <w:t xml:space="preserve"> </w:t>
      </w:r>
      <w:r w:rsidRPr="00992F81">
        <w:rPr>
          <w:rFonts w:ascii="Times New Roman" w:hAnsi="Times New Roman"/>
          <w:sz w:val="24"/>
        </w:rPr>
        <w:tab/>
        <w:t>See [</w:t>
      </w:r>
      <w:r>
        <w:rPr>
          <w:rFonts w:ascii="Times New Roman" w:hAnsi="Times New Roman"/>
          <w:sz w:val="24"/>
        </w:rPr>
        <w:t>98</w:t>
      </w:r>
      <w:r w:rsidRPr="00992F81">
        <w:rPr>
          <w:rFonts w:ascii="Times New Roman" w:hAnsi="Times New Roman"/>
          <w:sz w:val="24"/>
        </w:rPr>
        <w:t>] above.</w:t>
      </w:r>
    </w:p>
  </w:footnote>
  <w:footnote w:id="103">
    <w:p w14:paraId="133FB4BC" w14:textId="77777777" w:rsidR="004D2653" w:rsidRPr="00992F81" w:rsidRDefault="004D2653" w:rsidP="00992F81">
      <w:pPr>
        <w:pStyle w:val="FootnoteText"/>
        <w:spacing w:line="280" w:lineRule="exact"/>
        <w:ind w:right="0"/>
        <w:jc w:val="both"/>
        <w:rPr>
          <w:rFonts w:ascii="Times New Roman" w:hAnsi="Times New Roman"/>
          <w:sz w:val="24"/>
        </w:rPr>
      </w:pPr>
      <w:r w:rsidRPr="00992F81">
        <w:rPr>
          <w:rStyle w:val="FootnoteReference"/>
          <w:rFonts w:ascii="Times New Roman" w:hAnsi="Times New Roman"/>
          <w:sz w:val="22"/>
          <w:vertAlign w:val="baseline"/>
        </w:rPr>
        <w:footnoteRef/>
      </w:r>
      <w:r w:rsidRPr="00992F81">
        <w:rPr>
          <w:rFonts w:ascii="Times New Roman" w:hAnsi="Times New Roman"/>
          <w:sz w:val="24"/>
        </w:rPr>
        <w:t xml:space="preserve"> </w:t>
      </w:r>
      <w:r w:rsidRPr="00992F81">
        <w:rPr>
          <w:rFonts w:ascii="Times New Roman" w:hAnsi="Times New Roman"/>
          <w:sz w:val="24"/>
        </w:rPr>
        <w:tab/>
        <w:t xml:space="preserve">Resources SEPP, cl 2.20(2) read with cl 2.20(1)(c). </w:t>
      </w:r>
    </w:p>
  </w:footnote>
  <w:footnote w:id="104">
    <w:p w14:paraId="0E053F5B" w14:textId="77777777" w:rsidR="004D2653" w:rsidRPr="00992F81" w:rsidRDefault="004D2653" w:rsidP="00992F81">
      <w:pPr>
        <w:pStyle w:val="FootnoteText"/>
        <w:spacing w:line="280" w:lineRule="exact"/>
        <w:ind w:right="0"/>
        <w:jc w:val="both"/>
        <w:rPr>
          <w:rFonts w:ascii="Times New Roman" w:hAnsi="Times New Roman"/>
          <w:sz w:val="24"/>
        </w:rPr>
      </w:pPr>
      <w:r w:rsidRPr="00992F81">
        <w:rPr>
          <w:rStyle w:val="FootnoteReference"/>
          <w:rFonts w:ascii="Times New Roman" w:hAnsi="Times New Roman"/>
          <w:sz w:val="22"/>
          <w:vertAlign w:val="baseline"/>
        </w:rPr>
        <w:footnoteRef/>
      </w:r>
      <w:r w:rsidRPr="00992F81">
        <w:rPr>
          <w:rFonts w:ascii="Times New Roman" w:hAnsi="Times New Roman"/>
          <w:sz w:val="24"/>
        </w:rPr>
        <w:t xml:space="preserve"> </w:t>
      </w:r>
      <w:r w:rsidRPr="00992F81">
        <w:rPr>
          <w:rFonts w:ascii="Times New Roman" w:hAnsi="Times New Roman"/>
          <w:sz w:val="24"/>
        </w:rPr>
        <w:tab/>
      </w:r>
      <w:r w:rsidRPr="00992F81">
        <w:rPr>
          <w:rFonts w:ascii="Times New Roman" w:hAnsi="Times New Roman"/>
          <w:i/>
          <w:iCs/>
          <w:sz w:val="24"/>
        </w:rPr>
        <w:t>LPDT v Minister for Immigration, Citizenship, Migrant Services and Multicultural Affairs</w:t>
      </w:r>
      <w:r w:rsidRPr="00992F81">
        <w:rPr>
          <w:rFonts w:ascii="Times New Roman" w:hAnsi="Times New Roman"/>
          <w:sz w:val="24"/>
        </w:rPr>
        <w:t xml:space="preserve"> (2024) 280 CLR 321 at 327 [7].</w:t>
      </w:r>
    </w:p>
  </w:footnote>
  <w:footnote w:id="105">
    <w:p w14:paraId="7A5C3C3B" w14:textId="77777777" w:rsidR="004D2653" w:rsidRPr="00992F81" w:rsidDel="009436FF" w:rsidRDefault="004D2653" w:rsidP="00992F81">
      <w:pPr>
        <w:pStyle w:val="FootnoteText"/>
        <w:spacing w:line="280" w:lineRule="exact"/>
        <w:ind w:right="0"/>
        <w:jc w:val="both"/>
        <w:rPr>
          <w:rFonts w:ascii="Times New Roman" w:hAnsi="Times New Roman"/>
          <w:sz w:val="24"/>
        </w:rPr>
      </w:pPr>
      <w:r w:rsidRPr="00992F81" w:rsidDel="009436FF">
        <w:rPr>
          <w:rStyle w:val="FootnoteReference"/>
          <w:rFonts w:ascii="Times New Roman" w:hAnsi="Times New Roman"/>
          <w:sz w:val="22"/>
          <w:vertAlign w:val="baseline"/>
        </w:rPr>
        <w:footnoteRef/>
      </w:r>
      <w:r w:rsidRPr="00992F81" w:rsidDel="009436FF">
        <w:rPr>
          <w:rFonts w:ascii="Times New Roman" w:hAnsi="Times New Roman"/>
          <w:sz w:val="24"/>
        </w:rPr>
        <w:t xml:space="preserve"> </w:t>
      </w:r>
      <w:r w:rsidRPr="00992F81" w:rsidDel="009436FF">
        <w:rPr>
          <w:rFonts w:ascii="Times New Roman" w:hAnsi="Times New Roman"/>
          <w:sz w:val="24"/>
        </w:rPr>
        <w:tab/>
        <w:t xml:space="preserve">See </w:t>
      </w:r>
      <w:r w:rsidRPr="00992F81" w:rsidDel="009436FF">
        <w:rPr>
          <w:rFonts w:ascii="Times New Roman" w:hAnsi="Times New Roman"/>
          <w:i/>
          <w:sz w:val="24"/>
        </w:rPr>
        <w:t>Mullaley Gas and Pipeline Accord Inc v Santos NSW (Eastern) Pty Ltd</w:t>
      </w:r>
      <w:r w:rsidRPr="00992F81" w:rsidDel="009436FF">
        <w:rPr>
          <w:rFonts w:ascii="Times New Roman" w:hAnsi="Times New Roman"/>
          <w:sz w:val="24"/>
        </w:rPr>
        <w:t xml:space="preserve"> (2021) 252 LGERA 221 at 246-247 [97]-[101].</w:t>
      </w:r>
    </w:p>
  </w:footnote>
  <w:footnote w:id="106">
    <w:p w14:paraId="3F7F89C9" w14:textId="77777777" w:rsidR="004D2653" w:rsidRPr="00992F81" w:rsidRDefault="004D2653" w:rsidP="00992F81">
      <w:pPr>
        <w:pStyle w:val="FootnoteText"/>
        <w:spacing w:line="280" w:lineRule="exact"/>
        <w:ind w:right="0"/>
        <w:jc w:val="both"/>
        <w:rPr>
          <w:rFonts w:ascii="Times New Roman" w:hAnsi="Times New Roman"/>
          <w:sz w:val="24"/>
        </w:rPr>
      </w:pPr>
      <w:r w:rsidRPr="00992F81">
        <w:rPr>
          <w:rStyle w:val="FootnoteReference"/>
          <w:rFonts w:ascii="Times New Roman" w:hAnsi="Times New Roman"/>
          <w:sz w:val="22"/>
          <w:vertAlign w:val="baseline"/>
        </w:rPr>
        <w:footnoteRef/>
      </w:r>
      <w:r w:rsidRPr="00992F81">
        <w:rPr>
          <w:rFonts w:ascii="Times New Roman" w:hAnsi="Times New Roman"/>
          <w:sz w:val="24"/>
        </w:rPr>
        <w:t xml:space="preserve"> </w:t>
      </w:r>
      <w:r w:rsidRPr="00992F81">
        <w:rPr>
          <w:rFonts w:ascii="Times New Roman" w:hAnsi="Times New Roman"/>
          <w:sz w:val="24"/>
        </w:rPr>
        <w:tab/>
        <w:t xml:space="preserve">(2021) 252 LGERA 221 at 246-247 [97]-[101]. </w:t>
      </w:r>
    </w:p>
  </w:footnote>
  <w:footnote w:id="107">
    <w:p w14:paraId="1AD5C2A8" w14:textId="77777777" w:rsidR="004D2653" w:rsidRPr="00992F81" w:rsidRDefault="004D2653" w:rsidP="00992F81">
      <w:pPr>
        <w:pStyle w:val="FootnoteText"/>
        <w:spacing w:line="280" w:lineRule="exact"/>
        <w:ind w:right="0"/>
        <w:jc w:val="both"/>
        <w:rPr>
          <w:rFonts w:ascii="Times New Roman" w:hAnsi="Times New Roman"/>
          <w:sz w:val="24"/>
        </w:rPr>
      </w:pPr>
      <w:r w:rsidRPr="00992F81">
        <w:rPr>
          <w:rStyle w:val="FootnoteReference"/>
          <w:rFonts w:ascii="Times New Roman" w:hAnsi="Times New Roman"/>
          <w:sz w:val="22"/>
          <w:vertAlign w:val="baseline"/>
        </w:rPr>
        <w:footnoteRef/>
      </w:r>
      <w:r w:rsidRPr="00992F81">
        <w:rPr>
          <w:rFonts w:ascii="Times New Roman" w:hAnsi="Times New Roman"/>
          <w:sz w:val="24"/>
        </w:rPr>
        <w:t xml:space="preserve"> </w:t>
      </w:r>
      <w:r w:rsidRPr="00992F81">
        <w:rPr>
          <w:rFonts w:ascii="Times New Roman" w:hAnsi="Times New Roman"/>
          <w:sz w:val="24"/>
        </w:rPr>
        <w:tab/>
      </w:r>
      <w:r w:rsidRPr="00992F81">
        <w:rPr>
          <w:rFonts w:ascii="Times New Roman" w:hAnsi="Times New Roman"/>
          <w:i/>
          <w:sz w:val="24"/>
        </w:rPr>
        <w:t xml:space="preserve">Mullaley </w:t>
      </w:r>
      <w:r w:rsidRPr="00992F81">
        <w:rPr>
          <w:rFonts w:ascii="Times New Roman" w:hAnsi="Times New Roman"/>
          <w:sz w:val="24"/>
        </w:rPr>
        <w:t>(2021) 252 LGERA 221 at 236 [42].</w:t>
      </w:r>
    </w:p>
  </w:footnote>
  <w:footnote w:id="108">
    <w:p w14:paraId="15996A52" w14:textId="77777777" w:rsidR="004D2653" w:rsidRPr="00992F81" w:rsidRDefault="004D2653" w:rsidP="00992F81">
      <w:pPr>
        <w:pStyle w:val="FootnoteText"/>
        <w:spacing w:line="280" w:lineRule="exact"/>
        <w:ind w:right="0"/>
        <w:jc w:val="both"/>
        <w:rPr>
          <w:rFonts w:ascii="Times New Roman" w:hAnsi="Times New Roman"/>
          <w:sz w:val="24"/>
        </w:rPr>
      </w:pPr>
      <w:r w:rsidRPr="00992F81">
        <w:rPr>
          <w:rStyle w:val="FootnoteReference"/>
          <w:rFonts w:ascii="Times New Roman" w:hAnsi="Times New Roman"/>
          <w:sz w:val="22"/>
          <w:vertAlign w:val="baseline"/>
        </w:rPr>
        <w:footnoteRef/>
      </w:r>
      <w:r w:rsidRPr="00992F81">
        <w:rPr>
          <w:rFonts w:ascii="Times New Roman" w:hAnsi="Times New Roman"/>
          <w:sz w:val="24"/>
        </w:rPr>
        <w:t xml:space="preserve"> </w:t>
      </w:r>
      <w:r w:rsidRPr="00992F81">
        <w:rPr>
          <w:rFonts w:ascii="Times New Roman" w:hAnsi="Times New Roman"/>
          <w:sz w:val="24"/>
        </w:rPr>
        <w:tab/>
      </w:r>
      <w:r w:rsidRPr="00992F81">
        <w:rPr>
          <w:rFonts w:ascii="Times New Roman" w:eastAsia="Calibri" w:hAnsi="Times New Roman"/>
          <w:i/>
          <w:sz w:val="24"/>
        </w:rPr>
        <w:t>Mullaley</w:t>
      </w:r>
      <w:r w:rsidRPr="00992F81">
        <w:rPr>
          <w:rFonts w:ascii="Times New Roman" w:hAnsi="Times New Roman"/>
          <w:sz w:val="24"/>
        </w:rPr>
        <w:t xml:space="preserve"> (2021) 252 LGERA 221 at 234-235 [37], 236 [42].</w:t>
      </w:r>
    </w:p>
  </w:footnote>
  <w:footnote w:id="109">
    <w:p w14:paraId="3990839D" w14:textId="77777777" w:rsidR="004D2653" w:rsidRPr="00992F81" w:rsidRDefault="004D2653" w:rsidP="00992F81">
      <w:pPr>
        <w:pStyle w:val="FootnoteText"/>
        <w:spacing w:line="280" w:lineRule="exact"/>
        <w:ind w:right="0"/>
        <w:jc w:val="both"/>
        <w:rPr>
          <w:rFonts w:ascii="Times New Roman" w:hAnsi="Times New Roman"/>
          <w:sz w:val="24"/>
        </w:rPr>
      </w:pPr>
      <w:r w:rsidRPr="00992F81">
        <w:rPr>
          <w:rStyle w:val="FootnoteReference"/>
          <w:rFonts w:ascii="Times New Roman" w:hAnsi="Times New Roman"/>
          <w:sz w:val="22"/>
          <w:vertAlign w:val="baseline"/>
        </w:rPr>
        <w:footnoteRef/>
      </w:r>
      <w:r w:rsidRPr="00992F81">
        <w:rPr>
          <w:rFonts w:ascii="Times New Roman" w:hAnsi="Times New Roman"/>
          <w:sz w:val="24"/>
        </w:rPr>
        <w:t xml:space="preserve"> </w:t>
      </w:r>
      <w:r w:rsidRPr="00992F81">
        <w:rPr>
          <w:rFonts w:ascii="Times New Roman" w:hAnsi="Times New Roman"/>
          <w:sz w:val="24"/>
        </w:rPr>
        <w:tab/>
      </w:r>
      <w:r w:rsidRPr="00992F81">
        <w:rPr>
          <w:rFonts w:ascii="Times New Roman" w:eastAsia="Calibri" w:hAnsi="Times New Roman"/>
          <w:i/>
          <w:sz w:val="24"/>
        </w:rPr>
        <w:t>Mullaley</w:t>
      </w:r>
      <w:r w:rsidRPr="00992F81">
        <w:rPr>
          <w:rFonts w:ascii="Times New Roman" w:hAnsi="Times New Roman"/>
          <w:sz w:val="24"/>
        </w:rPr>
        <w:t xml:space="preserve"> (2021) 252 LGERA 221 at 249-250 [110]-[111].</w:t>
      </w:r>
    </w:p>
  </w:footnote>
  <w:footnote w:id="110">
    <w:p w14:paraId="7815DDDF" w14:textId="77777777" w:rsidR="004D2653" w:rsidRPr="00992F81" w:rsidRDefault="004D2653" w:rsidP="00992F81">
      <w:pPr>
        <w:pStyle w:val="FootnoteText"/>
        <w:spacing w:line="280" w:lineRule="exact"/>
        <w:ind w:right="0"/>
        <w:jc w:val="both"/>
        <w:rPr>
          <w:rFonts w:ascii="Times New Roman" w:hAnsi="Times New Roman"/>
          <w:sz w:val="24"/>
        </w:rPr>
      </w:pPr>
      <w:r w:rsidRPr="00992F81">
        <w:rPr>
          <w:rStyle w:val="FootnoteReference"/>
          <w:rFonts w:ascii="Times New Roman" w:hAnsi="Times New Roman"/>
          <w:sz w:val="22"/>
          <w:vertAlign w:val="baseline"/>
        </w:rPr>
        <w:footnoteRef/>
      </w:r>
      <w:r w:rsidRPr="00992F81">
        <w:rPr>
          <w:rFonts w:ascii="Times New Roman" w:hAnsi="Times New Roman"/>
          <w:sz w:val="24"/>
        </w:rPr>
        <w:t xml:space="preserve"> </w:t>
      </w:r>
      <w:r w:rsidRPr="00992F81">
        <w:rPr>
          <w:rFonts w:ascii="Times New Roman" w:hAnsi="Times New Roman"/>
          <w:sz w:val="24"/>
        </w:rPr>
        <w:tab/>
      </w:r>
      <w:r w:rsidRPr="00992F81">
        <w:rPr>
          <w:rFonts w:ascii="Times New Roman" w:hAnsi="Times New Roman"/>
          <w:i/>
          <w:iCs/>
          <w:sz w:val="24"/>
        </w:rPr>
        <w:t xml:space="preserve">DVO16 v Minister for Immigration and Border Protection </w:t>
      </w:r>
      <w:r w:rsidRPr="00992F81">
        <w:rPr>
          <w:rFonts w:ascii="Times New Roman" w:hAnsi="Times New Roman"/>
          <w:sz w:val="24"/>
        </w:rPr>
        <w:t xml:space="preserve">(2021) 273 CLR 177 at 189 [12], 213 [77], quoting </w:t>
      </w:r>
      <w:r w:rsidRPr="00992F81">
        <w:rPr>
          <w:rFonts w:ascii="Times New Roman" w:hAnsi="Times New Roman"/>
          <w:i/>
          <w:iCs/>
          <w:sz w:val="24"/>
        </w:rPr>
        <w:t xml:space="preserve">Singh v Minister for Immigration and Multicultural Affairs </w:t>
      </w:r>
      <w:r w:rsidRPr="00992F81">
        <w:rPr>
          <w:rFonts w:ascii="Times New Roman" w:hAnsi="Times New Roman"/>
          <w:sz w:val="24"/>
        </w:rPr>
        <w:t>(2001) 109 FCR 152 at 164 [59].</w:t>
      </w:r>
    </w:p>
  </w:footnote>
  <w:footnote w:id="111">
    <w:p w14:paraId="79EDAAEB" w14:textId="77777777" w:rsidR="004D2653" w:rsidRPr="00992F81" w:rsidRDefault="004D2653" w:rsidP="00992F81">
      <w:pPr>
        <w:pStyle w:val="FootnoteText"/>
        <w:spacing w:line="280" w:lineRule="exact"/>
        <w:ind w:right="0"/>
        <w:jc w:val="both"/>
        <w:rPr>
          <w:rFonts w:ascii="Times New Roman" w:hAnsi="Times New Roman"/>
          <w:sz w:val="24"/>
        </w:rPr>
      </w:pPr>
      <w:r w:rsidRPr="00992F81">
        <w:rPr>
          <w:rStyle w:val="FootnoteReference"/>
          <w:rFonts w:ascii="Times New Roman" w:hAnsi="Times New Roman"/>
          <w:sz w:val="22"/>
          <w:vertAlign w:val="baseline"/>
        </w:rPr>
        <w:footnoteRef/>
      </w:r>
      <w:r w:rsidRPr="00992F81">
        <w:rPr>
          <w:rFonts w:ascii="Times New Roman" w:hAnsi="Times New Roman"/>
          <w:sz w:val="24"/>
        </w:rPr>
        <w:t xml:space="preserve"> </w:t>
      </w:r>
      <w:r w:rsidRPr="00992F81">
        <w:rPr>
          <w:rFonts w:ascii="Times New Roman" w:hAnsi="Times New Roman"/>
          <w:sz w:val="24"/>
        </w:rPr>
        <w:tab/>
      </w:r>
      <w:r w:rsidRPr="00992F81">
        <w:rPr>
          <w:rFonts w:ascii="Times New Roman" w:hAnsi="Times New Roman"/>
          <w:i/>
          <w:iCs/>
          <w:sz w:val="24"/>
        </w:rPr>
        <w:t xml:space="preserve">Minister for Immigration, Citizenship and Multicultural Affairs v McQueen </w:t>
      </w:r>
      <w:r w:rsidRPr="00992F81">
        <w:rPr>
          <w:rFonts w:ascii="Times New Roman" w:hAnsi="Times New Roman"/>
          <w:sz w:val="24"/>
        </w:rPr>
        <w:t xml:space="preserve">(2024) 282 CLR 1 at 9 [6(a)], citing </w:t>
      </w:r>
      <w:r w:rsidRPr="00992F81">
        <w:rPr>
          <w:rFonts w:ascii="Times New Roman" w:hAnsi="Times New Roman"/>
          <w:i/>
          <w:iCs/>
          <w:sz w:val="24"/>
        </w:rPr>
        <w:t xml:space="preserve">Plaintiff M1/2021 v Minister for Home Affairs </w:t>
      </w:r>
      <w:r w:rsidRPr="00992F81">
        <w:rPr>
          <w:rFonts w:ascii="Times New Roman" w:hAnsi="Times New Roman"/>
          <w:sz w:val="24"/>
        </w:rPr>
        <w:t>(2022) 275 CLR 582 at 599-600 [26].</w:t>
      </w:r>
    </w:p>
  </w:footnote>
  <w:footnote w:id="112">
    <w:p w14:paraId="2DC303C4" w14:textId="77777777" w:rsidR="004D2653" w:rsidRPr="00992F81" w:rsidRDefault="004D2653" w:rsidP="00992F81">
      <w:pPr>
        <w:pStyle w:val="FootnoteText"/>
        <w:spacing w:line="280" w:lineRule="exact"/>
        <w:ind w:right="0"/>
        <w:jc w:val="both"/>
        <w:rPr>
          <w:rFonts w:ascii="Times New Roman" w:hAnsi="Times New Roman"/>
          <w:i/>
          <w:iCs/>
          <w:sz w:val="24"/>
        </w:rPr>
      </w:pPr>
      <w:r w:rsidRPr="00992F81">
        <w:rPr>
          <w:rStyle w:val="FootnoteReference"/>
          <w:rFonts w:ascii="Times New Roman" w:hAnsi="Times New Roman"/>
          <w:sz w:val="22"/>
          <w:vertAlign w:val="baseline"/>
        </w:rPr>
        <w:footnoteRef/>
      </w:r>
      <w:r w:rsidRPr="00992F81">
        <w:rPr>
          <w:rFonts w:ascii="Times New Roman" w:hAnsi="Times New Roman"/>
          <w:sz w:val="24"/>
        </w:rPr>
        <w:t xml:space="preserve"> </w:t>
      </w:r>
      <w:r w:rsidRPr="00992F81">
        <w:rPr>
          <w:rFonts w:ascii="Times New Roman" w:hAnsi="Times New Roman"/>
          <w:sz w:val="24"/>
        </w:rPr>
        <w:tab/>
      </w:r>
      <w:r w:rsidRPr="00992F81">
        <w:rPr>
          <w:rFonts w:ascii="Times New Roman" w:hAnsi="Times New Roman"/>
          <w:i/>
          <w:sz w:val="24"/>
        </w:rPr>
        <w:t xml:space="preserve">LPDT </w:t>
      </w:r>
      <w:r w:rsidRPr="00992F81">
        <w:rPr>
          <w:rFonts w:ascii="Times New Roman" w:hAnsi="Times New Roman"/>
          <w:sz w:val="24"/>
        </w:rPr>
        <w:t>(2024) 280 CLR 321 at 327-328 [9]-[10], [13].</w:t>
      </w:r>
    </w:p>
  </w:footnote>
  <w:footnote w:id="113">
    <w:p w14:paraId="2D743C90" w14:textId="77777777" w:rsidR="004D2653" w:rsidRPr="00992F81" w:rsidRDefault="004D2653" w:rsidP="00992F81">
      <w:pPr>
        <w:pStyle w:val="FootnoteText"/>
        <w:spacing w:line="280" w:lineRule="exact"/>
        <w:ind w:right="0"/>
        <w:jc w:val="both"/>
        <w:rPr>
          <w:rFonts w:ascii="Times New Roman" w:hAnsi="Times New Roman"/>
          <w:sz w:val="24"/>
        </w:rPr>
      </w:pPr>
      <w:r w:rsidRPr="00992F81">
        <w:rPr>
          <w:rStyle w:val="FootnoteReference"/>
          <w:rFonts w:ascii="Times New Roman" w:hAnsi="Times New Roman"/>
          <w:sz w:val="22"/>
          <w:vertAlign w:val="baseline"/>
        </w:rPr>
        <w:footnoteRef/>
      </w:r>
      <w:r w:rsidRPr="00992F81">
        <w:rPr>
          <w:rFonts w:ascii="Times New Roman" w:hAnsi="Times New Roman"/>
          <w:sz w:val="24"/>
        </w:rPr>
        <w:t xml:space="preserve"> </w:t>
      </w:r>
      <w:r w:rsidRPr="00992F81">
        <w:rPr>
          <w:rFonts w:ascii="Times New Roman" w:hAnsi="Times New Roman"/>
          <w:sz w:val="24"/>
        </w:rPr>
        <w:tab/>
        <w:t>See [</w:t>
      </w:r>
      <w:r>
        <w:rPr>
          <w:rFonts w:ascii="Times New Roman" w:hAnsi="Times New Roman"/>
          <w:sz w:val="24"/>
        </w:rPr>
        <w:t>89</w:t>
      </w:r>
      <w:r w:rsidRPr="00992F81">
        <w:rPr>
          <w:rFonts w:ascii="Times New Roman" w:hAnsi="Times New Roman"/>
          <w:sz w:val="24"/>
        </w:rPr>
        <w:t xml:space="preserve">] above. </w:t>
      </w:r>
    </w:p>
  </w:footnote>
  <w:footnote w:id="114">
    <w:p w14:paraId="5F44294B" w14:textId="77777777" w:rsidR="004D2653" w:rsidRPr="00992F81" w:rsidRDefault="004D2653" w:rsidP="00992F81">
      <w:pPr>
        <w:pStyle w:val="FootnoteText"/>
        <w:spacing w:line="280" w:lineRule="exact"/>
        <w:ind w:right="0"/>
        <w:jc w:val="both"/>
        <w:rPr>
          <w:rFonts w:ascii="Times New Roman" w:hAnsi="Times New Roman"/>
          <w:sz w:val="24"/>
        </w:rPr>
      </w:pPr>
      <w:r w:rsidRPr="00992F81">
        <w:rPr>
          <w:rStyle w:val="FootnoteReference"/>
          <w:rFonts w:ascii="Times New Roman" w:hAnsi="Times New Roman"/>
          <w:sz w:val="22"/>
          <w:vertAlign w:val="baseline"/>
        </w:rPr>
        <w:footnoteRef/>
      </w:r>
      <w:r w:rsidRPr="00992F81">
        <w:rPr>
          <w:rFonts w:ascii="Times New Roman" w:hAnsi="Times New Roman"/>
          <w:sz w:val="24"/>
        </w:rPr>
        <w:t xml:space="preserve"> </w:t>
      </w:r>
      <w:r w:rsidRPr="00992F81">
        <w:rPr>
          <w:rFonts w:ascii="Times New Roman" w:hAnsi="Times New Roman"/>
          <w:sz w:val="24"/>
        </w:rPr>
        <w:tab/>
        <w:t>See [</w:t>
      </w:r>
      <w:r>
        <w:rPr>
          <w:rFonts w:ascii="Times New Roman" w:hAnsi="Times New Roman"/>
          <w:sz w:val="24"/>
        </w:rPr>
        <w:t>90</w:t>
      </w:r>
      <w:r w:rsidRPr="00992F81">
        <w:rPr>
          <w:rFonts w:ascii="Times New Roman" w:hAnsi="Times New Roman"/>
          <w:sz w:val="24"/>
        </w:rPr>
        <w:t>]-[</w:t>
      </w:r>
      <w:r>
        <w:rPr>
          <w:rFonts w:ascii="Times New Roman" w:hAnsi="Times New Roman"/>
          <w:sz w:val="24"/>
        </w:rPr>
        <w:t>111</w:t>
      </w:r>
      <w:r w:rsidRPr="00992F81">
        <w:rPr>
          <w:rFonts w:ascii="Times New Roman" w:hAnsi="Times New Roman"/>
          <w:sz w:val="24"/>
        </w:rPr>
        <w:t>] above.</w:t>
      </w:r>
    </w:p>
  </w:footnote>
  <w:footnote w:id="115">
    <w:p w14:paraId="54F0F8F0" w14:textId="77777777" w:rsidR="004D2653" w:rsidRPr="00992F81" w:rsidRDefault="004D2653" w:rsidP="00992F81">
      <w:pPr>
        <w:pStyle w:val="FootnoteText"/>
        <w:spacing w:line="280" w:lineRule="exact"/>
        <w:ind w:right="0"/>
        <w:jc w:val="both"/>
        <w:rPr>
          <w:rFonts w:ascii="Times New Roman" w:hAnsi="Times New Roman"/>
          <w:sz w:val="24"/>
        </w:rPr>
      </w:pPr>
      <w:r w:rsidRPr="00992F81">
        <w:rPr>
          <w:rStyle w:val="FootnoteReference"/>
          <w:rFonts w:ascii="Times New Roman" w:hAnsi="Times New Roman"/>
          <w:sz w:val="22"/>
          <w:vertAlign w:val="baseline"/>
        </w:rPr>
        <w:footnoteRef/>
      </w:r>
      <w:r w:rsidRPr="00992F81">
        <w:rPr>
          <w:rFonts w:ascii="Times New Roman" w:hAnsi="Times New Roman"/>
          <w:sz w:val="24"/>
        </w:rPr>
        <w:t xml:space="preserve"> </w:t>
      </w:r>
      <w:r w:rsidRPr="00992F81">
        <w:rPr>
          <w:rFonts w:ascii="Times New Roman" w:hAnsi="Times New Roman"/>
          <w:sz w:val="24"/>
        </w:rPr>
        <w:tab/>
        <w:t>See [</w:t>
      </w:r>
      <w:r>
        <w:rPr>
          <w:rFonts w:ascii="Times New Roman" w:hAnsi="Times New Roman"/>
          <w:sz w:val="24"/>
        </w:rPr>
        <w:t>95</w:t>
      </w:r>
      <w:r w:rsidRPr="00992F81">
        <w:rPr>
          <w:rFonts w:ascii="Times New Roman" w:hAnsi="Times New Roman"/>
          <w:sz w:val="24"/>
        </w:rPr>
        <w:t>]-[</w:t>
      </w:r>
      <w:r>
        <w:rPr>
          <w:rFonts w:ascii="Times New Roman" w:hAnsi="Times New Roman"/>
          <w:sz w:val="24"/>
        </w:rPr>
        <w:t>96</w:t>
      </w:r>
      <w:r w:rsidRPr="00992F81">
        <w:rPr>
          <w:rFonts w:ascii="Times New Roman" w:hAnsi="Times New Roman"/>
          <w:sz w:val="24"/>
        </w:rPr>
        <w:t>] above.</w:t>
      </w:r>
    </w:p>
  </w:footnote>
  <w:footnote w:id="116">
    <w:p w14:paraId="3B8AEF19" w14:textId="77777777" w:rsidR="004D2653" w:rsidRPr="00992F81" w:rsidRDefault="004D2653" w:rsidP="00992F81">
      <w:pPr>
        <w:pStyle w:val="FootnoteText"/>
        <w:spacing w:line="280" w:lineRule="exact"/>
        <w:ind w:right="0"/>
        <w:jc w:val="both"/>
        <w:rPr>
          <w:rFonts w:ascii="Times New Roman" w:hAnsi="Times New Roman"/>
          <w:b/>
          <w:bCs/>
          <w:sz w:val="24"/>
          <w:szCs w:val="20"/>
        </w:rPr>
      </w:pPr>
      <w:r w:rsidRPr="00992F81">
        <w:rPr>
          <w:rStyle w:val="FootnoteReference"/>
          <w:rFonts w:ascii="Times New Roman" w:hAnsi="Times New Roman"/>
          <w:sz w:val="22"/>
          <w:szCs w:val="20"/>
          <w:vertAlign w:val="baseline"/>
        </w:rPr>
        <w:footnoteRef/>
      </w:r>
      <w:r w:rsidRPr="00992F81">
        <w:rPr>
          <w:rFonts w:ascii="Times New Roman" w:hAnsi="Times New Roman"/>
          <w:sz w:val="24"/>
          <w:szCs w:val="20"/>
        </w:rPr>
        <w:t xml:space="preserve"> </w:t>
      </w:r>
      <w:r w:rsidRPr="00992F81">
        <w:rPr>
          <w:rFonts w:ascii="Times New Roman" w:hAnsi="Times New Roman"/>
          <w:sz w:val="24"/>
          <w:szCs w:val="20"/>
        </w:rPr>
        <w:tab/>
        <w:t>See, eg, condition A32 (requirement that all plant and equipment "used on site, or</w:t>
      </w:r>
      <w:r>
        <w:rPr>
          <w:rFonts w:ascii="Times New Roman" w:hAnsi="Times New Roman"/>
          <w:sz w:val="24"/>
          <w:szCs w:val="20"/>
        </w:rPr>
        <w:t> </w:t>
      </w:r>
      <w:r w:rsidRPr="00992F81">
        <w:rPr>
          <w:rFonts w:ascii="Times New Roman" w:hAnsi="Times New Roman"/>
          <w:sz w:val="24"/>
          <w:szCs w:val="20"/>
        </w:rPr>
        <w:t>to monitor the performance of the development" must be maintained and operated in a</w:t>
      </w:r>
      <w:r>
        <w:rPr>
          <w:rFonts w:ascii="Times New Roman" w:hAnsi="Times New Roman"/>
          <w:sz w:val="24"/>
          <w:szCs w:val="20"/>
        </w:rPr>
        <w:t> </w:t>
      </w:r>
      <w:r w:rsidRPr="00992F81">
        <w:rPr>
          <w:rFonts w:ascii="Times New Roman" w:hAnsi="Times New Roman"/>
          <w:sz w:val="24"/>
          <w:szCs w:val="20"/>
        </w:rPr>
        <w:t>"proper and efficient" condition or manner).</w:t>
      </w:r>
    </w:p>
  </w:footnote>
  <w:footnote w:id="117">
    <w:p w14:paraId="5C0358BD" w14:textId="77777777" w:rsidR="004D2653" w:rsidRPr="00992F81" w:rsidRDefault="004D2653" w:rsidP="00992F81">
      <w:pPr>
        <w:pStyle w:val="FootnoteText"/>
        <w:spacing w:line="280" w:lineRule="exact"/>
        <w:ind w:right="0"/>
        <w:jc w:val="both"/>
        <w:rPr>
          <w:rFonts w:ascii="Times New Roman" w:hAnsi="Times New Roman"/>
          <w:b/>
          <w:bCs/>
          <w:sz w:val="24"/>
        </w:rPr>
      </w:pPr>
      <w:r w:rsidRPr="00992F81">
        <w:rPr>
          <w:rStyle w:val="FootnoteReference"/>
          <w:rFonts w:ascii="Times New Roman" w:hAnsi="Times New Roman"/>
          <w:sz w:val="22"/>
          <w:szCs w:val="20"/>
          <w:vertAlign w:val="baseline"/>
        </w:rPr>
        <w:footnoteRef/>
      </w:r>
      <w:r w:rsidRPr="00992F81">
        <w:rPr>
          <w:rFonts w:ascii="Times New Roman" w:hAnsi="Times New Roman"/>
          <w:sz w:val="24"/>
          <w:szCs w:val="20"/>
        </w:rPr>
        <w:t xml:space="preserve"> </w:t>
      </w:r>
      <w:r w:rsidRPr="00992F81">
        <w:rPr>
          <w:rFonts w:ascii="Times New Roman" w:hAnsi="Times New Roman"/>
          <w:sz w:val="24"/>
          <w:szCs w:val="20"/>
        </w:rPr>
        <w:tab/>
        <w:t>See, eg, condition B22(a)(iii) (requirement to minimise "blast-related dust and fume emissions").</w:t>
      </w:r>
    </w:p>
  </w:footnote>
  <w:footnote w:id="118">
    <w:p w14:paraId="07702F84" w14:textId="77777777" w:rsidR="004D2653" w:rsidRPr="00992F81" w:rsidRDefault="004D2653" w:rsidP="00992F81">
      <w:pPr>
        <w:pStyle w:val="FootnoteText"/>
        <w:spacing w:line="280" w:lineRule="exact"/>
        <w:ind w:right="0"/>
        <w:jc w:val="both"/>
        <w:rPr>
          <w:rFonts w:ascii="Times New Roman" w:hAnsi="Times New Roman"/>
          <w:sz w:val="24"/>
        </w:rPr>
      </w:pPr>
      <w:r w:rsidRPr="00992F81">
        <w:rPr>
          <w:rStyle w:val="FootnoteReference"/>
          <w:rFonts w:ascii="Times New Roman" w:hAnsi="Times New Roman"/>
          <w:sz w:val="22"/>
          <w:vertAlign w:val="baseline"/>
        </w:rPr>
        <w:footnoteRef/>
      </w:r>
      <w:r w:rsidRPr="00992F81">
        <w:rPr>
          <w:rFonts w:ascii="Times New Roman" w:hAnsi="Times New Roman"/>
          <w:sz w:val="24"/>
        </w:rPr>
        <w:t xml:space="preserve"> </w:t>
      </w:r>
      <w:r w:rsidRPr="00992F81">
        <w:rPr>
          <w:rFonts w:ascii="Times New Roman" w:hAnsi="Times New Roman"/>
          <w:sz w:val="24"/>
        </w:rPr>
        <w:tab/>
        <w:t>See [</w:t>
      </w:r>
      <w:r>
        <w:rPr>
          <w:rFonts w:ascii="Times New Roman" w:hAnsi="Times New Roman"/>
          <w:sz w:val="24"/>
        </w:rPr>
        <w:t>95</w:t>
      </w:r>
      <w:r w:rsidRPr="00992F81">
        <w:rPr>
          <w:rFonts w:ascii="Times New Roman" w:hAnsi="Times New Roman"/>
          <w:sz w:val="24"/>
        </w:rPr>
        <w:t>]-[</w:t>
      </w:r>
      <w:r>
        <w:rPr>
          <w:rFonts w:ascii="Times New Roman" w:hAnsi="Times New Roman"/>
          <w:sz w:val="24"/>
        </w:rPr>
        <w:t>96</w:t>
      </w:r>
      <w:r w:rsidRPr="00992F81">
        <w:rPr>
          <w:rFonts w:ascii="Times New Roman" w:hAnsi="Times New Roman"/>
          <w:sz w:val="24"/>
        </w:rPr>
        <w:t>] above.</w:t>
      </w:r>
    </w:p>
  </w:footnote>
  <w:footnote w:id="119">
    <w:p w14:paraId="75DBA128" w14:textId="77777777" w:rsidR="004D2653" w:rsidRPr="00992F81" w:rsidRDefault="004D2653" w:rsidP="00992F81">
      <w:pPr>
        <w:pStyle w:val="FootnoteText"/>
        <w:spacing w:line="280" w:lineRule="exact"/>
        <w:ind w:right="0"/>
        <w:jc w:val="both"/>
        <w:rPr>
          <w:rFonts w:ascii="Times New Roman" w:hAnsi="Times New Roman"/>
          <w:sz w:val="24"/>
        </w:rPr>
      </w:pPr>
      <w:r w:rsidRPr="00992F81">
        <w:rPr>
          <w:rStyle w:val="FootnoteReference"/>
          <w:rFonts w:ascii="Times New Roman" w:hAnsi="Times New Roman"/>
          <w:sz w:val="22"/>
          <w:vertAlign w:val="baseline"/>
        </w:rPr>
        <w:footnoteRef/>
      </w:r>
      <w:r w:rsidRPr="00992F81">
        <w:rPr>
          <w:rFonts w:ascii="Times New Roman" w:hAnsi="Times New Roman"/>
          <w:sz w:val="24"/>
        </w:rPr>
        <w:t xml:space="preserve"> </w:t>
      </w:r>
      <w:r w:rsidRPr="00992F81">
        <w:rPr>
          <w:rFonts w:ascii="Times New Roman" w:hAnsi="Times New Roman"/>
          <w:sz w:val="24"/>
        </w:rPr>
        <w:tab/>
      </w:r>
      <w:r w:rsidRPr="00992F81">
        <w:rPr>
          <w:rFonts w:ascii="Times New Roman" w:hAnsi="Times New Roman"/>
          <w:sz w:val="24"/>
          <w:szCs w:val="20"/>
        </w:rPr>
        <w:t>See [</w:t>
      </w:r>
      <w:r>
        <w:rPr>
          <w:rFonts w:ascii="Times New Roman" w:hAnsi="Times New Roman"/>
          <w:sz w:val="24"/>
          <w:szCs w:val="20"/>
        </w:rPr>
        <w:t>92</w:t>
      </w:r>
      <w:r w:rsidRPr="00992F81" w:rsidDel="004970E4">
        <w:rPr>
          <w:rFonts w:ascii="Times New Roman" w:hAnsi="Times New Roman"/>
          <w:sz w:val="24"/>
          <w:szCs w:val="20"/>
        </w:rPr>
        <w:t>]</w:t>
      </w:r>
      <w:r w:rsidRPr="00992F81">
        <w:rPr>
          <w:rFonts w:ascii="Times New Roman" w:hAnsi="Times New Roman"/>
          <w:sz w:val="24"/>
          <w:szCs w:val="20"/>
        </w:rPr>
        <w:t xml:space="preserve"> above.</w:t>
      </w:r>
    </w:p>
  </w:footnote>
  <w:footnote w:id="120">
    <w:p w14:paraId="05C2834E" w14:textId="77777777" w:rsidR="004D2653" w:rsidRPr="00992F81" w:rsidRDefault="004D2653" w:rsidP="00992F81">
      <w:pPr>
        <w:pStyle w:val="FootnoteText"/>
        <w:spacing w:line="280" w:lineRule="exact"/>
        <w:ind w:right="0"/>
        <w:jc w:val="both"/>
        <w:rPr>
          <w:rFonts w:ascii="Times New Roman" w:hAnsi="Times New Roman"/>
          <w:sz w:val="24"/>
        </w:rPr>
      </w:pPr>
      <w:r w:rsidRPr="00992F81">
        <w:rPr>
          <w:rStyle w:val="FootnoteReference"/>
          <w:rFonts w:ascii="Times New Roman" w:hAnsi="Times New Roman"/>
          <w:sz w:val="22"/>
          <w:vertAlign w:val="baseline"/>
        </w:rPr>
        <w:footnoteRef/>
      </w:r>
      <w:r w:rsidRPr="00992F81">
        <w:rPr>
          <w:rFonts w:ascii="Times New Roman" w:hAnsi="Times New Roman"/>
          <w:sz w:val="24"/>
        </w:rPr>
        <w:t xml:space="preserve"> </w:t>
      </w:r>
      <w:r w:rsidRPr="00992F81">
        <w:rPr>
          <w:rFonts w:ascii="Times New Roman" w:hAnsi="Times New Roman"/>
          <w:sz w:val="24"/>
        </w:rPr>
        <w:tab/>
        <w:t xml:space="preserve">See also </w:t>
      </w:r>
      <w:r w:rsidRPr="00992F81">
        <w:rPr>
          <w:rFonts w:ascii="Times New Roman" w:hAnsi="Times New Roman"/>
          <w:i/>
          <w:iCs/>
          <w:sz w:val="24"/>
        </w:rPr>
        <w:t xml:space="preserve">Advisory Opinion on the Obligations of States in Respect of Climate Change </w:t>
      </w:r>
      <w:r w:rsidRPr="00992F81">
        <w:rPr>
          <w:rFonts w:ascii="Times New Roman" w:hAnsi="Times New Roman"/>
          <w:sz w:val="24"/>
        </w:rPr>
        <w:t xml:space="preserve">(International Court of Justice, 23 July 2025); </w:t>
      </w:r>
      <w:r w:rsidRPr="00992F81">
        <w:rPr>
          <w:rFonts w:ascii="Times New Roman" w:hAnsi="Times New Roman"/>
          <w:i/>
          <w:iCs/>
          <w:sz w:val="24"/>
        </w:rPr>
        <w:t>Request for an Advisory Opinion submitted by the Commission of Small Island States on Climate Change and International Law</w:t>
      </w:r>
      <w:r w:rsidRPr="00992F81">
        <w:rPr>
          <w:rFonts w:ascii="Times New Roman" w:hAnsi="Times New Roman"/>
          <w:sz w:val="24"/>
        </w:rPr>
        <w:t xml:space="preserve"> (Case No 31, International Tribunal for the Law of the Sea, 21 May 2024).</w:t>
      </w:r>
    </w:p>
  </w:footnote>
  <w:footnote w:id="121">
    <w:p w14:paraId="1233FFE9" w14:textId="77777777" w:rsidR="004D2653" w:rsidRPr="00992F81" w:rsidRDefault="004D2653" w:rsidP="00992F81">
      <w:pPr>
        <w:pStyle w:val="FootnoteText"/>
        <w:spacing w:line="280" w:lineRule="exact"/>
        <w:ind w:right="0"/>
        <w:jc w:val="both"/>
        <w:rPr>
          <w:rFonts w:ascii="Times New Roman" w:hAnsi="Times New Roman"/>
          <w:sz w:val="24"/>
        </w:rPr>
      </w:pPr>
      <w:r w:rsidRPr="00992F81">
        <w:rPr>
          <w:rStyle w:val="FootnoteReference"/>
          <w:rFonts w:ascii="Times New Roman" w:hAnsi="Times New Roman"/>
          <w:sz w:val="22"/>
          <w:vertAlign w:val="baseline"/>
        </w:rPr>
        <w:footnoteRef/>
      </w:r>
      <w:r w:rsidRPr="00992F81">
        <w:rPr>
          <w:rFonts w:ascii="Times New Roman" w:hAnsi="Times New Roman"/>
          <w:sz w:val="24"/>
        </w:rPr>
        <w:t xml:space="preserve"> </w:t>
      </w:r>
      <w:r w:rsidRPr="00992F81">
        <w:rPr>
          <w:rFonts w:ascii="Times New Roman" w:hAnsi="Times New Roman"/>
          <w:sz w:val="24"/>
        </w:rPr>
        <w:tab/>
      </w:r>
      <w:r w:rsidRPr="00992F81">
        <w:rPr>
          <w:rFonts w:ascii="Times New Roman" w:eastAsia="Calibri" w:hAnsi="Times New Roman"/>
          <w:i/>
          <w:sz w:val="24"/>
        </w:rPr>
        <w:t>Mullaley</w:t>
      </w:r>
      <w:r w:rsidRPr="00992F81">
        <w:rPr>
          <w:rFonts w:ascii="Times New Roman" w:hAnsi="Times New Roman"/>
          <w:sz w:val="24"/>
        </w:rPr>
        <w:t xml:space="preserve"> (2021) 252 LGERA 221 at 249-250 [110]-[111]. See [1</w:t>
      </w:r>
      <w:r>
        <w:rPr>
          <w:rFonts w:ascii="Times New Roman" w:hAnsi="Times New Roman"/>
          <w:sz w:val="24"/>
        </w:rPr>
        <w:t>73</w:t>
      </w:r>
      <w:r w:rsidRPr="00992F81">
        <w:rPr>
          <w:rFonts w:ascii="Times New Roman" w:hAnsi="Times New Roman"/>
          <w:sz w:val="24"/>
        </w:rPr>
        <w:t xml:space="preserve">] above. </w:t>
      </w:r>
    </w:p>
  </w:footnote>
  <w:footnote w:id="122">
    <w:p w14:paraId="6FED4670" w14:textId="77777777" w:rsidR="004D2653" w:rsidRPr="00992F81" w:rsidRDefault="004D2653" w:rsidP="00992F81">
      <w:pPr>
        <w:pStyle w:val="FootnoteText"/>
        <w:spacing w:line="280" w:lineRule="exact"/>
        <w:ind w:right="0"/>
        <w:jc w:val="both"/>
        <w:rPr>
          <w:rFonts w:ascii="Times New Roman" w:hAnsi="Times New Roman"/>
          <w:sz w:val="24"/>
        </w:rPr>
      </w:pPr>
      <w:r w:rsidRPr="00992F81">
        <w:rPr>
          <w:rStyle w:val="FootnoteReference"/>
          <w:rFonts w:ascii="Times New Roman" w:hAnsi="Times New Roman"/>
          <w:sz w:val="22"/>
          <w:vertAlign w:val="baseline"/>
        </w:rPr>
        <w:footnoteRef/>
      </w:r>
      <w:r w:rsidRPr="00992F81">
        <w:rPr>
          <w:rFonts w:ascii="Times New Roman" w:hAnsi="Times New Roman"/>
          <w:sz w:val="24"/>
        </w:rPr>
        <w:t xml:space="preserve"> </w:t>
      </w:r>
      <w:r w:rsidRPr="00992F81">
        <w:rPr>
          <w:rFonts w:ascii="Times New Roman" w:hAnsi="Times New Roman"/>
          <w:sz w:val="24"/>
        </w:rPr>
        <w:tab/>
      </w:r>
      <w:r w:rsidRPr="00992F81">
        <w:rPr>
          <w:rFonts w:ascii="Times New Roman" w:hAnsi="Times New Roman"/>
          <w:i/>
          <w:iCs/>
          <w:sz w:val="24"/>
        </w:rPr>
        <w:t xml:space="preserve">Mpwerempwer Aboriginal Corporation RNTBC v Minister for Territory Families and Urban Housing as delegate of the Minister for the Environment </w:t>
      </w:r>
      <w:r w:rsidRPr="00992F81">
        <w:rPr>
          <w:rFonts w:ascii="Times New Roman" w:hAnsi="Times New Roman"/>
          <w:sz w:val="24"/>
        </w:rPr>
        <w:t xml:space="preserve">[2026] HCA 23 at [59]-[60]. </w:t>
      </w:r>
    </w:p>
  </w:footnote>
  <w:footnote w:id="123">
    <w:p w14:paraId="7CB42AC0" w14:textId="77777777" w:rsidR="004D2653" w:rsidRPr="00992F81" w:rsidRDefault="004D2653" w:rsidP="00992F81">
      <w:pPr>
        <w:pStyle w:val="FootnoteText"/>
        <w:spacing w:line="280" w:lineRule="exact"/>
        <w:ind w:right="0"/>
        <w:jc w:val="both"/>
        <w:rPr>
          <w:rFonts w:ascii="Times New Roman" w:hAnsi="Times New Roman"/>
          <w:sz w:val="24"/>
        </w:rPr>
      </w:pPr>
      <w:r w:rsidRPr="00992F81">
        <w:rPr>
          <w:rStyle w:val="FootnoteReference"/>
          <w:rFonts w:ascii="Times New Roman" w:hAnsi="Times New Roman"/>
          <w:sz w:val="22"/>
          <w:vertAlign w:val="baseline"/>
        </w:rPr>
        <w:footnoteRef/>
      </w:r>
      <w:r w:rsidRPr="00992F81">
        <w:rPr>
          <w:rFonts w:ascii="Times New Roman" w:hAnsi="Times New Roman"/>
          <w:sz w:val="24"/>
        </w:rPr>
        <w:t xml:space="preserve"> </w:t>
      </w:r>
      <w:r w:rsidRPr="00992F81">
        <w:rPr>
          <w:rFonts w:ascii="Times New Roman" w:hAnsi="Times New Roman"/>
          <w:sz w:val="24"/>
        </w:rPr>
        <w:tab/>
        <w:t>See [150]-[151] of the Commission's reasons extracted at [</w:t>
      </w:r>
      <w:r>
        <w:rPr>
          <w:rFonts w:ascii="Times New Roman" w:hAnsi="Times New Roman"/>
          <w:sz w:val="24"/>
        </w:rPr>
        <w:t>132</w:t>
      </w:r>
      <w:r w:rsidRPr="00992F81">
        <w:rPr>
          <w:rFonts w:ascii="Times New Roman" w:hAnsi="Times New Roman"/>
          <w:sz w:val="24"/>
        </w:rPr>
        <w:t>] above.</w:t>
      </w:r>
    </w:p>
  </w:footnote>
  <w:footnote w:id="124">
    <w:p w14:paraId="26D8EF87" w14:textId="77777777" w:rsidR="004D2653" w:rsidRPr="00992F81" w:rsidRDefault="004D2653" w:rsidP="00992F81">
      <w:pPr>
        <w:pStyle w:val="FootnoteText"/>
        <w:spacing w:line="280" w:lineRule="exact"/>
        <w:ind w:right="0"/>
        <w:jc w:val="both"/>
        <w:rPr>
          <w:rFonts w:ascii="Times New Roman" w:hAnsi="Times New Roman"/>
          <w:sz w:val="24"/>
        </w:rPr>
      </w:pPr>
      <w:r w:rsidRPr="00992F81">
        <w:rPr>
          <w:rStyle w:val="FootnoteReference"/>
          <w:rFonts w:ascii="Times New Roman" w:hAnsi="Times New Roman"/>
          <w:sz w:val="22"/>
          <w:vertAlign w:val="baseline"/>
        </w:rPr>
        <w:footnoteRef/>
      </w:r>
      <w:r w:rsidRPr="00992F81">
        <w:rPr>
          <w:rFonts w:ascii="Times New Roman" w:hAnsi="Times New Roman"/>
          <w:sz w:val="24"/>
        </w:rPr>
        <w:t xml:space="preserve"> </w:t>
      </w:r>
      <w:r w:rsidRPr="00992F81">
        <w:rPr>
          <w:rFonts w:ascii="Times New Roman" w:hAnsi="Times New Roman"/>
          <w:sz w:val="24"/>
        </w:rPr>
        <w:tab/>
        <w:t>See [152]-[153] of the Commission's reasons extracted at [</w:t>
      </w:r>
      <w:r>
        <w:rPr>
          <w:rFonts w:ascii="Times New Roman" w:hAnsi="Times New Roman"/>
          <w:sz w:val="24"/>
        </w:rPr>
        <w:t>133</w:t>
      </w:r>
      <w:r w:rsidRPr="00992F81">
        <w:rPr>
          <w:rFonts w:ascii="Times New Roman" w:hAnsi="Times New Roman"/>
          <w:sz w:val="24"/>
        </w:rPr>
        <w:t>] above.</w:t>
      </w:r>
    </w:p>
  </w:footnote>
  <w:footnote w:id="125">
    <w:p w14:paraId="6B69D78C" w14:textId="77777777" w:rsidR="004D2653" w:rsidRPr="00992F81" w:rsidRDefault="004D2653" w:rsidP="00992F81">
      <w:pPr>
        <w:pStyle w:val="FootnoteText"/>
        <w:spacing w:line="280" w:lineRule="exact"/>
        <w:ind w:right="0"/>
        <w:jc w:val="both"/>
        <w:rPr>
          <w:rFonts w:ascii="Times New Roman" w:hAnsi="Times New Roman"/>
          <w:sz w:val="24"/>
        </w:rPr>
      </w:pPr>
      <w:r w:rsidRPr="00992F81">
        <w:rPr>
          <w:rStyle w:val="FootnoteReference"/>
          <w:rFonts w:ascii="Times New Roman" w:hAnsi="Times New Roman"/>
          <w:sz w:val="22"/>
          <w:vertAlign w:val="baseline"/>
        </w:rPr>
        <w:footnoteRef/>
      </w:r>
      <w:r w:rsidRPr="00992F81">
        <w:rPr>
          <w:rFonts w:ascii="Times New Roman" w:hAnsi="Times New Roman"/>
          <w:sz w:val="24"/>
        </w:rPr>
        <w:t xml:space="preserve"> </w:t>
      </w:r>
      <w:r w:rsidRPr="00992F81">
        <w:rPr>
          <w:rFonts w:ascii="Times New Roman" w:hAnsi="Times New Roman"/>
          <w:sz w:val="24"/>
        </w:rPr>
        <w:tab/>
        <w:t>See [154] of the Commission's reasons extracted at [</w:t>
      </w:r>
      <w:r>
        <w:rPr>
          <w:rFonts w:ascii="Times New Roman" w:hAnsi="Times New Roman"/>
          <w:sz w:val="24"/>
        </w:rPr>
        <w:t>134</w:t>
      </w:r>
      <w:r w:rsidRPr="00992F81">
        <w:rPr>
          <w:rFonts w:ascii="Times New Roman" w:hAnsi="Times New Roman"/>
          <w:sz w:val="24"/>
        </w:rPr>
        <w:t>] above.</w:t>
      </w:r>
    </w:p>
  </w:footnote>
  <w:footnote w:id="126">
    <w:p w14:paraId="567EF6F7" w14:textId="77777777" w:rsidR="004D2653" w:rsidRPr="00992F81" w:rsidRDefault="004D2653" w:rsidP="00992F81">
      <w:pPr>
        <w:pStyle w:val="FootnoteText"/>
        <w:spacing w:line="280" w:lineRule="exact"/>
        <w:ind w:right="0"/>
        <w:jc w:val="both"/>
        <w:rPr>
          <w:rFonts w:ascii="Times New Roman" w:hAnsi="Times New Roman"/>
          <w:sz w:val="24"/>
        </w:rPr>
      </w:pPr>
      <w:r w:rsidRPr="00992F81">
        <w:rPr>
          <w:rStyle w:val="FootnoteReference"/>
          <w:rFonts w:ascii="Times New Roman" w:hAnsi="Times New Roman"/>
          <w:sz w:val="22"/>
          <w:vertAlign w:val="baseline"/>
        </w:rPr>
        <w:footnoteRef/>
      </w:r>
      <w:r w:rsidRPr="00992F81">
        <w:rPr>
          <w:rFonts w:ascii="Times New Roman" w:hAnsi="Times New Roman"/>
          <w:sz w:val="24"/>
        </w:rPr>
        <w:t xml:space="preserve"> </w:t>
      </w:r>
      <w:r w:rsidRPr="00992F81">
        <w:rPr>
          <w:rFonts w:ascii="Times New Roman" w:hAnsi="Times New Roman"/>
          <w:sz w:val="24"/>
        </w:rPr>
        <w:tab/>
        <w:t>See [1</w:t>
      </w:r>
      <w:r>
        <w:rPr>
          <w:rFonts w:ascii="Times New Roman" w:hAnsi="Times New Roman"/>
          <w:sz w:val="24"/>
        </w:rPr>
        <w:t>98</w:t>
      </w:r>
      <w:r w:rsidRPr="00992F81">
        <w:rPr>
          <w:rFonts w:ascii="Times New Roman" w:hAnsi="Times New Roman"/>
          <w:sz w:val="24"/>
        </w:rPr>
        <w:t xml:space="preserve">] below. </w:t>
      </w:r>
    </w:p>
  </w:footnote>
  <w:footnote w:id="127">
    <w:p w14:paraId="5FD54B27" w14:textId="77777777" w:rsidR="004D2653" w:rsidRPr="00992F81" w:rsidRDefault="004D2653" w:rsidP="00992F81">
      <w:pPr>
        <w:pStyle w:val="FootnoteText"/>
        <w:spacing w:line="280" w:lineRule="exact"/>
        <w:ind w:right="0"/>
        <w:jc w:val="both"/>
        <w:rPr>
          <w:rFonts w:ascii="Times New Roman" w:hAnsi="Times New Roman"/>
          <w:sz w:val="24"/>
        </w:rPr>
      </w:pPr>
      <w:r w:rsidRPr="00992F81">
        <w:rPr>
          <w:rStyle w:val="FootnoteReference"/>
          <w:rFonts w:ascii="Times New Roman" w:hAnsi="Times New Roman"/>
          <w:sz w:val="22"/>
          <w:vertAlign w:val="baseline"/>
        </w:rPr>
        <w:footnoteRef/>
      </w:r>
      <w:r w:rsidRPr="00992F81">
        <w:rPr>
          <w:rFonts w:ascii="Times New Roman" w:hAnsi="Times New Roman"/>
          <w:sz w:val="24"/>
        </w:rPr>
        <w:t xml:space="preserve"> </w:t>
      </w:r>
      <w:r w:rsidRPr="00992F81">
        <w:rPr>
          <w:rFonts w:ascii="Times New Roman" w:hAnsi="Times New Roman"/>
          <w:sz w:val="24"/>
        </w:rPr>
        <w:tab/>
        <w:t xml:space="preserve">(2024) 280 CLR 321 at 327 [7]. See also </w:t>
      </w:r>
      <w:r w:rsidRPr="00992F81">
        <w:rPr>
          <w:rFonts w:ascii="Times New Roman" w:hAnsi="Times New Roman"/>
          <w:i/>
          <w:sz w:val="24"/>
        </w:rPr>
        <w:t xml:space="preserve">Hossain v Minister for Immigration and Border Protection </w:t>
      </w:r>
      <w:r w:rsidRPr="00992F81">
        <w:rPr>
          <w:rFonts w:ascii="Times New Roman" w:hAnsi="Times New Roman"/>
          <w:sz w:val="24"/>
        </w:rPr>
        <w:t xml:space="preserve">(2018) 264 CLR 123 at 134 [29]; </w:t>
      </w:r>
      <w:r w:rsidRPr="00992F81">
        <w:rPr>
          <w:rFonts w:ascii="Times New Roman" w:hAnsi="Times New Roman"/>
          <w:i/>
          <w:sz w:val="24"/>
        </w:rPr>
        <w:t xml:space="preserve">Minister for Immigration and Border Protection v SZMTA </w:t>
      </w:r>
      <w:r w:rsidRPr="00992F81">
        <w:rPr>
          <w:rFonts w:ascii="Times New Roman" w:hAnsi="Times New Roman"/>
          <w:sz w:val="24"/>
        </w:rPr>
        <w:t xml:space="preserve">(2019) 264 CLR 421 at 444 [44]; </w:t>
      </w:r>
      <w:r w:rsidRPr="00992F81">
        <w:rPr>
          <w:rFonts w:ascii="Times New Roman" w:hAnsi="Times New Roman"/>
          <w:i/>
          <w:sz w:val="24"/>
        </w:rPr>
        <w:t xml:space="preserve">MZAPC v Minister for Immigration and Border Protection </w:t>
      </w:r>
      <w:r w:rsidRPr="00992F81">
        <w:rPr>
          <w:rFonts w:ascii="Times New Roman" w:hAnsi="Times New Roman"/>
          <w:sz w:val="24"/>
        </w:rPr>
        <w:t xml:space="preserve">(2021) 273 CLR 506 at 522 [33]; </w:t>
      </w:r>
      <w:r w:rsidRPr="00992F81">
        <w:rPr>
          <w:rFonts w:ascii="Times New Roman" w:hAnsi="Times New Roman"/>
          <w:i/>
          <w:sz w:val="24"/>
        </w:rPr>
        <w:t>Nathanson</w:t>
      </w:r>
      <w:r>
        <w:rPr>
          <w:rFonts w:ascii="Times New Roman" w:hAnsi="Times New Roman"/>
          <w:i/>
          <w:sz w:val="24"/>
        </w:rPr>
        <w:t> </w:t>
      </w:r>
      <w:r w:rsidRPr="00992F81">
        <w:rPr>
          <w:rFonts w:ascii="Times New Roman" w:hAnsi="Times New Roman"/>
          <w:i/>
          <w:sz w:val="24"/>
        </w:rPr>
        <w:t xml:space="preserve">v Minister for Home Affairs </w:t>
      </w:r>
      <w:r w:rsidRPr="00992F81">
        <w:rPr>
          <w:rFonts w:ascii="Times New Roman" w:hAnsi="Times New Roman"/>
          <w:sz w:val="24"/>
        </w:rPr>
        <w:t>(2022) 276 CLR 80 at 102 [30], 132 [121].</w:t>
      </w:r>
    </w:p>
  </w:footnote>
  <w:footnote w:id="128">
    <w:p w14:paraId="14B106D0" w14:textId="77777777" w:rsidR="004D2653" w:rsidRPr="00992F81" w:rsidRDefault="004D2653" w:rsidP="00992F81">
      <w:pPr>
        <w:pStyle w:val="FootnoteText"/>
        <w:spacing w:line="280" w:lineRule="exact"/>
        <w:ind w:right="0"/>
        <w:jc w:val="both"/>
        <w:rPr>
          <w:rFonts w:ascii="Times New Roman" w:hAnsi="Times New Roman"/>
          <w:sz w:val="24"/>
        </w:rPr>
      </w:pPr>
      <w:r w:rsidRPr="00992F81">
        <w:rPr>
          <w:rStyle w:val="FootnoteReference"/>
          <w:rFonts w:ascii="Times New Roman" w:hAnsi="Times New Roman"/>
          <w:sz w:val="22"/>
          <w:vertAlign w:val="baseline"/>
        </w:rPr>
        <w:footnoteRef/>
      </w:r>
      <w:r w:rsidRPr="00992F81">
        <w:rPr>
          <w:rFonts w:ascii="Times New Roman" w:hAnsi="Times New Roman"/>
          <w:sz w:val="24"/>
        </w:rPr>
        <w:t xml:space="preserve"> </w:t>
      </w:r>
      <w:r w:rsidRPr="00992F81">
        <w:rPr>
          <w:rFonts w:ascii="Times New Roman" w:hAnsi="Times New Roman"/>
          <w:sz w:val="24"/>
        </w:rPr>
        <w:tab/>
      </w:r>
      <w:r w:rsidRPr="00992F81">
        <w:rPr>
          <w:rFonts w:ascii="Times New Roman" w:hAnsi="Times New Roman"/>
          <w:i/>
          <w:sz w:val="24"/>
        </w:rPr>
        <w:t xml:space="preserve">LPDT </w:t>
      </w:r>
      <w:r w:rsidRPr="00992F81">
        <w:rPr>
          <w:rFonts w:ascii="Times New Roman" w:hAnsi="Times New Roman"/>
          <w:sz w:val="24"/>
        </w:rPr>
        <w:t>(2024) 280 CLR 321 at 328-329 [14].</w:t>
      </w:r>
    </w:p>
  </w:footnote>
  <w:footnote w:id="129">
    <w:p w14:paraId="665F25C3" w14:textId="77777777" w:rsidR="004D2653" w:rsidRPr="00992F81" w:rsidRDefault="004D2653" w:rsidP="00992F81">
      <w:pPr>
        <w:pStyle w:val="FootnoteText"/>
        <w:spacing w:line="280" w:lineRule="exact"/>
        <w:ind w:right="0"/>
        <w:jc w:val="both"/>
        <w:rPr>
          <w:rFonts w:ascii="Times New Roman" w:hAnsi="Times New Roman"/>
          <w:sz w:val="24"/>
        </w:rPr>
      </w:pPr>
      <w:r w:rsidRPr="00992F81">
        <w:rPr>
          <w:rStyle w:val="FootnoteReference"/>
          <w:rFonts w:ascii="Times New Roman" w:hAnsi="Times New Roman"/>
          <w:sz w:val="22"/>
          <w:vertAlign w:val="baseline"/>
        </w:rPr>
        <w:footnoteRef/>
      </w:r>
      <w:r w:rsidRPr="00992F81">
        <w:rPr>
          <w:rFonts w:ascii="Times New Roman" w:hAnsi="Times New Roman"/>
          <w:sz w:val="24"/>
        </w:rPr>
        <w:t xml:space="preserve"> </w:t>
      </w:r>
      <w:r w:rsidRPr="00992F81">
        <w:rPr>
          <w:rFonts w:ascii="Times New Roman" w:hAnsi="Times New Roman"/>
          <w:sz w:val="24"/>
        </w:rPr>
        <w:tab/>
      </w:r>
      <w:r w:rsidRPr="00992F81">
        <w:rPr>
          <w:rFonts w:ascii="Times New Roman" w:hAnsi="Times New Roman"/>
          <w:i/>
          <w:sz w:val="24"/>
        </w:rPr>
        <w:t xml:space="preserve">LPDT </w:t>
      </w:r>
      <w:r w:rsidRPr="00992F81">
        <w:rPr>
          <w:rFonts w:ascii="Times New Roman" w:hAnsi="Times New Roman"/>
          <w:sz w:val="24"/>
        </w:rPr>
        <w:t xml:space="preserve">(2024) 280 CLR 321 at 329 [16]. See also </w:t>
      </w:r>
      <w:r w:rsidRPr="00992F81">
        <w:rPr>
          <w:rFonts w:ascii="Times New Roman" w:hAnsi="Times New Roman"/>
          <w:i/>
          <w:sz w:val="24"/>
        </w:rPr>
        <w:t xml:space="preserve">MZAPC </w:t>
      </w:r>
      <w:r w:rsidRPr="00992F81">
        <w:rPr>
          <w:rFonts w:ascii="Times New Roman" w:hAnsi="Times New Roman"/>
          <w:sz w:val="24"/>
        </w:rPr>
        <w:t>(2021) 273 CLR 506 at 539 [86].</w:t>
      </w:r>
    </w:p>
  </w:footnote>
  <w:footnote w:id="130">
    <w:p w14:paraId="6B389FA0" w14:textId="77777777" w:rsidR="004D2653" w:rsidRPr="00992F81" w:rsidRDefault="004D2653" w:rsidP="00992F81">
      <w:pPr>
        <w:pStyle w:val="FootnoteText"/>
        <w:spacing w:line="280" w:lineRule="exact"/>
        <w:ind w:right="0"/>
        <w:jc w:val="both"/>
        <w:rPr>
          <w:rFonts w:ascii="Times New Roman" w:hAnsi="Times New Roman"/>
          <w:sz w:val="24"/>
        </w:rPr>
      </w:pPr>
      <w:r w:rsidRPr="00992F81">
        <w:rPr>
          <w:rStyle w:val="FootnoteReference"/>
          <w:rFonts w:ascii="Times New Roman" w:hAnsi="Times New Roman"/>
          <w:sz w:val="22"/>
          <w:vertAlign w:val="baseline"/>
        </w:rPr>
        <w:footnoteRef/>
      </w:r>
      <w:r w:rsidRPr="00992F81">
        <w:rPr>
          <w:rFonts w:ascii="Times New Roman" w:hAnsi="Times New Roman"/>
          <w:sz w:val="24"/>
        </w:rPr>
        <w:t xml:space="preserve"> </w:t>
      </w:r>
      <w:r w:rsidRPr="00992F81">
        <w:rPr>
          <w:rFonts w:ascii="Times New Roman" w:hAnsi="Times New Roman"/>
          <w:sz w:val="24"/>
        </w:rPr>
        <w:tab/>
        <w:t xml:space="preserve">LEC Act, s 25B(1). </w:t>
      </w:r>
    </w:p>
  </w:footnote>
  <w:footnote w:id="131">
    <w:p w14:paraId="7650ABA4" w14:textId="77777777" w:rsidR="004D2653" w:rsidRPr="00992F81" w:rsidRDefault="004D2653" w:rsidP="00992F81">
      <w:pPr>
        <w:pStyle w:val="FootnoteText"/>
        <w:spacing w:line="280" w:lineRule="exact"/>
        <w:ind w:right="0"/>
        <w:jc w:val="both"/>
        <w:rPr>
          <w:rFonts w:ascii="Times New Roman" w:hAnsi="Times New Roman"/>
          <w:sz w:val="24"/>
        </w:rPr>
      </w:pPr>
      <w:r w:rsidRPr="00992F81">
        <w:rPr>
          <w:rStyle w:val="FootnoteReference"/>
          <w:rFonts w:ascii="Times New Roman" w:hAnsi="Times New Roman"/>
          <w:sz w:val="22"/>
          <w:vertAlign w:val="baseline"/>
        </w:rPr>
        <w:footnoteRef/>
      </w:r>
      <w:r w:rsidRPr="00992F81">
        <w:rPr>
          <w:rFonts w:ascii="Times New Roman" w:hAnsi="Times New Roman"/>
          <w:sz w:val="24"/>
        </w:rPr>
        <w:t xml:space="preserve"> </w:t>
      </w:r>
      <w:r w:rsidRPr="00992F81">
        <w:rPr>
          <w:rFonts w:ascii="Times New Roman" w:hAnsi="Times New Roman"/>
          <w:sz w:val="24"/>
        </w:rPr>
        <w:tab/>
        <w:t xml:space="preserve">See generally </w:t>
      </w:r>
      <w:r w:rsidRPr="00992F81">
        <w:rPr>
          <w:rFonts w:ascii="Times New Roman" w:hAnsi="Times New Roman"/>
          <w:i/>
          <w:iCs/>
          <w:sz w:val="24"/>
        </w:rPr>
        <w:t>KEPCO Bylong Australia Pty Ltd v Independent Planning Commission [No 2]</w:t>
      </w:r>
      <w:r w:rsidRPr="00992F81">
        <w:rPr>
          <w:rFonts w:ascii="Times New Roman" w:hAnsi="Times New Roman"/>
          <w:sz w:val="24"/>
        </w:rPr>
        <w:t xml:space="preserve"> (2020) 247 LGERA 130 at 188-189 [84]-[85]. </w:t>
      </w:r>
    </w:p>
  </w:footnote>
  <w:footnote w:id="132">
    <w:p w14:paraId="0FD5AFC9" w14:textId="77777777" w:rsidR="004D2653" w:rsidRPr="00992F81" w:rsidRDefault="004D2653" w:rsidP="00992F81">
      <w:pPr>
        <w:pStyle w:val="FootnoteText"/>
        <w:spacing w:line="280" w:lineRule="exact"/>
        <w:ind w:right="0"/>
        <w:jc w:val="both"/>
        <w:rPr>
          <w:rFonts w:ascii="Times New Roman" w:hAnsi="Times New Roman"/>
          <w:sz w:val="24"/>
        </w:rPr>
      </w:pPr>
      <w:r w:rsidRPr="00992F81">
        <w:rPr>
          <w:rStyle w:val="FootnoteReference"/>
          <w:rFonts w:ascii="Times New Roman" w:hAnsi="Times New Roman"/>
          <w:sz w:val="22"/>
          <w:vertAlign w:val="baseline"/>
        </w:rPr>
        <w:footnoteRef/>
      </w:r>
      <w:r w:rsidRPr="00992F81">
        <w:rPr>
          <w:rFonts w:ascii="Times New Roman" w:hAnsi="Times New Roman"/>
          <w:sz w:val="24"/>
        </w:rPr>
        <w:t xml:space="preserve"> </w:t>
      </w:r>
      <w:r w:rsidRPr="00992F81">
        <w:rPr>
          <w:rFonts w:ascii="Times New Roman" w:hAnsi="Times New Roman"/>
          <w:sz w:val="24"/>
        </w:rPr>
        <w:tab/>
        <w:t xml:space="preserve">EPA Regulations, Sch 2, cl 7(1)(d)(iv). See also Sch 2, cl 7(1)(e). </w:t>
      </w:r>
    </w:p>
  </w:footnote>
  <w:footnote w:id="133">
    <w:p w14:paraId="13C57994" w14:textId="77777777" w:rsidR="004D2653" w:rsidRPr="00992F81" w:rsidRDefault="004D2653" w:rsidP="00992F81">
      <w:pPr>
        <w:pStyle w:val="FootnoteText"/>
        <w:spacing w:line="280" w:lineRule="exact"/>
        <w:ind w:right="0"/>
        <w:jc w:val="both"/>
        <w:rPr>
          <w:rFonts w:ascii="Times New Roman" w:hAnsi="Times New Roman"/>
          <w:sz w:val="24"/>
        </w:rPr>
      </w:pPr>
      <w:r w:rsidRPr="00992F81">
        <w:rPr>
          <w:rStyle w:val="FootnoteReference"/>
          <w:rFonts w:ascii="Times New Roman" w:hAnsi="Times New Roman"/>
          <w:sz w:val="22"/>
          <w:vertAlign w:val="baseline"/>
        </w:rPr>
        <w:footnoteRef/>
      </w:r>
      <w:r w:rsidRPr="00992F81">
        <w:rPr>
          <w:rFonts w:ascii="Times New Roman" w:hAnsi="Times New Roman"/>
          <w:sz w:val="24"/>
        </w:rPr>
        <w:t xml:space="preserve"> </w:t>
      </w:r>
      <w:r w:rsidRPr="00992F81">
        <w:rPr>
          <w:rFonts w:ascii="Times New Roman" w:hAnsi="Times New Roman"/>
          <w:sz w:val="24"/>
        </w:rPr>
        <w:tab/>
        <w:t xml:space="preserve">EPA Regulations, Sch 2, cl 3(1), (5), (6). </w:t>
      </w:r>
    </w:p>
  </w:footnote>
  <w:footnote w:id="134">
    <w:p w14:paraId="19D5E827" w14:textId="77777777" w:rsidR="004D2653" w:rsidRPr="00992F81" w:rsidRDefault="004D2653" w:rsidP="00992F81">
      <w:pPr>
        <w:pStyle w:val="FootnoteText"/>
        <w:tabs>
          <w:tab w:val="left" w:pos="6237"/>
        </w:tabs>
        <w:spacing w:line="280" w:lineRule="exact"/>
        <w:ind w:right="0"/>
        <w:jc w:val="both"/>
        <w:rPr>
          <w:rFonts w:ascii="Times New Roman" w:hAnsi="Times New Roman"/>
          <w:sz w:val="24"/>
        </w:rPr>
      </w:pPr>
      <w:r w:rsidRPr="00992F81">
        <w:rPr>
          <w:rStyle w:val="FootnoteReference"/>
          <w:rFonts w:ascii="Times New Roman" w:hAnsi="Times New Roman"/>
          <w:sz w:val="22"/>
          <w:vertAlign w:val="baseline"/>
        </w:rPr>
        <w:footnoteRef/>
      </w:r>
      <w:r w:rsidRPr="00992F81">
        <w:rPr>
          <w:rFonts w:ascii="Times New Roman" w:hAnsi="Times New Roman"/>
          <w:sz w:val="24"/>
        </w:rPr>
        <w:t xml:space="preserve"> </w:t>
      </w:r>
      <w:r w:rsidRPr="00992F81">
        <w:rPr>
          <w:rFonts w:ascii="Times New Roman" w:hAnsi="Times New Roman"/>
          <w:sz w:val="24"/>
        </w:rPr>
        <w:tab/>
        <w:t xml:space="preserve">(2021) 250 LGERA 39. </w:t>
      </w:r>
    </w:p>
  </w:footnote>
  <w:footnote w:id="135">
    <w:p w14:paraId="3E37DB49" w14:textId="77777777" w:rsidR="004D2653" w:rsidRPr="00992F81" w:rsidRDefault="004D2653" w:rsidP="00992F81">
      <w:pPr>
        <w:pStyle w:val="FootnoteText"/>
        <w:spacing w:line="280" w:lineRule="exact"/>
        <w:ind w:right="0"/>
        <w:jc w:val="both"/>
        <w:rPr>
          <w:rFonts w:ascii="Times New Roman" w:hAnsi="Times New Roman"/>
          <w:sz w:val="24"/>
        </w:rPr>
      </w:pPr>
      <w:r w:rsidRPr="00992F81">
        <w:rPr>
          <w:rStyle w:val="FootnoteReference"/>
          <w:rFonts w:ascii="Times New Roman" w:hAnsi="Times New Roman"/>
          <w:sz w:val="22"/>
          <w:vertAlign w:val="baseline"/>
        </w:rPr>
        <w:footnoteRef/>
      </w:r>
      <w:r w:rsidRPr="00992F81">
        <w:rPr>
          <w:rFonts w:ascii="Times New Roman" w:hAnsi="Times New Roman"/>
          <w:sz w:val="24"/>
        </w:rPr>
        <w:t xml:space="preserve"> </w:t>
      </w:r>
      <w:r w:rsidRPr="00992F81">
        <w:rPr>
          <w:rFonts w:ascii="Times New Roman" w:hAnsi="Times New Roman"/>
          <w:sz w:val="24"/>
        </w:rPr>
        <w:tab/>
      </w:r>
      <w:r w:rsidRPr="00992F81">
        <w:rPr>
          <w:rFonts w:ascii="Times New Roman" w:hAnsi="Times New Roman"/>
          <w:i/>
          <w:iCs/>
          <w:sz w:val="24"/>
        </w:rPr>
        <w:t xml:space="preserve">KEPCO </w:t>
      </w:r>
      <w:r w:rsidRPr="00992F81">
        <w:rPr>
          <w:rFonts w:ascii="Times New Roman" w:hAnsi="Times New Roman"/>
          <w:sz w:val="24"/>
        </w:rPr>
        <w:t xml:space="preserve">(2021) 250 LGERA 39 at 44 [1]. </w:t>
      </w:r>
    </w:p>
  </w:footnote>
  <w:footnote w:id="136">
    <w:p w14:paraId="7FE4656B" w14:textId="77777777" w:rsidR="004D2653" w:rsidRPr="00992F81" w:rsidRDefault="004D2653" w:rsidP="00992F81">
      <w:pPr>
        <w:pStyle w:val="FootnoteText"/>
        <w:spacing w:line="280" w:lineRule="exact"/>
        <w:ind w:right="0"/>
        <w:jc w:val="both"/>
        <w:rPr>
          <w:rFonts w:ascii="Times New Roman" w:hAnsi="Times New Roman"/>
          <w:sz w:val="24"/>
        </w:rPr>
      </w:pPr>
      <w:r w:rsidRPr="00992F81">
        <w:rPr>
          <w:rStyle w:val="FootnoteReference"/>
          <w:rFonts w:ascii="Times New Roman" w:hAnsi="Times New Roman"/>
          <w:sz w:val="22"/>
          <w:vertAlign w:val="baseline"/>
        </w:rPr>
        <w:footnoteRef/>
      </w:r>
      <w:r w:rsidRPr="00992F81">
        <w:rPr>
          <w:rFonts w:ascii="Times New Roman" w:hAnsi="Times New Roman"/>
          <w:sz w:val="24"/>
        </w:rPr>
        <w:t xml:space="preserve"> </w:t>
      </w:r>
      <w:r w:rsidRPr="00992F81">
        <w:rPr>
          <w:rFonts w:ascii="Times New Roman" w:hAnsi="Times New Roman"/>
          <w:sz w:val="24"/>
        </w:rPr>
        <w:tab/>
      </w:r>
      <w:r w:rsidRPr="00992F81">
        <w:rPr>
          <w:rFonts w:ascii="Times New Roman" w:hAnsi="Times New Roman"/>
          <w:i/>
          <w:iCs/>
          <w:sz w:val="24"/>
        </w:rPr>
        <w:t xml:space="preserve">KEPCO </w:t>
      </w:r>
      <w:r w:rsidRPr="00992F81">
        <w:rPr>
          <w:rFonts w:ascii="Times New Roman" w:hAnsi="Times New Roman"/>
          <w:sz w:val="24"/>
        </w:rPr>
        <w:t xml:space="preserve">(2021) 250 LGERA 39 at 48 [17], 54 [35]. </w:t>
      </w:r>
    </w:p>
  </w:footnote>
  <w:footnote w:id="137">
    <w:p w14:paraId="7813BB45" w14:textId="77777777" w:rsidR="004D2653" w:rsidRPr="00992F81" w:rsidRDefault="004D2653" w:rsidP="00992F81">
      <w:pPr>
        <w:pStyle w:val="FootnoteText"/>
        <w:spacing w:line="280" w:lineRule="exact"/>
        <w:ind w:right="0"/>
        <w:jc w:val="both"/>
        <w:rPr>
          <w:rFonts w:ascii="Times New Roman" w:hAnsi="Times New Roman"/>
          <w:sz w:val="24"/>
        </w:rPr>
      </w:pPr>
      <w:r w:rsidRPr="00992F81">
        <w:rPr>
          <w:rStyle w:val="FootnoteReference"/>
          <w:rFonts w:ascii="Times New Roman" w:hAnsi="Times New Roman"/>
          <w:sz w:val="22"/>
          <w:vertAlign w:val="baseline"/>
        </w:rPr>
        <w:footnoteRef/>
      </w:r>
      <w:r w:rsidRPr="00992F81">
        <w:rPr>
          <w:rFonts w:ascii="Times New Roman" w:hAnsi="Times New Roman"/>
          <w:sz w:val="24"/>
        </w:rPr>
        <w:t xml:space="preserve"> </w:t>
      </w:r>
      <w:r w:rsidRPr="00992F81">
        <w:rPr>
          <w:rFonts w:ascii="Times New Roman" w:hAnsi="Times New Roman"/>
          <w:sz w:val="24"/>
        </w:rPr>
        <w:tab/>
        <w:t>See [1</w:t>
      </w:r>
      <w:r>
        <w:rPr>
          <w:rFonts w:ascii="Times New Roman" w:hAnsi="Times New Roman"/>
          <w:sz w:val="24"/>
        </w:rPr>
        <w:t>72</w:t>
      </w:r>
      <w:r w:rsidRPr="00992F81">
        <w:rPr>
          <w:rFonts w:ascii="Times New Roman" w:hAnsi="Times New Roman"/>
          <w:sz w:val="24"/>
        </w:rPr>
        <w:t xml:space="preserve">] above. See also </w:t>
      </w:r>
      <w:r w:rsidRPr="00992F81">
        <w:rPr>
          <w:rFonts w:ascii="Times New Roman" w:hAnsi="Times New Roman"/>
          <w:i/>
          <w:iCs/>
          <w:sz w:val="24"/>
        </w:rPr>
        <w:t xml:space="preserve">KEPCO </w:t>
      </w:r>
      <w:r w:rsidRPr="00992F81">
        <w:rPr>
          <w:rFonts w:ascii="Times New Roman" w:hAnsi="Times New Roman"/>
          <w:sz w:val="24"/>
        </w:rPr>
        <w:t xml:space="preserve">(2021) 250 LGERA 39 at 50 [21]. </w:t>
      </w:r>
    </w:p>
  </w:footnote>
  <w:footnote w:id="138">
    <w:p w14:paraId="28043A95" w14:textId="77777777" w:rsidR="004D2653" w:rsidRPr="00992F81" w:rsidRDefault="004D2653" w:rsidP="00992F81">
      <w:pPr>
        <w:pStyle w:val="FootnoteText"/>
        <w:spacing w:line="280" w:lineRule="exact"/>
        <w:ind w:right="0"/>
        <w:jc w:val="both"/>
        <w:rPr>
          <w:rFonts w:ascii="Times New Roman" w:hAnsi="Times New Roman"/>
          <w:sz w:val="24"/>
        </w:rPr>
      </w:pPr>
      <w:r w:rsidRPr="00992F81">
        <w:rPr>
          <w:rStyle w:val="FootnoteReference"/>
          <w:rFonts w:ascii="Times New Roman" w:hAnsi="Times New Roman"/>
          <w:sz w:val="22"/>
          <w:vertAlign w:val="baseline"/>
        </w:rPr>
        <w:footnoteRef/>
      </w:r>
      <w:r w:rsidRPr="00992F81">
        <w:rPr>
          <w:rFonts w:ascii="Times New Roman" w:hAnsi="Times New Roman"/>
          <w:sz w:val="24"/>
        </w:rPr>
        <w:t xml:space="preserve"> </w:t>
      </w:r>
      <w:r w:rsidRPr="00992F81">
        <w:rPr>
          <w:rFonts w:ascii="Times New Roman" w:hAnsi="Times New Roman"/>
          <w:sz w:val="24"/>
        </w:rPr>
        <w:tab/>
      </w:r>
      <w:r w:rsidRPr="00992F81">
        <w:rPr>
          <w:rFonts w:ascii="Times New Roman" w:hAnsi="Times New Roman"/>
          <w:i/>
          <w:iCs/>
          <w:sz w:val="24"/>
        </w:rPr>
        <w:t xml:space="preserve">KEPCO </w:t>
      </w:r>
      <w:r w:rsidRPr="00992F81">
        <w:rPr>
          <w:rFonts w:ascii="Times New Roman" w:hAnsi="Times New Roman"/>
          <w:sz w:val="24"/>
        </w:rPr>
        <w:t>(2021) 250 LGERA 39 at 55 [44]. See also 73 [127].</w:t>
      </w:r>
    </w:p>
  </w:footnote>
  <w:footnote w:id="139">
    <w:p w14:paraId="45482AFD" w14:textId="77777777" w:rsidR="004D2653" w:rsidRPr="00992F81" w:rsidRDefault="004D2653" w:rsidP="00992F81">
      <w:pPr>
        <w:pStyle w:val="FootnoteText"/>
        <w:spacing w:line="280" w:lineRule="exact"/>
        <w:ind w:right="0"/>
        <w:jc w:val="both"/>
        <w:rPr>
          <w:rFonts w:ascii="Times New Roman" w:hAnsi="Times New Roman"/>
          <w:sz w:val="24"/>
        </w:rPr>
      </w:pPr>
      <w:r w:rsidRPr="00992F81">
        <w:rPr>
          <w:rStyle w:val="FootnoteReference"/>
          <w:rFonts w:ascii="Times New Roman" w:hAnsi="Times New Roman"/>
          <w:sz w:val="22"/>
          <w:vertAlign w:val="baseline"/>
        </w:rPr>
        <w:footnoteRef/>
      </w:r>
      <w:r w:rsidRPr="00992F81">
        <w:rPr>
          <w:rFonts w:ascii="Times New Roman" w:hAnsi="Times New Roman"/>
          <w:sz w:val="24"/>
        </w:rPr>
        <w:t xml:space="preserve"> </w:t>
      </w:r>
      <w:r w:rsidRPr="00992F81">
        <w:rPr>
          <w:rFonts w:ascii="Times New Roman" w:hAnsi="Times New Roman"/>
          <w:sz w:val="24"/>
        </w:rPr>
        <w:tab/>
        <w:t>Resources SEPP, cl 2.20(1)(c).</w:t>
      </w:r>
    </w:p>
  </w:footnote>
  <w:footnote w:id="140">
    <w:p w14:paraId="7CA602F9" w14:textId="77777777" w:rsidR="004D2653" w:rsidRPr="00992F81" w:rsidRDefault="004D2653" w:rsidP="00992F81">
      <w:pPr>
        <w:pStyle w:val="FootnoteText"/>
        <w:spacing w:line="280" w:lineRule="exact"/>
        <w:ind w:right="0"/>
        <w:jc w:val="both"/>
        <w:rPr>
          <w:rFonts w:ascii="Times New Roman" w:hAnsi="Times New Roman"/>
          <w:sz w:val="24"/>
        </w:rPr>
      </w:pPr>
      <w:r w:rsidRPr="00992F81">
        <w:rPr>
          <w:rStyle w:val="FootnoteReference"/>
          <w:rFonts w:ascii="Times New Roman" w:hAnsi="Times New Roman"/>
          <w:sz w:val="22"/>
          <w:vertAlign w:val="baseline"/>
        </w:rPr>
        <w:footnoteRef/>
      </w:r>
      <w:r w:rsidRPr="00992F81">
        <w:rPr>
          <w:rFonts w:ascii="Times New Roman" w:hAnsi="Times New Roman"/>
          <w:sz w:val="24"/>
        </w:rPr>
        <w:t xml:space="preserve"> </w:t>
      </w:r>
      <w:r w:rsidRPr="00992F81">
        <w:rPr>
          <w:rFonts w:ascii="Times New Roman" w:hAnsi="Times New Roman"/>
          <w:sz w:val="24"/>
        </w:rPr>
        <w:tab/>
        <w:t>See also</w:t>
      </w:r>
      <w:r w:rsidRPr="00992F81">
        <w:rPr>
          <w:rFonts w:ascii="Times New Roman" w:eastAsia="Calibri" w:hAnsi="Times New Roman"/>
          <w:i/>
          <w:sz w:val="24"/>
        </w:rPr>
        <w:t xml:space="preserve"> </w:t>
      </w:r>
      <w:r w:rsidRPr="00992F81">
        <w:rPr>
          <w:rFonts w:ascii="Times New Roman" w:hAnsi="Times New Roman"/>
          <w:sz w:val="24"/>
        </w:rPr>
        <w:t xml:space="preserve">NSW Independent Planning Commission, </w:t>
      </w:r>
      <w:r w:rsidRPr="00992F81">
        <w:rPr>
          <w:rFonts w:ascii="Times New Roman" w:hAnsi="Times New Roman"/>
          <w:i/>
          <w:iCs/>
          <w:sz w:val="24"/>
        </w:rPr>
        <w:t xml:space="preserve">Statement of Reasons for Decision: United Wambo Open Cut Coal Mine Project (SSD 7142) and Associated Modifications (DA 305-7-2003 MOD 16 &amp; DA 177-8-2004 MOD 3) </w:t>
      </w:r>
      <w:r w:rsidRPr="00992F81">
        <w:rPr>
          <w:rFonts w:ascii="Times New Roman" w:hAnsi="Times New Roman"/>
          <w:sz w:val="24"/>
        </w:rPr>
        <w:t xml:space="preserve">(2019) at 60 [309]; Environment Protection Authority, </w:t>
      </w:r>
      <w:r w:rsidRPr="00992F81">
        <w:rPr>
          <w:rFonts w:ascii="Times New Roman" w:hAnsi="Times New Roman"/>
          <w:i/>
          <w:sz w:val="24"/>
        </w:rPr>
        <w:t>Greenhouse Gas Mitigation Guide for NSW Coal Mines</w:t>
      </w:r>
      <w:r w:rsidRPr="00992F81">
        <w:rPr>
          <w:rFonts w:ascii="Times New Roman" w:hAnsi="Times New Roman"/>
          <w:sz w:val="24"/>
        </w:rPr>
        <w:t xml:space="preserve"> (March 2026) at 30-31; </w:t>
      </w:r>
      <w:r w:rsidRPr="00992F81">
        <w:rPr>
          <w:rFonts w:ascii="Times New Roman" w:eastAsia="Calibri" w:hAnsi="Times New Roman"/>
          <w:i/>
          <w:sz w:val="24"/>
        </w:rPr>
        <w:t>Mullaley</w:t>
      </w:r>
      <w:r w:rsidRPr="00992F81">
        <w:rPr>
          <w:rFonts w:ascii="Times New Roman" w:hAnsi="Times New Roman"/>
          <w:sz w:val="24"/>
        </w:rPr>
        <w:t xml:space="preserve"> (2021) 252 LGERA 221 at 248-249 [106].</w:t>
      </w:r>
    </w:p>
  </w:footnote>
  <w:footnote w:id="141">
    <w:p w14:paraId="07CD0D36" w14:textId="77777777" w:rsidR="004D2653" w:rsidRPr="00992F81" w:rsidRDefault="004D2653" w:rsidP="00992F81">
      <w:pPr>
        <w:pStyle w:val="FootnoteText"/>
        <w:spacing w:line="280" w:lineRule="exact"/>
        <w:ind w:right="0"/>
        <w:jc w:val="both"/>
        <w:rPr>
          <w:rFonts w:ascii="Times New Roman" w:hAnsi="Times New Roman"/>
          <w:i/>
          <w:sz w:val="24"/>
        </w:rPr>
      </w:pPr>
      <w:r w:rsidRPr="00992F81">
        <w:rPr>
          <w:rStyle w:val="FootnoteReference"/>
          <w:rFonts w:ascii="Times New Roman" w:hAnsi="Times New Roman"/>
          <w:sz w:val="22"/>
          <w:vertAlign w:val="baseline"/>
        </w:rPr>
        <w:footnoteRef/>
      </w:r>
      <w:r w:rsidRPr="00992F81">
        <w:rPr>
          <w:rFonts w:ascii="Times New Roman" w:hAnsi="Times New Roman"/>
          <w:sz w:val="24"/>
        </w:rPr>
        <w:t xml:space="preserve"> </w:t>
      </w:r>
      <w:r w:rsidRPr="00992F81">
        <w:rPr>
          <w:rFonts w:ascii="Times New Roman" w:hAnsi="Times New Roman"/>
          <w:sz w:val="24"/>
        </w:rPr>
        <w:tab/>
        <w:t>See [</w:t>
      </w:r>
      <w:r>
        <w:rPr>
          <w:rFonts w:ascii="Times New Roman" w:hAnsi="Times New Roman"/>
          <w:sz w:val="24"/>
        </w:rPr>
        <w:t>95</w:t>
      </w:r>
      <w:r w:rsidRPr="00992F81">
        <w:rPr>
          <w:rFonts w:ascii="Times New Roman" w:hAnsi="Times New Roman"/>
          <w:sz w:val="24"/>
        </w:rPr>
        <w:t>]-[</w:t>
      </w:r>
      <w:r>
        <w:rPr>
          <w:rFonts w:ascii="Times New Roman" w:hAnsi="Times New Roman"/>
          <w:sz w:val="24"/>
        </w:rPr>
        <w:t>96</w:t>
      </w:r>
      <w:r w:rsidRPr="00992F81">
        <w:rPr>
          <w:rFonts w:ascii="Times New Roman" w:hAnsi="Times New Roman"/>
          <w:sz w:val="24"/>
        </w:rPr>
        <w:t xml:space="preserve">] above. See also NSW Independent Planning Commission, </w:t>
      </w:r>
      <w:r w:rsidRPr="00992F81">
        <w:rPr>
          <w:rFonts w:ascii="Times New Roman" w:hAnsi="Times New Roman"/>
          <w:i/>
          <w:iCs/>
          <w:sz w:val="24"/>
        </w:rPr>
        <w:t xml:space="preserve">Statement of Reasons for Decision: United Wambo Open Cut Coal Mine Project (SSD 7142) and Associated Modifications (DA 305-7-2003 MOD 16 &amp; DA 177-8-2004 MOD 3) </w:t>
      </w:r>
      <w:r w:rsidRPr="00992F81">
        <w:rPr>
          <w:rFonts w:ascii="Times New Roman" w:hAnsi="Times New Roman"/>
          <w:sz w:val="24"/>
        </w:rPr>
        <w:t xml:space="preserve">(2019) at 57-61 [297]-[313]. </w:t>
      </w:r>
    </w:p>
  </w:footnote>
  <w:footnote w:id="142">
    <w:p w14:paraId="608082BE" w14:textId="77777777" w:rsidR="004D2653" w:rsidRPr="00992F81" w:rsidRDefault="004D2653" w:rsidP="00992F81">
      <w:pPr>
        <w:pStyle w:val="FootnoteText"/>
        <w:spacing w:line="280" w:lineRule="exact"/>
        <w:ind w:right="0"/>
        <w:jc w:val="both"/>
        <w:rPr>
          <w:rFonts w:ascii="Times New Roman" w:hAnsi="Times New Roman"/>
          <w:sz w:val="24"/>
        </w:rPr>
      </w:pPr>
      <w:r w:rsidRPr="00992F81">
        <w:rPr>
          <w:rStyle w:val="FootnoteReference"/>
          <w:rFonts w:ascii="Times New Roman" w:hAnsi="Times New Roman"/>
          <w:sz w:val="22"/>
          <w:vertAlign w:val="baseline"/>
        </w:rPr>
        <w:footnoteRef/>
      </w:r>
      <w:r w:rsidRPr="00992F81">
        <w:rPr>
          <w:rFonts w:ascii="Times New Roman" w:hAnsi="Times New Roman"/>
          <w:sz w:val="24"/>
        </w:rPr>
        <w:t xml:space="preserve"> </w:t>
      </w:r>
      <w:r w:rsidRPr="00992F81">
        <w:rPr>
          <w:rFonts w:ascii="Times New Roman" w:hAnsi="Times New Roman"/>
          <w:sz w:val="24"/>
        </w:rPr>
        <w:tab/>
        <w:t xml:space="preserve">Cf </w:t>
      </w:r>
      <w:r w:rsidRPr="00992F81">
        <w:rPr>
          <w:rFonts w:ascii="Times New Roman" w:eastAsia="Calibri" w:hAnsi="Times New Roman"/>
          <w:i/>
          <w:sz w:val="24"/>
        </w:rPr>
        <w:t>Mullaley</w:t>
      </w:r>
      <w:r w:rsidRPr="00992F81" w:rsidDel="00D92BEF">
        <w:rPr>
          <w:rFonts w:ascii="Times New Roman" w:hAnsi="Times New Roman"/>
          <w:sz w:val="24"/>
        </w:rPr>
        <w:t xml:space="preserve"> </w:t>
      </w:r>
      <w:r w:rsidRPr="00992F81">
        <w:rPr>
          <w:rFonts w:ascii="Times New Roman" w:hAnsi="Times New Roman"/>
          <w:sz w:val="24"/>
        </w:rPr>
        <w:t xml:space="preserve">(2021) 252 LGERA 221 at 234-235 [37]. See also NSW Independent Planning Commission, </w:t>
      </w:r>
      <w:r w:rsidRPr="00992F81">
        <w:rPr>
          <w:rFonts w:ascii="Times New Roman" w:hAnsi="Times New Roman"/>
          <w:i/>
          <w:iCs/>
          <w:sz w:val="24"/>
        </w:rPr>
        <w:t xml:space="preserve">Statement of Reasons for Decision: United Wambo Open Cut Coal Mine Project (SSD 7142) and Associated Modifications (DA 305-7-2003 MOD 16 &amp; DA 177-8-2004 MOD 3) </w:t>
      </w:r>
      <w:r w:rsidRPr="00992F81">
        <w:rPr>
          <w:rFonts w:ascii="Times New Roman" w:hAnsi="Times New Roman"/>
          <w:sz w:val="24"/>
        </w:rPr>
        <w:t>(2019) at 17 [72], 59-61 [306]-[309].</w:t>
      </w:r>
    </w:p>
  </w:footnote>
  <w:footnote w:id="143">
    <w:p w14:paraId="6BA7C6C5" w14:textId="77777777" w:rsidR="008352AC" w:rsidRPr="009F4AF4" w:rsidRDefault="008352AC" w:rsidP="009F4AF4">
      <w:pPr>
        <w:pStyle w:val="FootnoteText"/>
        <w:spacing w:line="280" w:lineRule="exact"/>
        <w:ind w:right="0"/>
        <w:jc w:val="both"/>
        <w:rPr>
          <w:rFonts w:ascii="Times New Roman" w:hAnsi="Times New Roman"/>
          <w:sz w:val="24"/>
        </w:rPr>
      </w:pPr>
      <w:r w:rsidRPr="009F4AF4">
        <w:rPr>
          <w:rStyle w:val="FootnoteReference"/>
          <w:rFonts w:ascii="Times New Roman" w:hAnsi="Times New Roman"/>
          <w:sz w:val="22"/>
          <w:vertAlign w:val="baseline"/>
        </w:rPr>
        <w:footnoteRef/>
      </w:r>
      <w:r w:rsidRPr="009F4AF4">
        <w:rPr>
          <w:rFonts w:ascii="Times New Roman" w:hAnsi="Times New Roman"/>
          <w:sz w:val="24"/>
        </w:rPr>
        <w:t xml:space="preserve"> </w:t>
      </w:r>
      <w:r w:rsidRPr="009F4AF4">
        <w:rPr>
          <w:rFonts w:ascii="Times New Roman" w:hAnsi="Times New Roman"/>
          <w:sz w:val="24"/>
        </w:rPr>
        <w:tab/>
      </w:r>
      <w:r w:rsidRPr="009F4AF4">
        <w:rPr>
          <w:rFonts w:ascii="Times New Roman" w:hAnsi="Times New Roman"/>
          <w:i/>
          <w:iCs/>
          <w:sz w:val="24"/>
        </w:rPr>
        <w:t xml:space="preserve">R (on the application of Finch) v Surrey County Council </w:t>
      </w:r>
      <w:r w:rsidRPr="009F4AF4">
        <w:rPr>
          <w:rFonts w:ascii="Times New Roman" w:hAnsi="Times New Roman"/>
          <w:sz w:val="24"/>
        </w:rPr>
        <w:t xml:space="preserve">[2024] 4 All ER 717 at 729 [39]-[40]. </w:t>
      </w:r>
    </w:p>
  </w:footnote>
  <w:footnote w:id="144">
    <w:p w14:paraId="1E8170D9" w14:textId="77777777" w:rsidR="008352AC" w:rsidRPr="009F4AF4" w:rsidRDefault="008352AC" w:rsidP="009F4AF4">
      <w:pPr>
        <w:pStyle w:val="FootnoteText"/>
        <w:spacing w:line="280" w:lineRule="exact"/>
        <w:ind w:right="0"/>
        <w:jc w:val="both"/>
        <w:rPr>
          <w:rFonts w:ascii="Times New Roman" w:hAnsi="Times New Roman"/>
          <w:sz w:val="24"/>
        </w:rPr>
      </w:pPr>
      <w:r w:rsidRPr="009F4AF4">
        <w:rPr>
          <w:rStyle w:val="FootnoteReference"/>
          <w:rFonts w:ascii="Times New Roman" w:hAnsi="Times New Roman"/>
          <w:sz w:val="22"/>
          <w:vertAlign w:val="baseline"/>
        </w:rPr>
        <w:footnoteRef/>
      </w:r>
      <w:r w:rsidRPr="009F4AF4">
        <w:rPr>
          <w:rFonts w:ascii="Times New Roman" w:hAnsi="Times New Roman"/>
          <w:sz w:val="24"/>
        </w:rPr>
        <w:t xml:space="preserve"> </w:t>
      </w:r>
      <w:r w:rsidRPr="009F4AF4">
        <w:rPr>
          <w:rFonts w:ascii="Times New Roman" w:hAnsi="Times New Roman"/>
          <w:sz w:val="24"/>
        </w:rPr>
        <w:tab/>
      </w:r>
      <w:r w:rsidRPr="009F4AF4">
        <w:rPr>
          <w:rFonts w:ascii="Times New Roman" w:hAnsi="Times New Roman"/>
          <w:i/>
          <w:iCs/>
          <w:sz w:val="24"/>
        </w:rPr>
        <w:t>State Environmental Planning Policy (Resources and Energy) 2021</w:t>
      </w:r>
      <w:r w:rsidRPr="009F4AF4">
        <w:rPr>
          <w:rFonts w:ascii="Times New Roman" w:hAnsi="Times New Roman"/>
          <w:sz w:val="24"/>
        </w:rPr>
        <w:t xml:space="preserve"> (NSW), cl</w:t>
      </w:r>
      <w:r>
        <w:rPr>
          <w:rFonts w:ascii="Times New Roman" w:hAnsi="Times New Roman"/>
          <w:sz w:val="24"/>
        </w:rPr>
        <w:t> </w:t>
      </w:r>
      <w:r w:rsidRPr="009F4AF4">
        <w:rPr>
          <w:rFonts w:ascii="Times New Roman" w:hAnsi="Times New Roman"/>
          <w:sz w:val="24"/>
        </w:rPr>
        <w:t xml:space="preserve">2.20(1)(c) read with </w:t>
      </w:r>
      <w:r w:rsidRPr="009F4AF4">
        <w:rPr>
          <w:rFonts w:ascii="Times New Roman" w:hAnsi="Times New Roman"/>
          <w:i/>
          <w:iCs/>
          <w:sz w:val="24"/>
        </w:rPr>
        <w:t>Environmental Planning and Assessment Act 1979</w:t>
      </w:r>
      <w:r w:rsidRPr="009F4AF4">
        <w:rPr>
          <w:rFonts w:ascii="Times New Roman" w:hAnsi="Times New Roman"/>
          <w:sz w:val="24"/>
        </w:rPr>
        <w:t xml:space="preserve"> (NSW), ss</w:t>
      </w:r>
      <w:r>
        <w:rPr>
          <w:rFonts w:ascii="Times New Roman" w:hAnsi="Times New Roman"/>
          <w:sz w:val="24"/>
        </w:rPr>
        <w:t> </w:t>
      </w:r>
      <w:r w:rsidRPr="009F4AF4">
        <w:rPr>
          <w:rFonts w:ascii="Times New Roman" w:hAnsi="Times New Roman"/>
          <w:sz w:val="24"/>
        </w:rPr>
        <w:t>4.15(1)(a)(i) and 4.40.</w:t>
      </w:r>
      <w:r w:rsidRPr="009F4AF4">
        <w:rPr>
          <w:rFonts w:ascii="Times New Roman" w:hAnsi="Times New Roman"/>
          <w:sz w:val="24"/>
          <w:shd w:val="clear" w:color="auto" w:fill="FFFFFF" w:themeFill="background1"/>
        </w:rPr>
        <w:t xml:space="preserve"> </w:t>
      </w:r>
      <w:r w:rsidRPr="009F4AF4">
        <w:rPr>
          <w:rFonts w:ascii="Times New Roman" w:hAnsi="Times New Roman"/>
          <w:sz w:val="24"/>
        </w:rPr>
        <w:t xml:space="preserve"> </w:t>
      </w:r>
    </w:p>
  </w:footnote>
  <w:footnote w:id="145">
    <w:p w14:paraId="66D30348" w14:textId="77777777" w:rsidR="008352AC" w:rsidRPr="009F4AF4" w:rsidRDefault="008352AC" w:rsidP="009F4AF4">
      <w:pPr>
        <w:pStyle w:val="FootnoteText"/>
        <w:spacing w:line="280" w:lineRule="exact"/>
        <w:ind w:right="0"/>
        <w:jc w:val="both"/>
        <w:rPr>
          <w:rFonts w:ascii="Times New Roman" w:hAnsi="Times New Roman"/>
          <w:sz w:val="24"/>
        </w:rPr>
      </w:pPr>
      <w:r w:rsidRPr="009F4AF4">
        <w:rPr>
          <w:rStyle w:val="FootnoteReference"/>
          <w:rFonts w:ascii="Times New Roman" w:hAnsi="Times New Roman"/>
          <w:sz w:val="22"/>
          <w:vertAlign w:val="baseline"/>
        </w:rPr>
        <w:footnoteRef/>
      </w:r>
      <w:r w:rsidRPr="009F4AF4">
        <w:rPr>
          <w:rFonts w:ascii="Times New Roman" w:hAnsi="Times New Roman"/>
          <w:sz w:val="24"/>
        </w:rPr>
        <w:t xml:space="preserve"> </w:t>
      </w:r>
      <w:r w:rsidRPr="009F4AF4">
        <w:rPr>
          <w:rFonts w:ascii="Times New Roman" w:hAnsi="Times New Roman"/>
          <w:sz w:val="24"/>
        </w:rPr>
        <w:tab/>
      </w:r>
      <w:r w:rsidRPr="009F4AF4">
        <w:rPr>
          <w:rFonts w:ascii="Times New Roman" w:hAnsi="Times New Roman"/>
          <w:i/>
          <w:iCs/>
          <w:sz w:val="24"/>
        </w:rPr>
        <w:t>Environmental Planning and Assessment Act</w:t>
      </w:r>
      <w:r w:rsidRPr="009F4AF4">
        <w:rPr>
          <w:rFonts w:ascii="Times New Roman" w:hAnsi="Times New Roman"/>
          <w:sz w:val="24"/>
        </w:rPr>
        <w:t>, ss 4.15(1)(b) and 4.40.</w:t>
      </w:r>
    </w:p>
  </w:footnote>
  <w:footnote w:id="146">
    <w:p w14:paraId="4831C1D0" w14:textId="77777777" w:rsidR="008352AC" w:rsidRPr="009F4AF4" w:rsidRDefault="008352AC" w:rsidP="009F4AF4">
      <w:pPr>
        <w:pStyle w:val="FootnoteText"/>
        <w:spacing w:line="280" w:lineRule="exact"/>
        <w:ind w:right="0"/>
        <w:jc w:val="both"/>
        <w:rPr>
          <w:rFonts w:ascii="Times New Roman" w:hAnsi="Times New Roman"/>
          <w:sz w:val="24"/>
        </w:rPr>
      </w:pPr>
      <w:r w:rsidRPr="009F4AF4">
        <w:rPr>
          <w:rStyle w:val="FootnoteReference"/>
          <w:rFonts w:ascii="Times New Roman" w:hAnsi="Times New Roman"/>
          <w:sz w:val="22"/>
          <w:vertAlign w:val="baseline"/>
        </w:rPr>
        <w:footnoteRef/>
      </w:r>
      <w:r w:rsidRPr="009F4AF4">
        <w:rPr>
          <w:rFonts w:ascii="Times New Roman" w:hAnsi="Times New Roman"/>
          <w:sz w:val="24"/>
        </w:rPr>
        <w:t xml:space="preserve"> </w:t>
      </w:r>
      <w:r w:rsidRPr="009F4AF4">
        <w:rPr>
          <w:rFonts w:ascii="Times New Roman" w:hAnsi="Times New Roman"/>
          <w:sz w:val="24"/>
        </w:rPr>
        <w:tab/>
      </w:r>
      <w:r w:rsidRPr="009F4AF4">
        <w:rPr>
          <w:rFonts w:ascii="Times New Roman" w:hAnsi="Times New Roman"/>
          <w:i/>
          <w:iCs/>
          <w:sz w:val="24"/>
        </w:rPr>
        <w:t>KEPCO Bylong Australia Pty Ltd v Bylong Valley Protection Alliance Inc</w:t>
      </w:r>
      <w:r w:rsidRPr="009F4AF4">
        <w:rPr>
          <w:rFonts w:ascii="Times New Roman" w:hAnsi="Times New Roman"/>
          <w:sz w:val="24"/>
        </w:rPr>
        <w:t xml:space="preserve"> (2021) 250 LGERA 39 at 73 [127].</w:t>
      </w:r>
    </w:p>
  </w:footnote>
  <w:footnote w:id="147">
    <w:p w14:paraId="37E52E8A" w14:textId="77777777" w:rsidR="008352AC" w:rsidRPr="009F4AF4" w:rsidRDefault="008352AC" w:rsidP="009F4AF4">
      <w:pPr>
        <w:pStyle w:val="FootnoteText"/>
        <w:spacing w:line="280" w:lineRule="exact"/>
        <w:ind w:right="0"/>
        <w:jc w:val="both"/>
        <w:rPr>
          <w:rFonts w:ascii="Times New Roman" w:hAnsi="Times New Roman"/>
          <w:sz w:val="24"/>
        </w:rPr>
      </w:pPr>
      <w:r w:rsidRPr="009F4AF4">
        <w:rPr>
          <w:rStyle w:val="FootnoteReference"/>
          <w:rFonts w:ascii="Times New Roman" w:hAnsi="Times New Roman"/>
          <w:sz w:val="22"/>
          <w:vertAlign w:val="baseline"/>
        </w:rPr>
        <w:footnoteRef/>
      </w:r>
      <w:r w:rsidRPr="009F4AF4">
        <w:rPr>
          <w:rFonts w:ascii="Times New Roman" w:hAnsi="Times New Roman"/>
          <w:sz w:val="24"/>
        </w:rPr>
        <w:t xml:space="preserve"> </w:t>
      </w:r>
      <w:r w:rsidRPr="009F4AF4">
        <w:rPr>
          <w:rFonts w:ascii="Times New Roman" w:hAnsi="Times New Roman"/>
          <w:sz w:val="24"/>
        </w:rPr>
        <w:tab/>
        <w:t>At [</w:t>
      </w:r>
      <w:r>
        <w:rPr>
          <w:rFonts w:ascii="Times New Roman" w:hAnsi="Times New Roman"/>
          <w:sz w:val="24"/>
        </w:rPr>
        <w:t>210</w:t>
      </w:r>
      <w:r w:rsidRPr="009F4AF4">
        <w:rPr>
          <w:rFonts w:ascii="Times New Roman" w:hAnsi="Times New Roman"/>
          <w:sz w:val="24"/>
        </w:rPr>
        <w:t>].</w:t>
      </w:r>
    </w:p>
  </w:footnote>
  <w:footnote w:id="148">
    <w:p w14:paraId="6E374623" w14:textId="77777777" w:rsidR="008352AC" w:rsidRPr="009F4AF4" w:rsidRDefault="008352AC" w:rsidP="009F4AF4">
      <w:pPr>
        <w:pStyle w:val="FootnoteText"/>
        <w:spacing w:line="280" w:lineRule="exact"/>
        <w:ind w:right="0"/>
        <w:jc w:val="both"/>
        <w:rPr>
          <w:rFonts w:ascii="Times New Roman" w:hAnsi="Times New Roman"/>
          <w:sz w:val="24"/>
        </w:rPr>
      </w:pPr>
      <w:r w:rsidRPr="009F4AF4">
        <w:rPr>
          <w:rStyle w:val="FootnoteReference"/>
          <w:rFonts w:ascii="Times New Roman" w:hAnsi="Times New Roman"/>
          <w:sz w:val="22"/>
          <w:vertAlign w:val="baseline"/>
        </w:rPr>
        <w:footnoteRef/>
      </w:r>
      <w:r w:rsidRPr="009F4AF4">
        <w:rPr>
          <w:rFonts w:ascii="Times New Roman" w:hAnsi="Times New Roman"/>
          <w:sz w:val="24"/>
        </w:rPr>
        <w:t xml:space="preserve"> </w:t>
      </w:r>
      <w:r w:rsidRPr="009F4AF4">
        <w:rPr>
          <w:rFonts w:ascii="Times New Roman" w:hAnsi="Times New Roman"/>
          <w:sz w:val="24"/>
        </w:rPr>
        <w:tab/>
        <w:t>Measured in 2017 and excluding land use change.</w:t>
      </w:r>
    </w:p>
  </w:footnote>
  <w:footnote w:id="149">
    <w:p w14:paraId="598A9D08" w14:textId="77777777" w:rsidR="008352AC" w:rsidRPr="009F4AF4" w:rsidRDefault="008352AC" w:rsidP="009F4AF4">
      <w:pPr>
        <w:pStyle w:val="FootnoteText"/>
        <w:spacing w:line="280" w:lineRule="exact"/>
        <w:ind w:right="0"/>
        <w:jc w:val="both"/>
        <w:rPr>
          <w:rFonts w:ascii="Times New Roman" w:hAnsi="Times New Roman"/>
          <w:sz w:val="24"/>
        </w:rPr>
      </w:pPr>
      <w:r w:rsidRPr="009F4AF4">
        <w:rPr>
          <w:rStyle w:val="FootnoteReference"/>
          <w:rFonts w:ascii="Times New Roman" w:hAnsi="Times New Roman"/>
          <w:sz w:val="22"/>
          <w:vertAlign w:val="baseline"/>
        </w:rPr>
        <w:footnoteRef/>
      </w:r>
      <w:r w:rsidRPr="009F4AF4">
        <w:rPr>
          <w:rFonts w:ascii="Times New Roman" w:hAnsi="Times New Roman"/>
          <w:sz w:val="24"/>
        </w:rPr>
        <w:t xml:space="preserve"> </w:t>
      </w:r>
      <w:r w:rsidRPr="009F4AF4">
        <w:rPr>
          <w:rFonts w:ascii="Times New Roman" w:hAnsi="Times New Roman"/>
          <w:sz w:val="24"/>
        </w:rPr>
        <w:tab/>
        <w:t xml:space="preserve">Citing </w:t>
      </w:r>
      <w:r w:rsidRPr="009F4AF4">
        <w:rPr>
          <w:rFonts w:ascii="Times New Roman" w:hAnsi="Times New Roman"/>
          <w:i/>
          <w:iCs/>
          <w:sz w:val="24"/>
        </w:rPr>
        <w:t>Lliuya v RWE AG</w:t>
      </w:r>
      <w:r w:rsidRPr="009F4AF4">
        <w:rPr>
          <w:rFonts w:ascii="Times New Roman" w:hAnsi="Times New Roman"/>
          <w:sz w:val="24"/>
        </w:rPr>
        <w:t xml:space="preserve">, Oberlandesgericht Hamm (Hamm Higher Regional Court), I-5 U 15/17, 28 May 2025; </w:t>
      </w:r>
      <w:r w:rsidRPr="009F4AF4">
        <w:rPr>
          <w:rFonts w:ascii="Times New Roman" w:hAnsi="Times New Roman"/>
          <w:i/>
          <w:iCs/>
          <w:sz w:val="24"/>
        </w:rPr>
        <w:t>Native Village of Kivalina v ExxonMobil Corp</w:t>
      </w:r>
      <w:r w:rsidRPr="009F4AF4">
        <w:rPr>
          <w:rFonts w:ascii="Times New Roman" w:hAnsi="Times New Roman"/>
          <w:sz w:val="24"/>
        </w:rPr>
        <w:t xml:space="preserve"> (2009) 663 F Supp 2d 863 at 880 (affirmed (2012) 696 F 3d 849). </w:t>
      </w:r>
    </w:p>
  </w:footnote>
  <w:footnote w:id="150">
    <w:p w14:paraId="35B72089" w14:textId="77777777" w:rsidR="008352AC" w:rsidRPr="009F4AF4" w:rsidRDefault="008352AC" w:rsidP="009F4AF4">
      <w:pPr>
        <w:pStyle w:val="FootnoteText"/>
        <w:spacing w:line="280" w:lineRule="exact"/>
        <w:ind w:right="0"/>
        <w:jc w:val="both"/>
        <w:rPr>
          <w:rFonts w:ascii="Times New Roman" w:hAnsi="Times New Roman"/>
          <w:sz w:val="24"/>
        </w:rPr>
      </w:pPr>
      <w:r w:rsidRPr="009F4AF4">
        <w:rPr>
          <w:rStyle w:val="FootnoteReference"/>
          <w:rFonts w:ascii="Times New Roman" w:hAnsi="Times New Roman"/>
          <w:sz w:val="22"/>
          <w:vertAlign w:val="baseline"/>
        </w:rPr>
        <w:footnoteRef/>
      </w:r>
      <w:r w:rsidRPr="009F4AF4">
        <w:rPr>
          <w:rFonts w:ascii="Times New Roman" w:hAnsi="Times New Roman"/>
          <w:sz w:val="24"/>
        </w:rPr>
        <w:t xml:space="preserve"> </w:t>
      </w:r>
      <w:r w:rsidRPr="009F4AF4">
        <w:rPr>
          <w:rFonts w:ascii="Times New Roman" w:hAnsi="Times New Roman"/>
          <w:sz w:val="24"/>
        </w:rPr>
        <w:tab/>
      </w:r>
      <w:r w:rsidRPr="009F4AF4">
        <w:rPr>
          <w:rFonts w:ascii="Times New Roman" w:hAnsi="Times New Roman"/>
          <w:i/>
          <w:iCs/>
          <w:sz w:val="24"/>
        </w:rPr>
        <w:t>Suttor v Gundowda Pty Ltd</w:t>
      </w:r>
      <w:r w:rsidRPr="009F4AF4">
        <w:rPr>
          <w:rFonts w:ascii="Times New Roman" w:hAnsi="Times New Roman"/>
          <w:sz w:val="24"/>
        </w:rPr>
        <w:t xml:space="preserve"> (1950) 81 CLR 418 at 438.</w:t>
      </w:r>
    </w:p>
  </w:footnote>
  <w:footnote w:id="151">
    <w:p w14:paraId="4D67FF6F" w14:textId="77777777" w:rsidR="008352AC" w:rsidRPr="009F4AF4" w:rsidRDefault="008352AC" w:rsidP="009F4AF4">
      <w:pPr>
        <w:pStyle w:val="FootnoteText"/>
        <w:spacing w:line="280" w:lineRule="exact"/>
        <w:ind w:right="0"/>
        <w:jc w:val="both"/>
        <w:rPr>
          <w:rFonts w:ascii="Times New Roman" w:hAnsi="Times New Roman"/>
          <w:sz w:val="24"/>
        </w:rPr>
      </w:pPr>
      <w:r w:rsidRPr="009F4AF4">
        <w:rPr>
          <w:rStyle w:val="FootnoteReference"/>
          <w:rFonts w:ascii="Times New Roman" w:hAnsi="Times New Roman"/>
          <w:sz w:val="22"/>
          <w:vertAlign w:val="baseline"/>
        </w:rPr>
        <w:footnoteRef/>
      </w:r>
      <w:r w:rsidRPr="009F4AF4">
        <w:rPr>
          <w:rFonts w:ascii="Times New Roman" w:hAnsi="Times New Roman"/>
          <w:sz w:val="24"/>
        </w:rPr>
        <w:t xml:space="preserve"> </w:t>
      </w:r>
      <w:r w:rsidRPr="009F4AF4">
        <w:rPr>
          <w:rFonts w:ascii="Times New Roman" w:hAnsi="Times New Roman"/>
          <w:sz w:val="24"/>
        </w:rPr>
        <w:tab/>
        <w:t xml:space="preserve">Phillips, Merner and Otto, "Attribution Science", in Wewerinke-Singh and Mead (eds), </w:t>
      </w:r>
      <w:r w:rsidRPr="009F4AF4">
        <w:rPr>
          <w:rFonts w:ascii="Times New Roman" w:hAnsi="Times New Roman"/>
          <w:i/>
          <w:iCs/>
          <w:sz w:val="24"/>
        </w:rPr>
        <w:t>The Cambridge</w:t>
      </w:r>
      <w:r w:rsidRPr="009F4AF4">
        <w:rPr>
          <w:rFonts w:ascii="Times New Roman" w:hAnsi="Times New Roman"/>
          <w:sz w:val="24"/>
        </w:rPr>
        <w:t xml:space="preserve"> </w:t>
      </w:r>
      <w:r w:rsidRPr="009F4AF4">
        <w:rPr>
          <w:rFonts w:ascii="Times New Roman" w:hAnsi="Times New Roman"/>
          <w:i/>
          <w:iCs/>
          <w:sz w:val="24"/>
        </w:rPr>
        <w:t>Handbook on Climate Litigation</w:t>
      </w:r>
      <w:r w:rsidRPr="009F4AF4">
        <w:rPr>
          <w:rFonts w:ascii="Times New Roman" w:hAnsi="Times New Roman"/>
          <w:sz w:val="24"/>
        </w:rPr>
        <w:t xml:space="preserve"> (2025) 79 at 80-83, 87, 101. </w:t>
      </w:r>
    </w:p>
  </w:footnote>
  <w:footnote w:id="152">
    <w:p w14:paraId="29BF3319" w14:textId="77777777" w:rsidR="008352AC" w:rsidRPr="009F4AF4" w:rsidRDefault="008352AC" w:rsidP="009F4AF4">
      <w:pPr>
        <w:pStyle w:val="FootnoteText"/>
        <w:spacing w:line="280" w:lineRule="exact"/>
        <w:ind w:right="0"/>
        <w:jc w:val="both"/>
        <w:rPr>
          <w:rFonts w:ascii="Times New Roman" w:hAnsi="Times New Roman"/>
          <w:sz w:val="24"/>
        </w:rPr>
      </w:pPr>
      <w:r w:rsidRPr="009F4AF4">
        <w:rPr>
          <w:rStyle w:val="FootnoteReference"/>
          <w:rFonts w:ascii="Times New Roman" w:hAnsi="Times New Roman"/>
          <w:sz w:val="22"/>
          <w:vertAlign w:val="baseline"/>
        </w:rPr>
        <w:footnoteRef/>
      </w:r>
      <w:r w:rsidRPr="009F4AF4">
        <w:rPr>
          <w:rFonts w:ascii="Times New Roman" w:hAnsi="Times New Roman"/>
          <w:sz w:val="24"/>
        </w:rPr>
        <w:t xml:space="preserve"> </w:t>
      </w:r>
      <w:r w:rsidRPr="009F4AF4">
        <w:rPr>
          <w:rFonts w:ascii="Times New Roman" w:hAnsi="Times New Roman"/>
          <w:sz w:val="24"/>
        </w:rPr>
        <w:tab/>
      </w:r>
      <w:r w:rsidRPr="009F4AF4">
        <w:rPr>
          <w:rFonts w:ascii="Times New Roman" w:hAnsi="Times New Roman"/>
          <w:i/>
          <w:iCs/>
          <w:sz w:val="24"/>
        </w:rPr>
        <w:t xml:space="preserve">Environment Agency (formerly National Rivers Authority) v Empress Car </w:t>
      </w:r>
      <w:r w:rsidRPr="009F4AF4">
        <w:rPr>
          <w:rFonts w:ascii="Times New Roman" w:hAnsi="Times New Roman"/>
          <w:i/>
          <w:sz w:val="24"/>
        </w:rPr>
        <w:t>Co</w:t>
      </w:r>
      <w:r w:rsidRPr="009F4AF4">
        <w:rPr>
          <w:rFonts w:ascii="Times New Roman" w:hAnsi="Times New Roman"/>
          <w:i/>
          <w:iCs/>
          <w:sz w:val="24"/>
        </w:rPr>
        <w:t xml:space="preserve"> (Abertillery) Ltd </w:t>
      </w:r>
      <w:r w:rsidRPr="009F4AF4">
        <w:rPr>
          <w:rFonts w:ascii="Times New Roman" w:hAnsi="Times New Roman"/>
          <w:sz w:val="24"/>
        </w:rPr>
        <w:t>[1999] 2 AC 22 at 31-32.</w:t>
      </w:r>
    </w:p>
  </w:footnote>
  <w:footnote w:id="153">
    <w:p w14:paraId="2717FD88" w14:textId="77777777" w:rsidR="008352AC" w:rsidRPr="009F4AF4" w:rsidRDefault="008352AC" w:rsidP="009F4AF4">
      <w:pPr>
        <w:pStyle w:val="FootnoteText"/>
        <w:spacing w:line="280" w:lineRule="exact"/>
        <w:ind w:right="0"/>
        <w:jc w:val="both"/>
        <w:rPr>
          <w:rFonts w:ascii="Times New Roman" w:hAnsi="Times New Roman"/>
          <w:sz w:val="24"/>
        </w:rPr>
      </w:pPr>
      <w:r w:rsidRPr="009F4AF4">
        <w:rPr>
          <w:rStyle w:val="FootnoteReference"/>
          <w:rFonts w:ascii="Times New Roman" w:hAnsi="Times New Roman"/>
          <w:sz w:val="22"/>
          <w:vertAlign w:val="baseline"/>
        </w:rPr>
        <w:footnoteRef/>
      </w:r>
      <w:r w:rsidRPr="009F4AF4">
        <w:rPr>
          <w:rFonts w:ascii="Times New Roman" w:hAnsi="Times New Roman"/>
          <w:sz w:val="24"/>
        </w:rPr>
        <w:t xml:space="preserve"> </w:t>
      </w:r>
      <w:r w:rsidRPr="009F4AF4">
        <w:rPr>
          <w:rFonts w:ascii="Times New Roman" w:hAnsi="Times New Roman"/>
          <w:sz w:val="24"/>
        </w:rPr>
        <w:tab/>
      </w:r>
      <w:r w:rsidRPr="009F4AF4">
        <w:rPr>
          <w:rFonts w:ascii="Times New Roman" w:hAnsi="Times New Roman"/>
          <w:i/>
          <w:iCs/>
          <w:sz w:val="24"/>
        </w:rPr>
        <w:t>Environmental Planning and Assessment Act</w:t>
      </w:r>
      <w:r w:rsidRPr="009F4AF4">
        <w:rPr>
          <w:rFonts w:ascii="Times New Roman" w:hAnsi="Times New Roman"/>
          <w:sz w:val="24"/>
        </w:rPr>
        <w:t>, s 4.15(1)(b).</w:t>
      </w:r>
    </w:p>
  </w:footnote>
  <w:footnote w:id="154">
    <w:p w14:paraId="5E660DC4" w14:textId="77777777" w:rsidR="008352AC" w:rsidRPr="009F4AF4" w:rsidRDefault="008352AC" w:rsidP="009F4AF4">
      <w:pPr>
        <w:pStyle w:val="FootnoteText"/>
        <w:spacing w:line="280" w:lineRule="exact"/>
        <w:ind w:right="0"/>
        <w:jc w:val="both"/>
        <w:rPr>
          <w:rFonts w:ascii="Times New Roman" w:hAnsi="Times New Roman"/>
          <w:sz w:val="24"/>
        </w:rPr>
      </w:pPr>
      <w:r w:rsidRPr="009F4AF4">
        <w:rPr>
          <w:rStyle w:val="FootnoteReference"/>
          <w:rFonts w:ascii="Times New Roman" w:hAnsi="Times New Roman"/>
          <w:sz w:val="22"/>
          <w:vertAlign w:val="baseline"/>
        </w:rPr>
        <w:footnoteRef/>
      </w:r>
      <w:r w:rsidRPr="009F4AF4">
        <w:rPr>
          <w:rFonts w:ascii="Times New Roman" w:hAnsi="Times New Roman"/>
          <w:sz w:val="24"/>
        </w:rPr>
        <w:t xml:space="preserve"> </w:t>
      </w:r>
      <w:r w:rsidRPr="009F4AF4">
        <w:rPr>
          <w:rFonts w:ascii="Times New Roman" w:hAnsi="Times New Roman"/>
          <w:sz w:val="24"/>
        </w:rPr>
        <w:tab/>
        <w:t xml:space="preserve">See Geistfeld and Steel, "Causation in Tort", in Kysar and Lim (eds), </w:t>
      </w:r>
      <w:r w:rsidRPr="009F4AF4">
        <w:rPr>
          <w:rFonts w:ascii="Times New Roman" w:hAnsi="Times New Roman"/>
          <w:i/>
          <w:iCs/>
          <w:sz w:val="24"/>
        </w:rPr>
        <w:t xml:space="preserve">The Oxford Handbook of Climate Change and Private Law </w:t>
      </w:r>
      <w:r w:rsidRPr="009F4AF4">
        <w:rPr>
          <w:rFonts w:ascii="Times New Roman" w:hAnsi="Times New Roman"/>
          <w:sz w:val="24"/>
        </w:rPr>
        <w:t>(2026) 119.</w:t>
      </w:r>
    </w:p>
  </w:footnote>
  <w:footnote w:id="155">
    <w:p w14:paraId="0C2AFD5C" w14:textId="77777777" w:rsidR="008352AC" w:rsidRPr="009F4AF4" w:rsidRDefault="008352AC" w:rsidP="009F4AF4">
      <w:pPr>
        <w:pStyle w:val="FootnoteText"/>
        <w:spacing w:line="280" w:lineRule="exact"/>
        <w:ind w:right="0"/>
        <w:jc w:val="both"/>
        <w:rPr>
          <w:rFonts w:ascii="Times New Roman" w:hAnsi="Times New Roman"/>
          <w:sz w:val="24"/>
        </w:rPr>
      </w:pPr>
      <w:r w:rsidRPr="009F4AF4">
        <w:rPr>
          <w:rStyle w:val="FootnoteReference"/>
          <w:rFonts w:ascii="Times New Roman" w:hAnsi="Times New Roman"/>
          <w:sz w:val="22"/>
          <w:vertAlign w:val="baseline"/>
        </w:rPr>
        <w:footnoteRef/>
      </w:r>
      <w:r w:rsidRPr="009F4AF4">
        <w:rPr>
          <w:rFonts w:ascii="Times New Roman" w:hAnsi="Times New Roman"/>
          <w:sz w:val="24"/>
        </w:rPr>
        <w:t xml:space="preserve"> </w:t>
      </w:r>
      <w:r w:rsidRPr="009F4AF4">
        <w:rPr>
          <w:rFonts w:ascii="Times New Roman" w:hAnsi="Times New Roman"/>
          <w:sz w:val="24"/>
        </w:rPr>
        <w:tab/>
      </w:r>
      <w:r w:rsidRPr="009F4AF4">
        <w:rPr>
          <w:rFonts w:ascii="Times New Roman" w:hAnsi="Times New Roman"/>
          <w:i/>
          <w:iCs/>
          <w:sz w:val="24"/>
        </w:rPr>
        <w:t>Environmental Planning and Assessment Act</w:t>
      </w:r>
      <w:r w:rsidRPr="009F4AF4">
        <w:rPr>
          <w:rFonts w:ascii="Times New Roman" w:hAnsi="Times New Roman"/>
          <w:sz w:val="24"/>
        </w:rPr>
        <w:t>, ss 2.7(1), 2.7(3), 4.5(a).</w:t>
      </w:r>
    </w:p>
  </w:footnote>
  <w:footnote w:id="156">
    <w:p w14:paraId="68466E23" w14:textId="77777777" w:rsidR="008352AC" w:rsidRPr="009F4AF4" w:rsidRDefault="008352AC" w:rsidP="009F4AF4">
      <w:pPr>
        <w:pStyle w:val="FootnoteText"/>
        <w:spacing w:line="280" w:lineRule="exact"/>
        <w:ind w:right="0"/>
        <w:jc w:val="both"/>
        <w:rPr>
          <w:rFonts w:ascii="Times New Roman" w:hAnsi="Times New Roman"/>
          <w:sz w:val="24"/>
        </w:rPr>
      </w:pPr>
      <w:r w:rsidRPr="009F4AF4">
        <w:rPr>
          <w:rStyle w:val="FootnoteReference"/>
          <w:rFonts w:ascii="Times New Roman" w:hAnsi="Times New Roman"/>
          <w:sz w:val="22"/>
          <w:vertAlign w:val="baseline"/>
        </w:rPr>
        <w:footnoteRef/>
      </w:r>
      <w:r w:rsidRPr="009F4AF4">
        <w:rPr>
          <w:rFonts w:ascii="Times New Roman" w:hAnsi="Times New Roman"/>
          <w:sz w:val="24"/>
        </w:rPr>
        <w:t xml:space="preserve"> </w:t>
      </w:r>
      <w:r w:rsidRPr="009F4AF4">
        <w:rPr>
          <w:rFonts w:ascii="Times New Roman" w:hAnsi="Times New Roman"/>
          <w:sz w:val="24"/>
        </w:rPr>
        <w:tab/>
      </w:r>
      <w:r w:rsidRPr="009F4AF4">
        <w:rPr>
          <w:rFonts w:ascii="Times New Roman" w:hAnsi="Times New Roman"/>
          <w:i/>
          <w:iCs/>
          <w:sz w:val="24"/>
        </w:rPr>
        <w:t>Environmental Planning and Assessment Act</w:t>
      </w:r>
      <w:r w:rsidRPr="009F4AF4">
        <w:rPr>
          <w:rFonts w:ascii="Times New Roman" w:hAnsi="Times New Roman"/>
          <w:sz w:val="24"/>
        </w:rPr>
        <w:t xml:space="preserve">, s 2.8. </w:t>
      </w:r>
    </w:p>
  </w:footnote>
  <w:footnote w:id="157">
    <w:p w14:paraId="70FC2BFF" w14:textId="77777777" w:rsidR="008352AC" w:rsidRPr="009F4AF4" w:rsidRDefault="008352AC" w:rsidP="009F4AF4">
      <w:pPr>
        <w:pStyle w:val="FootnoteText"/>
        <w:spacing w:line="280" w:lineRule="exact"/>
        <w:ind w:right="0"/>
        <w:jc w:val="both"/>
        <w:rPr>
          <w:rFonts w:ascii="Times New Roman" w:hAnsi="Times New Roman"/>
          <w:sz w:val="24"/>
        </w:rPr>
      </w:pPr>
      <w:r w:rsidRPr="009F4AF4">
        <w:rPr>
          <w:rStyle w:val="FootnoteReference"/>
          <w:rFonts w:ascii="Times New Roman" w:hAnsi="Times New Roman"/>
          <w:sz w:val="22"/>
          <w:vertAlign w:val="baseline"/>
        </w:rPr>
        <w:footnoteRef/>
      </w:r>
      <w:r w:rsidRPr="009F4AF4">
        <w:rPr>
          <w:rFonts w:ascii="Times New Roman" w:hAnsi="Times New Roman"/>
          <w:sz w:val="24"/>
        </w:rPr>
        <w:t xml:space="preserve"> </w:t>
      </w:r>
      <w:r w:rsidRPr="009F4AF4">
        <w:rPr>
          <w:rFonts w:ascii="Times New Roman" w:hAnsi="Times New Roman"/>
          <w:sz w:val="24"/>
        </w:rPr>
        <w:tab/>
      </w:r>
      <w:r w:rsidRPr="009F4AF4">
        <w:rPr>
          <w:rFonts w:ascii="Times New Roman" w:hAnsi="Times New Roman"/>
          <w:i/>
          <w:iCs/>
          <w:sz w:val="24"/>
        </w:rPr>
        <w:t>Environmental Planning and Assessment Act</w:t>
      </w:r>
      <w:r w:rsidRPr="009F4AF4">
        <w:rPr>
          <w:rFonts w:ascii="Times New Roman" w:hAnsi="Times New Roman"/>
          <w:sz w:val="24"/>
        </w:rPr>
        <w:t>, ss 4.9(a), 4.38.</w:t>
      </w:r>
    </w:p>
  </w:footnote>
  <w:footnote w:id="158">
    <w:p w14:paraId="1530DC70" w14:textId="77777777" w:rsidR="008352AC" w:rsidRPr="009F4AF4" w:rsidRDefault="008352AC" w:rsidP="009F4AF4">
      <w:pPr>
        <w:pStyle w:val="FootnoteText"/>
        <w:spacing w:line="280" w:lineRule="exact"/>
        <w:ind w:right="0"/>
        <w:jc w:val="both"/>
        <w:rPr>
          <w:rFonts w:ascii="Times New Roman" w:hAnsi="Times New Roman"/>
          <w:sz w:val="24"/>
        </w:rPr>
      </w:pPr>
      <w:r w:rsidRPr="009F4AF4">
        <w:rPr>
          <w:rStyle w:val="FootnoteReference"/>
          <w:rFonts w:ascii="Times New Roman" w:hAnsi="Times New Roman"/>
          <w:sz w:val="22"/>
          <w:vertAlign w:val="baseline"/>
        </w:rPr>
        <w:footnoteRef/>
      </w:r>
      <w:r w:rsidRPr="009F4AF4">
        <w:rPr>
          <w:rFonts w:ascii="Times New Roman" w:hAnsi="Times New Roman"/>
          <w:sz w:val="24"/>
        </w:rPr>
        <w:t xml:space="preserve"> </w:t>
      </w:r>
      <w:r w:rsidRPr="009F4AF4">
        <w:rPr>
          <w:rFonts w:ascii="Times New Roman" w:hAnsi="Times New Roman"/>
          <w:sz w:val="24"/>
        </w:rPr>
        <w:tab/>
      </w:r>
      <w:r w:rsidRPr="009F4AF4">
        <w:rPr>
          <w:rFonts w:ascii="Times New Roman" w:hAnsi="Times New Roman"/>
          <w:i/>
          <w:iCs/>
          <w:sz w:val="24"/>
        </w:rPr>
        <w:t>Environmental Planning and Assessment Act</w:t>
      </w:r>
      <w:r w:rsidRPr="009F4AF4">
        <w:rPr>
          <w:rFonts w:ascii="Times New Roman" w:hAnsi="Times New Roman"/>
          <w:sz w:val="24"/>
        </w:rPr>
        <w:t xml:space="preserve">, s 4.12. </w:t>
      </w:r>
    </w:p>
  </w:footnote>
  <w:footnote w:id="159">
    <w:p w14:paraId="0E855F7A" w14:textId="77777777" w:rsidR="008352AC" w:rsidRPr="009F4AF4" w:rsidRDefault="008352AC" w:rsidP="009F4AF4">
      <w:pPr>
        <w:pStyle w:val="FootnoteText"/>
        <w:spacing w:line="280" w:lineRule="exact"/>
        <w:ind w:right="0"/>
        <w:jc w:val="both"/>
        <w:rPr>
          <w:rFonts w:ascii="Times New Roman" w:hAnsi="Times New Roman"/>
          <w:sz w:val="24"/>
        </w:rPr>
      </w:pPr>
      <w:r w:rsidRPr="009F4AF4">
        <w:rPr>
          <w:rStyle w:val="FootnoteReference"/>
          <w:rFonts w:ascii="Times New Roman" w:hAnsi="Times New Roman"/>
          <w:sz w:val="22"/>
          <w:vertAlign w:val="baseline"/>
        </w:rPr>
        <w:footnoteRef/>
      </w:r>
      <w:r w:rsidRPr="009F4AF4">
        <w:rPr>
          <w:rFonts w:ascii="Times New Roman" w:hAnsi="Times New Roman"/>
          <w:sz w:val="24"/>
        </w:rPr>
        <w:t xml:space="preserve"> </w:t>
      </w:r>
      <w:r w:rsidRPr="009F4AF4">
        <w:rPr>
          <w:rFonts w:ascii="Times New Roman" w:hAnsi="Times New Roman"/>
          <w:sz w:val="24"/>
        </w:rPr>
        <w:tab/>
      </w:r>
      <w:r w:rsidRPr="009F4AF4">
        <w:rPr>
          <w:rFonts w:ascii="Times New Roman" w:hAnsi="Times New Roman"/>
          <w:i/>
          <w:iCs/>
          <w:sz w:val="24"/>
        </w:rPr>
        <w:t>Environmental Planning and Assessment Act</w:t>
      </w:r>
      <w:r w:rsidRPr="009F4AF4">
        <w:rPr>
          <w:rFonts w:ascii="Times New Roman" w:hAnsi="Times New Roman"/>
          <w:sz w:val="24"/>
        </w:rPr>
        <w:t>, ss 4.13(1), 4.13(2A).</w:t>
      </w:r>
    </w:p>
  </w:footnote>
  <w:footnote w:id="160">
    <w:p w14:paraId="2DAC73EF" w14:textId="77777777" w:rsidR="008352AC" w:rsidRPr="009F4AF4" w:rsidRDefault="008352AC" w:rsidP="009F4AF4">
      <w:pPr>
        <w:pStyle w:val="FootnoteText"/>
        <w:spacing w:line="280" w:lineRule="exact"/>
        <w:ind w:right="0"/>
        <w:jc w:val="both"/>
        <w:rPr>
          <w:rFonts w:ascii="Times New Roman" w:hAnsi="Times New Roman"/>
          <w:sz w:val="24"/>
        </w:rPr>
      </w:pPr>
      <w:r w:rsidRPr="009F4AF4">
        <w:rPr>
          <w:rStyle w:val="FootnoteReference"/>
          <w:rFonts w:ascii="Times New Roman" w:hAnsi="Times New Roman"/>
          <w:sz w:val="22"/>
          <w:vertAlign w:val="baseline"/>
        </w:rPr>
        <w:footnoteRef/>
      </w:r>
      <w:r w:rsidRPr="009F4AF4">
        <w:rPr>
          <w:rFonts w:ascii="Times New Roman" w:hAnsi="Times New Roman"/>
          <w:sz w:val="24"/>
        </w:rPr>
        <w:t xml:space="preserve"> </w:t>
      </w:r>
      <w:r w:rsidRPr="009F4AF4">
        <w:rPr>
          <w:rFonts w:ascii="Times New Roman" w:hAnsi="Times New Roman"/>
          <w:sz w:val="24"/>
        </w:rPr>
        <w:tab/>
      </w:r>
      <w:r w:rsidRPr="009F4AF4">
        <w:rPr>
          <w:rFonts w:ascii="Times New Roman" w:hAnsi="Times New Roman"/>
          <w:i/>
          <w:iCs/>
          <w:sz w:val="24"/>
        </w:rPr>
        <w:t>Environmental Planning and Assessment Act</w:t>
      </w:r>
      <w:r w:rsidRPr="009F4AF4">
        <w:rPr>
          <w:rFonts w:ascii="Times New Roman" w:hAnsi="Times New Roman"/>
          <w:sz w:val="24"/>
        </w:rPr>
        <w:t>, s 4.15(1) with s 4.40.</w:t>
      </w:r>
    </w:p>
  </w:footnote>
  <w:footnote w:id="161">
    <w:p w14:paraId="4BE85C88" w14:textId="77777777" w:rsidR="008352AC" w:rsidRPr="009F4AF4" w:rsidRDefault="008352AC" w:rsidP="009F4AF4">
      <w:pPr>
        <w:pStyle w:val="FootnoteText"/>
        <w:spacing w:line="280" w:lineRule="exact"/>
        <w:ind w:right="0"/>
        <w:jc w:val="both"/>
        <w:rPr>
          <w:rFonts w:ascii="Times New Roman" w:hAnsi="Times New Roman"/>
          <w:sz w:val="24"/>
        </w:rPr>
      </w:pPr>
      <w:r w:rsidRPr="009F4AF4">
        <w:rPr>
          <w:rStyle w:val="FootnoteReference"/>
          <w:rFonts w:ascii="Times New Roman" w:hAnsi="Times New Roman"/>
          <w:sz w:val="22"/>
          <w:vertAlign w:val="baseline"/>
        </w:rPr>
        <w:footnoteRef/>
      </w:r>
      <w:r w:rsidRPr="009F4AF4">
        <w:rPr>
          <w:rFonts w:ascii="Times New Roman" w:hAnsi="Times New Roman"/>
          <w:sz w:val="24"/>
        </w:rPr>
        <w:t xml:space="preserve"> </w:t>
      </w:r>
      <w:r w:rsidRPr="009F4AF4">
        <w:rPr>
          <w:rFonts w:ascii="Times New Roman" w:hAnsi="Times New Roman"/>
          <w:sz w:val="24"/>
        </w:rPr>
        <w:tab/>
      </w:r>
      <w:r w:rsidRPr="009F4AF4">
        <w:rPr>
          <w:rFonts w:ascii="Times New Roman" w:hAnsi="Times New Roman"/>
          <w:i/>
          <w:iCs/>
          <w:sz w:val="24"/>
        </w:rPr>
        <w:t>State Environmental Planning Policy (Resources and Energy)</w:t>
      </w:r>
      <w:r w:rsidRPr="009F4AF4">
        <w:rPr>
          <w:rFonts w:ascii="Times New Roman" w:hAnsi="Times New Roman"/>
          <w:sz w:val="24"/>
        </w:rPr>
        <w:t>, cl 2.20(1)(c).</w:t>
      </w:r>
    </w:p>
  </w:footnote>
  <w:footnote w:id="162">
    <w:p w14:paraId="2C32BCE7" w14:textId="77777777" w:rsidR="008352AC" w:rsidRPr="009F4AF4" w:rsidRDefault="008352AC" w:rsidP="009F4AF4">
      <w:pPr>
        <w:pStyle w:val="FootnoteText"/>
        <w:spacing w:line="280" w:lineRule="exact"/>
        <w:ind w:right="0"/>
        <w:jc w:val="both"/>
        <w:rPr>
          <w:rFonts w:ascii="Times New Roman" w:hAnsi="Times New Roman"/>
          <w:sz w:val="24"/>
        </w:rPr>
      </w:pPr>
      <w:r w:rsidRPr="009F4AF4">
        <w:rPr>
          <w:rStyle w:val="FootnoteReference"/>
          <w:rFonts w:ascii="Times New Roman" w:hAnsi="Times New Roman"/>
          <w:sz w:val="22"/>
          <w:vertAlign w:val="baseline"/>
        </w:rPr>
        <w:footnoteRef/>
      </w:r>
      <w:r w:rsidRPr="009F4AF4">
        <w:rPr>
          <w:rFonts w:ascii="Times New Roman" w:hAnsi="Times New Roman"/>
          <w:sz w:val="24"/>
        </w:rPr>
        <w:t xml:space="preserve"> </w:t>
      </w:r>
      <w:r w:rsidRPr="009F4AF4">
        <w:rPr>
          <w:rFonts w:ascii="Times New Roman" w:hAnsi="Times New Roman"/>
          <w:sz w:val="24"/>
        </w:rPr>
        <w:tab/>
      </w:r>
      <w:r w:rsidRPr="009F4AF4">
        <w:rPr>
          <w:rFonts w:ascii="Times New Roman" w:hAnsi="Times New Roman"/>
          <w:i/>
          <w:iCs/>
          <w:sz w:val="24"/>
        </w:rPr>
        <w:t>Denman Aberdeen Muswellbrook Scone Healthy Environment Group Inc v MACH Energy Australia Pty Ltd</w:t>
      </w:r>
      <w:r w:rsidRPr="009F4AF4">
        <w:rPr>
          <w:rFonts w:ascii="Times New Roman" w:hAnsi="Times New Roman"/>
          <w:sz w:val="24"/>
        </w:rPr>
        <w:t xml:space="preserve"> (2025) 263 LGERA 264 at 286 [81], 321 [245]. See also 318 [229]. </w:t>
      </w:r>
    </w:p>
  </w:footnote>
  <w:footnote w:id="163">
    <w:p w14:paraId="3185A82F" w14:textId="77777777" w:rsidR="008352AC" w:rsidRPr="009F4AF4" w:rsidRDefault="008352AC" w:rsidP="009F4AF4">
      <w:pPr>
        <w:pStyle w:val="FootnoteText"/>
        <w:spacing w:line="280" w:lineRule="exact"/>
        <w:ind w:right="0"/>
        <w:jc w:val="both"/>
        <w:rPr>
          <w:rFonts w:ascii="Times New Roman" w:hAnsi="Times New Roman"/>
          <w:sz w:val="24"/>
        </w:rPr>
      </w:pPr>
      <w:r w:rsidRPr="009F4AF4">
        <w:rPr>
          <w:rStyle w:val="FootnoteReference"/>
          <w:rFonts w:ascii="Times New Roman" w:hAnsi="Times New Roman"/>
          <w:sz w:val="22"/>
          <w:vertAlign w:val="baseline"/>
        </w:rPr>
        <w:footnoteRef/>
      </w:r>
      <w:r w:rsidRPr="009F4AF4">
        <w:rPr>
          <w:rFonts w:ascii="Times New Roman" w:hAnsi="Times New Roman"/>
          <w:sz w:val="24"/>
        </w:rPr>
        <w:t xml:space="preserve"> </w:t>
      </w:r>
      <w:r w:rsidRPr="009F4AF4">
        <w:rPr>
          <w:rFonts w:ascii="Times New Roman" w:hAnsi="Times New Roman"/>
          <w:sz w:val="24"/>
        </w:rPr>
        <w:tab/>
      </w:r>
      <w:r w:rsidRPr="009F4AF4">
        <w:rPr>
          <w:rFonts w:ascii="Times New Roman" w:hAnsi="Times New Roman"/>
          <w:i/>
          <w:iCs/>
          <w:sz w:val="24"/>
        </w:rPr>
        <w:t>Denman Aberdeen Muswellbrook Scone Healthy Environment Group Inc v MACH Energy Australia Pty Ltd</w:t>
      </w:r>
      <w:r w:rsidRPr="009F4AF4">
        <w:rPr>
          <w:rFonts w:ascii="Times New Roman" w:hAnsi="Times New Roman"/>
          <w:sz w:val="24"/>
        </w:rPr>
        <w:t xml:space="preserve"> (2025) 263 LGERA 264 at 291 [108]-[109]. See also 320 [237]-[238], 321 [245].</w:t>
      </w:r>
    </w:p>
  </w:footnote>
  <w:footnote w:id="164">
    <w:p w14:paraId="6F91EABD" w14:textId="77777777" w:rsidR="008352AC" w:rsidRPr="009F4AF4" w:rsidRDefault="008352AC" w:rsidP="009F4AF4">
      <w:pPr>
        <w:pStyle w:val="FootnoteText"/>
        <w:spacing w:line="280" w:lineRule="exact"/>
        <w:ind w:right="0"/>
        <w:jc w:val="both"/>
        <w:rPr>
          <w:rFonts w:ascii="Times New Roman" w:hAnsi="Times New Roman"/>
          <w:sz w:val="24"/>
        </w:rPr>
      </w:pPr>
      <w:r w:rsidRPr="009F4AF4">
        <w:rPr>
          <w:rStyle w:val="FootnoteReference"/>
          <w:rFonts w:ascii="Times New Roman" w:hAnsi="Times New Roman"/>
          <w:sz w:val="22"/>
          <w:vertAlign w:val="baseline"/>
        </w:rPr>
        <w:footnoteRef/>
      </w:r>
      <w:r w:rsidRPr="009F4AF4">
        <w:rPr>
          <w:rFonts w:ascii="Times New Roman" w:hAnsi="Times New Roman"/>
          <w:sz w:val="24"/>
        </w:rPr>
        <w:t xml:space="preserve"> </w:t>
      </w:r>
      <w:r w:rsidRPr="009F4AF4">
        <w:rPr>
          <w:rFonts w:ascii="Times New Roman" w:hAnsi="Times New Roman"/>
          <w:sz w:val="24"/>
        </w:rPr>
        <w:tab/>
      </w:r>
      <w:r w:rsidRPr="009F4AF4">
        <w:rPr>
          <w:rFonts w:ascii="Times New Roman" w:hAnsi="Times New Roman"/>
          <w:i/>
          <w:iCs/>
          <w:sz w:val="24"/>
        </w:rPr>
        <w:t xml:space="preserve">Woolworths Ltd v Pallas Newco Pty Ltd </w:t>
      </w:r>
      <w:r w:rsidRPr="009F4AF4">
        <w:rPr>
          <w:rFonts w:ascii="Times New Roman" w:hAnsi="Times New Roman"/>
          <w:sz w:val="24"/>
        </w:rPr>
        <w:t xml:space="preserve">(2004) 61 NSWLR 707 at 718 [50]-[51]; </w:t>
      </w:r>
      <w:r w:rsidRPr="009F4AF4">
        <w:rPr>
          <w:rFonts w:ascii="Times New Roman" w:hAnsi="Times New Roman"/>
          <w:i/>
          <w:iCs/>
          <w:sz w:val="24"/>
        </w:rPr>
        <w:t xml:space="preserve">Ross v Lane </w:t>
      </w:r>
      <w:r w:rsidRPr="009F4AF4">
        <w:rPr>
          <w:rFonts w:ascii="Times New Roman" w:hAnsi="Times New Roman"/>
          <w:sz w:val="24"/>
        </w:rPr>
        <w:t xml:space="preserve">(2022) 255 LGERA 136 at 149-150 [40]. Cf </w:t>
      </w:r>
      <w:r w:rsidRPr="009F4AF4">
        <w:rPr>
          <w:rFonts w:ascii="Times New Roman" w:hAnsi="Times New Roman"/>
          <w:i/>
          <w:sz w:val="24"/>
        </w:rPr>
        <w:t>Ross v Lane</w:t>
      </w:r>
      <w:r w:rsidRPr="009F4AF4">
        <w:rPr>
          <w:rFonts w:ascii="Times New Roman" w:hAnsi="Times New Roman"/>
          <w:sz w:val="24"/>
        </w:rPr>
        <w:t xml:space="preserve"> (2022) 255</w:t>
      </w:r>
      <w:r>
        <w:rPr>
          <w:rFonts w:ascii="Times New Roman" w:hAnsi="Times New Roman"/>
          <w:sz w:val="24"/>
        </w:rPr>
        <w:t> </w:t>
      </w:r>
      <w:r w:rsidRPr="009F4AF4">
        <w:rPr>
          <w:rFonts w:ascii="Times New Roman" w:hAnsi="Times New Roman"/>
          <w:sz w:val="24"/>
        </w:rPr>
        <w:t xml:space="preserve">LGERA 136 at 140 [1], 165 [102]-[103]; </w:t>
      </w:r>
      <w:r w:rsidRPr="009F4AF4">
        <w:rPr>
          <w:rFonts w:ascii="Times New Roman" w:hAnsi="Times New Roman"/>
          <w:i/>
          <w:sz w:val="24"/>
        </w:rPr>
        <w:t>El Khouri v Gemaveld Pty Ltd</w:t>
      </w:r>
      <w:r w:rsidRPr="009F4AF4">
        <w:rPr>
          <w:rFonts w:ascii="Times New Roman" w:hAnsi="Times New Roman"/>
          <w:sz w:val="24"/>
        </w:rPr>
        <w:t xml:space="preserve"> (2023) 256 LGERA 24 at 40 [53]; </w:t>
      </w:r>
      <w:r w:rsidRPr="009F4AF4">
        <w:rPr>
          <w:rFonts w:ascii="Times New Roman" w:hAnsi="Times New Roman"/>
          <w:i/>
          <w:sz w:val="24"/>
        </w:rPr>
        <w:t xml:space="preserve">Bingman Catchment Landcare Group Inc v Bowdens Silver Pty Ltd </w:t>
      </w:r>
      <w:r w:rsidRPr="009F4AF4">
        <w:rPr>
          <w:rFonts w:ascii="Times New Roman" w:hAnsi="Times New Roman"/>
          <w:sz w:val="24"/>
        </w:rPr>
        <w:t>(2024) 260 LGERA 297 at 319 [100]-[101].</w:t>
      </w:r>
    </w:p>
  </w:footnote>
  <w:footnote w:id="165">
    <w:p w14:paraId="4BE7426E" w14:textId="77777777" w:rsidR="008352AC" w:rsidRPr="009F4AF4" w:rsidRDefault="008352AC" w:rsidP="009F4AF4">
      <w:pPr>
        <w:pStyle w:val="FootnoteText"/>
        <w:spacing w:line="280" w:lineRule="exact"/>
        <w:ind w:right="0"/>
        <w:jc w:val="both"/>
        <w:rPr>
          <w:rFonts w:ascii="Times New Roman" w:hAnsi="Times New Roman"/>
          <w:sz w:val="24"/>
        </w:rPr>
      </w:pPr>
      <w:r w:rsidRPr="009F4AF4">
        <w:rPr>
          <w:rStyle w:val="FootnoteReference"/>
          <w:rFonts w:ascii="Times New Roman" w:hAnsi="Times New Roman"/>
          <w:sz w:val="22"/>
          <w:vertAlign w:val="baseline"/>
        </w:rPr>
        <w:footnoteRef/>
      </w:r>
      <w:r w:rsidRPr="009F4AF4">
        <w:rPr>
          <w:rFonts w:ascii="Times New Roman" w:hAnsi="Times New Roman"/>
          <w:sz w:val="24"/>
        </w:rPr>
        <w:t xml:space="preserve"> </w:t>
      </w:r>
      <w:r w:rsidRPr="009F4AF4">
        <w:rPr>
          <w:rFonts w:ascii="Times New Roman" w:hAnsi="Times New Roman"/>
          <w:sz w:val="24"/>
        </w:rPr>
        <w:tab/>
      </w:r>
      <w:r w:rsidRPr="009F4AF4">
        <w:rPr>
          <w:rFonts w:ascii="Times New Roman" w:hAnsi="Times New Roman"/>
          <w:i/>
          <w:iCs/>
          <w:sz w:val="24"/>
        </w:rPr>
        <w:t xml:space="preserve">Duffy v Da Rin </w:t>
      </w:r>
      <w:r w:rsidRPr="009F4AF4">
        <w:rPr>
          <w:rFonts w:ascii="Times New Roman" w:hAnsi="Times New Roman"/>
          <w:sz w:val="24"/>
        </w:rPr>
        <w:t xml:space="preserve">(2014) 87 NSWLR 495 at 508 [53]. See also Aronson, Groves and Weeks, </w:t>
      </w:r>
      <w:r w:rsidRPr="009F4AF4">
        <w:rPr>
          <w:rFonts w:ascii="Times New Roman" w:hAnsi="Times New Roman"/>
          <w:i/>
          <w:iCs/>
          <w:sz w:val="24"/>
        </w:rPr>
        <w:t>Judicial Review of Administrative Action and Government Liability</w:t>
      </w:r>
      <w:r w:rsidRPr="009F4AF4">
        <w:rPr>
          <w:rFonts w:ascii="Times New Roman" w:hAnsi="Times New Roman"/>
          <w:sz w:val="24"/>
        </w:rPr>
        <w:t>, 7th ed (2022) at 281 [6.80].</w:t>
      </w:r>
    </w:p>
  </w:footnote>
  <w:footnote w:id="166">
    <w:p w14:paraId="01EC53DA" w14:textId="77777777" w:rsidR="008352AC" w:rsidRPr="009F4AF4" w:rsidRDefault="008352AC" w:rsidP="009F4AF4">
      <w:pPr>
        <w:pStyle w:val="FootnoteText"/>
        <w:spacing w:line="280" w:lineRule="exact"/>
        <w:ind w:right="0"/>
        <w:jc w:val="both"/>
        <w:rPr>
          <w:rFonts w:ascii="Times New Roman" w:hAnsi="Times New Roman"/>
          <w:sz w:val="24"/>
        </w:rPr>
      </w:pPr>
      <w:r w:rsidRPr="009F4AF4">
        <w:rPr>
          <w:rStyle w:val="FootnoteReference"/>
          <w:rFonts w:ascii="Times New Roman" w:hAnsi="Times New Roman"/>
          <w:sz w:val="22"/>
          <w:vertAlign w:val="baseline"/>
        </w:rPr>
        <w:footnoteRef/>
      </w:r>
      <w:r w:rsidRPr="009F4AF4">
        <w:rPr>
          <w:rFonts w:ascii="Times New Roman" w:hAnsi="Times New Roman"/>
          <w:sz w:val="24"/>
        </w:rPr>
        <w:t xml:space="preserve"> </w:t>
      </w:r>
      <w:r w:rsidRPr="009F4AF4">
        <w:rPr>
          <w:rFonts w:ascii="Times New Roman" w:hAnsi="Times New Roman"/>
          <w:sz w:val="24"/>
        </w:rPr>
        <w:tab/>
        <w:t xml:space="preserve">See </w:t>
      </w:r>
      <w:r w:rsidRPr="009F4AF4">
        <w:rPr>
          <w:rFonts w:ascii="Times New Roman" w:hAnsi="Times New Roman"/>
          <w:i/>
          <w:iCs/>
          <w:sz w:val="24"/>
        </w:rPr>
        <w:t xml:space="preserve">Mpwerempwer Aboriginal Corporation </w:t>
      </w:r>
      <w:r w:rsidRPr="009F4AF4">
        <w:rPr>
          <w:rFonts w:ascii="Times New Roman" w:hAnsi="Times New Roman"/>
          <w:i/>
          <w:sz w:val="24"/>
        </w:rPr>
        <w:t xml:space="preserve">RNTBC </w:t>
      </w:r>
      <w:r w:rsidRPr="009F4AF4">
        <w:rPr>
          <w:rFonts w:ascii="Times New Roman" w:hAnsi="Times New Roman"/>
          <w:i/>
          <w:iCs/>
          <w:sz w:val="24"/>
        </w:rPr>
        <w:t>v Minister for Territory Families and Urban Housing as delegate of the Minister for the Environment</w:t>
      </w:r>
      <w:r w:rsidRPr="009F4AF4">
        <w:rPr>
          <w:rFonts w:ascii="Times New Roman" w:hAnsi="Times New Roman"/>
          <w:sz w:val="24"/>
        </w:rPr>
        <w:t xml:space="preserve"> [2026] HCA 23 at [111].</w:t>
      </w:r>
    </w:p>
  </w:footnote>
  <w:footnote w:id="167">
    <w:p w14:paraId="62597629" w14:textId="77777777" w:rsidR="008352AC" w:rsidRPr="009F4AF4" w:rsidRDefault="008352AC" w:rsidP="009F4AF4">
      <w:pPr>
        <w:pStyle w:val="FootnoteText"/>
        <w:spacing w:line="280" w:lineRule="exact"/>
        <w:ind w:right="0"/>
        <w:jc w:val="both"/>
        <w:rPr>
          <w:rFonts w:ascii="Times New Roman" w:hAnsi="Times New Roman"/>
          <w:sz w:val="24"/>
        </w:rPr>
      </w:pPr>
      <w:r w:rsidRPr="009F4AF4">
        <w:rPr>
          <w:rStyle w:val="FootnoteReference"/>
          <w:rFonts w:ascii="Times New Roman" w:hAnsi="Times New Roman"/>
          <w:sz w:val="22"/>
          <w:vertAlign w:val="baseline"/>
        </w:rPr>
        <w:footnoteRef/>
      </w:r>
      <w:r w:rsidRPr="009F4AF4">
        <w:rPr>
          <w:rFonts w:ascii="Times New Roman" w:hAnsi="Times New Roman"/>
          <w:sz w:val="24"/>
        </w:rPr>
        <w:t xml:space="preserve"> </w:t>
      </w:r>
      <w:r w:rsidRPr="009F4AF4">
        <w:rPr>
          <w:rFonts w:ascii="Times New Roman" w:hAnsi="Times New Roman"/>
          <w:sz w:val="24"/>
        </w:rPr>
        <w:tab/>
        <w:t xml:space="preserve">Basten, "Judicial Review: Can We Abandon Grounds?" (2018) 93 </w:t>
      </w:r>
      <w:r w:rsidRPr="009F4AF4">
        <w:rPr>
          <w:rFonts w:ascii="Times New Roman" w:hAnsi="Times New Roman"/>
          <w:i/>
          <w:iCs/>
          <w:sz w:val="24"/>
        </w:rPr>
        <w:t xml:space="preserve">AIAL Forum </w:t>
      </w:r>
      <w:r w:rsidRPr="009F4AF4">
        <w:rPr>
          <w:rFonts w:ascii="Times New Roman" w:hAnsi="Times New Roman"/>
          <w:sz w:val="24"/>
        </w:rPr>
        <w:t xml:space="preserve">22 at 25; Kennett, "Duties to Consider" (2019) 26 </w:t>
      </w:r>
      <w:r w:rsidRPr="009F4AF4">
        <w:rPr>
          <w:rFonts w:ascii="Times New Roman" w:hAnsi="Times New Roman"/>
          <w:i/>
          <w:iCs/>
          <w:sz w:val="24"/>
        </w:rPr>
        <w:t xml:space="preserve">Australian Journal of Administrative Law </w:t>
      </w:r>
      <w:r w:rsidRPr="009F4AF4">
        <w:rPr>
          <w:rFonts w:ascii="Times New Roman" w:hAnsi="Times New Roman"/>
          <w:sz w:val="24"/>
        </w:rPr>
        <w:t>60 at 64-65.</w:t>
      </w:r>
    </w:p>
  </w:footnote>
  <w:footnote w:id="168">
    <w:p w14:paraId="1D16E3EE" w14:textId="77777777" w:rsidR="008352AC" w:rsidRPr="009F4AF4" w:rsidRDefault="008352AC" w:rsidP="009F4AF4">
      <w:pPr>
        <w:pStyle w:val="FootnoteText"/>
        <w:spacing w:line="280" w:lineRule="exact"/>
        <w:ind w:right="0"/>
        <w:jc w:val="both"/>
        <w:rPr>
          <w:rFonts w:ascii="Times New Roman" w:hAnsi="Times New Roman"/>
          <w:sz w:val="24"/>
        </w:rPr>
      </w:pPr>
      <w:r w:rsidRPr="009F4AF4">
        <w:rPr>
          <w:rStyle w:val="FootnoteReference"/>
          <w:rFonts w:ascii="Times New Roman" w:hAnsi="Times New Roman"/>
          <w:sz w:val="22"/>
          <w:vertAlign w:val="baseline"/>
        </w:rPr>
        <w:footnoteRef/>
      </w:r>
      <w:r w:rsidRPr="009F4AF4">
        <w:rPr>
          <w:rFonts w:ascii="Times New Roman" w:hAnsi="Times New Roman"/>
          <w:sz w:val="24"/>
        </w:rPr>
        <w:t xml:space="preserve"> </w:t>
      </w:r>
      <w:r w:rsidRPr="009F4AF4">
        <w:rPr>
          <w:rFonts w:ascii="Times New Roman" w:hAnsi="Times New Roman"/>
          <w:sz w:val="24"/>
        </w:rPr>
        <w:tab/>
      </w:r>
      <w:r w:rsidRPr="009F4AF4">
        <w:rPr>
          <w:rFonts w:ascii="Times New Roman" w:hAnsi="Times New Roman"/>
          <w:i/>
          <w:iCs/>
          <w:sz w:val="24"/>
        </w:rPr>
        <w:t>DVO16 v Minister for Immigration and Border Protection</w:t>
      </w:r>
      <w:r w:rsidRPr="009F4AF4">
        <w:rPr>
          <w:rFonts w:ascii="Times New Roman" w:hAnsi="Times New Roman"/>
          <w:sz w:val="24"/>
        </w:rPr>
        <w:t xml:space="preserve"> (2021) 273 CLR 177 at 189 [12], 212-213 [77].</w:t>
      </w:r>
    </w:p>
  </w:footnote>
  <w:footnote w:id="169">
    <w:p w14:paraId="1232F48F" w14:textId="77777777" w:rsidR="008352AC" w:rsidRPr="009F4AF4" w:rsidRDefault="008352AC" w:rsidP="009F4AF4">
      <w:pPr>
        <w:pStyle w:val="FootnoteText"/>
        <w:spacing w:line="280" w:lineRule="exact"/>
        <w:ind w:right="0"/>
        <w:jc w:val="both"/>
        <w:rPr>
          <w:rFonts w:ascii="Times New Roman" w:hAnsi="Times New Roman"/>
          <w:sz w:val="24"/>
        </w:rPr>
      </w:pPr>
      <w:r w:rsidRPr="009F4AF4">
        <w:rPr>
          <w:rStyle w:val="FootnoteReference"/>
          <w:rFonts w:ascii="Times New Roman" w:hAnsi="Times New Roman"/>
          <w:sz w:val="22"/>
          <w:vertAlign w:val="baseline"/>
        </w:rPr>
        <w:footnoteRef/>
      </w:r>
      <w:r w:rsidRPr="009F4AF4">
        <w:rPr>
          <w:rFonts w:ascii="Times New Roman" w:hAnsi="Times New Roman"/>
          <w:sz w:val="24"/>
        </w:rPr>
        <w:t xml:space="preserve"> </w:t>
      </w:r>
      <w:r w:rsidRPr="009F4AF4">
        <w:rPr>
          <w:rFonts w:ascii="Times New Roman" w:hAnsi="Times New Roman"/>
          <w:sz w:val="24"/>
        </w:rPr>
        <w:tab/>
      </w:r>
      <w:r w:rsidRPr="009F4AF4">
        <w:rPr>
          <w:rFonts w:ascii="Times New Roman" w:hAnsi="Times New Roman"/>
          <w:i/>
          <w:iCs/>
          <w:sz w:val="24"/>
        </w:rPr>
        <w:t>Minister for Immigration and Border Protection v Maioha</w:t>
      </w:r>
      <w:r w:rsidRPr="009F4AF4">
        <w:rPr>
          <w:rFonts w:ascii="Times New Roman" w:hAnsi="Times New Roman"/>
          <w:sz w:val="24"/>
        </w:rPr>
        <w:t xml:space="preserve"> (2018) 267 FCR 643 at 654 [45].</w:t>
      </w:r>
    </w:p>
  </w:footnote>
  <w:footnote w:id="170">
    <w:p w14:paraId="47DCD649" w14:textId="77777777" w:rsidR="008352AC" w:rsidRPr="009F4AF4" w:rsidRDefault="008352AC" w:rsidP="009F4AF4">
      <w:pPr>
        <w:pStyle w:val="FootnoteText"/>
        <w:spacing w:line="280" w:lineRule="exact"/>
        <w:ind w:right="0"/>
        <w:jc w:val="both"/>
        <w:rPr>
          <w:rFonts w:ascii="Times New Roman" w:hAnsi="Times New Roman"/>
          <w:sz w:val="24"/>
        </w:rPr>
      </w:pPr>
      <w:r w:rsidRPr="009F4AF4">
        <w:rPr>
          <w:rStyle w:val="FootnoteReference"/>
          <w:rFonts w:ascii="Times New Roman" w:hAnsi="Times New Roman"/>
          <w:sz w:val="22"/>
          <w:vertAlign w:val="baseline"/>
        </w:rPr>
        <w:footnoteRef/>
      </w:r>
      <w:r w:rsidRPr="009F4AF4">
        <w:rPr>
          <w:rFonts w:ascii="Times New Roman" w:hAnsi="Times New Roman"/>
          <w:sz w:val="24"/>
        </w:rPr>
        <w:t xml:space="preserve"> </w:t>
      </w:r>
      <w:r w:rsidRPr="009F4AF4">
        <w:rPr>
          <w:rFonts w:ascii="Times New Roman" w:hAnsi="Times New Roman"/>
          <w:sz w:val="24"/>
        </w:rPr>
        <w:tab/>
      </w:r>
      <w:r w:rsidRPr="009F4AF4">
        <w:rPr>
          <w:rFonts w:ascii="Times New Roman" w:hAnsi="Times New Roman"/>
          <w:i/>
          <w:iCs/>
          <w:sz w:val="24"/>
        </w:rPr>
        <w:t>Environmental Planning and Assessment Act</w:t>
      </w:r>
      <w:r w:rsidRPr="009F4AF4">
        <w:rPr>
          <w:rFonts w:ascii="Times New Roman" w:hAnsi="Times New Roman"/>
          <w:sz w:val="24"/>
        </w:rPr>
        <w:t xml:space="preserve">, Sch 1, cl 20(2)(c). </w:t>
      </w:r>
    </w:p>
  </w:footnote>
  <w:footnote w:id="171">
    <w:p w14:paraId="7E157B2B" w14:textId="77777777" w:rsidR="008352AC" w:rsidRPr="009F4AF4" w:rsidRDefault="008352AC" w:rsidP="009F4AF4">
      <w:pPr>
        <w:pStyle w:val="FootnoteText"/>
        <w:spacing w:line="280" w:lineRule="exact"/>
        <w:ind w:right="0"/>
        <w:jc w:val="both"/>
        <w:rPr>
          <w:rFonts w:ascii="Times New Roman" w:hAnsi="Times New Roman"/>
          <w:sz w:val="24"/>
        </w:rPr>
      </w:pPr>
      <w:r w:rsidRPr="009F4AF4">
        <w:rPr>
          <w:rStyle w:val="FootnoteReference"/>
          <w:rFonts w:ascii="Times New Roman" w:hAnsi="Times New Roman"/>
          <w:sz w:val="22"/>
          <w:vertAlign w:val="baseline"/>
        </w:rPr>
        <w:footnoteRef/>
      </w:r>
      <w:r w:rsidRPr="009F4AF4">
        <w:rPr>
          <w:rFonts w:ascii="Times New Roman" w:hAnsi="Times New Roman"/>
          <w:sz w:val="24"/>
        </w:rPr>
        <w:t xml:space="preserve"> </w:t>
      </w:r>
      <w:r w:rsidRPr="009F4AF4">
        <w:rPr>
          <w:rFonts w:ascii="Times New Roman" w:hAnsi="Times New Roman"/>
          <w:sz w:val="24"/>
        </w:rPr>
        <w:tab/>
      </w:r>
      <w:r w:rsidRPr="009F4AF4">
        <w:rPr>
          <w:rFonts w:ascii="Times New Roman" w:hAnsi="Times New Roman"/>
          <w:i/>
          <w:iCs/>
          <w:sz w:val="24"/>
        </w:rPr>
        <w:t xml:space="preserve">Gray v Minister for Planning </w:t>
      </w:r>
      <w:r w:rsidRPr="009F4AF4">
        <w:rPr>
          <w:rFonts w:ascii="Times New Roman" w:hAnsi="Times New Roman"/>
          <w:sz w:val="24"/>
        </w:rPr>
        <w:t xml:space="preserve">(2006) 152 LGERA 258. </w:t>
      </w:r>
    </w:p>
  </w:footnote>
  <w:footnote w:id="172">
    <w:p w14:paraId="192319DC" w14:textId="77777777" w:rsidR="008352AC" w:rsidRPr="009F4AF4" w:rsidRDefault="008352AC" w:rsidP="009F4AF4">
      <w:pPr>
        <w:pStyle w:val="FootnoteText"/>
        <w:spacing w:line="280" w:lineRule="exact"/>
        <w:ind w:right="0"/>
        <w:jc w:val="both"/>
        <w:rPr>
          <w:rFonts w:ascii="Times New Roman" w:hAnsi="Times New Roman"/>
          <w:sz w:val="24"/>
        </w:rPr>
      </w:pPr>
      <w:r w:rsidRPr="009F4AF4">
        <w:rPr>
          <w:rStyle w:val="FootnoteReference"/>
          <w:rFonts w:ascii="Times New Roman" w:hAnsi="Times New Roman"/>
          <w:sz w:val="22"/>
          <w:vertAlign w:val="baseline"/>
        </w:rPr>
        <w:footnoteRef/>
      </w:r>
      <w:r w:rsidRPr="009F4AF4">
        <w:rPr>
          <w:rFonts w:ascii="Times New Roman" w:hAnsi="Times New Roman"/>
          <w:sz w:val="24"/>
        </w:rPr>
        <w:t xml:space="preserve"> </w:t>
      </w:r>
      <w:r w:rsidRPr="009F4AF4">
        <w:rPr>
          <w:rFonts w:ascii="Times New Roman" w:hAnsi="Times New Roman"/>
          <w:sz w:val="24"/>
        </w:rPr>
        <w:tab/>
        <w:t xml:space="preserve">Preston, "The influence of climate change litigation on governments and the private sector" (2011) 2 </w:t>
      </w:r>
      <w:r w:rsidRPr="009F4AF4">
        <w:rPr>
          <w:rFonts w:ascii="Times New Roman" w:hAnsi="Times New Roman"/>
          <w:i/>
          <w:iCs/>
          <w:sz w:val="24"/>
        </w:rPr>
        <w:t>Climate Law</w:t>
      </w:r>
      <w:r w:rsidRPr="009F4AF4">
        <w:rPr>
          <w:rFonts w:ascii="Times New Roman" w:hAnsi="Times New Roman"/>
          <w:sz w:val="24"/>
        </w:rPr>
        <w:t xml:space="preserve"> 485 at 495.</w:t>
      </w:r>
    </w:p>
  </w:footnote>
  <w:footnote w:id="173">
    <w:p w14:paraId="72A3BC80" w14:textId="77777777" w:rsidR="008352AC" w:rsidRPr="009F4AF4" w:rsidRDefault="008352AC" w:rsidP="009F4AF4">
      <w:pPr>
        <w:pStyle w:val="FootnoteText"/>
        <w:spacing w:line="280" w:lineRule="exact"/>
        <w:ind w:right="0"/>
        <w:jc w:val="both"/>
        <w:rPr>
          <w:rFonts w:ascii="Times New Roman" w:hAnsi="Times New Roman"/>
          <w:sz w:val="24"/>
          <w:lang w:val="en-US"/>
        </w:rPr>
      </w:pPr>
      <w:r w:rsidRPr="009F4AF4">
        <w:rPr>
          <w:rStyle w:val="FootnoteReference"/>
          <w:rFonts w:ascii="Times New Roman" w:hAnsi="Times New Roman"/>
          <w:sz w:val="22"/>
          <w:vertAlign w:val="baseline"/>
        </w:rPr>
        <w:footnoteRef/>
      </w:r>
      <w:r w:rsidRPr="009F4AF4">
        <w:rPr>
          <w:rFonts w:ascii="Times New Roman" w:hAnsi="Times New Roman"/>
          <w:sz w:val="24"/>
        </w:rPr>
        <w:t xml:space="preserve"> </w:t>
      </w:r>
      <w:r w:rsidRPr="009F4AF4">
        <w:rPr>
          <w:rFonts w:ascii="Times New Roman" w:hAnsi="Times New Roman"/>
          <w:sz w:val="24"/>
          <w:lang w:val="en-US"/>
        </w:rPr>
        <w:tab/>
      </w:r>
      <w:r w:rsidRPr="009F4AF4">
        <w:rPr>
          <w:rFonts w:ascii="Times New Roman" w:hAnsi="Times New Roman"/>
          <w:i/>
          <w:iCs/>
          <w:sz w:val="24"/>
        </w:rPr>
        <w:t>Environmental Planning and Assessment Amendment (Territorial Limits) Bill 2019</w:t>
      </w:r>
      <w:r w:rsidRPr="009F4AF4">
        <w:rPr>
          <w:rFonts w:ascii="Times New Roman" w:hAnsi="Times New Roman"/>
          <w:sz w:val="24"/>
        </w:rPr>
        <w:t xml:space="preserve"> (NSW), Sch 2.</w:t>
      </w:r>
    </w:p>
  </w:footnote>
  <w:footnote w:id="174">
    <w:p w14:paraId="0E836174" w14:textId="77777777" w:rsidR="008352AC" w:rsidRPr="009F4AF4" w:rsidRDefault="008352AC" w:rsidP="009F4AF4">
      <w:pPr>
        <w:pStyle w:val="FootnoteText"/>
        <w:spacing w:line="280" w:lineRule="exact"/>
        <w:ind w:right="0"/>
        <w:jc w:val="both"/>
        <w:rPr>
          <w:rFonts w:ascii="Times New Roman" w:hAnsi="Times New Roman"/>
          <w:sz w:val="24"/>
        </w:rPr>
      </w:pPr>
      <w:r w:rsidRPr="009F4AF4">
        <w:rPr>
          <w:rStyle w:val="FootnoteReference"/>
          <w:rFonts w:ascii="Times New Roman" w:hAnsi="Times New Roman"/>
          <w:sz w:val="22"/>
          <w:vertAlign w:val="baseline"/>
        </w:rPr>
        <w:footnoteRef/>
      </w:r>
      <w:r w:rsidRPr="009F4AF4">
        <w:rPr>
          <w:rFonts w:ascii="Times New Roman" w:hAnsi="Times New Roman"/>
          <w:sz w:val="24"/>
        </w:rPr>
        <w:t xml:space="preserve"> </w:t>
      </w:r>
      <w:r w:rsidRPr="009F4AF4">
        <w:rPr>
          <w:rFonts w:ascii="Times New Roman" w:hAnsi="Times New Roman"/>
          <w:sz w:val="24"/>
        </w:rPr>
        <w:tab/>
        <w:t xml:space="preserve">New South Wales, Legislative Council, Portfolio Committee No 7 – Planning and Environment, </w:t>
      </w:r>
      <w:r w:rsidRPr="009F4AF4">
        <w:rPr>
          <w:rFonts w:ascii="Times New Roman" w:hAnsi="Times New Roman"/>
          <w:i/>
          <w:iCs/>
          <w:sz w:val="24"/>
        </w:rPr>
        <w:t>Environmental Planning and Assessment Amendment (Territorial Limits) Bill 2019 [Provisions]</w:t>
      </w:r>
      <w:r w:rsidRPr="009F4AF4">
        <w:rPr>
          <w:rFonts w:ascii="Times New Roman" w:hAnsi="Times New Roman"/>
          <w:sz w:val="24"/>
        </w:rPr>
        <w:t xml:space="preserve">, Report No 1 (2020) at 30 [2.102]. </w:t>
      </w:r>
    </w:p>
  </w:footnote>
  <w:footnote w:id="175">
    <w:p w14:paraId="613E68CB" w14:textId="77777777" w:rsidR="008352AC" w:rsidRPr="009F4AF4" w:rsidRDefault="008352AC" w:rsidP="009F4AF4">
      <w:pPr>
        <w:pStyle w:val="FootnoteText"/>
        <w:spacing w:line="280" w:lineRule="exact"/>
        <w:ind w:right="0"/>
        <w:jc w:val="both"/>
        <w:rPr>
          <w:rFonts w:ascii="Times New Roman" w:hAnsi="Times New Roman"/>
          <w:sz w:val="24"/>
        </w:rPr>
      </w:pPr>
      <w:r w:rsidRPr="009F4AF4">
        <w:rPr>
          <w:rStyle w:val="FootnoteReference"/>
          <w:rFonts w:ascii="Times New Roman" w:hAnsi="Times New Roman"/>
          <w:sz w:val="22"/>
          <w:vertAlign w:val="baseline"/>
        </w:rPr>
        <w:footnoteRef/>
      </w:r>
      <w:r w:rsidRPr="009F4AF4">
        <w:rPr>
          <w:rFonts w:ascii="Times New Roman" w:hAnsi="Times New Roman"/>
          <w:sz w:val="24"/>
        </w:rPr>
        <w:t xml:space="preserve"> </w:t>
      </w:r>
      <w:r w:rsidRPr="009F4AF4">
        <w:rPr>
          <w:rFonts w:ascii="Times New Roman" w:hAnsi="Times New Roman"/>
          <w:sz w:val="24"/>
        </w:rPr>
        <w:tab/>
      </w:r>
      <w:r w:rsidRPr="009F4AF4">
        <w:rPr>
          <w:rFonts w:ascii="Times New Roman" w:hAnsi="Times New Roman"/>
          <w:i/>
          <w:sz w:val="24"/>
        </w:rPr>
        <w:t>Mullaley Gas and Pipeline Accord Inc v Santos NSW (Eastern) Pty Ltd</w:t>
      </w:r>
      <w:r w:rsidRPr="009F4AF4">
        <w:rPr>
          <w:rFonts w:ascii="Times New Roman" w:hAnsi="Times New Roman"/>
          <w:sz w:val="24"/>
        </w:rPr>
        <w:t xml:space="preserve"> (2021) 252 LGERA 221 at 246-247 [97]-[101].</w:t>
      </w:r>
    </w:p>
  </w:footnote>
  <w:footnote w:id="176">
    <w:p w14:paraId="324722CA" w14:textId="77777777" w:rsidR="008352AC" w:rsidRPr="009F4AF4" w:rsidRDefault="008352AC" w:rsidP="009F4AF4">
      <w:pPr>
        <w:pStyle w:val="FootnoteText"/>
        <w:spacing w:line="280" w:lineRule="exact"/>
        <w:ind w:right="0"/>
        <w:jc w:val="both"/>
        <w:rPr>
          <w:rFonts w:ascii="Times New Roman" w:hAnsi="Times New Roman"/>
          <w:sz w:val="24"/>
        </w:rPr>
      </w:pPr>
      <w:r w:rsidRPr="009F4AF4">
        <w:rPr>
          <w:rStyle w:val="FootnoteReference"/>
          <w:rFonts w:ascii="Times New Roman" w:hAnsi="Times New Roman"/>
          <w:sz w:val="22"/>
          <w:vertAlign w:val="baseline"/>
        </w:rPr>
        <w:footnoteRef/>
      </w:r>
      <w:r w:rsidRPr="009F4AF4">
        <w:rPr>
          <w:rFonts w:ascii="Times New Roman" w:hAnsi="Times New Roman"/>
          <w:sz w:val="24"/>
        </w:rPr>
        <w:t xml:space="preserve"> </w:t>
      </w:r>
      <w:r w:rsidRPr="009F4AF4">
        <w:rPr>
          <w:rFonts w:ascii="Times New Roman" w:hAnsi="Times New Roman"/>
          <w:sz w:val="24"/>
        </w:rPr>
        <w:tab/>
      </w:r>
      <w:r w:rsidRPr="009F4AF4">
        <w:rPr>
          <w:rFonts w:ascii="Times New Roman" w:hAnsi="Times New Roman"/>
          <w:i/>
          <w:iCs/>
          <w:sz w:val="24"/>
        </w:rPr>
        <w:t xml:space="preserve">Environmental Planning and Assessment Regulation 2000 </w:t>
      </w:r>
      <w:r w:rsidRPr="009F4AF4">
        <w:rPr>
          <w:rFonts w:ascii="Times New Roman" w:hAnsi="Times New Roman"/>
          <w:sz w:val="24"/>
        </w:rPr>
        <w:t xml:space="preserve">(NSW), Sch 2, cll 6(e), 7(1)(d)(iv). </w:t>
      </w:r>
    </w:p>
  </w:footnote>
  <w:footnote w:id="177">
    <w:p w14:paraId="6E0E8090" w14:textId="77777777" w:rsidR="008352AC" w:rsidRPr="009F4AF4" w:rsidRDefault="008352AC" w:rsidP="009F4AF4">
      <w:pPr>
        <w:pStyle w:val="FootnoteText"/>
        <w:spacing w:line="280" w:lineRule="exact"/>
        <w:ind w:right="0"/>
        <w:jc w:val="both"/>
        <w:rPr>
          <w:rFonts w:ascii="Times New Roman" w:hAnsi="Times New Roman"/>
          <w:sz w:val="24"/>
        </w:rPr>
      </w:pPr>
      <w:r w:rsidRPr="009F4AF4">
        <w:rPr>
          <w:rStyle w:val="FootnoteReference"/>
          <w:rFonts w:ascii="Times New Roman" w:hAnsi="Times New Roman"/>
          <w:sz w:val="22"/>
          <w:vertAlign w:val="baseline"/>
        </w:rPr>
        <w:footnoteRef/>
      </w:r>
      <w:r w:rsidRPr="009F4AF4">
        <w:rPr>
          <w:rFonts w:ascii="Times New Roman" w:hAnsi="Times New Roman"/>
          <w:sz w:val="24"/>
        </w:rPr>
        <w:t xml:space="preserve"> </w:t>
      </w:r>
      <w:r w:rsidRPr="009F4AF4">
        <w:rPr>
          <w:rFonts w:ascii="Times New Roman" w:hAnsi="Times New Roman"/>
          <w:sz w:val="24"/>
        </w:rPr>
        <w:tab/>
        <w:t xml:space="preserve">See, for instance, New South Wales Government, Independent Planning Commission, </w:t>
      </w:r>
      <w:r w:rsidRPr="009F4AF4">
        <w:rPr>
          <w:rFonts w:ascii="Times New Roman" w:hAnsi="Times New Roman"/>
          <w:i/>
          <w:iCs/>
          <w:sz w:val="24"/>
        </w:rPr>
        <w:t>Statement of reasons for decision: United Wambo Open Cut Coal Mine Project (SSD 7142) and associated Modifications</w:t>
      </w:r>
      <w:r w:rsidRPr="009F4AF4">
        <w:rPr>
          <w:rFonts w:ascii="Times New Roman" w:hAnsi="Times New Roman"/>
          <w:sz w:val="24"/>
        </w:rPr>
        <w:t xml:space="preserve"> </w:t>
      </w:r>
      <w:r w:rsidRPr="009F4AF4">
        <w:rPr>
          <w:rFonts w:ascii="Times New Roman" w:hAnsi="Times New Roman"/>
          <w:i/>
          <w:iCs/>
          <w:sz w:val="24"/>
        </w:rPr>
        <w:t xml:space="preserve">(DA 305-7-2003 MOD 16 &amp; DA 177-8-2004 MOD 3) </w:t>
      </w:r>
      <w:r w:rsidRPr="009F4AF4">
        <w:rPr>
          <w:rFonts w:ascii="Times New Roman" w:hAnsi="Times New Roman"/>
          <w:sz w:val="24"/>
        </w:rPr>
        <w:t xml:space="preserve">(2019) at 61 [311]-[312]; </w:t>
      </w:r>
      <w:r w:rsidRPr="009F4AF4">
        <w:rPr>
          <w:rFonts w:ascii="Times New Roman" w:hAnsi="Times New Roman"/>
          <w:i/>
          <w:sz w:val="24"/>
        </w:rPr>
        <w:t>Mullaley Gas and Pipeline Accord Inc v Santos NSW (Eastern) Pty Ltd</w:t>
      </w:r>
      <w:r w:rsidRPr="009F4AF4">
        <w:rPr>
          <w:rFonts w:ascii="Times New Roman" w:hAnsi="Times New Roman"/>
          <w:sz w:val="24"/>
        </w:rPr>
        <w:t xml:space="preserve"> (2021) 252 LGERA 221 at 249 [107]. See also Basten, "The Public Interest" (2024) 40</w:t>
      </w:r>
      <w:r w:rsidRPr="009F4AF4">
        <w:rPr>
          <w:rFonts w:ascii="Times New Roman" w:hAnsi="Times New Roman"/>
          <w:i/>
          <w:iCs/>
          <w:sz w:val="24"/>
        </w:rPr>
        <w:t xml:space="preserve"> Environmental and Planning Law Journal </w:t>
      </w:r>
      <w:r w:rsidRPr="009F4AF4">
        <w:rPr>
          <w:rFonts w:ascii="Times New Roman" w:hAnsi="Times New Roman"/>
          <w:sz w:val="24"/>
        </w:rPr>
        <w:t xml:space="preserve">201 at 208. </w:t>
      </w:r>
    </w:p>
  </w:footnote>
  <w:footnote w:id="178">
    <w:p w14:paraId="3D6704B5" w14:textId="77777777" w:rsidR="008352AC" w:rsidRPr="009F4AF4" w:rsidRDefault="008352AC" w:rsidP="009F4AF4">
      <w:pPr>
        <w:pStyle w:val="FootnoteText"/>
        <w:spacing w:line="280" w:lineRule="exact"/>
        <w:ind w:right="0"/>
        <w:jc w:val="both"/>
        <w:rPr>
          <w:rFonts w:ascii="Times New Roman" w:hAnsi="Times New Roman"/>
          <w:sz w:val="24"/>
        </w:rPr>
      </w:pPr>
      <w:r w:rsidRPr="009F4AF4">
        <w:rPr>
          <w:rStyle w:val="FootnoteReference"/>
          <w:rFonts w:ascii="Times New Roman" w:hAnsi="Times New Roman"/>
          <w:sz w:val="22"/>
          <w:vertAlign w:val="baseline"/>
        </w:rPr>
        <w:footnoteRef/>
      </w:r>
      <w:r w:rsidRPr="009F4AF4">
        <w:rPr>
          <w:rFonts w:ascii="Times New Roman" w:hAnsi="Times New Roman"/>
          <w:sz w:val="24"/>
        </w:rPr>
        <w:t xml:space="preserve"> </w:t>
      </w:r>
      <w:r w:rsidRPr="009F4AF4">
        <w:rPr>
          <w:rFonts w:ascii="Times New Roman" w:hAnsi="Times New Roman"/>
          <w:sz w:val="24"/>
        </w:rPr>
        <w:tab/>
      </w:r>
      <w:r w:rsidRPr="009F4AF4">
        <w:rPr>
          <w:rFonts w:ascii="Times New Roman" w:hAnsi="Times New Roman"/>
          <w:i/>
          <w:iCs/>
          <w:sz w:val="24"/>
        </w:rPr>
        <w:t>Denman Aberdeen Muswellbrook Scone Healthy Environment Group Inc v MACH Energy Australia Pty Ltd</w:t>
      </w:r>
      <w:r w:rsidRPr="009F4AF4">
        <w:rPr>
          <w:rFonts w:ascii="Times New Roman" w:hAnsi="Times New Roman"/>
          <w:sz w:val="24"/>
        </w:rPr>
        <w:t xml:space="preserve"> (2025) 263 LGERA 264 at 319 [231].</w:t>
      </w:r>
    </w:p>
  </w:footnote>
  <w:footnote w:id="179">
    <w:p w14:paraId="342C58EA" w14:textId="77777777" w:rsidR="008352AC" w:rsidRPr="009F4AF4" w:rsidRDefault="008352AC" w:rsidP="009F4AF4">
      <w:pPr>
        <w:pStyle w:val="FootnoteText"/>
        <w:spacing w:line="280" w:lineRule="exact"/>
        <w:ind w:right="0"/>
        <w:jc w:val="both"/>
        <w:rPr>
          <w:rFonts w:ascii="Times New Roman" w:hAnsi="Times New Roman"/>
          <w:sz w:val="24"/>
        </w:rPr>
      </w:pPr>
      <w:r w:rsidRPr="009F4AF4">
        <w:rPr>
          <w:rStyle w:val="FootnoteReference"/>
          <w:rFonts w:ascii="Times New Roman" w:hAnsi="Times New Roman"/>
          <w:sz w:val="22"/>
          <w:vertAlign w:val="baseline"/>
        </w:rPr>
        <w:footnoteRef/>
      </w:r>
      <w:r w:rsidRPr="009F4AF4">
        <w:rPr>
          <w:rFonts w:ascii="Times New Roman" w:hAnsi="Times New Roman"/>
          <w:sz w:val="24"/>
        </w:rPr>
        <w:t xml:space="preserve"> </w:t>
      </w:r>
      <w:r w:rsidRPr="009F4AF4">
        <w:rPr>
          <w:rFonts w:ascii="Times New Roman" w:hAnsi="Times New Roman"/>
          <w:sz w:val="24"/>
        </w:rPr>
        <w:tab/>
        <w:t xml:space="preserve">For example, </w:t>
      </w:r>
      <w:r w:rsidRPr="009F4AF4">
        <w:rPr>
          <w:rFonts w:ascii="Times New Roman" w:hAnsi="Times New Roman"/>
          <w:i/>
          <w:sz w:val="24"/>
        </w:rPr>
        <w:t>Mullaley Gas and Pipeline Accord Inc v Santos NSW (Eastern) Pty Ltd</w:t>
      </w:r>
      <w:r w:rsidRPr="009F4AF4">
        <w:rPr>
          <w:rFonts w:ascii="Times New Roman" w:hAnsi="Times New Roman"/>
          <w:sz w:val="24"/>
        </w:rPr>
        <w:t xml:space="preserve"> (2021) 252 LGERA 221 at 243 [83].</w:t>
      </w:r>
    </w:p>
  </w:footnote>
  <w:footnote w:id="180">
    <w:p w14:paraId="245BD596" w14:textId="77777777" w:rsidR="008352AC" w:rsidRPr="009F4AF4" w:rsidRDefault="008352AC" w:rsidP="009F4AF4">
      <w:pPr>
        <w:pStyle w:val="FootnoteText"/>
        <w:spacing w:line="280" w:lineRule="exact"/>
        <w:ind w:right="0"/>
        <w:jc w:val="both"/>
        <w:rPr>
          <w:rFonts w:ascii="Times New Roman" w:hAnsi="Times New Roman"/>
          <w:i/>
          <w:iCs/>
          <w:sz w:val="24"/>
        </w:rPr>
      </w:pPr>
      <w:r w:rsidRPr="009F4AF4">
        <w:rPr>
          <w:rStyle w:val="FootnoteReference"/>
          <w:rFonts w:ascii="Times New Roman" w:hAnsi="Times New Roman"/>
          <w:sz w:val="22"/>
          <w:vertAlign w:val="baseline"/>
        </w:rPr>
        <w:footnoteRef/>
      </w:r>
      <w:r w:rsidRPr="009F4AF4">
        <w:rPr>
          <w:rFonts w:ascii="Times New Roman" w:hAnsi="Times New Roman"/>
          <w:sz w:val="24"/>
        </w:rPr>
        <w:t xml:space="preserve"> </w:t>
      </w:r>
      <w:r w:rsidRPr="009F4AF4">
        <w:rPr>
          <w:rFonts w:ascii="Times New Roman" w:hAnsi="Times New Roman"/>
          <w:sz w:val="24"/>
        </w:rPr>
        <w:tab/>
      </w:r>
      <w:r w:rsidRPr="009F4AF4">
        <w:rPr>
          <w:rFonts w:ascii="Times New Roman" w:hAnsi="Times New Roman"/>
          <w:i/>
          <w:iCs/>
          <w:sz w:val="24"/>
        </w:rPr>
        <w:t xml:space="preserve">Nathanson v Minister for Home Affairs </w:t>
      </w:r>
      <w:r w:rsidRPr="009F4AF4">
        <w:rPr>
          <w:rFonts w:ascii="Times New Roman" w:hAnsi="Times New Roman"/>
          <w:sz w:val="24"/>
        </w:rPr>
        <w:t>(2022) 276 CLR 80 at 123-124 [95];</w:t>
      </w:r>
      <w:r w:rsidRPr="009F4AF4">
        <w:rPr>
          <w:rFonts w:ascii="Times New Roman" w:hAnsi="Times New Roman"/>
          <w:i/>
          <w:iCs/>
          <w:sz w:val="24"/>
        </w:rPr>
        <w:t xml:space="preserve"> MDP</w:t>
      </w:r>
      <w:r>
        <w:rPr>
          <w:rFonts w:ascii="Times New Roman" w:hAnsi="Times New Roman"/>
          <w:i/>
          <w:iCs/>
          <w:sz w:val="24"/>
        </w:rPr>
        <w:t> </w:t>
      </w:r>
      <w:r w:rsidRPr="009F4AF4">
        <w:rPr>
          <w:rFonts w:ascii="Times New Roman" w:hAnsi="Times New Roman"/>
          <w:i/>
          <w:iCs/>
          <w:sz w:val="24"/>
        </w:rPr>
        <w:t>v</w:t>
      </w:r>
      <w:r>
        <w:rPr>
          <w:rFonts w:ascii="Times New Roman" w:hAnsi="Times New Roman"/>
          <w:i/>
          <w:iCs/>
          <w:sz w:val="24"/>
        </w:rPr>
        <w:t> </w:t>
      </w:r>
      <w:r w:rsidRPr="009F4AF4">
        <w:rPr>
          <w:rFonts w:ascii="Times New Roman" w:hAnsi="Times New Roman"/>
          <w:i/>
          <w:iCs/>
          <w:sz w:val="24"/>
        </w:rPr>
        <w:t xml:space="preserve">The King </w:t>
      </w:r>
      <w:r w:rsidRPr="009F4AF4">
        <w:rPr>
          <w:rFonts w:ascii="Times New Roman" w:hAnsi="Times New Roman"/>
          <w:sz w:val="24"/>
        </w:rPr>
        <w:t>(2025) 99 ALJR 969 at 985-986 [61]-[62]; 423 ALR 204 at 221.</w:t>
      </w:r>
    </w:p>
  </w:footnote>
  <w:footnote w:id="181">
    <w:p w14:paraId="721DA764" w14:textId="77777777" w:rsidR="008352AC" w:rsidRPr="009F4AF4" w:rsidRDefault="008352AC" w:rsidP="009F4AF4">
      <w:pPr>
        <w:pStyle w:val="FootnoteText"/>
        <w:spacing w:line="280" w:lineRule="exact"/>
        <w:ind w:right="0"/>
        <w:jc w:val="both"/>
        <w:rPr>
          <w:rFonts w:ascii="Times New Roman" w:hAnsi="Times New Roman"/>
          <w:sz w:val="24"/>
        </w:rPr>
      </w:pPr>
      <w:r w:rsidRPr="009F4AF4">
        <w:rPr>
          <w:rStyle w:val="FootnoteReference"/>
          <w:rFonts w:ascii="Times New Roman" w:hAnsi="Times New Roman"/>
          <w:sz w:val="22"/>
          <w:vertAlign w:val="baseline"/>
        </w:rPr>
        <w:footnoteRef/>
      </w:r>
      <w:r w:rsidRPr="009F4AF4">
        <w:rPr>
          <w:rFonts w:ascii="Times New Roman" w:hAnsi="Times New Roman"/>
          <w:sz w:val="24"/>
        </w:rPr>
        <w:t xml:space="preserve"> </w:t>
      </w:r>
      <w:r w:rsidRPr="009F4AF4">
        <w:rPr>
          <w:rFonts w:ascii="Times New Roman" w:hAnsi="Times New Roman"/>
          <w:sz w:val="24"/>
        </w:rPr>
        <w:tab/>
      </w:r>
      <w:r w:rsidRPr="009F4AF4">
        <w:rPr>
          <w:rFonts w:ascii="Times New Roman" w:hAnsi="Times New Roman"/>
          <w:i/>
          <w:iCs/>
          <w:sz w:val="24"/>
        </w:rPr>
        <w:t>MZAPC v Minister for Immigration and Border Protection</w:t>
      </w:r>
      <w:r w:rsidRPr="009F4AF4">
        <w:rPr>
          <w:rFonts w:ascii="Times New Roman" w:hAnsi="Times New Roman"/>
          <w:sz w:val="24"/>
        </w:rPr>
        <w:t xml:space="preserve"> (2021) 273 CLR 506 at 563 [159].</w:t>
      </w:r>
    </w:p>
  </w:footnote>
  <w:footnote w:id="182">
    <w:p w14:paraId="76ABA79A" w14:textId="77777777" w:rsidR="008352AC" w:rsidRPr="009F4AF4" w:rsidRDefault="008352AC" w:rsidP="009F4AF4">
      <w:pPr>
        <w:pStyle w:val="FootnoteText"/>
        <w:spacing w:line="280" w:lineRule="exact"/>
        <w:ind w:right="0"/>
        <w:jc w:val="both"/>
        <w:rPr>
          <w:rFonts w:ascii="Times New Roman" w:hAnsi="Times New Roman"/>
          <w:sz w:val="24"/>
        </w:rPr>
      </w:pPr>
      <w:r w:rsidRPr="009F4AF4">
        <w:rPr>
          <w:rStyle w:val="FootnoteReference"/>
          <w:rFonts w:ascii="Times New Roman" w:hAnsi="Times New Roman"/>
          <w:sz w:val="22"/>
          <w:vertAlign w:val="baseline"/>
        </w:rPr>
        <w:footnoteRef/>
      </w:r>
      <w:r w:rsidRPr="009F4AF4">
        <w:rPr>
          <w:rFonts w:ascii="Times New Roman" w:hAnsi="Times New Roman"/>
          <w:sz w:val="24"/>
        </w:rPr>
        <w:t xml:space="preserve"> </w:t>
      </w:r>
      <w:r w:rsidRPr="009F4AF4">
        <w:rPr>
          <w:rFonts w:ascii="Times New Roman" w:hAnsi="Times New Roman"/>
          <w:sz w:val="24"/>
        </w:rPr>
        <w:tab/>
      </w:r>
      <w:r w:rsidRPr="009F4AF4">
        <w:rPr>
          <w:rFonts w:ascii="Times New Roman" w:hAnsi="Times New Roman"/>
          <w:i/>
          <w:iCs/>
          <w:sz w:val="24"/>
        </w:rPr>
        <w:t xml:space="preserve">LPDT v Minister for Immigration, Citizenship, Migrant Services and Multicultural Affairs </w:t>
      </w:r>
      <w:r w:rsidRPr="009F4AF4">
        <w:rPr>
          <w:rFonts w:ascii="Times New Roman" w:hAnsi="Times New Roman"/>
          <w:sz w:val="24"/>
        </w:rPr>
        <w:t>(2024) 280 CLR 321 at 335 [36].</w:t>
      </w:r>
    </w:p>
  </w:footnote>
  <w:footnote w:id="183">
    <w:p w14:paraId="3249BDF3" w14:textId="77777777" w:rsidR="008352AC" w:rsidRPr="009F4AF4" w:rsidRDefault="008352AC" w:rsidP="009F4AF4">
      <w:pPr>
        <w:pStyle w:val="FootnoteText"/>
        <w:spacing w:line="280" w:lineRule="exact"/>
        <w:ind w:right="0"/>
        <w:jc w:val="both"/>
        <w:rPr>
          <w:rFonts w:ascii="Times New Roman" w:hAnsi="Times New Roman"/>
          <w:sz w:val="24"/>
        </w:rPr>
      </w:pPr>
      <w:r w:rsidRPr="009F4AF4">
        <w:rPr>
          <w:rStyle w:val="FootnoteReference"/>
          <w:rFonts w:ascii="Times New Roman" w:hAnsi="Times New Roman"/>
          <w:sz w:val="22"/>
          <w:vertAlign w:val="baseline"/>
        </w:rPr>
        <w:footnoteRef/>
      </w:r>
      <w:r w:rsidRPr="009F4AF4">
        <w:rPr>
          <w:rFonts w:ascii="Times New Roman" w:hAnsi="Times New Roman"/>
          <w:sz w:val="24"/>
        </w:rPr>
        <w:t xml:space="preserve"> </w:t>
      </w:r>
      <w:r w:rsidRPr="009F4AF4">
        <w:rPr>
          <w:rFonts w:ascii="Times New Roman" w:hAnsi="Times New Roman"/>
          <w:sz w:val="24"/>
        </w:rPr>
        <w:tab/>
      </w:r>
      <w:r w:rsidRPr="009F4AF4">
        <w:rPr>
          <w:rFonts w:ascii="Times New Roman" w:hAnsi="Times New Roman"/>
          <w:i/>
          <w:iCs/>
          <w:sz w:val="24"/>
        </w:rPr>
        <w:t>Environmental Planning and Assessment Act</w:t>
      </w:r>
      <w:r w:rsidRPr="009F4AF4">
        <w:rPr>
          <w:rFonts w:ascii="Times New Roman" w:hAnsi="Times New Roman"/>
          <w:sz w:val="24"/>
        </w:rPr>
        <w:t>, s 4.40.</w:t>
      </w:r>
    </w:p>
  </w:footnote>
  <w:footnote w:id="184">
    <w:p w14:paraId="5208E89F" w14:textId="77777777" w:rsidR="008352AC" w:rsidRPr="009F4AF4" w:rsidRDefault="008352AC" w:rsidP="009F4AF4">
      <w:pPr>
        <w:pStyle w:val="FootnoteText"/>
        <w:spacing w:line="280" w:lineRule="exact"/>
        <w:ind w:right="0"/>
        <w:jc w:val="both"/>
        <w:rPr>
          <w:rFonts w:ascii="Times New Roman" w:hAnsi="Times New Roman"/>
          <w:sz w:val="24"/>
        </w:rPr>
      </w:pPr>
      <w:r w:rsidRPr="009F4AF4">
        <w:rPr>
          <w:rStyle w:val="FootnoteReference"/>
          <w:rFonts w:ascii="Times New Roman" w:hAnsi="Times New Roman"/>
          <w:sz w:val="22"/>
          <w:vertAlign w:val="baseline"/>
        </w:rPr>
        <w:footnoteRef/>
      </w:r>
      <w:r w:rsidRPr="009F4AF4">
        <w:rPr>
          <w:rFonts w:ascii="Times New Roman" w:hAnsi="Times New Roman"/>
          <w:sz w:val="24"/>
        </w:rPr>
        <w:t xml:space="preserve"> </w:t>
      </w:r>
      <w:r w:rsidRPr="009F4AF4">
        <w:rPr>
          <w:rFonts w:ascii="Times New Roman" w:hAnsi="Times New Roman"/>
          <w:sz w:val="24"/>
        </w:rPr>
        <w:tab/>
      </w:r>
      <w:r w:rsidRPr="009F4AF4">
        <w:rPr>
          <w:rFonts w:ascii="Times New Roman" w:hAnsi="Times New Roman"/>
          <w:i/>
          <w:iCs/>
          <w:sz w:val="24"/>
        </w:rPr>
        <w:t>Denman Aberdeen Muswellbrook Scone Healthy Environment Group Inc v MACH Energy Australia Pty Ltd</w:t>
      </w:r>
      <w:r w:rsidRPr="009F4AF4">
        <w:rPr>
          <w:rFonts w:ascii="Times New Roman" w:hAnsi="Times New Roman"/>
          <w:sz w:val="24"/>
        </w:rPr>
        <w:t xml:space="preserve"> (2025) 263 LGERA 264 at 320 [236], 321 [245].</w:t>
      </w:r>
    </w:p>
  </w:footnote>
  <w:footnote w:id="185">
    <w:p w14:paraId="3AD0F155" w14:textId="77777777" w:rsidR="008352AC" w:rsidRPr="009F4AF4" w:rsidRDefault="008352AC" w:rsidP="009F4AF4">
      <w:pPr>
        <w:pStyle w:val="FootnoteText"/>
        <w:spacing w:line="280" w:lineRule="exact"/>
        <w:ind w:right="0"/>
        <w:jc w:val="both"/>
        <w:rPr>
          <w:rFonts w:ascii="Times New Roman" w:hAnsi="Times New Roman"/>
          <w:sz w:val="24"/>
        </w:rPr>
      </w:pPr>
      <w:r w:rsidRPr="009F4AF4">
        <w:rPr>
          <w:rStyle w:val="FootnoteReference"/>
          <w:rFonts w:ascii="Times New Roman" w:hAnsi="Times New Roman"/>
          <w:sz w:val="22"/>
          <w:vertAlign w:val="baseline"/>
        </w:rPr>
        <w:footnoteRef/>
      </w:r>
      <w:r w:rsidRPr="009F4AF4">
        <w:rPr>
          <w:rFonts w:ascii="Times New Roman" w:hAnsi="Times New Roman"/>
          <w:sz w:val="24"/>
        </w:rPr>
        <w:t xml:space="preserve"> </w:t>
      </w:r>
      <w:r w:rsidRPr="009F4AF4">
        <w:rPr>
          <w:rFonts w:ascii="Times New Roman" w:hAnsi="Times New Roman"/>
          <w:sz w:val="24"/>
        </w:rPr>
        <w:tab/>
      </w:r>
      <w:r w:rsidRPr="009F4AF4">
        <w:rPr>
          <w:rFonts w:ascii="Times New Roman" w:hAnsi="Times New Roman"/>
          <w:i/>
          <w:iCs/>
          <w:sz w:val="24"/>
        </w:rPr>
        <w:t>Old UGC Inc v Industrial Relations Commission (NSW)</w:t>
      </w:r>
      <w:r w:rsidRPr="009F4AF4">
        <w:rPr>
          <w:rFonts w:ascii="Times New Roman" w:hAnsi="Times New Roman"/>
          <w:sz w:val="24"/>
        </w:rPr>
        <w:t xml:space="preserve"> (2006) 225 CLR 274 at 282-283 [22]; </w:t>
      </w:r>
      <w:r w:rsidRPr="009F4AF4">
        <w:rPr>
          <w:rFonts w:ascii="Times New Roman" w:hAnsi="Times New Roman"/>
          <w:i/>
          <w:iCs/>
          <w:sz w:val="24"/>
        </w:rPr>
        <w:t>Insight Vacations Pty Ltd v Young</w:t>
      </w:r>
      <w:r w:rsidRPr="009F4AF4">
        <w:rPr>
          <w:rFonts w:ascii="Times New Roman" w:hAnsi="Times New Roman"/>
          <w:sz w:val="24"/>
        </w:rPr>
        <w:t xml:space="preserve"> (2011) 243 CLR 149 at 162 [36]. </w:t>
      </w:r>
    </w:p>
  </w:footnote>
  <w:footnote w:id="186">
    <w:p w14:paraId="7CC70DFC" w14:textId="77777777" w:rsidR="008352AC" w:rsidRPr="009F4AF4" w:rsidRDefault="008352AC" w:rsidP="009F4AF4">
      <w:pPr>
        <w:pStyle w:val="FootnoteText"/>
        <w:spacing w:line="280" w:lineRule="exact"/>
        <w:ind w:right="0"/>
        <w:jc w:val="both"/>
        <w:rPr>
          <w:rFonts w:ascii="Times New Roman" w:hAnsi="Times New Roman"/>
          <w:sz w:val="24"/>
        </w:rPr>
      </w:pPr>
      <w:r w:rsidRPr="009F4AF4">
        <w:rPr>
          <w:rStyle w:val="FootnoteReference"/>
          <w:rFonts w:ascii="Times New Roman" w:hAnsi="Times New Roman"/>
          <w:sz w:val="22"/>
          <w:vertAlign w:val="baseline"/>
        </w:rPr>
        <w:footnoteRef/>
      </w:r>
      <w:r w:rsidRPr="009F4AF4">
        <w:rPr>
          <w:rFonts w:ascii="Times New Roman" w:hAnsi="Times New Roman"/>
          <w:sz w:val="24"/>
        </w:rPr>
        <w:t xml:space="preserve"> </w:t>
      </w:r>
      <w:r w:rsidRPr="009F4AF4">
        <w:rPr>
          <w:rFonts w:ascii="Times New Roman" w:hAnsi="Times New Roman"/>
          <w:sz w:val="24"/>
        </w:rPr>
        <w:tab/>
      </w:r>
      <w:r w:rsidRPr="009F4AF4">
        <w:rPr>
          <w:rFonts w:ascii="Times New Roman" w:hAnsi="Times New Roman"/>
          <w:i/>
          <w:iCs/>
          <w:sz w:val="24"/>
        </w:rPr>
        <w:t>BHP Group Ltd v Impiombato</w:t>
      </w:r>
      <w:r w:rsidRPr="009F4AF4">
        <w:rPr>
          <w:rFonts w:ascii="Times New Roman" w:hAnsi="Times New Roman"/>
          <w:sz w:val="24"/>
        </w:rPr>
        <w:t xml:space="preserve"> (2022) 276 CLR 611 at 636-637 [59].</w:t>
      </w:r>
    </w:p>
  </w:footnote>
  <w:footnote w:id="187">
    <w:p w14:paraId="7B708104" w14:textId="77777777" w:rsidR="008352AC" w:rsidRPr="009F4AF4" w:rsidRDefault="008352AC" w:rsidP="009F4AF4">
      <w:pPr>
        <w:pStyle w:val="FootnoteText"/>
        <w:spacing w:line="280" w:lineRule="exact"/>
        <w:ind w:right="0"/>
        <w:jc w:val="both"/>
        <w:rPr>
          <w:rFonts w:ascii="Times New Roman" w:hAnsi="Times New Roman"/>
          <w:sz w:val="24"/>
        </w:rPr>
      </w:pPr>
      <w:r w:rsidRPr="009F4AF4">
        <w:rPr>
          <w:rStyle w:val="FootnoteReference"/>
          <w:rFonts w:ascii="Times New Roman" w:hAnsi="Times New Roman"/>
          <w:sz w:val="22"/>
          <w:vertAlign w:val="baseline"/>
        </w:rPr>
        <w:footnoteRef/>
      </w:r>
      <w:r w:rsidRPr="009F4AF4">
        <w:rPr>
          <w:rFonts w:ascii="Times New Roman" w:hAnsi="Times New Roman"/>
          <w:sz w:val="24"/>
        </w:rPr>
        <w:t xml:space="preserve"> </w:t>
      </w:r>
      <w:r w:rsidRPr="009F4AF4">
        <w:rPr>
          <w:rFonts w:ascii="Times New Roman" w:hAnsi="Times New Roman"/>
          <w:sz w:val="24"/>
        </w:rPr>
        <w:tab/>
      </w:r>
      <w:r w:rsidRPr="009F4AF4">
        <w:rPr>
          <w:rFonts w:ascii="Times New Roman" w:hAnsi="Times New Roman"/>
          <w:i/>
          <w:iCs/>
          <w:sz w:val="24"/>
        </w:rPr>
        <w:t>Denman Aberdeen Muswellbrook Scone Healthy Environment Group Inc v MACH Energy Australia Pty Ltd</w:t>
      </w:r>
      <w:r w:rsidRPr="009F4AF4">
        <w:rPr>
          <w:rFonts w:ascii="Times New Roman" w:hAnsi="Times New Roman"/>
          <w:sz w:val="24"/>
        </w:rPr>
        <w:t xml:space="preserve"> (2025) 263 LGERA 264 at 291 [109].</w:t>
      </w:r>
    </w:p>
  </w:footnote>
  <w:footnote w:id="188">
    <w:p w14:paraId="26127C0D" w14:textId="77777777" w:rsidR="008352AC" w:rsidRPr="009F4AF4" w:rsidRDefault="008352AC" w:rsidP="009F4AF4">
      <w:pPr>
        <w:pStyle w:val="FootnoteText"/>
        <w:spacing w:line="280" w:lineRule="exact"/>
        <w:ind w:right="0"/>
        <w:jc w:val="both"/>
        <w:rPr>
          <w:rFonts w:ascii="Times New Roman" w:hAnsi="Times New Roman"/>
          <w:sz w:val="24"/>
        </w:rPr>
      </w:pPr>
      <w:r w:rsidRPr="009F4AF4">
        <w:rPr>
          <w:rStyle w:val="FootnoteReference"/>
          <w:rFonts w:ascii="Times New Roman" w:hAnsi="Times New Roman"/>
          <w:sz w:val="22"/>
          <w:vertAlign w:val="baseline"/>
        </w:rPr>
        <w:footnoteRef/>
      </w:r>
      <w:r w:rsidRPr="009F4AF4">
        <w:rPr>
          <w:rFonts w:ascii="Times New Roman" w:hAnsi="Times New Roman"/>
          <w:sz w:val="24"/>
        </w:rPr>
        <w:t xml:space="preserve"> </w:t>
      </w:r>
      <w:r w:rsidRPr="009F4AF4">
        <w:rPr>
          <w:rFonts w:ascii="Times New Roman" w:hAnsi="Times New Roman"/>
          <w:sz w:val="24"/>
        </w:rPr>
        <w:tab/>
        <w:t xml:space="preserve">Fish, "Intention Is All There Is: A Critical Analysis of Aharon Barak's Purposive Interpretation in Law" (2008) 29 </w:t>
      </w:r>
      <w:r w:rsidRPr="009F4AF4">
        <w:rPr>
          <w:rFonts w:ascii="Times New Roman" w:hAnsi="Times New Roman"/>
          <w:i/>
          <w:iCs/>
          <w:sz w:val="24"/>
        </w:rPr>
        <w:t>Cardozo Law Review</w:t>
      </w:r>
      <w:r w:rsidRPr="009F4AF4">
        <w:rPr>
          <w:rFonts w:ascii="Times New Roman" w:hAnsi="Times New Roman"/>
          <w:sz w:val="24"/>
        </w:rPr>
        <w:t xml:space="preserve"> 1109 at 1123.</w:t>
      </w:r>
    </w:p>
  </w:footnote>
  <w:footnote w:id="189">
    <w:p w14:paraId="2E2DD378" w14:textId="77777777" w:rsidR="008352AC" w:rsidRPr="009F4AF4" w:rsidRDefault="008352AC" w:rsidP="009F4AF4">
      <w:pPr>
        <w:pStyle w:val="FootnoteText"/>
        <w:spacing w:line="280" w:lineRule="exact"/>
        <w:ind w:right="0"/>
        <w:jc w:val="both"/>
        <w:rPr>
          <w:rFonts w:ascii="Times New Roman" w:hAnsi="Times New Roman"/>
          <w:sz w:val="24"/>
        </w:rPr>
      </w:pPr>
      <w:r w:rsidRPr="009F4AF4">
        <w:rPr>
          <w:rStyle w:val="FootnoteReference"/>
          <w:rFonts w:ascii="Times New Roman" w:hAnsi="Times New Roman"/>
          <w:sz w:val="22"/>
          <w:vertAlign w:val="baseline"/>
        </w:rPr>
        <w:footnoteRef/>
      </w:r>
      <w:r w:rsidRPr="009F4AF4">
        <w:rPr>
          <w:rFonts w:ascii="Times New Roman" w:hAnsi="Times New Roman"/>
          <w:sz w:val="24"/>
        </w:rPr>
        <w:t xml:space="preserve"> </w:t>
      </w:r>
      <w:r w:rsidRPr="009F4AF4">
        <w:rPr>
          <w:rFonts w:ascii="Times New Roman" w:hAnsi="Times New Roman"/>
          <w:sz w:val="24"/>
        </w:rPr>
        <w:tab/>
      </w:r>
      <w:r w:rsidRPr="009F4AF4">
        <w:rPr>
          <w:rFonts w:ascii="Times New Roman" w:hAnsi="Times New Roman"/>
          <w:i/>
          <w:iCs/>
          <w:sz w:val="24"/>
        </w:rPr>
        <w:t>Automotive Invest Pty Ltd v Federal Commissioner of Taxation</w:t>
      </w:r>
      <w:r w:rsidRPr="009F4AF4">
        <w:rPr>
          <w:rFonts w:ascii="Times New Roman" w:hAnsi="Times New Roman"/>
          <w:sz w:val="24"/>
        </w:rPr>
        <w:t xml:space="preserve"> (2024) 283 CLR</w:t>
      </w:r>
      <w:r>
        <w:rPr>
          <w:rFonts w:ascii="Times New Roman" w:hAnsi="Times New Roman"/>
          <w:sz w:val="24"/>
        </w:rPr>
        <w:t> </w:t>
      </w:r>
      <w:r w:rsidRPr="009F4AF4">
        <w:rPr>
          <w:rFonts w:ascii="Times New Roman" w:hAnsi="Times New Roman"/>
          <w:sz w:val="24"/>
        </w:rPr>
        <w:t xml:space="preserve">291 at 328 [115]; </w:t>
      </w:r>
      <w:r w:rsidRPr="009F4AF4">
        <w:rPr>
          <w:rFonts w:ascii="Times New Roman" w:hAnsi="Times New Roman"/>
          <w:i/>
          <w:iCs/>
          <w:sz w:val="24"/>
        </w:rPr>
        <w:t>Palmanova Pty Ltd v The Commonwealth</w:t>
      </w:r>
      <w:r w:rsidRPr="009F4AF4">
        <w:rPr>
          <w:rFonts w:ascii="Times New Roman" w:hAnsi="Times New Roman"/>
          <w:sz w:val="24"/>
        </w:rPr>
        <w:t xml:space="preserve"> (2025) 99 ALJR 1362 at</w:t>
      </w:r>
      <w:r>
        <w:rPr>
          <w:rFonts w:ascii="Times New Roman" w:hAnsi="Times New Roman"/>
          <w:sz w:val="24"/>
        </w:rPr>
        <w:t> </w:t>
      </w:r>
      <w:r w:rsidRPr="009F4AF4">
        <w:rPr>
          <w:rFonts w:ascii="Times New Roman" w:hAnsi="Times New Roman"/>
          <w:sz w:val="24"/>
        </w:rPr>
        <w:t xml:space="preserve">1376 [75]; 424 ALR 768 at 785. See also </w:t>
      </w:r>
      <w:r w:rsidRPr="009F4AF4">
        <w:rPr>
          <w:rFonts w:ascii="Times New Roman" w:hAnsi="Times New Roman"/>
          <w:i/>
          <w:iCs/>
          <w:sz w:val="24"/>
        </w:rPr>
        <w:t>Zedra Trust Co (Jersey) Ltd v THG plc</w:t>
      </w:r>
      <w:r w:rsidRPr="009F4AF4">
        <w:rPr>
          <w:rFonts w:ascii="Times New Roman" w:hAnsi="Times New Roman"/>
          <w:sz w:val="24"/>
        </w:rPr>
        <w:t xml:space="preserve"> [2026] 2 WLR 479 at 491 [27]; [2026] 3 All ER 459 at 468. </w:t>
      </w:r>
    </w:p>
  </w:footnote>
  <w:footnote w:id="190">
    <w:p w14:paraId="2F1666C8" w14:textId="77777777" w:rsidR="008352AC" w:rsidRPr="009F4AF4" w:rsidRDefault="008352AC" w:rsidP="009F4AF4">
      <w:pPr>
        <w:pStyle w:val="FootnoteText"/>
        <w:spacing w:line="280" w:lineRule="exact"/>
        <w:ind w:right="0"/>
        <w:jc w:val="both"/>
        <w:rPr>
          <w:rFonts w:ascii="Times New Roman" w:hAnsi="Times New Roman"/>
          <w:sz w:val="24"/>
        </w:rPr>
      </w:pPr>
      <w:r w:rsidRPr="009F4AF4">
        <w:rPr>
          <w:rStyle w:val="FootnoteReference"/>
          <w:rFonts w:ascii="Times New Roman" w:hAnsi="Times New Roman"/>
          <w:sz w:val="22"/>
          <w:vertAlign w:val="baseline"/>
        </w:rPr>
        <w:footnoteRef/>
      </w:r>
      <w:r w:rsidRPr="009F4AF4">
        <w:rPr>
          <w:rFonts w:ascii="Times New Roman" w:hAnsi="Times New Roman"/>
          <w:sz w:val="24"/>
        </w:rPr>
        <w:t xml:space="preserve"> </w:t>
      </w:r>
      <w:r w:rsidRPr="009F4AF4">
        <w:rPr>
          <w:rFonts w:ascii="Times New Roman" w:hAnsi="Times New Roman"/>
          <w:sz w:val="24"/>
        </w:rPr>
        <w:tab/>
        <w:t xml:space="preserve">Searle, </w:t>
      </w:r>
      <w:r w:rsidRPr="009F4AF4">
        <w:rPr>
          <w:rFonts w:ascii="Times New Roman" w:hAnsi="Times New Roman"/>
          <w:i/>
          <w:iCs/>
          <w:sz w:val="24"/>
        </w:rPr>
        <w:t>Intentionality</w:t>
      </w:r>
      <w:r w:rsidRPr="009F4AF4">
        <w:rPr>
          <w:rFonts w:ascii="Times New Roman" w:hAnsi="Times New Roman"/>
          <w:i/>
          <w:sz w:val="24"/>
        </w:rPr>
        <w:t>: An essay in the philosophy of mind</w:t>
      </w:r>
      <w:r w:rsidRPr="009F4AF4">
        <w:rPr>
          <w:rFonts w:ascii="Times New Roman" w:hAnsi="Times New Roman"/>
          <w:i/>
          <w:iCs/>
          <w:sz w:val="24"/>
        </w:rPr>
        <w:t xml:space="preserve"> </w:t>
      </w:r>
      <w:r w:rsidRPr="009F4AF4">
        <w:rPr>
          <w:rFonts w:ascii="Times New Roman" w:hAnsi="Times New Roman"/>
          <w:sz w:val="24"/>
        </w:rPr>
        <w:t xml:space="preserve">(1983) at 161. </w:t>
      </w:r>
    </w:p>
  </w:footnote>
  <w:footnote w:id="191">
    <w:p w14:paraId="0971C560" w14:textId="77777777" w:rsidR="008352AC" w:rsidRPr="009F4AF4" w:rsidRDefault="008352AC" w:rsidP="009F4AF4">
      <w:pPr>
        <w:pStyle w:val="FootnoteText"/>
        <w:spacing w:line="280" w:lineRule="exact"/>
        <w:ind w:right="0"/>
        <w:jc w:val="both"/>
        <w:rPr>
          <w:rFonts w:ascii="Times New Roman" w:hAnsi="Times New Roman"/>
          <w:sz w:val="24"/>
        </w:rPr>
      </w:pPr>
      <w:r w:rsidRPr="009F4AF4">
        <w:rPr>
          <w:rStyle w:val="FootnoteReference"/>
          <w:rFonts w:ascii="Times New Roman" w:hAnsi="Times New Roman"/>
          <w:sz w:val="22"/>
          <w:vertAlign w:val="baseline"/>
        </w:rPr>
        <w:footnoteRef/>
      </w:r>
      <w:r w:rsidRPr="009F4AF4">
        <w:rPr>
          <w:rFonts w:ascii="Times New Roman" w:hAnsi="Times New Roman"/>
          <w:sz w:val="24"/>
        </w:rPr>
        <w:t xml:space="preserve"> </w:t>
      </w:r>
      <w:r w:rsidRPr="009F4AF4">
        <w:rPr>
          <w:rFonts w:ascii="Times New Roman" w:hAnsi="Times New Roman"/>
          <w:sz w:val="24"/>
        </w:rPr>
        <w:tab/>
      </w:r>
      <w:r w:rsidRPr="009F4AF4">
        <w:rPr>
          <w:rFonts w:ascii="Times New Roman" w:hAnsi="Times New Roman"/>
          <w:i/>
          <w:iCs/>
          <w:sz w:val="24"/>
        </w:rPr>
        <w:t>Bell v Minister for Urban Affairs and Planning</w:t>
      </w:r>
      <w:r w:rsidRPr="009F4AF4">
        <w:rPr>
          <w:rFonts w:ascii="Times New Roman" w:hAnsi="Times New Roman"/>
          <w:sz w:val="24"/>
        </w:rPr>
        <w:t xml:space="preserve"> (1997) 95 LGERA 86 at 95.</w:t>
      </w:r>
    </w:p>
  </w:footnote>
  <w:footnote w:id="192">
    <w:p w14:paraId="6CADA89F" w14:textId="77777777" w:rsidR="008352AC" w:rsidRPr="009F4AF4" w:rsidRDefault="008352AC" w:rsidP="009F4AF4">
      <w:pPr>
        <w:pStyle w:val="FootnoteText"/>
        <w:spacing w:line="280" w:lineRule="exact"/>
        <w:ind w:right="0"/>
        <w:jc w:val="both"/>
        <w:rPr>
          <w:rFonts w:ascii="Times New Roman" w:hAnsi="Times New Roman"/>
          <w:sz w:val="24"/>
        </w:rPr>
      </w:pPr>
      <w:r w:rsidRPr="009F4AF4">
        <w:rPr>
          <w:rStyle w:val="FootnoteReference"/>
          <w:rFonts w:ascii="Times New Roman" w:hAnsi="Times New Roman"/>
          <w:sz w:val="22"/>
          <w:vertAlign w:val="baseline"/>
        </w:rPr>
        <w:footnoteRef/>
      </w:r>
      <w:r w:rsidRPr="009F4AF4">
        <w:rPr>
          <w:rFonts w:ascii="Times New Roman" w:hAnsi="Times New Roman"/>
          <w:sz w:val="24"/>
        </w:rPr>
        <w:t xml:space="preserve"> </w:t>
      </w:r>
      <w:r w:rsidRPr="009F4AF4">
        <w:rPr>
          <w:rFonts w:ascii="Times New Roman" w:hAnsi="Times New Roman"/>
          <w:sz w:val="24"/>
        </w:rPr>
        <w:tab/>
        <w:t xml:space="preserve">New South Wales, Department of Urban Affairs and Planning, </w:t>
      </w:r>
      <w:r w:rsidRPr="009F4AF4">
        <w:rPr>
          <w:rFonts w:ascii="Times New Roman" w:hAnsi="Times New Roman"/>
          <w:i/>
          <w:iCs/>
          <w:sz w:val="24"/>
        </w:rPr>
        <w:t xml:space="preserve">Integrated Development Assessment: White Paper and Exposure Draft Bill, Environmental Planning and Assessment Amendment Bill 1997 </w:t>
      </w:r>
      <w:r w:rsidRPr="009F4AF4">
        <w:rPr>
          <w:rFonts w:ascii="Times New Roman" w:hAnsi="Times New Roman"/>
          <w:sz w:val="24"/>
        </w:rPr>
        <w:t xml:space="preserve">(1997) at 18-19 [3.3.1]-[3.3.2]. </w:t>
      </w:r>
    </w:p>
  </w:footnote>
  <w:footnote w:id="193">
    <w:p w14:paraId="5D2AD72B" w14:textId="77777777" w:rsidR="008352AC" w:rsidRPr="009F4AF4" w:rsidRDefault="008352AC" w:rsidP="009F4AF4">
      <w:pPr>
        <w:pStyle w:val="FootnoteText"/>
        <w:spacing w:line="280" w:lineRule="exact"/>
        <w:ind w:right="0"/>
        <w:jc w:val="both"/>
        <w:rPr>
          <w:rFonts w:ascii="Times New Roman" w:hAnsi="Times New Roman"/>
          <w:sz w:val="24"/>
        </w:rPr>
      </w:pPr>
      <w:r w:rsidRPr="009F4AF4">
        <w:rPr>
          <w:rStyle w:val="FootnoteReference"/>
          <w:rFonts w:ascii="Times New Roman" w:hAnsi="Times New Roman"/>
          <w:sz w:val="22"/>
          <w:vertAlign w:val="baseline"/>
        </w:rPr>
        <w:footnoteRef/>
      </w:r>
      <w:r w:rsidRPr="009F4AF4">
        <w:rPr>
          <w:rFonts w:ascii="Times New Roman" w:hAnsi="Times New Roman"/>
          <w:sz w:val="24"/>
        </w:rPr>
        <w:t xml:space="preserve"> </w:t>
      </w:r>
      <w:r w:rsidRPr="009F4AF4">
        <w:rPr>
          <w:rFonts w:ascii="Times New Roman" w:hAnsi="Times New Roman"/>
          <w:sz w:val="24"/>
        </w:rPr>
        <w:tab/>
      </w:r>
      <w:r w:rsidRPr="009F4AF4">
        <w:rPr>
          <w:rFonts w:ascii="Times New Roman" w:hAnsi="Times New Roman"/>
          <w:i/>
          <w:iCs/>
          <w:sz w:val="24"/>
        </w:rPr>
        <w:t>Environmental Planning and Assessment Amendment Act 1997</w:t>
      </w:r>
      <w:r w:rsidRPr="009F4AF4">
        <w:rPr>
          <w:rFonts w:ascii="Times New Roman" w:hAnsi="Times New Roman"/>
          <w:sz w:val="24"/>
        </w:rPr>
        <w:t xml:space="preserve"> (NSW), s 3, Sch 1, item 32.</w:t>
      </w:r>
    </w:p>
  </w:footnote>
  <w:footnote w:id="194">
    <w:p w14:paraId="4F8D6CC1" w14:textId="77777777" w:rsidR="008352AC" w:rsidRPr="009F4AF4" w:rsidRDefault="008352AC" w:rsidP="009F4AF4">
      <w:pPr>
        <w:pStyle w:val="FootnoteText"/>
        <w:spacing w:line="280" w:lineRule="exact"/>
        <w:ind w:right="0"/>
        <w:jc w:val="both"/>
        <w:rPr>
          <w:rFonts w:ascii="Times New Roman" w:hAnsi="Times New Roman"/>
          <w:sz w:val="24"/>
          <w:lang w:val="en-US"/>
        </w:rPr>
      </w:pPr>
      <w:r w:rsidRPr="009F4AF4">
        <w:rPr>
          <w:rStyle w:val="FootnoteReference"/>
          <w:rFonts w:ascii="Times New Roman" w:hAnsi="Times New Roman"/>
          <w:sz w:val="22"/>
          <w:vertAlign w:val="baseline"/>
        </w:rPr>
        <w:footnoteRef/>
      </w:r>
      <w:r w:rsidRPr="009F4AF4">
        <w:rPr>
          <w:rFonts w:ascii="Times New Roman" w:hAnsi="Times New Roman"/>
          <w:sz w:val="24"/>
        </w:rPr>
        <w:t xml:space="preserve"> </w:t>
      </w:r>
      <w:r w:rsidRPr="009F4AF4">
        <w:rPr>
          <w:rFonts w:ascii="Times New Roman" w:hAnsi="Times New Roman"/>
          <w:sz w:val="24"/>
        </w:rPr>
        <w:tab/>
        <w:t xml:space="preserve">New South Wales, Legislative Assembly, </w:t>
      </w:r>
      <w:r w:rsidRPr="009F4AF4">
        <w:rPr>
          <w:rFonts w:ascii="Times New Roman" w:hAnsi="Times New Roman"/>
          <w:i/>
          <w:iCs/>
          <w:sz w:val="24"/>
        </w:rPr>
        <w:t>Parliamentary Debates</w:t>
      </w:r>
      <w:r w:rsidRPr="009F4AF4">
        <w:rPr>
          <w:rFonts w:ascii="Times New Roman" w:hAnsi="Times New Roman"/>
          <w:sz w:val="24"/>
        </w:rPr>
        <w:t xml:space="preserve"> (Hansard), 15 October 1997 at 828.</w:t>
      </w:r>
    </w:p>
  </w:footnote>
  <w:footnote w:id="195">
    <w:p w14:paraId="7F9203AC" w14:textId="77777777" w:rsidR="008352AC" w:rsidRPr="009F4AF4" w:rsidRDefault="008352AC" w:rsidP="009F4AF4">
      <w:pPr>
        <w:pStyle w:val="FootnoteText"/>
        <w:spacing w:line="280" w:lineRule="exact"/>
        <w:ind w:right="0"/>
        <w:jc w:val="both"/>
        <w:rPr>
          <w:rFonts w:ascii="Times New Roman" w:hAnsi="Times New Roman"/>
          <w:sz w:val="24"/>
        </w:rPr>
      </w:pPr>
      <w:r w:rsidRPr="009F4AF4">
        <w:rPr>
          <w:rStyle w:val="FootnoteReference"/>
          <w:rFonts w:ascii="Times New Roman" w:hAnsi="Times New Roman"/>
          <w:sz w:val="22"/>
          <w:vertAlign w:val="baseline"/>
        </w:rPr>
        <w:footnoteRef/>
      </w:r>
      <w:r w:rsidRPr="009F4AF4">
        <w:rPr>
          <w:rFonts w:ascii="Times New Roman" w:hAnsi="Times New Roman"/>
          <w:sz w:val="24"/>
        </w:rPr>
        <w:t xml:space="preserve"> </w:t>
      </w:r>
      <w:r w:rsidRPr="009F4AF4">
        <w:rPr>
          <w:rFonts w:ascii="Times New Roman" w:hAnsi="Times New Roman"/>
          <w:sz w:val="24"/>
        </w:rPr>
        <w:tab/>
      </w:r>
      <w:r w:rsidRPr="009F4AF4">
        <w:rPr>
          <w:rFonts w:ascii="Times New Roman" w:hAnsi="Times New Roman"/>
          <w:i/>
          <w:iCs/>
          <w:sz w:val="24"/>
        </w:rPr>
        <w:t>Environmental Planning and Assessment Amendment Act 2017</w:t>
      </w:r>
      <w:r w:rsidRPr="009F4AF4">
        <w:rPr>
          <w:rFonts w:ascii="Times New Roman" w:hAnsi="Times New Roman"/>
          <w:sz w:val="24"/>
        </w:rPr>
        <w:t xml:space="preserve"> (NSW), Sch 4.2, item 1.</w:t>
      </w:r>
    </w:p>
  </w:footnote>
  <w:footnote w:id="196">
    <w:p w14:paraId="1FA3DC57" w14:textId="77777777" w:rsidR="008352AC" w:rsidRPr="009F4AF4" w:rsidRDefault="008352AC" w:rsidP="009F4AF4">
      <w:pPr>
        <w:pStyle w:val="FootnoteText"/>
        <w:spacing w:line="280" w:lineRule="exact"/>
        <w:ind w:right="0"/>
        <w:jc w:val="both"/>
        <w:rPr>
          <w:rFonts w:ascii="Times New Roman" w:hAnsi="Times New Roman"/>
          <w:sz w:val="24"/>
        </w:rPr>
      </w:pPr>
      <w:r w:rsidRPr="009F4AF4">
        <w:rPr>
          <w:rStyle w:val="FootnoteReference"/>
          <w:rFonts w:ascii="Times New Roman" w:hAnsi="Times New Roman"/>
          <w:sz w:val="22"/>
          <w:vertAlign w:val="baseline"/>
        </w:rPr>
        <w:footnoteRef/>
      </w:r>
      <w:r w:rsidRPr="009F4AF4">
        <w:rPr>
          <w:rFonts w:ascii="Times New Roman" w:hAnsi="Times New Roman"/>
          <w:sz w:val="24"/>
        </w:rPr>
        <w:t xml:space="preserve"> </w:t>
      </w:r>
      <w:r w:rsidRPr="009F4AF4">
        <w:rPr>
          <w:rFonts w:ascii="Times New Roman" w:hAnsi="Times New Roman"/>
          <w:i/>
          <w:iCs/>
          <w:sz w:val="24"/>
        </w:rPr>
        <w:tab/>
      </w:r>
      <w:r w:rsidRPr="009F4AF4">
        <w:rPr>
          <w:rFonts w:ascii="Times New Roman" w:hAnsi="Times New Roman"/>
          <w:sz w:val="24"/>
        </w:rPr>
        <w:t xml:space="preserve">See also </w:t>
      </w:r>
      <w:r w:rsidRPr="009F4AF4">
        <w:rPr>
          <w:rFonts w:ascii="Times New Roman" w:hAnsi="Times New Roman"/>
          <w:i/>
          <w:iCs/>
          <w:sz w:val="24"/>
        </w:rPr>
        <w:t>Re Alcan Australia Ltd; Ex parte Federation of Industrial, Manufacturing and Engineering Employees</w:t>
      </w:r>
      <w:r w:rsidRPr="009F4AF4">
        <w:rPr>
          <w:rFonts w:ascii="Times New Roman" w:hAnsi="Times New Roman"/>
          <w:sz w:val="24"/>
        </w:rPr>
        <w:t xml:space="preserve"> (1994) 181 CLR 96 at 106-107; </w:t>
      </w:r>
      <w:r w:rsidRPr="009F4AF4">
        <w:rPr>
          <w:rFonts w:ascii="Times New Roman" w:hAnsi="Times New Roman"/>
          <w:i/>
          <w:iCs/>
          <w:sz w:val="24"/>
        </w:rPr>
        <w:t xml:space="preserve">Director of Public Prosecutions Reference No 1 of 2019 </w:t>
      </w:r>
      <w:r w:rsidRPr="009F4AF4">
        <w:rPr>
          <w:rFonts w:ascii="Times New Roman" w:hAnsi="Times New Roman"/>
          <w:sz w:val="24"/>
        </w:rPr>
        <w:t xml:space="preserve">(2021) 274 CLR 177 at 209 [76]. </w:t>
      </w:r>
    </w:p>
  </w:footnote>
  <w:footnote w:id="197">
    <w:p w14:paraId="6C48BD02" w14:textId="77777777" w:rsidR="008352AC" w:rsidRPr="009F4AF4" w:rsidRDefault="008352AC" w:rsidP="009F4AF4">
      <w:pPr>
        <w:pStyle w:val="FootnoteText"/>
        <w:spacing w:line="280" w:lineRule="exact"/>
        <w:ind w:right="0"/>
        <w:jc w:val="both"/>
        <w:rPr>
          <w:rFonts w:ascii="Times New Roman" w:hAnsi="Times New Roman"/>
          <w:sz w:val="24"/>
        </w:rPr>
      </w:pPr>
      <w:r w:rsidRPr="009F4AF4">
        <w:rPr>
          <w:rStyle w:val="FootnoteReference"/>
          <w:rFonts w:ascii="Times New Roman" w:hAnsi="Times New Roman"/>
          <w:sz w:val="22"/>
          <w:vertAlign w:val="baseline"/>
        </w:rPr>
        <w:footnoteRef/>
      </w:r>
      <w:r w:rsidRPr="009F4AF4">
        <w:rPr>
          <w:rFonts w:ascii="Times New Roman" w:hAnsi="Times New Roman"/>
          <w:sz w:val="24"/>
        </w:rPr>
        <w:t xml:space="preserve"> </w:t>
      </w:r>
      <w:r w:rsidRPr="009F4AF4">
        <w:rPr>
          <w:rFonts w:ascii="Times New Roman" w:hAnsi="Times New Roman"/>
          <w:sz w:val="24"/>
        </w:rPr>
        <w:tab/>
      </w:r>
      <w:r w:rsidRPr="009F4AF4">
        <w:rPr>
          <w:rFonts w:ascii="Times New Roman" w:hAnsi="Times New Roman"/>
          <w:i/>
          <w:iCs/>
          <w:sz w:val="24"/>
        </w:rPr>
        <w:t>Denman Aberdeen Muswellbrook Scone Healthy Environment Group Inc v MACH Energy Australia Pty Ltd</w:t>
      </w:r>
      <w:r w:rsidRPr="009F4AF4">
        <w:rPr>
          <w:rFonts w:ascii="Times New Roman" w:hAnsi="Times New Roman"/>
          <w:sz w:val="24"/>
        </w:rPr>
        <w:t xml:space="preserve"> (2025) 263 LGERA 264 at 320 [237].</w:t>
      </w:r>
    </w:p>
  </w:footnote>
  <w:footnote w:id="198">
    <w:p w14:paraId="02D4A986" w14:textId="77777777" w:rsidR="00686E9C" w:rsidRPr="009137CA" w:rsidRDefault="00686E9C" w:rsidP="009137CA">
      <w:pPr>
        <w:pStyle w:val="FootnoteText"/>
        <w:spacing w:line="280" w:lineRule="exact"/>
        <w:ind w:right="0"/>
        <w:jc w:val="both"/>
        <w:rPr>
          <w:rFonts w:ascii="Times New Roman" w:hAnsi="Times New Roman"/>
          <w:sz w:val="24"/>
        </w:rPr>
      </w:pPr>
      <w:r w:rsidRPr="009137CA">
        <w:rPr>
          <w:rStyle w:val="FootnoteReference"/>
          <w:rFonts w:ascii="Times New Roman" w:hAnsi="Times New Roman"/>
          <w:sz w:val="22"/>
          <w:vertAlign w:val="baseline"/>
        </w:rPr>
        <w:footnoteRef/>
      </w:r>
      <w:r w:rsidRPr="009137CA">
        <w:rPr>
          <w:rFonts w:ascii="Times New Roman" w:hAnsi="Times New Roman"/>
          <w:sz w:val="24"/>
        </w:rPr>
        <w:t xml:space="preserve"> </w:t>
      </w:r>
      <w:r w:rsidRPr="009137CA">
        <w:rPr>
          <w:rFonts w:ascii="Times New Roman" w:hAnsi="Times New Roman"/>
          <w:sz w:val="24"/>
        </w:rPr>
        <w:tab/>
      </w:r>
      <w:r w:rsidRPr="009137CA">
        <w:rPr>
          <w:rFonts w:ascii="Times New Roman" w:hAnsi="Times New Roman"/>
          <w:i/>
          <w:iCs/>
          <w:sz w:val="24"/>
        </w:rPr>
        <w:t xml:space="preserve">Denman Aberdeen Muswellbrook Scone Healthy Environment Group Inc v MACH Energy Australia Pty Ltd </w:t>
      </w:r>
      <w:r w:rsidRPr="009137CA">
        <w:rPr>
          <w:rFonts w:ascii="Times New Roman" w:hAnsi="Times New Roman"/>
          <w:sz w:val="24"/>
        </w:rPr>
        <w:t>(2025) 263 LGERA 264.</w:t>
      </w:r>
    </w:p>
  </w:footnote>
  <w:footnote w:id="199">
    <w:p w14:paraId="33782A3C" w14:textId="77777777" w:rsidR="00686E9C" w:rsidRPr="009137CA" w:rsidRDefault="00686E9C" w:rsidP="009137CA">
      <w:pPr>
        <w:pStyle w:val="FootnoteText"/>
        <w:spacing w:line="280" w:lineRule="exact"/>
        <w:ind w:right="0"/>
        <w:jc w:val="both"/>
        <w:rPr>
          <w:rFonts w:ascii="Times New Roman" w:hAnsi="Times New Roman"/>
          <w:sz w:val="24"/>
        </w:rPr>
      </w:pPr>
      <w:r w:rsidRPr="009137CA">
        <w:rPr>
          <w:rStyle w:val="FootnoteReference"/>
          <w:rFonts w:ascii="Times New Roman" w:hAnsi="Times New Roman"/>
          <w:sz w:val="22"/>
          <w:vertAlign w:val="baseline"/>
        </w:rPr>
        <w:footnoteRef/>
      </w:r>
      <w:r w:rsidRPr="009137CA">
        <w:rPr>
          <w:rFonts w:ascii="Times New Roman" w:hAnsi="Times New Roman"/>
          <w:sz w:val="24"/>
        </w:rPr>
        <w:t xml:space="preserve"> </w:t>
      </w:r>
      <w:r w:rsidRPr="009137CA">
        <w:rPr>
          <w:rFonts w:ascii="Times New Roman" w:hAnsi="Times New Roman"/>
          <w:sz w:val="24"/>
        </w:rPr>
        <w:tab/>
      </w:r>
      <w:r w:rsidRPr="009137CA">
        <w:rPr>
          <w:rFonts w:ascii="Times New Roman" w:hAnsi="Times New Roman"/>
          <w:i/>
          <w:iCs/>
          <w:sz w:val="24"/>
        </w:rPr>
        <w:t xml:space="preserve">Denman Aberdeen Muswellbrook Scone Healthy Environment Group Inc v MACH Energy Australia Pty Ltd </w:t>
      </w:r>
      <w:r w:rsidRPr="009137CA">
        <w:rPr>
          <w:rFonts w:ascii="Times New Roman" w:hAnsi="Times New Roman"/>
          <w:sz w:val="24"/>
        </w:rPr>
        <w:t>[2024] NSWLEC 86.</w:t>
      </w:r>
    </w:p>
  </w:footnote>
  <w:footnote w:id="200">
    <w:p w14:paraId="23F90E40" w14:textId="77777777" w:rsidR="00686E9C" w:rsidRPr="009137CA" w:rsidRDefault="00686E9C" w:rsidP="009137CA">
      <w:pPr>
        <w:pStyle w:val="FootnoteText"/>
        <w:spacing w:line="280" w:lineRule="exact"/>
        <w:ind w:right="0"/>
        <w:jc w:val="both"/>
        <w:rPr>
          <w:rFonts w:ascii="Times New Roman" w:hAnsi="Times New Roman"/>
          <w:sz w:val="24"/>
        </w:rPr>
      </w:pPr>
      <w:r w:rsidRPr="009137CA">
        <w:rPr>
          <w:rStyle w:val="FootnoteReference"/>
          <w:rFonts w:ascii="Times New Roman" w:hAnsi="Times New Roman"/>
          <w:sz w:val="22"/>
          <w:vertAlign w:val="baseline"/>
        </w:rPr>
        <w:footnoteRef/>
      </w:r>
      <w:r w:rsidRPr="009137CA">
        <w:rPr>
          <w:rFonts w:ascii="Times New Roman" w:hAnsi="Times New Roman"/>
          <w:sz w:val="24"/>
        </w:rPr>
        <w:t xml:space="preserve"> </w:t>
      </w:r>
      <w:r w:rsidRPr="009137CA">
        <w:rPr>
          <w:rFonts w:ascii="Times New Roman" w:hAnsi="Times New Roman"/>
          <w:sz w:val="24"/>
        </w:rPr>
        <w:tab/>
        <w:t>Resources SEPP, cl 2.20(1)(c).</w:t>
      </w:r>
    </w:p>
  </w:footnote>
  <w:footnote w:id="201">
    <w:p w14:paraId="24A47E8D" w14:textId="77777777" w:rsidR="00686E9C" w:rsidRPr="009137CA" w:rsidRDefault="00686E9C" w:rsidP="009137CA">
      <w:pPr>
        <w:pStyle w:val="FootnoteText"/>
        <w:spacing w:line="280" w:lineRule="exact"/>
        <w:ind w:right="0"/>
        <w:jc w:val="both"/>
        <w:rPr>
          <w:rFonts w:ascii="Times New Roman" w:hAnsi="Times New Roman"/>
          <w:sz w:val="24"/>
        </w:rPr>
      </w:pPr>
      <w:r w:rsidRPr="009137CA">
        <w:rPr>
          <w:rStyle w:val="FootnoteReference"/>
          <w:rFonts w:ascii="Times New Roman" w:hAnsi="Times New Roman"/>
          <w:sz w:val="22"/>
          <w:vertAlign w:val="baseline"/>
        </w:rPr>
        <w:footnoteRef/>
      </w:r>
      <w:r w:rsidRPr="009137CA">
        <w:rPr>
          <w:rFonts w:ascii="Times New Roman" w:hAnsi="Times New Roman"/>
          <w:sz w:val="24"/>
        </w:rPr>
        <w:t xml:space="preserve"> </w:t>
      </w:r>
      <w:r w:rsidRPr="009137CA">
        <w:rPr>
          <w:rFonts w:ascii="Times New Roman" w:hAnsi="Times New Roman"/>
          <w:sz w:val="24"/>
        </w:rPr>
        <w:tab/>
      </w:r>
      <w:r w:rsidRPr="009137CA">
        <w:rPr>
          <w:rFonts w:ascii="Times New Roman" w:hAnsi="Times New Roman"/>
          <w:i/>
          <w:iCs/>
          <w:sz w:val="24"/>
        </w:rPr>
        <w:t xml:space="preserve">Environmental Planning and Assessment Act 1979 </w:t>
      </w:r>
      <w:r w:rsidRPr="009137CA">
        <w:rPr>
          <w:rFonts w:ascii="Times New Roman" w:hAnsi="Times New Roman"/>
          <w:sz w:val="24"/>
        </w:rPr>
        <w:t>(NSW), s 4.36(1).</w:t>
      </w:r>
    </w:p>
  </w:footnote>
  <w:footnote w:id="202">
    <w:p w14:paraId="55979DC5" w14:textId="77777777" w:rsidR="00686E9C" w:rsidRPr="009137CA" w:rsidRDefault="00686E9C" w:rsidP="009137CA">
      <w:pPr>
        <w:pStyle w:val="FootnoteText"/>
        <w:spacing w:line="280" w:lineRule="exact"/>
        <w:ind w:right="0"/>
        <w:jc w:val="both"/>
        <w:rPr>
          <w:rFonts w:ascii="Times New Roman" w:hAnsi="Times New Roman"/>
          <w:sz w:val="24"/>
        </w:rPr>
      </w:pPr>
      <w:r w:rsidRPr="009137CA">
        <w:rPr>
          <w:rStyle w:val="FootnoteReference"/>
          <w:rFonts w:ascii="Times New Roman" w:hAnsi="Times New Roman"/>
          <w:sz w:val="22"/>
          <w:vertAlign w:val="baseline"/>
        </w:rPr>
        <w:footnoteRef/>
      </w:r>
      <w:r w:rsidRPr="009137CA">
        <w:rPr>
          <w:rFonts w:ascii="Times New Roman" w:hAnsi="Times New Roman"/>
          <w:sz w:val="24"/>
        </w:rPr>
        <w:t xml:space="preserve"> </w:t>
      </w:r>
      <w:r w:rsidRPr="009137CA">
        <w:rPr>
          <w:rFonts w:ascii="Times New Roman" w:hAnsi="Times New Roman"/>
          <w:sz w:val="24"/>
        </w:rPr>
        <w:tab/>
        <w:t>EPA Act, s 4.5(a).</w:t>
      </w:r>
    </w:p>
  </w:footnote>
  <w:footnote w:id="203">
    <w:p w14:paraId="348C7166" w14:textId="77777777" w:rsidR="00686E9C" w:rsidRPr="009137CA" w:rsidRDefault="00686E9C" w:rsidP="009137CA">
      <w:pPr>
        <w:pStyle w:val="FootnoteText"/>
        <w:spacing w:line="280" w:lineRule="exact"/>
        <w:ind w:right="0"/>
        <w:jc w:val="both"/>
        <w:rPr>
          <w:rFonts w:ascii="Times New Roman" w:hAnsi="Times New Roman"/>
          <w:sz w:val="24"/>
        </w:rPr>
      </w:pPr>
      <w:r w:rsidRPr="009137CA">
        <w:rPr>
          <w:rStyle w:val="FootnoteReference"/>
          <w:rFonts w:ascii="Times New Roman" w:hAnsi="Times New Roman"/>
          <w:sz w:val="22"/>
          <w:vertAlign w:val="baseline"/>
        </w:rPr>
        <w:footnoteRef/>
      </w:r>
      <w:r w:rsidRPr="009137CA">
        <w:rPr>
          <w:rFonts w:ascii="Times New Roman" w:hAnsi="Times New Roman"/>
          <w:sz w:val="24"/>
        </w:rPr>
        <w:t xml:space="preserve"> </w:t>
      </w:r>
      <w:r w:rsidRPr="009137CA">
        <w:rPr>
          <w:rFonts w:ascii="Times New Roman" w:hAnsi="Times New Roman"/>
          <w:sz w:val="24"/>
        </w:rPr>
        <w:tab/>
        <w:t>EPA Act, s 2.9(1)(a).</w:t>
      </w:r>
    </w:p>
  </w:footnote>
  <w:footnote w:id="204">
    <w:p w14:paraId="0AE71FF0" w14:textId="77777777" w:rsidR="00686E9C" w:rsidRPr="009137CA" w:rsidRDefault="00686E9C" w:rsidP="009137CA">
      <w:pPr>
        <w:pStyle w:val="FootnoteText"/>
        <w:spacing w:line="280" w:lineRule="exact"/>
        <w:ind w:right="0"/>
        <w:jc w:val="both"/>
        <w:rPr>
          <w:rFonts w:ascii="Times New Roman" w:hAnsi="Times New Roman"/>
          <w:sz w:val="24"/>
        </w:rPr>
      </w:pPr>
      <w:r w:rsidRPr="009137CA">
        <w:rPr>
          <w:rStyle w:val="FootnoteReference"/>
          <w:rFonts w:ascii="Times New Roman" w:hAnsi="Times New Roman"/>
          <w:sz w:val="22"/>
          <w:vertAlign w:val="baseline"/>
        </w:rPr>
        <w:footnoteRef/>
      </w:r>
      <w:r w:rsidRPr="009137CA">
        <w:rPr>
          <w:rFonts w:ascii="Times New Roman" w:hAnsi="Times New Roman"/>
          <w:sz w:val="24"/>
        </w:rPr>
        <w:t xml:space="preserve"> </w:t>
      </w:r>
      <w:r w:rsidRPr="009137CA">
        <w:rPr>
          <w:rFonts w:ascii="Times New Roman" w:hAnsi="Times New Roman"/>
          <w:sz w:val="24"/>
        </w:rPr>
        <w:tab/>
        <w:t>EPA Act, s 4.38(1).</w:t>
      </w:r>
    </w:p>
  </w:footnote>
  <w:footnote w:id="205">
    <w:p w14:paraId="5FC0F168" w14:textId="77777777" w:rsidR="00686E9C" w:rsidRPr="009137CA" w:rsidRDefault="00686E9C" w:rsidP="009137CA">
      <w:pPr>
        <w:pStyle w:val="FootnoteText"/>
        <w:spacing w:line="280" w:lineRule="exact"/>
        <w:ind w:right="0"/>
        <w:jc w:val="both"/>
        <w:rPr>
          <w:rFonts w:ascii="Times New Roman" w:hAnsi="Times New Roman"/>
          <w:sz w:val="24"/>
        </w:rPr>
      </w:pPr>
      <w:r w:rsidRPr="009137CA">
        <w:rPr>
          <w:rStyle w:val="FootnoteReference"/>
          <w:rFonts w:ascii="Times New Roman" w:hAnsi="Times New Roman"/>
          <w:sz w:val="22"/>
          <w:vertAlign w:val="baseline"/>
        </w:rPr>
        <w:footnoteRef/>
      </w:r>
      <w:r w:rsidRPr="009137CA">
        <w:rPr>
          <w:rFonts w:ascii="Times New Roman" w:hAnsi="Times New Roman"/>
          <w:sz w:val="24"/>
        </w:rPr>
        <w:t xml:space="preserve"> </w:t>
      </w:r>
      <w:r w:rsidRPr="009137CA">
        <w:rPr>
          <w:rFonts w:ascii="Times New Roman" w:hAnsi="Times New Roman"/>
          <w:sz w:val="24"/>
        </w:rPr>
        <w:tab/>
        <w:t xml:space="preserve">As required by the EPA Act: s 4.12(8). </w:t>
      </w:r>
    </w:p>
  </w:footnote>
  <w:footnote w:id="206">
    <w:p w14:paraId="07FA1DF8" w14:textId="77777777" w:rsidR="00686E9C" w:rsidRPr="009137CA" w:rsidRDefault="00686E9C" w:rsidP="009137CA">
      <w:pPr>
        <w:pStyle w:val="FootnoteText"/>
        <w:spacing w:line="280" w:lineRule="exact"/>
        <w:ind w:right="0"/>
        <w:jc w:val="both"/>
        <w:rPr>
          <w:rFonts w:ascii="Times New Roman" w:hAnsi="Times New Roman"/>
          <w:sz w:val="24"/>
        </w:rPr>
      </w:pPr>
      <w:r w:rsidRPr="009137CA">
        <w:rPr>
          <w:rStyle w:val="FootnoteReference"/>
          <w:rFonts w:ascii="Times New Roman" w:hAnsi="Times New Roman"/>
          <w:sz w:val="22"/>
          <w:vertAlign w:val="baseline"/>
        </w:rPr>
        <w:footnoteRef/>
      </w:r>
      <w:r w:rsidRPr="009137CA">
        <w:rPr>
          <w:rFonts w:ascii="Times New Roman" w:hAnsi="Times New Roman"/>
          <w:sz w:val="24"/>
        </w:rPr>
        <w:t xml:space="preserve"> </w:t>
      </w:r>
      <w:r w:rsidRPr="009137CA">
        <w:rPr>
          <w:rFonts w:ascii="Times New Roman" w:hAnsi="Times New Roman"/>
          <w:sz w:val="24"/>
        </w:rPr>
        <w:tab/>
        <w:t>EPA Act, s 2.9(1)(d); Sch 2, cl 3(1)(a).</w:t>
      </w:r>
    </w:p>
  </w:footnote>
  <w:footnote w:id="207">
    <w:p w14:paraId="215C57E3" w14:textId="77777777" w:rsidR="00686E9C" w:rsidRPr="009137CA" w:rsidRDefault="00686E9C" w:rsidP="009137CA">
      <w:pPr>
        <w:pStyle w:val="FootnoteText"/>
        <w:spacing w:line="280" w:lineRule="exact"/>
        <w:ind w:right="0"/>
        <w:jc w:val="both"/>
        <w:rPr>
          <w:rFonts w:ascii="Times New Roman" w:hAnsi="Times New Roman"/>
          <w:sz w:val="24"/>
        </w:rPr>
      </w:pPr>
      <w:r w:rsidRPr="009137CA">
        <w:rPr>
          <w:rStyle w:val="FootnoteReference"/>
          <w:rFonts w:ascii="Times New Roman" w:hAnsi="Times New Roman"/>
          <w:sz w:val="22"/>
          <w:vertAlign w:val="baseline"/>
        </w:rPr>
        <w:footnoteRef/>
      </w:r>
      <w:r w:rsidRPr="009137CA">
        <w:rPr>
          <w:rFonts w:ascii="Times New Roman" w:hAnsi="Times New Roman"/>
          <w:sz w:val="24"/>
        </w:rPr>
        <w:t xml:space="preserve"> </w:t>
      </w:r>
      <w:r w:rsidRPr="009137CA">
        <w:rPr>
          <w:rFonts w:ascii="Times New Roman" w:hAnsi="Times New Roman"/>
          <w:sz w:val="24"/>
        </w:rPr>
        <w:tab/>
        <w:t>EPA Act, Sch 2, cl 6(1).</w:t>
      </w:r>
    </w:p>
  </w:footnote>
  <w:footnote w:id="208">
    <w:p w14:paraId="6EA45A0E" w14:textId="77777777" w:rsidR="00686E9C" w:rsidRPr="009137CA" w:rsidRDefault="00686E9C" w:rsidP="009137CA">
      <w:pPr>
        <w:pStyle w:val="FootnoteText"/>
        <w:spacing w:line="280" w:lineRule="exact"/>
        <w:ind w:right="0"/>
        <w:jc w:val="both"/>
        <w:rPr>
          <w:rFonts w:ascii="Times New Roman" w:hAnsi="Times New Roman"/>
          <w:sz w:val="24"/>
        </w:rPr>
      </w:pPr>
      <w:r w:rsidRPr="009137CA">
        <w:rPr>
          <w:rStyle w:val="FootnoteReference"/>
          <w:rFonts w:ascii="Times New Roman" w:hAnsi="Times New Roman"/>
          <w:sz w:val="22"/>
          <w:vertAlign w:val="baseline"/>
        </w:rPr>
        <w:footnoteRef/>
      </w:r>
      <w:r w:rsidRPr="009137CA">
        <w:rPr>
          <w:rFonts w:ascii="Times New Roman" w:hAnsi="Times New Roman"/>
          <w:sz w:val="24"/>
        </w:rPr>
        <w:t xml:space="preserve"> </w:t>
      </w:r>
      <w:r w:rsidRPr="009137CA">
        <w:rPr>
          <w:rFonts w:ascii="Times New Roman" w:hAnsi="Times New Roman"/>
          <w:sz w:val="24"/>
        </w:rPr>
        <w:tab/>
        <w:t xml:space="preserve">EPA Act, Sch 1, cl 20(2)(c). </w:t>
      </w:r>
    </w:p>
  </w:footnote>
  <w:footnote w:id="209">
    <w:p w14:paraId="321FCCF0" w14:textId="77777777" w:rsidR="00686E9C" w:rsidRPr="009137CA" w:rsidRDefault="00686E9C" w:rsidP="009137CA">
      <w:pPr>
        <w:pStyle w:val="FootnoteText"/>
        <w:spacing w:line="280" w:lineRule="exact"/>
        <w:ind w:right="0"/>
        <w:jc w:val="both"/>
        <w:rPr>
          <w:rFonts w:ascii="Times New Roman" w:hAnsi="Times New Roman"/>
          <w:sz w:val="24"/>
        </w:rPr>
      </w:pPr>
      <w:r w:rsidRPr="009137CA">
        <w:rPr>
          <w:rStyle w:val="FootnoteReference"/>
          <w:rFonts w:ascii="Times New Roman" w:hAnsi="Times New Roman"/>
          <w:sz w:val="22"/>
          <w:vertAlign w:val="baseline"/>
        </w:rPr>
        <w:footnoteRef/>
      </w:r>
      <w:r w:rsidRPr="009137CA">
        <w:rPr>
          <w:rFonts w:ascii="Times New Roman" w:hAnsi="Times New Roman"/>
          <w:sz w:val="24"/>
        </w:rPr>
        <w:t xml:space="preserve"> </w:t>
      </w:r>
      <w:r w:rsidRPr="009137CA">
        <w:rPr>
          <w:rFonts w:ascii="Times New Roman" w:hAnsi="Times New Roman"/>
          <w:sz w:val="24"/>
        </w:rPr>
        <w:tab/>
        <w:t>Subject to the provisions of Div 4.7 of the EPA Act concerning State significant development.</w:t>
      </w:r>
    </w:p>
  </w:footnote>
  <w:footnote w:id="210">
    <w:p w14:paraId="0905E4CA" w14:textId="77777777" w:rsidR="00686E9C" w:rsidRPr="009137CA" w:rsidRDefault="00686E9C" w:rsidP="009137CA">
      <w:pPr>
        <w:pStyle w:val="FootnoteText"/>
        <w:spacing w:line="280" w:lineRule="exact"/>
        <w:ind w:right="0"/>
        <w:jc w:val="both"/>
        <w:rPr>
          <w:rFonts w:ascii="Times New Roman" w:hAnsi="Times New Roman"/>
          <w:sz w:val="24"/>
        </w:rPr>
      </w:pPr>
      <w:r w:rsidRPr="009137CA">
        <w:rPr>
          <w:rStyle w:val="FootnoteReference"/>
          <w:rFonts w:ascii="Times New Roman" w:hAnsi="Times New Roman"/>
          <w:sz w:val="22"/>
          <w:vertAlign w:val="baseline"/>
        </w:rPr>
        <w:footnoteRef/>
      </w:r>
      <w:r w:rsidRPr="009137CA">
        <w:rPr>
          <w:rFonts w:ascii="Times New Roman" w:hAnsi="Times New Roman"/>
          <w:sz w:val="24"/>
        </w:rPr>
        <w:t xml:space="preserve"> </w:t>
      </w:r>
      <w:r w:rsidRPr="009137CA">
        <w:rPr>
          <w:rFonts w:ascii="Times New Roman" w:hAnsi="Times New Roman"/>
          <w:sz w:val="24"/>
        </w:rPr>
        <w:tab/>
      </w:r>
      <w:r w:rsidRPr="009137CA">
        <w:rPr>
          <w:rFonts w:ascii="Times New Roman" w:hAnsi="Times New Roman"/>
          <w:i/>
          <w:iCs/>
          <w:sz w:val="24"/>
        </w:rPr>
        <w:t xml:space="preserve">Denman Aberdeen Muswellbrook Scone Healthy Environment Group Inc v MACH Energy Australia Pty Ltd </w:t>
      </w:r>
      <w:r w:rsidRPr="009137CA">
        <w:rPr>
          <w:rFonts w:ascii="Times New Roman" w:hAnsi="Times New Roman"/>
          <w:sz w:val="24"/>
        </w:rPr>
        <w:t xml:space="preserve">(2025) 263 LGERA 264 at 320 [238]; see </w:t>
      </w:r>
      <w:r w:rsidRPr="009137CA">
        <w:rPr>
          <w:rFonts w:ascii="Times New Roman" w:hAnsi="Times New Roman"/>
          <w:i/>
          <w:iCs/>
          <w:sz w:val="24"/>
        </w:rPr>
        <w:t>Craig v South Australia</w:t>
      </w:r>
      <w:r w:rsidRPr="009137CA">
        <w:rPr>
          <w:rFonts w:ascii="Times New Roman" w:hAnsi="Times New Roman"/>
          <w:sz w:val="24"/>
        </w:rPr>
        <w:t xml:space="preserve"> (1995) 184 CLR 163 at 179.</w:t>
      </w:r>
    </w:p>
  </w:footnote>
  <w:footnote w:id="211">
    <w:p w14:paraId="4226C571" w14:textId="77777777" w:rsidR="00686E9C" w:rsidRPr="009137CA" w:rsidRDefault="00686E9C" w:rsidP="009137CA">
      <w:pPr>
        <w:pStyle w:val="FootnoteText"/>
        <w:spacing w:line="280" w:lineRule="exact"/>
        <w:ind w:right="0"/>
        <w:jc w:val="both"/>
        <w:rPr>
          <w:rFonts w:ascii="Times New Roman" w:hAnsi="Times New Roman"/>
          <w:sz w:val="24"/>
        </w:rPr>
      </w:pPr>
      <w:r w:rsidRPr="009137CA">
        <w:rPr>
          <w:rStyle w:val="FootnoteReference"/>
          <w:rFonts w:ascii="Times New Roman" w:hAnsi="Times New Roman"/>
          <w:sz w:val="22"/>
          <w:vertAlign w:val="baseline"/>
        </w:rPr>
        <w:footnoteRef/>
      </w:r>
      <w:r w:rsidRPr="009137CA">
        <w:rPr>
          <w:rFonts w:ascii="Times New Roman" w:hAnsi="Times New Roman"/>
          <w:sz w:val="24"/>
        </w:rPr>
        <w:t xml:space="preserve"> </w:t>
      </w:r>
      <w:r w:rsidRPr="009137CA">
        <w:rPr>
          <w:rFonts w:ascii="Times New Roman" w:hAnsi="Times New Roman"/>
          <w:sz w:val="24"/>
        </w:rPr>
        <w:tab/>
        <w:t xml:space="preserve">(2022) 255 LGERA 136, and subsequent Court of Appeal decisions that have applied it: </w:t>
      </w:r>
      <w:r w:rsidRPr="009137CA">
        <w:rPr>
          <w:rFonts w:ascii="Times New Roman" w:hAnsi="Times New Roman"/>
          <w:i/>
          <w:sz w:val="24"/>
        </w:rPr>
        <w:t>El Khouri</w:t>
      </w:r>
      <w:r w:rsidRPr="009137CA">
        <w:rPr>
          <w:rFonts w:ascii="Times New Roman" w:hAnsi="Times New Roman"/>
          <w:sz w:val="24"/>
        </w:rPr>
        <w:t xml:space="preserve"> </w:t>
      </w:r>
      <w:r w:rsidRPr="009137CA">
        <w:rPr>
          <w:rFonts w:ascii="Times New Roman" w:hAnsi="Times New Roman"/>
          <w:i/>
          <w:sz w:val="24"/>
        </w:rPr>
        <w:t xml:space="preserve">v Gemaveld Pty Ltd </w:t>
      </w:r>
      <w:r w:rsidRPr="009137CA">
        <w:rPr>
          <w:rFonts w:ascii="Times New Roman" w:hAnsi="Times New Roman"/>
          <w:sz w:val="24"/>
        </w:rPr>
        <w:t xml:space="preserve">(2023) 256 LGERA 24; </w:t>
      </w:r>
      <w:r w:rsidRPr="009137CA">
        <w:rPr>
          <w:rFonts w:ascii="Times New Roman" w:hAnsi="Times New Roman"/>
          <w:i/>
          <w:sz w:val="24"/>
        </w:rPr>
        <w:t>Bingman Catchment Landcare Group Inc v Bowdens Silver Pty Ltd</w:t>
      </w:r>
      <w:r w:rsidRPr="009137CA">
        <w:rPr>
          <w:rFonts w:ascii="Times New Roman" w:hAnsi="Times New Roman"/>
          <w:sz w:val="24"/>
        </w:rPr>
        <w:t xml:space="preserve"> (2024) 260 LGERA 297.</w:t>
      </w:r>
    </w:p>
  </w:footnote>
  <w:footnote w:id="212">
    <w:p w14:paraId="64715265" w14:textId="77777777" w:rsidR="00686E9C" w:rsidRPr="009137CA" w:rsidRDefault="00686E9C" w:rsidP="009137CA">
      <w:pPr>
        <w:pStyle w:val="FootnoteText"/>
        <w:spacing w:line="280" w:lineRule="exact"/>
        <w:ind w:right="0"/>
        <w:jc w:val="both"/>
        <w:rPr>
          <w:rFonts w:ascii="Times New Roman" w:hAnsi="Times New Roman"/>
          <w:sz w:val="24"/>
        </w:rPr>
      </w:pPr>
      <w:r w:rsidRPr="009137CA">
        <w:rPr>
          <w:rStyle w:val="FootnoteReference"/>
          <w:rFonts w:ascii="Times New Roman" w:hAnsi="Times New Roman"/>
          <w:sz w:val="22"/>
          <w:vertAlign w:val="baseline"/>
        </w:rPr>
        <w:footnoteRef/>
      </w:r>
      <w:r w:rsidRPr="009137CA">
        <w:rPr>
          <w:rFonts w:ascii="Times New Roman" w:hAnsi="Times New Roman"/>
          <w:sz w:val="24"/>
        </w:rPr>
        <w:t xml:space="preserve"> </w:t>
      </w:r>
      <w:r w:rsidRPr="009137CA">
        <w:rPr>
          <w:rFonts w:ascii="Times New Roman" w:hAnsi="Times New Roman"/>
          <w:sz w:val="24"/>
        </w:rPr>
        <w:tab/>
      </w:r>
      <w:r w:rsidRPr="009137CA">
        <w:rPr>
          <w:rFonts w:ascii="Times New Roman" w:hAnsi="Times New Roman"/>
          <w:i/>
          <w:iCs/>
          <w:sz w:val="24"/>
        </w:rPr>
        <w:t>Ross v Lane</w:t>
      </w:r>
      <w:r w:rsidRPr="009137CA">
        <w:rPr>
          <w:rFonts w:ascii="Times New Roman" w:hAnsi="Times New Roman"/>
          <w:sz w:val="24"/>
        </w:rPr>
        <w:t xml:space="preserve"> (2022) 255 LGERA 136 at 149 [40].</w:t>
      </w:r>
    </w:p>
  </w:footnote>
  <w:footnote w:id="213">
    <w:p w14:paraId="6A72DE6E" w14:textId="77777777" w:rsidR="00686E9C" w:rsidRPr="009137CA" w:rsidRDefault="00686E9C" w:rsidP="009137CA">
      <w:pPr>
        <w:pStyle w:val="FootnoteText"/>
        <w:spacing w:line="280" w:lineRule="exact"/>
        <w:ind w:right="0"/>
        <w:jc w:val="both"/>
        <w:rPr>
          <w:rFonts w:ascii="Times New Roman" w:hAnsi="Times New Roman"/>
          <w:sz w:val="24"/>
        </w:rPr>
      </w:pPr>
      <w:r w:rsidRPr="009137CA">
        <w:rPr>
          <w:rStyle w:val="FootnoteReference"/>
          <w:rFonts w:ascii="Times New Roman" w:hAnsi="Times New Roman"/>
          <w:sz w:val="22"/>
          <w:vertAlign w:val="baseline"/>
        </w:rPr>
        <w:footnoteRef/>
      </w:r>
      <w:r w:rsidRPr="009137CA">
        <w:rPr>
          <w:rFonts w:ascii="Times New Roman" w:hAnsi="Times New Roman"/>
          <w:sz w:val="24"/>
        </w:rPr>
        <w:t xml:space="preserve"> </w:t>
      </w:r>
      <w:r w:rsidRPr="009137CA">
        <w:rPr>
          <w:rFonts w:ascii="Times New Roman" w:hAnsi="Times New Roman"/>
          <w:sz w:val="24"/>
        </w:rPr>
        <w:tab/>
      </w:r>
      <w:r w:rsidRPr="009137CA">
        <w:rPr>
          <w:rFonts w:ascii="Times New Roman" w:hAnsi="Times New Roman"/>
          <w:i/>
          <w:iCs/>
          <w:sz w:val="24"/>
        </w:rPr>
        <w:t>Ross v Lane</w:t>
      </w:r>
      <w:r w:rsidRPr="009137CA">
        <w:rPr>
          <w:rFonts w:ascii="Times New Roman" w:hAnsi="Times New Roman"/>
          <w:sz w:val="24"/>
        </w:rPr>
        <w:t xml:space="preserve"> (2022) 255 LGERA 136 at 149 [40].</w:t>
      </w:r>
    </w:p>
  </w:footnote>
  <w:footnote w:id="214">
    <w:p w14:paraId="53CC17D2" w14:textId="77777777" w:rsidR="00686E9C" w:rsidRPr="009137CA" w:rsidRDefault="00686E9C" w:rsidP="009137CA">
      <w:pPr>
        <w:pStyle w:val="FootnoteText"/>
        <w:spacing w:line="280" w:lineRule="exact"/>
        <w:ind w:right="0"/>
        <w:jc w:val="both"/>
        <w:rPr>
          <w:rFonts w:ascii="Times New Roman" w:hAnsi="Times New Roman"/>
          <w:sz w:val="24"/>
        </w:rPr>
      </w:pPr>
      <w:r w:rsidRPr="009137CA">
        <w:rPr>
          <w:rStyle w:val="FootnoteReference"/>
          <w:rFonts w:ascii="Times New Roman" w:hAnsi="Times New Roman"/>
          <w:sz w:val="22"/>
          <w:vertAlign w:val="baseline"/>
        </w:rPr>
        <w:footnoteRef/>
      </w:r>
      <w:r w:rsidRPr="009137CA">
        <w:rPr>
          <w:rFonts w:ascii="Times New Roman" w:hAnsi="Times New Roman"/>
          <w:sz w:val="24"/>
        </w:rPr>
        <w:t xml:space="preserve"> </w:t>
      </w:r>
      <w:r w:rsidRPr="009137CA">
        <w:rPr>
          <w:rFonts w:ascii="Times New Roman" w:hAnsi="Times New Roman"/>
          <w:sz w:val="24"/>
        </w:rPr>
        <w:tab/>
      </w:r>
      <w:r w:rsidRPr="009137CA">
        <w:rPr>
          <w:rFonts w:ascii="Times New Roman" w:hAnsi="Times New Roman"/>
          <w:i/>
          <w:iCs/>
          <w:sz w:val="24"/>
        </w:rPr>
        <w:t>Plaintiff M70/2011 v Minister for Immigration and Citizenship</w:t>
      </w:r>
      <w:r w:rsidRPr="009137CA">
        <w:rPr>
          <w:rFonts w:ascii="Times New Roman" w:hAnsi="Times New Roman"/>
          <w:sz w:val="24"/>
        </w:rPr>
        <w:t xml:space="preserve"> (2011) 244 CLR 144 at 179-180 [57]; see also </w:t>
      </w:r>
      <w:r w:rsidRPr="009137CA">
        <w:rPr>
          <w:rFonts w:ascii="Times New Roman" w:hAnsi="Times New Roman"/>
          <w:i/>
          <w:iCs/>
          <w:sz w:val="24"/>
        </w:rPr>
        <w:t>Minister for Immigration and Multicultural Affairs v Eshetu</w:t>
      </w:r>
      <w:r w:rsidRPr="009137CA">
        <w:rPr>
          <w:rFonts w:ascii="Times New Roman" w:hAnsi="Times New Roman"/>
          <w:sz w:val="24"/>
        </w:rPr>
        <w:t xml:space="preserve"> (1999) 197 CLR 611 at 651 [131].</w:t>
      </w:r>
    </w:p>
  </w:footnote>
  <w:footnote w:id="215">
    <w:p w14:paraId="57BAC8C7" w14:textId="77777777" w:rsidR="00686E9C" w:rsidRPr="009137CA" w:rsidRDefault="00686E9C" w:rsidP="009137CA">
      <w:pPr>
        <w:pStyle w:val="FootnoteText"/>
        <w:spacing w:line="280" w:lineRule="exact"/>
        <w:ind w:right="0"/>
        <w:jc w:val="both"/>
        <w:rPr>
          <w:rFonts w:ascii="Times New Roman" w:hAnsi="Times New Roman"/>
          <w:sz w:val="24"/>
        </w:rPr>
      </w:pPr>
      <w:r w:rsidRPr="009137CA">
        <w:rPr>
          <w:rStyle w:val="FootnoteReference"/>
          <w:rFonts w:ascii="Times New Roman" w:hAnsi="Times New Roman"/>
          <w:sz w:val="22"/>
          <w:vertAlign w:val="baseline"/>
        </w:rPr>
        <w:footnoteRef/>
      </w:r>
      <w:r w:rsidRPr="009137CA">
        <w:rPr>
          <w:rFonts w:ascii="Times New Roman" w:hAnsi="Times New Roman"/>
          <w:sz w:val="24"/>
        </w:rPr>
        <w:t xml:space="preserve"> </w:t>
      </w:r>
      <w:r w:rsidRPr="009137CA">
        <w:rPr>
          <w:rFonts w:ascii="Times New Roman" w:hAnsi="Times New Roman"/>
          <w:sz w:val="24"/>
        </w:rPr>
        <w:tab/>
      </w:r>
      <w:r w:rsidRPr="009137CA">
        <w:rPr>
          <w:rFonts w:ascii="Times New Roman" w:hAnsi="Times New Roman"/>
          <w:i/>
          <w:iCs/>
          <w:sz w:val="24"/>
        </w:rPr>
        <w:t>R v Hunt; Ex parte Sean Investments Pty Ltd</w:t>
      </w:r>
      <w:r w:rsidRPr="009137CA">
        <w:rPr>
          <w:rFonts w:ascii="Times New Roman" w:hAnsi="Times New Roman"/>
          <w:sz w:val="24"/>
        </w:rPr>
        <w:t xml:space="preserve"> (1979) 180 CLR 322 at 329 ("</w:t>
      </w:r>
      <w:r w:rsidRPr="009137CA">
        <w:rPr>
          <w:rFonts w:ascii="Times New Roman" w:hAnsi="Times New Roman"/>
          <w:i/>
          <w:iCs/>
          <w:sz w:val="24"/>
        </w:rPr>
        <w:t>Sean Investments</w:t>
      </w:r>
      <w:r w:rsidRPr="009137CA">
        <w:rPr>
          <w:rFonts w:ascii="Times New Roman" w:hAnsi="Times New Roman"/>
          <w:sz w:val="24"/>
        </w:rPr>
        <w:t xml:space="preserve">"); see </w:t>
      </w:r>
      <w:r w:rsidRPr="009137CA">
        <w:rPr>
          <w:rFonts w:ascii="Times New Roman" w:hAnsi="Times New Roman"/>
          <w:i/>
          <w:iCs/>
          <w:sz w:val="24"/>
        </w:rPr>
        <w:t>Ross v Lane</w:t>
      </w:r>
      <w:r w:rsidRPr="009137CA">
        <w:rPr>
          <w:rFonts w:ascii="Times New Roman" w:hAnsi="Times New Roman"/>
          <w:sz w:val="24"/>
        </w:rPr>
        <w:t xml:space="preserve"> (2022) 255 LGERA 136 at 149 [37].</w:t>
      </w:r>
    </w:p>
  </w:footnote>
  <w:footnote w:id="216">
    <w:p w14:paraId="33B54CF1" w14:textId="77777777" w:rsidR="00686E9C" w:rsidRPr="009137CA" w:rsidRDefault="00686E9C" w:rsidP="009137CA">
      <w:pPr>
        <w:pStyle w:val="FootnoteText"/>
        <w:spacing w:line="280" w:lineRule="exact"/>
        <w:ind w:right="0"/>
        <w:jc w:val="both"/>
        <w:rPr>
          <w:rFonts w:ascii="Times New Roman" w:hAnsi="Times New Roman"/>
          <w:sz w:val="24"/>
        </w:rPr>
      </w:pPr>
      <w:r w:rsidRPr="009137CA">
        <w:rPr>
          <w:rStyle w:val="FootnoteReference"/>
          <w:rFonts w:ascii="Times New Roman" w:hAnsi="Times New Roman"/>
          <w:sz w:val="22"/>
          <w:vertAlign w:val="baseline"/>
        </w:rPr>
        <w:footnoteRef/>
      </w:r>
      <w:r w:rsidRPr="009137CA">
        <w:rPr>
          <w:rFonts w:ascii="Times New Roman" w:hAnsi="Times New Roman"/>
          <w:sz w:val="24"/>
        </w:rPr>
        <w:t xml:space="preserve"> </w:t>
      </w:r>
      <w:r w:rsidRPr="009137CA">
        <w:rPr>
          <w:rFonts w:ascii="Times New Roman" w:hAnsi="Times New Roman"/>
          <w:sz w:val="24"/>
        </w:rPr>
        <w:tab/>
        <w:t>Reasons of Gageler CJ and Jagot J at [32]-[42]; reasons of Gordon J at [</w:t>
      </w:r>
      <w:r>
        <w:rPr>
          <w:rFonts w:ascii="Times New Roman" w:hAnsi="Times New Roman"/>
          <w:sz w:val="24"/>
        </w:rPr>
        <w:t>150</w:t>
      </w:r>
      <w:r w:rsidRPr="009137CA">
        <w:rPr>
          <w:rFonts w:ascii="Times New Roman" w:hAnsi="Times New Roman"/>
          <w:sz w:val="24"/>
        </w:rPr>
        <w:t>]-[</w:t>
      </w:r>
      <w:r>
        <w:rPr>
          <w:rFonts w:ascii="Times New Roman" w:hAnsi="Times New Roman"/>
          <w:sz w:val="24"/>
        </w:rPr>
        <w:t>163</w:t>
      </w:r>
      <w:r w:rsidRPr="009137CA">
        <w:rPr>
          <w:rFonts w:ascii="Times New Roman" w:hAnsi="Times New Roman"/>
          <w:sz w:val="24"/>
        </w:rPr>
        <w:t>].</w:t>
      </w:r>
    </w:p>
  </w:footnote>
  <w:footnote w:id="217">
    <w:p w14:paraId="4D557A70" w14:textId="77777777" w:rsidR="00686E9C" w:rsidRPr="009137CA" w:rsidRDefault="00686E9C" w:rsidP="009137CA">
      <w:pPr>
        <w:pStyle w:val="FootnoteText"/>
        <w:spacing w:line="280" w:lineRule="exact"/>
        <w:ind w:right="0"/>
        <w:jc w:val="both"/>
        <w:rPr>
          <w:rFonts w:ascii="Times New Roman" w:hAnsi="Times New Roman"/>
          <w:sz w:val="24"/>
        </w:rPr>
      </w:pPr>
      <w:r w:rsidRPr="009137CA">
        <w:rPr>
          <w:rStyle w:val="FootnoteReference"/>
          <w:rFonts w:ascii="Times New Roman" w:hAnsi="Times New Roman"/>
          <w:sz w:val="22"/>
          <w:vertAlign w:val="baseline"/>
        </w:rPr>
        <w:footnoteRef/>
      </w:r>
      <w:r w:rsidRPr="009137CA">
        <w:rPr>
          <w:rFonts w:ascii="Times New Roman" w:hAnsi="Times New Roman"/>
          <w:sz w:val="24"/>
        </w:rPr>
        <w:t xml:space="preserve"> </w:t>
      </w:r>
      <w:r w:rsidRPr="009137CA">
        <w:rPr>
          <w:rFonts w:ascii="Times New Roman" w:hAnsi="Times New Roman"/>
          <w:sz w:val="24"/>
        </w:rPr>
        <w:tab/>
        <w:t>Reasons of Gageler CJ and Jagot J at [32]-[40]; reasons of Gordon J at [</w:t>
      </w:r>
      <w:r>
        <w:rPr>
          <w:rFonts w:ascii="Times New Roman" w:hAnsi="Times New Roman"/>
          <w:sz w:val="24"/>
        </w:rPr>
        <w:t>150</w:t>
      </w:r>
      <w:r w:rsidRPr="009137CA">
        <w:rPr>
          <w:rFonts w:ascii="Times New Roman" w:hAnsi="Times New Roman"/>
          <w:sz w:val="24"/>
        </w:rPr>
        <w:t>]-[</w:t>
      </w:r>
      <w:r>
        <w:rPr>
          <w:rFonts w:ascii="Times New Roman" w:hAnsi="Times New Roman"/>
          <w:sz w:val="24"/>
        </w:rPr>
        <w:t>152</w:t>
      </w:r>
      <w:r w:rsidRPr="009137CA">
        <w:rPr>
          <w:rFonts w:ascii="Times New Roman" w:hAnsi="Times New Roman"/>
          <w:sz w:val="24"/>
        </w:rPr>
        <w:t>].</w:t>
      </w:r>
    </w:p>
  </w:footnote>
  <w:footnote w:id="218">
    <w:p w14:paraId="63470010" w14:textId="77777777" w:rsidR="00686E9C" w:rsidRPr="009137CA" w:rsidRDefault="00686E9C" w:rsidP="009137CA">
      <w:pPr>
        <w:pStyle w:val="FootnoteText"/>
        <w:spacing w:line="280" w:lineRule="exact"/>
        <w:ind w:right="0"/>
        <w:jc w:val="both"/>
        <w:rPr>
          <w:rFonts w:ascii="Times New Roman" w:hAnsi="Times New Roman"/>
          <w:sz w:val="24"/>
        </w:rPr>
      </w:pPr>
      <w:r w:rsidRPr="009137CA">
        <w:rPr>
          <w:rStyle w:val="FootnoteReference"/>
          <w:rFonts w:ascii="Times New Roman" w:hAnsi="Times New Roman"/>
          <w:sz w:val="22"/>
          <w:vertAlign w:val="baseline"/>
        </w:rPr>
        <w:footnoteRef/>
      </w:r>
      <w:r w:rsidRPr="009137CA">
        <w:rPr>
          <w:rFonts w:ascii="Times New Roman" w:hAnsi="Times New Roman"/>
          <w:sz w:val="24"/>
        </w:rPr>
        <w:t xml:space="preserve"> </w:t>
      </w:r>
      <w:r w:rsidRPr="009137CA">
        <w:rPr>
          <w:rFonts w:ascii="Times New Roman" w:hAnsi="Times New Roman"/>
          <w:sz w:val="24"/>
        </w:rPr>
        <w:tab/>
        <w:t>Reasons of Gageler CJ and Jagot J at [47], [49], [51]-[56]; reasons of Gordon J at [</w:t>
      </w:r>
      <w:r>
        <w:rPr>
          <w:rFonts w:ascii="Times New Roman" w:hAnsi="Times New Roman"/>
          <w:sz w:val="24"/>
        </w:rPr>
        <w:t>153</w:t>
      </w:r>
      <w:r w:rsidRPr="009137CA">
        <w:rPr>
          <w:rFonts w:ascii="Times New Roman" w:hAnsi="Times New Roman"/>
          <w:sz w:val="24"/>
        </w:rPr>
        <w:t>]-[</w:t>
      </w:r>
      <w:r>
        <w:rPr>
          <w:rFonts w:ascii="Times New Roman" w:hAnsi="Times New Roman"/>
          <w:sz w:val="24"/>
        </w:rPr>
        <w:t>163</w:t>
      </w:r>
      <w:r w:rsidRPr="009137CA">
        <w:rPr>
          <w:rFonts w:ascii="Times New Roman" w:hAnsi="Times New Roman"/>
          <w:sz w:val="24"/>
        </w:rPr>
        <w:t>].</w:t>
      </w:r>
    </w:p>
  </w:footnote>
  <w:footnote w:id="219">
    <w:p w14:paraId="35DA5CCD" w14:textId="77777777" w:rsidR="00686E9C" w:rsidRPr="009137CA" w:rsidRDefault="00686E9C" w:rsidP="009137CA">
      <w:pPr>
        <w:pStyle w:val="FootnoteText"/>
        <w:spacing w:line="280" w:lineRule="exact"/>
        <w:ind w:right="0"/>
        <w:jc w:val="both"/>
        <w:rPr>
          <w:rFonts w:ascii="Times New Roman" w:hAnsi="Times New Roman"/>
          <w:sz w:val="24"/>
        </w:rPr>
      </w:pPr>
      <w:r w:rsidRPr="009137CA">
        <w:rPr>
          <w:rStyle w:val="FootnoteReference"/>
          <w:rFonts w:ascii="Times New Roman" w:hAnsi="Times New Roman"/>
          <w:sz w:val="22"/>
          <w:vertAlign w:val="baseline"/>
        </w:rPr>
        <w:footnoteRef/>
      </w:r>
      <w:r w:rsidRPr="009137CA">
        <w:rPr>
          <w:rFonts w:ascii="Times New Roman" w:hAnsi="Times New Roman"/>
          <w:sz w:val="24"/>
        </w:rPr>
        <w:t xml:space="preserve"> </w:t>
      </w:r>
      <w:r w:rsidRPr="009137CA">
        <w:rPr>
          <w:rFonts w:ascii="Times New Roman" w:hAnsi="Times New Roman"/>
          <w:sz w:val="24"/>
        </w:rPr>
        <w:tab/>
        <w:t>The Union of Concerned Scientists; Melbourne Climate Futures; and the Centre for Climate Engagement at Hughes Hall, University of Cambridge and the Sabin Center for Climate Change Law at Columbia Law School.</w:t>
      </w:r>
    </w:p>
  </w:footnote>
  <w:footnote w:id="220">
    <w:p w14:paraId="1526E909" w14:textId="77777777" w:rsidR="00686E9C" w:rsidRPr="009137CA" w:rsidRDefault="00686E9C" w:rsidP="009137CA">
      <w:pPr>
        <w:pStyle w:val="FootnoteText"/>
        <w:spacing w:line="280" w:lineRule="exact"/>
        <w:ind w:right="0"/>
        <w:jc w:val="both"/>
        <w:rPr>
          <w:rFonts w:ascii="Times New Roman" w:hAnsi="Times New Roman"/>
          <w:sz w:val="24"/>
        </w:rPr>
      </w:pPr>
      <w:r w:rsidRPr="009137CA">
        <w:rPr>
          <w:rStyle w:val="FootnoteReference"/>
          <w:rFonts w:ascii="Times New Roman" w:hAnsi="Times New Roman"/>
          <w:sz w:val="22"/>
          <w:vertAlign w:val="baseline"/>
        </w:rPr>
        <w:footnoteRef/>
      </w:r>
      <w:r w:rsidRPr="009137CA">
        <w:rPr>
          <w:rFonts w:ascii="Times New Roman" w:hAnsi="Times New Roman"/>
          <w:sz w:val="24"/>
        </w:rPr>
        <w:t xml:space="preserve"> </w:t>
      </w:r>
      <w:r w:rsidRPr="009137CA">
        <w:rPr>
          <w:rFonts w:ascii="Times New Roman" w:hAnsi="Times New Roman"/>
          <w:sz w:val="24"/>
        </w:rPr>
        <w:tab/>
      </w:r>
      <w:r w:rsidRPr="009137CA">
        <w:rPr>
          <w:rFonts w:ascii="Times New Roman" w:hAnsi="Times New Roman"/>
          <w:i/>
          <w:iCs/>
          <w:sz w:val="24"/>
        </w:rPr>
        <w:t>LPDT v Minister for Immigration, Citizenship, Migrant Services and Multicultural Affairs</w:t>
      </w:r>
      <w:r w:rsidRPr="009137CA">
        <w:rPr>
          <w:rFonts w:ascii="Times New Roman" w:hAnsi="Times New Roman"/>
          <w:sz w:val="24"/>
        </w:rPr>
        <w:t xml:space="preserve"> (2024) 280 CLR 321 at 328</w:t>
      </w:r>
      <w:r w:rsidRPr="009137CA" w:rsidDel="0090705B">
        <w:rPr>
          <w:rFonts w:ascii="Times New Roman" w:hAnsi="Times New Roman"/>
          <w:sz w:val="24"/>
        </w:rPr>
        <w:t xml:space="preserve"> </w:t>
      </w:r>
      <w:r w:rsidRPr="009137CA">
        <w:rPr>
          <w:rFonts w:ascii="Times New Roman" w:hAnsi="Times New Roman"/>
          <w:sz w:val="24"/>
        </w:rPr>
        <w:t>[10].</w:t>
      </w:r>
    </w:p>
  </w:footnote>
  <w:footnote w:id="221">
    <w:p w14:paraId="10C6B977" w14:textId="77777777" w:rsidR="00686E9C" w:rsidRPr="009137CA" w:rsidRDefault="00686E9C" w:rsidP="009137CA">
      <w:pPr>
        <w:pStyle w:val="FootnoteText"/>
        <w:spacing w:line="280" w:lineRule="exact"/>
        <w:ind w:right="0"/>
        <w:jc w:val="both"/>
        <w:rPr>
          <w:rFonts w:ascii="Times New Roman" w:hAnsi="Times New Roman"/>
          <w:sz w:val="24"/>
        </w:rPr>
      </w:pPr>
      <w:r w:rsidRPr="009137CA">
        <w:rPr>
          <w:rStyle w:val="FootnoteReference"/>
          <w:rFonts w:ascii="Times New Roman" w:hAnsi="Times New Roman"/>
          <w:sz w:val="22"/>
          <w:vertAlign w:val="baseline"/>
        </w:rPr>
        <w:footnoteRef/>
      </w:r>
      <w:r w:rsidRPr="009137CA">
        <w:rPr>
          <w:rFonts w:ascii="Times New Roman" w:hAnsi="Times New Roman"/>
          <w:sz w:val="24"/>
        </w:rPr>
        <w:t xml:space="preserve"> </w:t>
      </w:r>
      <w:r w:rsidRPr="009137CA">
        <w:rPr>
          <w:rFonts w:ascii="Times New Roman" w:hAnsi="Times New Roman"/>
          <w:sz w:val="24"/>
        </w:rPr>
        <w:tab/>
      </w:r>
      <w:r w:rsidRPr="009137CA">
        <w:rPr>
          <w:rFonts w:ascii="Times New Roman" w:hAnsi="Times New Roman"/>
          <w:i/>
          <w:iCs/>
          <w:sz w:val="24"/>
        </w:rPr>
        <w:t>MZAPC v Minister for Immigration and Border Protection</w:t>
      </w:r>
      <w:r w:rsidRPr="009137CA">
        <w:rPr>
          <w:rFonts w:ascii="Times New Roman" w:hAnsi="Times New Roman"/>
          <w:sz w:val="24"/>
        </w:rPr>
        <w:t xml:space="preserve"> (2021) 273 CLR 506 at 524 [38].</w:t>
      </w:r>
    </w:p>
  </w:footnote>
  <w:footnote w:id="222">
    <w:p w14:paraId="32C5D0BD" w14:textId="77777777" w:rsidR="00686E9C" w:rsidRPr="009137CA" w:rsidRDefault="00686E9C" w:rsidP="009137CA">
      <w:pPr>
        <w:pStyle w:val="FootnoteText"/>
        <w:spacing w:line="280" w:lineRule="exact"/>
        <w:ind w:right="0"/>
        <w:jc w:val="both"/>
        <w:rPr>
          <w:rFonts w:ascii="Times New Roman" w:hAnsi="Times New Roman"/>
          <w:sz w:val="24"/>
        </w:rPr>
      </w:pPr>
      <w:r w:rsidRPr="009137CA">
        <w:rPr>
          <w:rStyle w:val="FootnoteReference"/>
          <w:rFonts w:ascii="Times New Roman" w:hAnsi="Times New Roman"/>
          <w:sz w:val="22"/>
          <w:vertAlign w:val="baseline"/>
        </w:rPr>
        <w:footnoteRef/>
      </w:r>
      <w:r w:rsidRPr="009137CA">
        <w:rPr>
          <w:rFonts w:ascii="Times New Roman" w:hAnsi="Times New Roman"/>
          <w:sz w:val="24"/>
        </w:rPr>
        <w:t xml:space="preserve"> </w:t>
      </w:r>
      <w:r w:rsidRPr="009137CA">
        <w:rPr>
          <w:rFonts w:ascii="Times New Roman" w:hAnsi="Times New Roman"/>
          <w:sz w:val="24"/>
        </w:rPr>
        <w:tab/>
        <w:t xml:space="preserve">See </w:t>
      </w:r>
      <w:r w:rsidRPr="009137CA">
        <w:rPr>
          <w:rFonts w:ascii="Times New Roman" w:hAnsi="Times New Roman"/>
          <w:i/>
          <w:iCs/>
          <w:sz w:val="24"/>
        </w:rPr>
        <w:t xml:space="preserve">Mpwerempwer Aboriginal Corporation RNTBC v Minister for Territory Families and Urban Housing as delegate of the Minister for the Environment </w:t>
      </w:r>
      <w:r w:rsidRPr="009137CA">
        <w:rPr>
          <w:rFonts w:ascii="Times New Roman" w:hAnsi="Times New Roman"/>
          <w:sz w:val="24"/>
        </w:rPr>
        <w:t>[2026] HCA 23 at [65].</w:t>
      </w:r>
    </w:p>
  </w:footnote>
  <w:footnote w:id="223">
    <w:p w14:paraId="69E5B993" w14:textId="77777777" w:rsidR="00686E9C" w:rsidRPr="009137CA" w:rsidRDefault="00686E9C" w:rsidP="009137CA">
      <w:pPr>
        <w:pStyle w:val="FootnoteText"/>
        <w:spacing w:line="280" w:lineRule="exact"/>
        <w:ind w:right="0"/>
        <w:jc w:val="both"/>
        <w:rPr>
          <w:rFonts w:ascii="Times New Roman" w:hAnsi="Times New Roman"/>
          <w:sz w:val="24"/>
        </w:rPr>
      </w:pPr>
      <w:r w:rsidRPr="009137CA">
        <w:rPr>
          <w:rStyle w:val="FootnoteReference"/>
          <w:rFonts w:ascii="Times New Roman" w:hAnsi="Times New Roman"/>
          <w:sz w:val="22"/>
          <w:vertAlign w:val="baseline"/>
        </w:rPr>
        <w:footnoteRef/>
      </w:r>
      <w:r w:rsidRPr="009137CA">
        <w:rPr>
          <w:rFonts w:ascii="Times New Roman" w:hAnsi="Times New Roman"/>
          <w:sz w:val="24"/>
        </w:rPr>
        <w:t xml:space="preserve"> </w:t>
      </w:r>
      <w:r w:rsidRPr="009137CA">
        <w:rPr>
          <w:rFonts w:ascii="Times New Roman" w:hAnsi="Times New Roman"/>
          <w:sz w:val="24"/>
        </w:rPr>
        <w:tab/>
      </w:r>
      <w:r w:rsidRPr="009137CA">
        <w:rPr>
          <w:rFonts w:ascii="Times New Roman" w:hAnsi="Times New Roman"/>
          <w:i/>
          <w:iCs/>
          <w:sz w:val="24"/>
        </w:rPr>
        <w:t>Minister for Immigration and Ethnic Affairs v Wu Shan Liang</w:t>
      </w:r>
      <w:r w:rsidRPr="009137CA">
        <w:rPr>
          <w:rFonts w:ascii="Times New Roman" w:hAnsi="Times New Roman"/>
          <w:sz w:val="24"/>
        </w:rPr>
        <w:t xml:space="preserve"> (1996) 185 CLR 259 at 271, 278.</w:t>
      </w:r>
    </w:p>
  </w:footnote>
  <w:footnote w:id="224">
    <w:p w14:paraId="2D0D3138" w14:textId="77777777" w:rsidR="00686E9C" w:rsidRPr="009137CA" w:rsidRDefault="00686E9C" w:rsidP="009137CA">
      <w:pPr>
        <w:pStyle w:val="FootnoteText"/>
        <w:spacing w:line="280" w:lineRule="exact"/>
        <w:ind w:right="0"/>
        <w:jc w:val="both"/>
        <w:rPr>
          <w:rFonts w:ascii="Times New Roman" w:hAnsi="Times New Roman"/>
          <w:sz w:val="24"/>
        </w:rPr>
      </w:pPr>
      <w:r w:rsidRPr="009137CA">
        <w:rPr>
          <w:rStyle w:val="FootnoteReference"/>
          <w:rFonts w:ascii="Times New Roman" w:hAnsi="Times New Roman"/>
          <w:sz w:val="22"/>
          <w:vertAlign w:val="baseline"/>
        </w:rPr>
        <w:footnoteRef/>
      </w:r>
      <w:r w:rsidRPr="009137CA">
        <w:rPr>
          <w:rFonts w:ascii="Times New Roman" w:hAnsi="Times New Roman"/>
          <w:sz w:val="24"/>
        </w:rPr>
        <w:t xml:space="preserve"> </w:t>
      </w:r>
      <w:r w:rsidRPr="009137CA">
        <w:rPr>
          <w:rFonts w:ascii="Times New Roman" w:hAnsi="Times New Roman"/>
          <w:sz w:val="24"/>
        </w:rPr>
        <w:tab/>
      </w:r>
      <w:r w:rsidRPr="009137CA">
        <w:rPr>
          <w:rFonts w:ascii="Times New Roman" w:hAnsi="Times New Roman"/>
          <w:i/>
          <w:iCs/>
          <w:sz w:val="24"/>
        </w:rPr>
        <w:t>Collector of Customs v Pozzolanic Enterprises Pty Ltd</w:t>
      </w:r>
      <w:r w:rsidRPr="009137CA">
        <w:rPr>
          <w:rFonts w:ascii="Times New Roman" w:hAnsi="Times New Roman"/>
          <w:sz w:val="24"/>
        </w:rPr>
        <w:t xml:space="preserve"> (1993) 43 FCR 280 at 287, cited in </w:t>
      </w:r>
      <w:r w:rsidRPr="009137CA">
        <w:rPr>
          <w:rFonts w:ascii="Times New Roman" w:hAnsi="Times New Roman"/>
          <w:i/>
          <w:iCs/>
          <w:sz w:val="24"/>
        </w:rPr>
        <w:t>Minister for Immigration and Ethnic Affairs v Wu Shan Liang</w:t>
      </w:r>
      <w:r w:rsidRPr="009137CA">
        <w:rPr>
          <w:rFonts w:ascii="Times New Roman" w:hAnsi="Times New Roman"/>
          <w:sz w:val="24"/>
        </w:rPr>
        <w:t xml:space="preserve"> (1996) 185 CLR 259 at 272.</w:t>
      </w:r>
    </w:p>
  </w:footnote>
  <w:footnote w:id="225">
    <w:p w14:paraId="6E25EBA3" w14:textId="77777777" w:rsidR="00686E9C" w:rsidRPr="009137CA" w:rsidRDefault="00686E9C" w:rsidP="009137CA">
      <w:pPr>
        <w:pStyle w:val="FootnoteText"/>
        <w:spacing w:line="280" w:lineRule="exact"/>
        <w:ind w:right="0"/>
        <w:jc w:val="both"/>
        <w:rPr>
          <w:rFonts w:ascii="Times New Roman" w:hAnsi="Times New Roman"/>
          <w:sz w:val="24"/>
        </w:rPr>
      </w:pPr>
      <w:r w:rsidRPr="009137CA">
        <w:rPr>
          <w:rStyle w:val="FootnoteReference"/>
          <w:rFonts w:ascii="Times New Roman" w:hAnsi="Times New Roman"/>
          <w:sz w:val="22"/>
          <w:vertAlign w:val="baseline"/>
        </w:rPr>
        <w:footnoteRef/>
      </w:r>
      <w:r w:rsidRPr="009137CA">
        <w:rPr>
          <w:rFonts w:ascii="Times New Roman" w:hAnsi="Times New Roman"/>
          <w:sz w:val="24"/>
        </w:rPr>
        <w:t xml:space="preserve"> </w:t>
      </w:r>
      <w:r w:rsidRPr="009137CA">
        <w:rPr>
          <w:rFonts w:ascii="Times New Roman" w:hAnsi="Times New Roman"/>
          <w:sz w:val="24"/>
        </w:rPr>
        <w:tab/>
        <w:t xml:space="preserve">See, eg, </w:t>
      </w:r>
      <w:r w:rsidRPr="009137CA">
        <w:rPr>
          <w:rFonts w:ascii="Times New Roman" w:hAnsi="Times New Roman"/>
          <w:i/>
          <w:iCs/>
          <w:sz w:val="24"/>
        </w:rPr>
        <w:t xml:space="preserve">Minister for Immigration and Border Protection v MZYTS </w:t>
      </w:r>
      <w:r w:rsidRPr="009137CA">
        <w:rPr>
          <w:rFonts w:ascii="Times New Roman" w:hAnsi="Times New Roman"/>
          <w:sz w:val="24"/>
        </w:rPr>
        <w:t xml:space="preserve">(2013) 230 FCR 431 at 448 [52]; </w:t>
      </w:r>
      <w:r w:rsidRPr="009137CA">
        <w:rPr>
          <w:rFonts w:ascii="Times New Roman" w:hAnsi="Times New Roman"/>
          <w:i/>
          <w:iCs/>
          <w:sz w:val="24"/>
        </w:rPr>
        <w:t xml:space="preserve">ARG15 v Minister for Immigration and Border Protection </w:t>
      </w:r>
      <w:r w:rsidRPr="009137CA">
        <w:rPr>
          <w:rFonts w:ascii="Times New Roman" w:hAnsi="Times New Roman"/>
          <w:sz w:val="24"/>
        </w:rPr>
        <w:t xml:space="preserve">(2016) 250 FCR 109 at 127-128 </w:t>
      </w:r>
      <w:r w:rsidRPr="009137CA" w:rsidDel="00DA6F36">
        <w:rPr>
          <w:rFonts w:ascii="Times New Roman" w:hAnsi="Times New Roman"/>
          <w:sz w:val="24"/>
        </w:rPr>
        <w:t>[</w:t>
      </w:r>
      <w:r w:rsidRPr="009137CA">
        <w:rPr>
          <w:rFonts w:ascii="Times New Roman" w:hAnsi="Times New Roman"/>
          <w:sz w:val="24"/>
        </w:rPr>
        <w:t xml:space="preserve">67]; </w:t>
      </w:r>
      <w:r w:rsidRPr="009137CA">
        <w:rPr>
          <w:rFonts w:ascii="Times New Roman" w:hAnsi="Times New Roman"/>
          <w:i/>
          <w:iCs/>
          <w:sz w:val="24"/>
        </w:rPr>
        <w:t xml:space="preserve">Minister for Families and Children v Certain Children (by their litigation guardian Sister Arthur) </w:t>
      </w:r>
      <w:r w:rsidRPr="009137CA">
        <w:rPr>
          <w:rFonts w:ascii="Times New Roman" w:hAnsi="Times New Roman"/>
          <w:sz w:val="24"/>
        </w:rPr>
        <w:t>(2016) 51 VR 597 at 621 [98]-[99].</w:t>
      </w:r>
    </w:p>
  </w:footnote>
  <w:footnote w:id="226">
    <w:p w14:paraId="3FCDB231" w14:textId="77777777" w:rsidR="00686E9C" w:rsidRPr="009137CA" w:rsidRDefault="00686E9C" w:rsidP="009137CA">
      <w:pPr>
        <w:pStyle w:val="FootnoteText"/>
        <w:spacing w:line="280" w:lineRule="exact"/>
        <w:ind w:right="0"/>
        <w:jc w:val="both"/>
        <w:rPr>
          <w:rFonts w:ascii="Times New Roman" w:hAnsi="Times New Roman"/>
          <w:sz w:val="24"/>
        </w:rPr>
      </w:pPr>
      <w:r w:rsidRPr="009137CA">
        <w:rPr>
          <w:rStyle w:val="FootnoteReference"/>
          <w:rFonts w:ascii="Times New Roman" w:hAnsi="Times New Roman"/>
          <w:sz w:val="22"/>
          <w:vertAlign w:val="baseline"/>
        </w:rPr>
        <w:footnoteRef/>
      </w:r>
      <w:r w:rsidRPr="009137CA">
        <w:rPr>
          <w:rFonts w:ascii="Times New Roman" w:hAnsi="Times New Roman"/>
          <w:sz w:val="24"/>
        </w:rPr>
        <w:t xml:space="preserve"> </w:t>
      </w:r>
      <w:r w:rsidRPr="009137CA">
        <w:rPr>
          <w:rFonts w:ascii="Times New Roman" w:hAnsi="Times New Roman"/>
          <w:sz w:val="24"/>
        </w:rPr>
        <w:tab/>
      </w:r>
      <w:r w:rsidRPr="009137CA">
        <w:rPr>
          <w:rFonts w:ascii="Times New Roman" w:hAnsi="Times New Roman"/>
          <w:i/>
          <w:iCs/>
          <w:sz w:val="24"/>
        </w:rPr>
        <w:t xml:space="preserve">Sean Investments </w:t>
      </w:r>
      <w:r w:rsidRPr="009137CA">
        <w:rPr>
          <w:rFonts w:ascii="Times New Roman" w:hAnsi="Times New Roman"/>
          <w:sz w:val="24"/>
        </w:rPr>
        <w:t>(1979) 180 CLR 322 at 326.</w:t>
      </w:r>
    </w:p>
  </w:footnote>
  <w:footnote w:id="227">
    <w:p w14:paraId="5139E3E2" w14:textId="77777777" w:rsidR="00686E9C" w:rsidRPr="009137CA" w:rsidRDefault="00686E9C" w:rsidP="009137CA">
      <w:pPr>
        <w:pStyle w:val="FootnoteText"/>
        <w:spacing w:line="280" w:lineRule="exact"/>
        <w:ind w:right="0"/>
        <w:jc w:val="both"/>
        <w:rPr>
          <w:rFonts w:ascii="Times New Roman" w:hAnsi="Times New Roman"/>
          <w:sz w:val="24"/>
        </w:rPr>
      </w:pPr>
      <w:r w:rsidRPr="009137CA">
        <w:rPr>
          <w:rStyle w:val="FootnoteReference"/>
          <w:rFonts w:ascii="Times New Roman" w:hAnsi="Times New Roman"/>
          <w:sz w:val="22"/>
          <w:vertAlign w:val="baseline"/>
        </w:rPr>
        <w:footnoteRef/>
      </w:r>
      <w:r w:rsidRPr="009137CA">
        <w:rPr>
          <w:rFonts w:ascii="Times New Roman" w:hAnsi="Times New Roman"/>
          <w:sz w:val="24"/>
        </w:rPr>
        <w:t xml:space="preserve"> </w:t>
      </w:r>
      <w:r w:rsidRPr="009137CA">
        <w:rPr>
          <w:rFonts w:ascii="Times New Roman" w:hAnsi="Times New Roman"/>
          <w:sz w:val="24"/>
        </w:rPr>
        <w:tab/>
      </w:r>
      <w:r w:rsidRPr="009137CA">
        <w:rPr>
          <w:rFonts w:ascii="Times New Roman" w:hAnsi="Times New Roman"/>
          <w:i/>
          <w:iCs/>
          <w:sz w:val="24"/>
        </w:rPr>
        <w:t xml:space="preserve">Sean Investments </w:t>
      </w:r>
      <w:r w:rsidRPr="009137CA">
        <w:rPr>
          <w:rFonts w:ascii="Times New Roman" w:hAnsi="Times New Roman"/>
          <w:sz w:val="24"/>
        </w:rPr>
        <w:t>(1979) 180 CLR 322 at 331-332.</w:t>
      </w:r>
    </w:p>
  </w:footnote>
  <w:footnote w:id="228">
    <w:p w14:paraId="34E82606" w14:textId="77777777" w:rsidR="00686E9C" w:rsidRPr="009137CA" w:rsidRDefault="00686E9C" w:rsidP="009137CA">
      <w:pPr>
        <w:pStyle w:val="FootnoteText"/>
        <w:spacing w:line="280" w:lineRule="exact"/>
        <w:ind w:right="0"/>
        <w:jc w:val="both"/>
        <w:rPr>
          <w:rFonts w:ascii="Times New Roman" w:hAnsi="Times New Roman"/>
          <w:sz w:val="24"/>
        </w:rPr>
      </w:pPr>
      <w:r w:rsidRPr="009137CA">
        <w:rPr>
          <w:rStyle w:val="FootnoteReference"/>
          <w:rFonts w:ascii="Times New Roman" w:hAnsi="Times New Roman"/>
          <w:sz w:val="22"/>
          <w:vertAlign w:val="baseline"/>
        </w:rPr>
        <w:footnoteRef/>
      </w:r>
      <w:r w:rsidRPr="009137CA">
        <w:rPr>
          <w:rFonts w:ascii="Times New Roman" w:hAnsi="Times New Roman"/>
          <w:sz w:val="24"/>
        </w:rPr>
        <w:t xml:space="preserve"> </w:t>
      </w:r>
      <w:r w:rsidRPr="009137CA">
        <w:rPr>
          <w:rFonts w:ascii="Times New Roman" w:hAnsi="Times New Roman"/>
          <w:sz w:val="24"/>
        </w:rPr>
        <w:tab/>
        <w:t xml:space="preserve">See, eg, </w:t>
      </w:r>
      <w:r w:rsidRPr="0069036C">
        <w:rPr>
          <w:rStyle w:val="cf01"/>
          <w:rFonts w:ascii="Times New Roman" w:hAnsi="Times New Roman" w:cs="Times New Roman"/>
          <w:i/>
          <w:iCs/>
          <w:sz w:val="24"/>
          <w:szCs w:val="26"/>
        </w:rPr>
        <w:t xml:space="preserve">Origin Energy Electricity Ltd v Queensland Competition Authority </w:t>
      </w:r>
      <w:r w:rsidRPr="00894A52">
        <w:rPr>
          <w:rStyle w:val="cf11"/>
          <w:rFonts w:ascii="Times New Roman" w:hAnsi="Times New Roman" w:cs="Times New Roman"/>
          <w:b w:val="0"/>
          <w:bCs w:val="0"/>
          <w:sz w:val="24"/>
          <w:szCs w:val="26"/>
        </w:rPr>
        <w:t>[2014] 1 Qd R 216 at 232 [86], 233 [90].</w:t>
      </w:r>
    </w:p>
  </w:footnote>
  <w:footnote w:id="229">
    <w:p w14:paraId="4907949D" w14:textId="77777777" w:rsidR="00686E9C" w:rsidRPr="009137CA" w:rsidRDefault="00686E9C" w:rsidP="009137CA">
      <w:pPr>
        <w:pStyle w:val="FootnoteText"/>
        <w:spacing w:line="280" w:lineRule="exact"/>
        <w:ind w:right="0"/>
        <w:jc w:val="both"/>
        <w:rPr>
          <w:rFonts w:ascii="Times New Roman" w:hAnsi="Times New Roman"/>
          <w:sz w:val="24"/>
        </w:rPr>
      </w:pPr>
      <w:r w:rsidRPr="009137CA">
        <w:rPr>
          <w:rStyle w:val="FootnoteReference"/>
          <w:rFonts w:ascii="Times New Roman" w:hAnsi="Times New Roman"/>
          <w:sz w:val="22"/>
          <w:vertAlign w:val="baseline"/>
        </w:rPr>
        <w:footnoteRef/>
      </w:r>
      <w:r w:rsidRPr="009137CA">
        <w:rPr>
          <w:rFonts w:ascii="Times New Roman" w:hAnsi="Times New Roman"/>
          <w:sz w:val="24"/>
        </w:rPr>
        <w:t xml:space="preserve"> </w:t>
      </w:r>
      <w:r w:rsidRPr="009137CA">
        <w:rPr>
          <w:rFonts w:ascii="Times New Roman" w:hAnsi="Times New Roman"/>
          <w:sz w:val="24"/>
        </w:rPr>
        <w:tab/>
      </w:r>
      <w:r w:rsidRPr="009137CA">
        <w:rPr>
          <w:rFonts w:ascii="Times New Roman" w:hAnsi="Times New Roman"/>
          <w:i/>
          <w:iCs/>
          <w:sz w:val="24"/>
        </w:rPr>
        <w:t>Sean Investments</w:t>
      </w:r>
      <w:r w:rsidRPr="009137CA">
        <w:rPr>
          <w:rFonts w:ascii="Times New Roman" w:hAnsi="Times New Roman"/>
          <w:sz w:val="24"/>
        </w:rPr>
        <w:t xml:space="preserve"> (1979) 180 CLR 322 at 329.</w:t>
      </w:r>
    </w:p>
  </w:footnote>
  <w:footnote w:id="230">
    <w:p w14:paraId="42DD1C1C" w14:textId="77777777" w:rsidR="00686E9C" w:rsidRPr="009137CA" w:rsidRDefault="00686E9C" w:rsidP="009137CA">
      <w:pPr>
        <w:pStyle w:val="FootnoteText"/>
        <w:spacing w:line="280" w:lineRule="exact"/>
        <w:ind w:right="0"/>
        <w:jc w:val="both"/>
        <w:rPr>
          <w:rFonts w:ascii="Times New Roman" w:hAnsi="Times New Roman"/>
          <w:sz w:val="24"/>
        </w:rPr>
      </w:pPr>
      <w:r w:rsidRPr="009137CA">
        <w:rPr>
          <w:rStyle w:val="FootnoteReference"/>
          <w:rFonts w:ascii="Times New Roman" w:hAnsi="Times New Roman"/>
          <w:sz w:val="22"/>
          <w:vertAlign w:val="baseline"/>
        </w:rPr>
        <w:footnoteRef/>
      </w:r>
      <w:r w:rsidRPr="009137CA">
        <w:rPr>
          <w:rFonts w:ascii="Times New Roman" w:hAnsi="Times New Roman"/>
          <w:sz w:val="24"/>
        </w:rPr>
        <w:t xml:space="preserve"> </w:t>
      </w:r>
      <w:r w:rsidRPr="009137CA">
        <w:rPr>
          <w:rFonts w:ascii="Times New Roman" w:hAnsi="Times New Roman"/>
          <w:sz w:val="24"/>
        </w:rPr>
        <w:tab/>
      </w:r>
      <w:r w:rsidRPr="009137CA">
        <w:rPr>
          <w:rFonts w:ascii="Times New Roman" w:hAnsi="Times New Roman"/>
          <w:i/>
          <w:iCs/>
          <w:sz w:val="24"/>
        </w:rPr>
        <w:t xml:space="preserve">DVO16 v Minister for Immigration and Border Protection </w:t>
      </w:r>
      <w:r w:rsidRPr="009137CA">
        <w:rPr>
          <w:rFonts w:ascii="Times New Roman" w:hAnsi="Times New Roman"/>
          <w:sz w:val="24"/>
        </w:rPr>
        <w:t>(2021) 273 CLR 177 at 189 [12], 212-213 [77].</w:t>
      </w:r>
    </w:p>
  </w:footnote>
  <w:footnote w:id="231">
    <w:p w14:paraId="378C262E" w14:textId="77777777" w:rsidR="00686E9C" w:rsidRPr="009137CA" w:rsidRDefault="00686E9C" w:rsidP="009137CA">
      <w:pPr>
        <w:pStyle w:val="FootnoteText"/>
        <w:spacing w:line="280" w:lineRule="exact"/>
        <w:ind w:right="0"/>
        <w:jc w:val="both"/>
        <w:rPr>
          <w:rFonts w:ascii="Times New Roman" w:hAnsi="Times New Roman"/>
          <w:sz w:val="24"/>
        </w:rPr>
      </w:pPr>
      <w:r w:rsidRPr="009137CA">
        <w:rPr>
          <w:rStyle w:val="FootnoteReference"/>
          <w:rFonts w:ascii="Times New Roman" w:hAnsi="Times New Roman"/>
          <w:sz w:val="22"/>
          <w:vertAlign w:val="baseline"/>
        </w:rPr>
        <w:footnoteRef/>
      </w:r>
      <w:r w:rsidRPr="009137CA">
        <w:rPr>
          <w:rFonts w:ascii="Times New Roman" w:hAnsi="Times New Roman"/>
          <w:sz w:val="24"/>
        </w:rPr>
        <w:t xml:space="preserve"> </w:t>
      </w:r>
      <w:r w:rsidRPr="009137CA">
        <w:rPr>
          <w:rFonts w:ascii="Times New Roman" w:hAnsi="Times New Roman"/>
          <w:sz w:val="24"/>
        </w:rPr>
        <w:tab/>
      </w:r>
      <w:r w:rsidRPr="009137CA">
        <w:rPr>
          <w:rFonts w:ascii="Times New Roman" w:hAnsi="Times New Roman"/>
          <w:i/>
          <w:iCs/>
          <w:sz w:val="24"/>
        </w:rPr>
        <w:t>Minister for Immigration and Citizenship v SZJSS</w:t>
      </w:r>
      <w:r w:rsidRPr="009137CA">
        <w:rPr>
          <w:rFonts w:ascii="Times New Roman" w:hAnsi="Times New Roman"/>
          <w:sz w:val="24"/>
        </w:rPr>
        <w:t xml:space="preserve"> (2010) 243 CLR 164 at 176-177 [34]-[36]; </w:t>
      </w:r>
      <w:r w:rsidRPr="009137CA">
        <w:rPr>
          <w:rFonts w:ascii="Times New Roman" w:hAnsi="Times New Roman"/>
          <w:i/>
          <w:iCs/>
          <w:sz w:val="24"/>
        </w:rPr>
        <w:t xml:space="preserve">Plaintiff M1/2021 v Minister for Home Affairs </w:t>
      </w:r>
      <w:r w:rsidRPr="009137CA">
        <w:rPr>
          <w:rFonts w:ascii="Times New Roman" w:hAnsi="Times New Roman"/>
          <w:sz w:val="24"/>
        </w:rPr>
        <w:t>(2022) 275 CLR 582 at 599-600 [26].</w:t>
      </w:r>
    </w:p>
  </w:footnote>
  <w:footnote w:id="232">
    <w:p w14:paraId="16A17B8B" w14:textId="77777777" w:rsidR="00686E9C" w:rsidRPr="009137CA" w:rsidRDefault="00686E9C" w:rsidP="009137CA">
      <w:pPr>
        <w:pStyle w:val="FootnoteText"/>
        <w:spacing w:line="280" w:lineRule="exact"/>
        <w:ind w:right="0"/>
        <w:jc w:val="both"/>
        <w:rPr>
          <w:rFonts w:ascii="Times New Roman" w:hAnsi="Times New Roman"/>
          <w:sz w:val="24"/>
        </w:rPr>
      </w:pPr>
      <w:r w:rsidRPr="009137CA">
        <w:rPr>
          <w:rStyle w:val="FootnoteReference"/>
          <w:rFonts w:ascii="Times New Roman" w:hAnsi="Times New Roman"/>
          <w:sz w:val="22"/>
          <w:vertAlign w:val="baseline"/>
        </w:rPr>
        <w:footnoteRef/>
      </w:r>
      <w:r w:rsidRPr="009137CA">
        <w:rPr>
          <w:rFonts w:ascii="Times New Roman" w:hAnsi="Times New Roman"/>
          <w:sz w:val="24"/>
        </w:rPr>
        <w:t xml:space="preserve"> </w:t>
      </w:r>
      <w:r w:rsidRPr="009137CA">
        <w:rPr>
          <w:rFonts w:ascii="Times New Roman" w:hAnsi="Times New Roman"/>
          <w:sz w:val="24"/>
        </w:rPr>
        <w:tab/>
      </w:r>
      <w:r w:rsidRPr="009137CA">
        <w:rPr>
          <w:rFonts w:ascii="Times New Roman" w:hAnsi="Times New Roman"/>
          <w:i/>
          <w:iCs/>
          <w:sz w:val="24"/>
        </w:rPr>
        <w:t>Minister for Aboriginal Affairs v Peko-Wallsend Ltd</w:t>
      </w:r>
      <w:r w:rsidRPr="009137CA">
        <w:rPr>
          <w:rFonts w:ascii="Times New Roman" w:hAnsi="Times New Roman"/>
          <w:sz w:val="24"/>
        </w:rPr>
        <w:t xml:space="preserve"> (1986) 162 CLR 24 at 40-41.</w:t>
      </w:r>
    </w:p>
  </w:footnote>
  <w:footnote w:id="233">
    <w:p w14:paraId="4C0D4C40" w14:textId="77777777" w:rsidR="00686E9C" w:rsidRPr="009137CA" w:rsidRDefault="00686E9C" w:rsidP="009137CA">
      <w:pPr>
        <w:pStyle w:val="FootnoteText"/>
        <w:spacing w:line="280" w:lineRule="exact"/>
        <w:ind w:right="0"/>
        <w:jc w:val="both"/>
        <w:rPr>
          <w:rFonts w:ascii="Times New Roman" w:hAnsi="Times New Roman"/>
          <w:sz w:val="24"/>
        </w:rPr>
      </w:pPr>
      <w:r w:rsidRPr="009137CA">
        <w:rPr>
          <w:rStyle w:val="FootnoteReference"/>
          <w:rFonts w:ascii="Times New Roman" w:hAnsi="Times New Roman"/>
          <w:sz w:val="22"/>
          <w:vertAlign w:val="baseline"/>
        </w:rPr>
        <w:footnoteRef/>
      </w:r>
      <w:r w:rsidRPr="009137CA">
        <w:rPr>
          <w:rFonts w:ascii="Times New Roman" w:hAnsi="Times New Roman"/>
          <w:sz w:val="24"/>
        </w:rPr>
        <w:t xml:space="preserve"> </w:t>
      </w:r>
      <w:r w:rsidRPr="009137CA">
        <w:rPr>
          <w:rFonts w:ascii="Times New Roman" w:hAnsi="Times New Roman"/>
          <w:sz w:val="24"/>
        </w:rPr>
        <w:tab/>
      </w:r>
      <w:r w:rsidRPr="009137CA">
        <w:rPr>
          <w:rFonts w:ascii="Times New Roman" w:hAnsi="Times New Roman"/>
          <w:i/>
          <w:iCs/>
          <w:sz w:val="24"/>
        </w:rPr>
        <w:t>Bay Simmer Investments Pty Ltd v New South Wales</w:t>
      </w:r>
      <w:r w:rsidRPr="009137CA">
        <w:rPr>
          <w:rFonts w:ascii="Times New Roman" w:hAnsi="Times New Roman"/>
          <w:sz w:val="24"/>
        </w:rPr>
        <w:t xml:space="preserve"> (2017) 222 LGERA 286 at 301-302 [56].</w:t>
      </w:r>
    </w:p>
  </w:footnote>
  <w:footnote w:id="234">
    <w:p w14:paraId="35331B67" w14:textId="77777777" w:rsidR="00686E9C" w:rsidRPr="009137CA" w:rsidRDefault="00686E9C" w:rsidP="009137CA">
      <w:pPr>
        <w:pStyle w:val="FootnoteText"/>
        <w:spacing w:line="280" w:lineRule="exact"/>
        <w:ind w:right="0"/>
        <w:jc w:val="both"/>
        <w:rPr>
          <w:rFonts w:ascii="Times New Roman" w:hAnsi="Times New Roman"/>
          <w:sz w:val="24"/>
        </w:rPr>
      </w:pPr>
      <w:r w:rsidRPr="009137CA">
        <w:rPr>
          <w:rStyle w:val="FootnoteReference"/>
          <w:rFonts w:ascii="Times New Roman" w:hAnsi="Times New Roman"/>
          <w:sz w:val="22"/>
          <w:vertAlign w:val="baseline"/>
        </w:rPr>
        <w:footnoteRef/>
      </w:r>
      <w:r w:rsidRPr="009137CA">
        <w:rPr>
          <w:rFonts w:ascii="Times New Roman" w:hAnsi="Times New Roman"/>
          <w:sz w:val="24"/>
        </w:rPr>
        <w:t xml:space="preserve"> </w:t>
      </w:r>
      <w:r w:rsidRPr="009137CA">
        <w:rPr>
          <w:rFonts w:ascii="Times New Roman" w:hAnsi="Times New Roman"/>
          <w:sz w:val="24"/>
        </w:rPr>
        <w:tab/>
      </w:r>
      <w:r w:rsidRPr="009137CA">
        <w:rPr>
          <w:rFonts w:ascii="Times New Roman" w:hAnsi="Times New Roman"/>
          <w:i/>
          <w:iCs/>
          <w:sz w:val="24"/>
        </w:rPr>
        <w:t>Bay Simmer Investments Pty Ltd v New South Wales</w:t>
      </w:r>
      <w:r w:rsidRPr="009137CA">
        <w:rPr>
          <w:rFonts w:ascii="Times New Roman" w:hAnsi="Times New Roman"/>
          <w:sz w:val="24"/>
        </w:rPr>
        <w:t xml:space="preserve"> (2017) 222 LGERA 286 at 302 [56].</w:t>
      </w:r>
    </w:p>
  </w:footnote>
  <w:footnote w:id="235">
    <w:p w14:paraId="04AF0454" w14:textId="77777777" w:rsidR="00686E9C" w:rsidRPr="009137CA" w:rsidRDefault="00686E9C" w:rsidP="009137CA">
      <w:pPr>
        <w:pStyle w:val="FootnoteText"/>
        <w:spacing w:line="280" w:lineRule="exact"/>
        <w:ind w:right="0"/>
        <w:jc w:val="both"/>
        <w:rPr>
          <w:rFonts w:ascii="Times New Roman" w:hAnsi="Times New Roman"/>
          <w:sz w:val="24"/>
        </w:rPr>
      </w:pPr>
      <w:r w:rsidRPr="009137CA">
        <w:rPr>
          <w:rStyle w:val="FootnoteReference"/>
          <w:rFonts w:ascii="Times New Roman" w:hAnsi="Times New Roman"/>
          <w:sz w:val="22"/>
          <w:vertAlign w:val="baseline"/>
        </w:rPr>
        <w:footnoteRef/>
      </w:r>
      <w:r w:rsidRPr="009137CA">
        <w:rPr>
          <w:rFonts w:ascii="Times New Roman" w:hAnsi="Times New Roman"/>
          <w:sz w:val="24"/>
        </w:rPr>
        <w:t xml:space="preserve"> </w:t>
      </w:r>
      <w:r w:rsidRPr="009137CA">
        <w:rPr>
          <w:rFonts w:ascii="Times New Roman" w:hAnsi="Times New Roman"/>
          <w:sz w:val="24"/>
        </w:rPr>
        <w:tab/>
        <w:t xml:space="preserve">See </w:t>
      </w:r>
      <w:r w:rsidRPr="009137CA">
        <w:rPr>
          <w:rFonts w:ascii="Times New Roman" w:hAnsi="Times New Roman"/>
          <w:i/>
          <w:iCs/>
          <w:sz w:val="24"/>
        </w:rPr>
        <w:t xml:space="preserve">Plaintiff M1/2021 v Minister for Home Affairs </w:t>
      </w:r>
      <w:r w:rsidRPr="009137CA">
        <w:rPr>
          <w:rFonts w:ascii="Times New Roman" w:hAnsi="Times New Roman"/>
          <w:sz w:val="24"/>
        </w:rPr>
        <w:t>(2022) 275 CLR 582 at 599 [25].</w:t>
      </w:r>
    </w:p>
  </w:footnote>
  <w:footnote w:id="236">
    <w:p w14:paraId="4945D00D" w14:textId="77777777" w:rsidR="00686E9C" w:rsidRPr="009137CA" w:rsidRDefault="00686E9C" w:rsidP="009137CA">
      <w:pPr>
        <w:pStyle w:val="FootnoteText"/>
        <w:spacing w:line="280" w:lineRule="exact"/>
        <w:ind w:right="0"/>
        <w:jc w:val="both"/>
        <w:rPr>
          <w:rFonts w:ascii="Times New Roman" w:hAnsi="Times New Roman"/>
          <w:sz w:val="24"/>
        </w:rPr>
      </w:pPr>
      <w:r w:rsidRPr="009137CA">
        <w:rPr>
          <w:rStyle w:val="FootnoteReference"/>
          <w:rFonts w:ascii="Times New Roman" w:hAnsi="Times New Roman"/>
          <w:sz w:val="22"/>
          <w:vertAlign w:val="baseline"/>
        </w:rPr>
        <w:footnoteRef/>
      </w:r>
      <w:r w:rsidRPr="009137CA">
        <w:rPr>
          <w:rFonts w:ascii="Times New Roman" w:hAnsi="Times New Roman"/>
          <w:sz w:val="24"/>
        </w:rPr>
        <w:t xml:space="preserve"> </w:t>
      </w:r>
      <w:r w:rsidRPr="009137CA">
        <w:rPr>
          <w:rFonts w:ascii="Times New Roman" w:hAnsi="Times New Roman"/>
          <w:sz w:val="24"/>
        </w:rPr>
        <w:tab/>
      </w:r>
      <w:r w:rsidRPr="009137CA">
        <w:rPr>
          <w:rFonts w:ascii="Times New Roman" w:hAnsi="Times New Roman"/>
          <w:i/>
          <w:iCs/>
          <w:sz w:val="24"/>
        </w:rPr>
        <w:t>Ross v Lane</w:t>
      </w:r>
      <w:r w:rsidRPr="009137CA">
        <w:rPr>
          <w:rFonts w:ascii="Times New Roman" w:hAnsi="Times New Roman"/>
          <w:sz w:val="24"/>
        </w:rPr>
        <w:t xml:space="preserve"> (2022) 255 LGERA 136 at 149 [37].</w:t>
      </w:r>
    </w:p>
  </w:footnote>
  <w:footnote w:id="237">
    <w:p w14:paraId="164B4BC8" w14:textId="77777777" w:rsidR="00686E9C" w:rsidRPr="009137CA" w:rsidRDefault="00686E9C" w:rsidP="009137CA">
      <w:pPr>
        <w:pStyle w:val="FootnoteText"/>
        <w:spacing w:line="280" w:lineRule="exact"/>
        <w:ind w:right="0"/>
        <w:jc w:val="both"/>
        <w:rPr>
          <w:rFonts w:ascii="Times New Roman" w:hAnsi="Times New Roman"/>
          <w:sz w:val="24"/>
        </w:rPr>
      </w:pPr>
      <w:r w:rsidRPr="009137CA">
        <w:rPr>
          <w:rStyle w:val="FootnoteReference"/>
          <w:rFonts w:ascii="Times New Roman" w:hAnsi="Times New Roman"/>
          <w:sz w:val="22"/>
          <w:vertAlign w:val="baseline"/>
        </w:rPr>
        <w:footnoteRef/>
      </w:r>
      <w:r w:rsidRPr="009137CA">
        <w:rPr>
          <w:rFonts w:ascii="Times New Roman" w:hAnsi="Times New Roman"/>
          <w:sz w:val="24"/>
        </w:rPr>
        <w:t xml:space="preserve"> </w:t>
      </w:r>
      <w:r w:rsidRPr="009137CA">
        <w:rPr>
          <w:rFonts w:ascii="Times New Roman" w:hAnsi="Times New Roman"/>
          <w:sz w:val="24"/>
        </w:rPr>
        <w:tab/>
      </w:r>
      <w:r w:rsidRPr="009137CA">
        <w:rPr>
          <w:rFonts w:ascii="Times New Roman" w:hAnsi="Times New Roman"/>
          <w:i/>
          <w:iCs/>
          <w:sz w:val="24"/>
        </w:rPr>
        <w:t>Sean Investments</w:t>
      </w:r>
      <w:r w:rsidRPr="009137CA">
        <w:rPr>
          <w:rFonts w:ascii="Times New Roman" w:hAnsi="Times New Roman"/>
          <w:sz w:val="24"/>
        </w:rPr>
        <w:t xml:space="preserve"> (1979) 180 CLR 322 at 330-331.</w:t>
      </w:r>
    </w:p>
  </w:footnote>
  <w:footnote w:id="238">
    <w:p w14:paraId="61A6EEF4" w14:textId="77777777" w:rsidR="00686E9C" w:rsidRPr="009137CA" w:rsidRDefault="00686E9C" w:rsidP="009137CA">
      <w:pPr>
        <w:pStyle w:val="FootnoteText"/>
        <w:spacing w:line="280" w:lineRule="exact"/>
        <w:ind w:right="0"/>
        <w:jc w:val="both"/>
        <w:rPr>
          <w:rFonts w:ascii="Times New Roman" w:hAnsi="Times New Roman"/>
          <w:sz w:val="24"/>
        </w:rPr>
      </w:pPr>
      <w:r w:rsidRPr="009137CA">
        <w:rPr>
          <w:rStyle w:val="FootnoteReference"/>
          <w:rFonts w:ascii="Times New Roman" w:hAnsi="Times New Roman"/>
          <w:sz w:val="22"/>
          <w:vertAlign w:val="baseline"/>
        </w:rPr>
        <w:footnoteRef/>
      </w:r>
      <w:r w:rsidRPr="009137CA">
        <w:rPr>
          <w:rFonts w:ascii="Times New Roman" w:hAnsi="Times New Roman"/>
          <w:sz w:val="24"/>
        </w:rPr>
        <w:t xml:space="preserve"> </w:t>
      </w:r>
      <w:r w:rsidRPr="009137CA">
        <w:rPr>
          <w:rFonts w:ascii="Times New Roman" w:hAnsi="Times New Roman"/>
          <w:sz w:val="24"/>
        </w:rPr>
        <w:tab/>
        <w:t>Extracted above at [</w:t>
      </w:r>
      <w:r>
        <w:rPr>
          <w:rFonts w:ascii="Times New Roman" w:hAnsi="Times New Roman"/>
          <w:sz w:val="24"/>
        </w:rPr>
        <w:t>300</w:t>
      </w:r>
      <w:r w:rsidRPr="009137CA">
        <w:rPr>
          <w:rFonts w:ascii="Times New Roman" w:hAnsi="Times New Roman"/>
          <w:sz w:val="24"/>
        </w:rPr>
        <w:t>] and [</w:t>
      </w:r>
      <w:r>
        <w:rPr>
          <w:rFonts w:ascii="Times New Roman" w:hAnsi="Times New Roman"/>
          <w:sz w:val="24"/>
        </w:rPr>
        <w:t>303</w:t>
      </w:r>
      <w:r w:rsidRPr="009137CA">
        <w:rPr>
          <w:rFonts w:ascii="Times New Roman" w:hAnsi="Times New Roman"/>
          <w:sz w:val="24"/>
        </w:rPr>
        <w:t>].</w:t>
      </w:r>
    </w:p>
  </w:footnote>
  <w:footnote w:id="239">
    <w:p w14:paraId="5792AEAB" w14:textId="77777777" w:rsidR="00E57205" w:rsidRPr="00CA131E" w:rsidRDefault="00E57205" w:rsidP="00E57205">
      <w:pPr>
        <w:pStyle w:val="FootnoteText"/>
        <w:spacing w:line="280" w:lineRule="exact"/>
        <w:ind w:right="0"/>
        <w:jc w:val="both"/>
        <w:rPr>
          <w:rFonts w:ascii="Times New Roman" w:hAnsi="Times New Roman"/>
          <w:sz w:val="24"/>
        </w:rPr>
      </w:pPr>
      <w:r w:rsidRPr="00CA131E">
        <w:rPr>
          <w:rStyle w:val="FootnoteReference"/>
          <w:rFonts w:ascii="Times New Roman" w:hAnsi="Times New Roman"/>
          <w:sz w:val="22"/>
          <w:vertAlign w:val="baseline"/>
        </w:rPr>
        <w:footnoteRef/>
      </w:r>
      <w:r w:rsidRPr="00CA131E">
        <w:rPr>
          <w:rFonts w:ascii="Times New Roman" w:hAnsi="Times New Roman"/>
          <w:sz w:val="24"/>
        </w:rPr>
        <w:t xml:space="preserve"> </w:t>
      </w:r>
      <w:r w:rsidRPr="00CA131E">
        <w:rPr>
          <w:rFonts w:ascii="Times New Roman" w:hAnsi="Times New Roman"/>
          <w:sz w:val="24"/>
        </w:rPr>
        <w:tab/>
      </w:r>
      <w:r w:rsidRPr="00CA131E">
        <w:rPr>
          <w:rFonts w:ascii="Times New Roman" w:hAnsi="Times New Roman"/>
          <w:i/>
          <w:iCs/>
          <w:sz w:val="24"/>
        </w:rPr>
        <w:t xml:space="preserve">Denman Aberdeen Muswellbrook Scone Healthy Environment Group Inc v MACH Energy Australia Pty Ltd </w:t>
      </w:r>
      <w:r w:rsidRPr="00CA131E">
        <w:rPr>
          <w:rFonts w:ascii="Times New Roman" w:hAnsi="Times New Roman"/>
          <w:sz w:val="24"/>
        </w:rPr>
        <w:t>(2025) 263 LGERA 264 at 318 [229].</w:t>
      </w:r>
    </w:p>
  </w:footnote>
  <w:footnote w:id="240">
    <w:p w14:paraId="5C29E26D" w14:textId="77777777" w:rsidR="00686E9C" w:rsidRPr="009137CA" w:rsidRDefault="00686E9C" w:rsidP="009137CA">
      <w:pPr>
        <w:pStyle w:val="FootnoteText"/>
        <w:spacing w:line="280" w:lineRule="exact"/>
        <w:ind w:right="0"/>
        <w:jc w:val="both"/>
        <w:rPr>
          <w:rFonts w:ascii="Times New Roman" w:hAnsi="Times New Roman"/>
          <w:sz w:val="24"/>
        </w:rPr>
      </w:pPr>
      <w:r w:rsidRPr="009137CA">
        <w:rPr>
          <w:rStyle w:val="FootnoteReference"/>
          <w:rFonts w:ascii="Times New Roman" w:hAnsi="Times New Roman"/>
          <w:sz w:val="22"/>
          <w:vertAlign w:val="baseline"/>
        </w:rPr>
        <w:footnoteRef/>
      </w:r>
      <w:r w:rsidRPr="009137CA">
        <w:rPr>
          <w:rFonts w:ascii="Times New Roman" w:hAnsi="Times New Roman"/>
          <w:sz w:val="24"/>
        </w:rPr>
        <w:t xml:space="preserve"> </w:t>
      </w:r>
      <w:r w:rsidRPr="009137CA">
        <w:rPr>
          <w:rFonts w:ascii="Times New Roman" w:hAnsi="Times New Roman"/>
          <w:sz w:val="24"/>
        </w:rPr>
        <w:tab/>
        <w:t xml:space="preserve">See </w:t>
      </w:r>
      <w:r w:rsidRPr="009137CA">
        <w:rPr>
          <w:rFonts w:ascii="Times New Roman" w:hAnsi="Times New Roman"/>
          <w:i/>
          <w:iCs/>
          <w:sz w:val="24"/>
        </w:rPr>
        <w:t xml:space="preserve">Plaintiff M1/2021 v Minister for Home Affairs </w:t>
      </w:r>
      <w:r w:rsidRPr="009137CA">
        <w:rPr>
          <w:rFonts w:ascii="Times New Roman" w:hAnsi="Times New Roman"/>
          <w:sz w:val="24"/>
        </w:rPr>
        <w:t>(2022) 275 CLR 582 at 599-600 [25]-[26].</w:t>
      </w:r>
    </w:p>
  </w:footnote>
  <w:footnote w:id="241">
    <w:p w14:paraId="4DE05CFE" w14:textId="77777777" w:rsidR="00686E9C" w:rsidRPr="009137CA" w:rsidRDefault="00686E9C" w:rsidP="009137CA">
      <w:pPr>
        <w:pStyle w:val="FootnoteText"/>
        <w:spacing w:line="280" w:lineRule="exact"/>
        <w:ind w:right="0"/>
        <w:jc w:val="both"/>
        <w:rPr>
          <w:rFonts w:ascii="Times New Roman" w:hAnsi="Times New Roman"/>
          <w:sz w:val="24"/>
        </w:rPr>
      </w:pPr>
      <w:r w:rsidRPr="009137CA">
        <w:rPr>
          <w:rStyle w:val="FootnoteReference"/>
          <w:rFonts w:ascii="Times New Roman" w:hAnsi="Times New Roman"/>
          <w:sz w:val="22"/>
          <w:vertAlign w:val="baseline"/>
        </w:rPr>
        <w:footnoteRef/>
      </w:r>
      <w:r w:rsidRPr="009137CA">
        <w:rPr>
          <w:rFonts w:ascii="Times New Roman" w:hAnsi="Times New Roman"/>
          <w:sz w:val="24"/>
        </w:rPr>
        <w:t xml:space="preserve"> </w:t>
      </w:r>
      <w:r w:rsidRPr="009137CA">
        <w:rPr>
          <w:rFonts w:ascii="Times New Roman" w:hAnsi="Times New Roman"/>
          <w:sz w:val="24"/>
        </w:rPr>
        <w:tab/>
      </w:r>
      <w:r w:rsidRPr="009137CA">
        <w:rPr>
          <w:rFonts w:ascii="Times New Roman" w:hAnsi="Times New Roman"/>
          <w:iCs/>
          <w:sz w:val="24"/>
        </w:rPr>
        <w:t>EPA Act</w:t>
      </w:r>
      <w:r w:rsidRPr="009137CA">
        <w:rPr>
          <w:rFonts w:ascii="Times New Roman" w:hAnsi="Times New Roman"/>
          <w:sz w:val="24"/>
        </w:rPr>
        <w:t xml:space="preserve">, s 1.3. </w:t>
      </w:r>
    </w:p>
  </w:footnote>
  <w:footnote w:id="242">
    <w:p w14:paraId="335C5D9B" w14:textId="77777777" w:rsidR="00686E9C" w:rsidRPr="009137CA" w:rsidRDefault="00686E9C" w:rsidP="009137CA">
      <w:pPr>
        <w:pStyle w:val="FootnoteText"/>
        <w:spacing w:line="280" w:lineRule="exact"/>
        <w:ind w:right="0"/>
        <w:jc w:val="both"/>
        <w:rPr>
          <w:rFonts w:ascii="Times New Roman" w:hAnsi="Times New Roman"/>
          <w:sz w:val="24"/>
        </w:rPr>
      </w:pPr>
      <w:r w:rsidRPr="009137CA">
        <w:rPr>
          <w:rStyle w:val="FootnoteReference"/>
          <w:rFonts w:ascii="Times New Roman" w:hAnsi="Times New Roman"/>
          <w:sz w:val="22"/>
          <w:vertAlign w:val="baseline"/>
        </w:rPr>
        <w:footnoteRef/>
      </w:r>
      <w:r w:rsidRPr="009137CA">
        <w:rPr>
          <w:rFonts w:ascii="Times New Roman" w:hAnsi="Times New Roman"/>
          <w:sz w:val="24"/>
        </w:rPr>
        <w:t xml:space="preserve"> </w:t>
      </w:r>
      <w:r w:rsidRPr="009137CA">
        <w:rPr>
          <w:rFonts w:ascii="Times New Roman" w:hAnsi="Times New Roman"/>
          <w:sz w:val="24"/>
        </w:rPr>
        <w:tab/>
        <w:t xml:space="preserve">See </w:t>
      </w:r>
      <w:r w:rsidRPr="009137CA">
        <w:rPr>
          <w:rFonts w:ascii="Times New Roman" w:hAnsi="Times New Roman"/>
          <w:i/>
          <w:iCs/>
          <w:sz w:val="24"/>
        </w:rPr>
        <w:t>R v Commonwealth Court of Conciliation and Arbitration; Ex parte Ozone Theatres (Aust) Ltd</w:t>
      </w:r>
      <w:r w:rsidRPr="009137CA">
        <w:rPr>
          <w:rFonts w:ascii="Times New Roman" w:hAnsi="Times New Roman"/>
          <w:sz w:val="24"/>
        </w:rPr>
        <w:t xml:space="preserve"> (1949) 78 CLR 389 at 400; </w:t>
      </w:r>
      <w:r w:rsidRPr="009137CA">
        <w:rPr>
          <w:rFonts w:ascii="Times New Roman" w:hAnsi="Times New Roman"/>
          <w:i/>
          <w:iCs/>
          <w:sz w:val="24"/>
        </w:rPr>
        <w:t>Minister for Aboriginal Affairs v Peko-Wallsend Ltd</w:t>
      </w:r>
      <w:r w:rsidRPr="009137CA">
        <w:rPr>
          <w:rFonts w:ascii="Times New Roman" w:hAnsi="Times New Roman"/>
          <w:sz w:val="24"/>
        </w:rPr>
        <w:t xml:space="preserve"> (1986) 162 CLR 24 at 47-48, 67; </w:t>
      </w:r>
      <w:r w:rsidRPr="009137CA">
        <w:rPr>
          <w:rFonts w:ascii="Times New Roman" w:hAnsi="Times New Roman"/>
          <w:i/>
          <w:iCs/>
          <w:sz w:val="24"/>
        </w:rPr>
        <w:t xml:space="preserve">Re Refugee Review Tribunal; Ex parte Aala </w:t>
      </w:r>
      <w:r w:rsidRPr="009137CA">
        <w:rPr>
          <w:rFonts w:ascii="Times New Roman" w:hAnsi="Times New Roman"/>
          <w:sz w:val="24"/>
        </w:rPr>
        <w:t>(2000) 204 CLR 82 at 108 [56].</w:t>
      </w:r>
    </w:p>
  </w:footnote>
  <w:footnote w:id="243">
    <w:p w14:paraId="797FDB45" w14:textId="77777777" w:rsidR="00686E9C" w:rsidRPr="009137CA" w:rsidRDefault="00686E9C" w:rsidP="009137CA">
      <w:pPr>
        <w:pStyle w:val="FootnoteText"/>
        <w:spacing w:line="280" w:lineRule="exact"/>
        <w:ind w:right="0"/>
        <w:jc w:val="both"/>
        <w:rPr>
          <w:rFonts w:ascii="Times New Roman" w:hAnsi="Times New Roman"/>
          <w:sz w:val="24"/>
        </w:rPr>
      </w:pPr>
      <w:r w:rsidRPr="009137CA">
        <w:rPr>
          <w:rStyle w:val="FootnoteReference"/>
          <w:rFonts w:ascii="Times New Roman" w:hAnsi="Times New Roman"/>
          <w:sz w:val="22"/>
          <w:vertAlign w:val="baseline"/>
        </w:rPr>
        <w:footnoteRef/>
      </w:r>
      <w:r w:rsidRPr="009137CA">
        <w:rPr>
          <w:rFonts w:ascii="Times New Roman" w:hAnsi="Times New Roman"/>
          <w:sz w:val="24"/>
        </w:rPr>
        <w:t xml:space="preserve"> </w:t>
      </w:r>
      <w:r w:rsidRPr="009137CA">
        <w:rPr>
          <w:rFonts w:ascii="Times New Roman" w:hAnsi="Times New Roman"/>
          <w:sz w:val="24"/>
        </w:rPr>
        <w:tab/>
        <w:t>Reasons of Gordon J at [1</w:t>
      </w:r>
      <w:r>
        <w:rPr>
          <w:rFonts w:ascii="Times New Roman" w:hAnsi="Times New Roman"/>
          <w:sz w:val="24"/>
        </w:rPr>
        <w:t>92</w:t>
      </w:r>
      <w:r w:rsidRPr="009137CA">
        <w:rPr>
          <w:rFonts w:ascii="Times New Roman" w:hAnsi="Times New Roman"/>
          <w:sz w:val="24"/>
        </w:rPr>
        <w:t>]-[</w:t>
      </w:r>
      <w:r>
        <w:rPr>
          <w:rFonts w:ascii="Times New Roman" w:hAnsi="Times New Roman"/>
          <w:sz w:val="24"/>
        </w:rPr>
        <w:t>201</w:t>
      </w:r>
      <w:r w:rsidRPr="009137CA">
        <w:rPr>
          <w:rFonts w:ascii="Times New Roman" w:hAnsi="Times New Roman"/>
          <w:sz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A130E" w14:textId="77777777" w:rsidR="007406B5" w:rsidRPr="00E97682" w:rsidRDefault="007406B5" w:rsidP="00E9768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1530B" w14:textId="402C65DF" w:rsidR="007406B5" w:rsidRPr="00E97682" w:rsidRDefault="00E97682" w:rsidP="00E97682">
    <w:pPr>
      <w:pStyle w:val="Header"/>
      <w:jc w:val="center"/>
      <w:rPr>
        <w:rFonts w:ascii="Times New Roman" w:hAnsi="Times New Roman"/>
        <w:sz w:val="22"/>
      </w:rPr>
    </w:pPr>
    <w:r>
      <w:rPr>
        <w:rFonts w:ascii="Times New Roman" w:hAnsi="Times New Roman"/>
        <w:sz w:val="22"/>
      </w:rPr>
      <w:fldChar w:fldCharType="begin"/>
    </w:r>
    <w:r>
      <w:rPr>
        <w:rFonts w:ascii="Times New Roman" w:hAnsi="Times New Roman"/>
        <w:sz w:val="22"/>
      </w:rPr>
      <w:instrText xml:space="preserve"> = (</w:instrText>
    </w:r>
    <w:r>
      <w:rPr>
        <w:rFonts w:ascii="Times New Roman" w:hAnsi="Times New Roman"/>
        <w:sz w:val="22"/>
      </w:rPr>
      <w:fldChar w:fldCharType="begin"/>
    </w:r>
    <w:r>
      <w:rPr>
        <w:rFonts w:ascii="Times New Roman" w:hAnsi="Times New Roman"/>
        <w:sz w:val="22"/>
      </w:rPr>
      <w:instrText xml:space="preserve"> page </w:instrText>
    </w:r>
    <w:r>
      <w:rPr>
        <w:rFonts w:ascii="Times New Roman" w:hAnsi="Times New Roman"/>
        <w:sz w:val="22"/>
      </w:rPr>
      <w:fldChar w:fldCharType="separate"/>
    </w:r>
    <w:r w:rsidR="009E726F">
      <w:rPr>
        <w:rFonts w:ascii="Times New Roman" w:hAnsi="Times New Roman"/>
        <w:noProof/>
        <w:sz w:val="22"/>
      </w:rPr>
      <w:instrText>3</w:instrText>
    </w:r>
    <w:r>
      <w:rPr>
        <w:rFonts w:ascii="Times New Roman" w:hAnsi="Times New Roman"/>
        <w:sz w:val="22"/>
      </w:rPr>
      <w:fldChar w:fldCharType="end"/>
    </w:r>
    <w:r>
      <w:rPr>
        <w:rFonts w:ascii="Times New Roman" w:hAnsi="Times New Roman"/>
        <w:sz w:val="22"/>
      </w:rPr>
      <w:instrText xml:space="preserve"> + 1)/2 </w:instrText>
    </w:r>
    <w:r>
      <w:rPr>
        <w:rFonts w:ascii="Times New Roman" w:hAnsi="Times New Roman"/>
        <w:sz w:val="22"/>
      </w:rPr>
      <w:fldChar w:fldCharType="separate"/>
    </w:r>
    <w:r w:rsidR="009E726F">
      <w:rPr>
        <w:rFonts w:ascii="Times New Roman" w:hAnsi="Times New Roman"/>
        <w:noProof/>
        <w:sz w:val="22"/>
      </w:rPr>
      <w:t>2</w:t>
    </w:r>
    <w:r>
      <w:rPr>
        <w:rFonts w:ascii="Times New Roman" w:hAnsi="Times New Roman"/>
        <w:sz w:val="22"/>
      </w:rPr>
      <w:fldChar w:fldCharType="end"/>
    </w:r>
    <w:r>
      <w:rPr>
        <w:rFonts w:ascii="Times New Roman" w:hAnsi="Times New Roman"/>
        <w:sz w:val="22"/>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22984" w14:textId="7BD5EE6F" w:rsidR="00E440C3" w:rsidRPr="00E97682" w:rsidRDefault="00E440C3" w:rsidP="00E9768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46D7F" w14:textId="77777777" w:rsidR="00E97682" w:rsidRPr="007406B5" w:rsidRDefault="00E97682" w:rsidP="007406B5">
    <w:pPr>
      <w:pStyle w:val="Header"/>
      <w:tabs>
        <w:tab w:val="clear" w:pos="4153"/>
        <w:tab w:val="clear" w:pos="8306"/>
        <w:tab w:val="right" w:pos="1304"/>
      </w:tabs>
      <w:spacing w:line="280" w:lineRule="exact"/>
      <w:ind w:firstLine="0"/>
      <w:rPr>
        <w:rFonts w:ascii="Times New Roman" w:hAnsi="Times New Roman"/>
        <w:i/>
        <w:sz w:val="22"/>
      </w:rPr>
    </w:pPr>
    <w:r w:rsidRPr="007406B5">
      <w:rPr>
        <w:rFonts w:ascii="Times New Roman" w:hAnsi="Times New Roman"/>
        <w:i/>
        <w:sz w:val="22"/>
      </w:rPr>
      <w:t>Gageler</w:t>
    </w:r>
    <w:r w:rsidRPr="007406B5">
      <w:rPr>
        <w:rFonts w:ascii="Times New Roman" w:hAnsi="Times New Roman"/>
        <w:i/>
        <w:sz w:val="22"/>
      </w:rPr>
      <w:tab/>
      <w:t>CJ</w:t>
    </w:r>
  </w:p>
  <w:p w14:paraId="42499101" w14:textId="77777777" w:rsidR="00E97682" w:rsidRDefault="00E97682" w:rsidP="007406B5">
    <w:pPr>
      <w:pStyle w:val="Header"/>
      <w:tabs>
        <w:tab w:val="clear" w:pos="4153"/>
        <w:tab w:val="clear" w:pos="8306"/>
        <w:tab w:val="right" w:pos="1304"/>
      </w:tabs>
      <w:spacing w:line="280" w:lineRule="exact"/>
      <w:ind w:firstLine="0"/>
      <w:rPr>
        <w:rFonts w:ascii="Times New Roman" w:hAnsi="Times New Roman"/>
        <w:i/>
        <w:sz w:val="22"/>
      </w:rPr>
    </w:pPr>
    <w:r>
      <w:rPr>
        <w:rFonts w:ascii="Times New Roman" w:hAnsi="Times New Roman"/>
        <w:i/>
        <w:sz w:val="22"/>
      </w:rPr>
      <w:t>Jagot</w:t>
    </w:r>
    <w:r>
      <w:rPr>
        <w:rFonts w:ascii="Times New Roman" w:hAnsi="Times New Roman"/>
        <w:i/>
        <w:sz w:val="22"/>
      </w:rPr>
      <w:tab/>
      <w:t>J</w:t>
    </w:r>
  </w:p>
  <w:p w14:paraId="1B4CB479" w14:textId="77777777" w:rsidR="00E97682" w:rsidRDefault="00E97682" w:rsidP="007406B5">
    <w:pPr>
      <w:pStyle w:val="Header"/>
      <w:tabs>
        <w:tab w:val="clear" w:pos="4153"/>
        <w:tab w:val="clear" w:pos="8306"/>
        <w:tab w:val="right" w:pos="1304"/>
      </w:tabs>
      <w:spacing w:line="280" w:lineRule="exact"/>
      <w:ind w:firstLine="0"/>
      <w:rPr>
        <w:rFonts w:ascii="Times New Roman" w:hAnsi="Times New Roman"/>
        <w:i/>
        <w:sz w:val="22"/>
      </w:rPr>
    </w:pPr>
  </w:p>
  <w:p w14:paraId="68B44904" w14:textId="77777777" w:rsidR="00E97682" w:rsidRDefault="00E97682" w:rsidP="007406B5">
    <w:pPr>
      <w:pStyle w:val="Header"/>
      <w:tabs>
        <w:tab w:val="clear" w:pos="4153"/>
        <w:tab w:val="clear" w:pos="8306"/>
        <w:tab w:val="right" w:pos="1304"/>
      </w:tabs>
      <w:spacing w:line="280" w:lineRule="exact"/>
      <w:ind w:firstLine="0"/>
      <w:jc w:val="center"/>
      <w:rPr>
        <w:rFonts w:ascii="Times New Roman" w:hAnsi="Times New Roman"/>
        <w:sz w:val="22"/>
      </w:rPr>
    </w:pPr>
    <w:r>
      <w:rPr>
        <w:rFonts w:ascii="Times New Roman" w:hAnsi="Times New Roman"/>
        <w:sz w:val="22"/>
      </w:rPr>
      <w:fldChar w:fldCharType="begin"/>
    </w:r>
    <w:r>
      <w:rPr>
        <w:rFonts w:ascii="Times New Roman" w:hAnsi="Times New Roman"/>
        <w:sz w:val="22"/>
      </w:rPr>
      <w:instrText xml:space="preserve"> PAGE  \* MERGEFORMAT </w:instrText>
    </w:r>
    <w:r>
      <w:rPr>
        <w:rFonts w:ascii="Times New Roman" w:hAnsi="Times New Roman"/>
        <w:sz w:val="22"/>
      </w:rPr>
      <w:fldChar w:fldCharType="separate"/>
    </w:r>
    <w:r>
      <w:rPr>
        <w:rFonts w:ascii="Times New Roman" w:hAnsi="Times New Roman"/>
        <w:noProof/>
        <w:sz w:val="22"/>
      </w:rPr>
      <w:t>1</w:t>
    </w:r>
    <w:r>
      <w:rPr>
        <w:rFonts w:ascii="Times New Roman" w:hAnsi="Times New Roman"/>
        <w:sz w:val="22"/>
      </w:rPr>
      <w:fldChar w:fldCharType="end"/>
    </w:r>
    <w:r>
      <w:rPr>
        <w:rFonts w:ascii="Times New Roman" w:hAnsi="Times New Roman"/>
        <w:sz w:val="22"/>
      </w:rPr>
      <w:t>.</w:t>
    </w:r>
  </w:p>
  <w:p w14:paraId="67620E18" w14:textId="77777777" w:rsidR="00E97682" w:rsidRPr="007406B5" w:rsidRDefault="00E97682" w:rsidP="007406B5">
    <w:pPr>
      <w:pStyle w:val="Header"/>
      <w:tabs>
        <w:tab w:val="clear" w:pos="4153"/>
        <w:tab w:val="clear" w:pos="8306"/>
        <w:tab w:val="right" w:pos="1304"/>
      </w:tabs>
      <w:spacing w:line="280" w:lineRule="exact"/>
      <w:ind w:firstLine="0"/>
      <w:jc w:val="center"/>
      <w:rPr>
        <w:rFonts w:ascii="Times New Roman" w:hAnsi="Times New Roman"/>
        <w:sz w:val="2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A412F" w14:textId="77777777" w:rsidR="00E97682" w:rsidRPr="007406B5" w:rsidRDefault="00E97682" w:rsidP="007406B5">
    <w:pPr>
      <w:pStyle w:val="Header"/>
      <w:tabs>
        <w:tab w:val="clear" w:pos="4153"/>
        <w:tab w:val="clear" w:pos="8306"/>
        <w:tab w:val="left" w:pos="7200"/>
        <w:tab w:val="right" w:pos="8504"/>
      </w:tabs>
      <w:spacing w:line="280" w:lineRule="exact"/>
      <w:jc w:val="right"/>
      <w:rPr>
        <w:rFonts w:ascii="Times New Roman" w:hAnsi="Times New Roman"/>
        <w:i/>
        <w:sz w:val="22"/>
      </w:rPr>
    </w:pPr>
    <w:r w:rsidRPr="007406B5">
      <w:rPr>
        <w:rFonts w:ascii="Times New Roman" w:hAnsi="Times New Roman"/>
        <w:i/>
        <w:sz w:val="22"/>
      </w:rPr>
      <w:tab/>
      <w:t>Gageler</w:t>
    </w:r>
    <w:r w:rsidRPr="007406B5">
      <w:rPr>
        <w:rFonts w:ascii="Times New Roman" w:hAnsi="Times New Roman"/>
        <w:i/>
        <w:sz w:val="22"/>
      </w:rPr>
      <w:tab/>
      <w:t>CJ</w:t>
    </w:r>
  </w:p>
  <w:p w14:paraId="34D36AC3" w14:textId="77777777" w:rsidR="00E97682" w:rsidRDefault="00E97682" w:rsidP="007406B5">
    <w:pPr>
      <w:pStyle w:val="Header"/>
      <w:tabs>
        <w:tab w:val="clear" w:pos="4153"/>
        <w:tab w:val="clear" w:pos="8306"/>
        <w:tab w:val="left" w:pos="7200"/>
        <w:tab w:val="right" w:pos="8504"/>
      </w:tabs>
      <w:spacing w:line="280" w:lineRule="exact"/>
      <w:jc w:val="right"/>
      <w:rPr>
        <w:rFonts w:ascii="Times New Roman" w:hAnsi="Times New Roman"/>
        <w:i/>
        <w:sz w:val="22"/>
      </w:rPr>
    </w:pPr>
    <w:r>
      <w:rPr>
        <w:rFonts w:ascii="Times New Roman" w:hAnsi="Times New Roman"/>
        <w:i/>
        <w:sz w:val="22"/>
      </w:rPr>
      <w:tab/>
      <w:t>Jagot</w:t>
    </w:r>
    <w:r>
      <w:rPr>
        <w:rFonts w:ascii="Times New Roman" w:hAnsi="Times New Roman"/>
        <w:i/>
        <w:sz w:val="22"/>
      </w:rPr>
      <w:tab/>
      <w:t>J</w:t>
    </w:r>
  </w:p>
  <w:p w14:paraId="2DB387A5" w14:textId="77777777" w:rsidR="00E97682" w:rsidRDefault="00E97682" w:rsidP="007406B5">
    <w:pPr>
      <w:pStyle w:val="Header"/>
      <w:tabs>
        <w:tab w:val="clear" w:pos="4153"/>
        <w:tab w:val="clear" w:pos="8306"/>
        <w:tab w:val="left" w:pos="7200"/>
        <w:tab w:val="right" w:pos="8504"/>
      </w:tabs>
      <w:spacing w:line="280" w:lineRule="exact"/>
      <w:jc w:val="right"/>
      <w:rPr>
        <w:rFonts w:ascii="Times New Roman" w:hAnsi="Times New Roman"/>
        <w:i/>
        <w:sz w:val="22"/>
      </w:rPr>
    </w:pPr>
  </w:p>
  <w:p w14:paraId="5B677F62" w14:textId="77777777" w:rsidR="00E97682" w:rsidRDefault="00E97682" w:rsidP="007406B5">
    <w:pPr>
      <w:pStyle w:val="Header"/>
      <w:tabs>
        <w:tab w:val="clear" w:pos="4153"/>
        <w:tab w:val="clear" w:pos="8306"/>
        <w:tab w:val="left" w:pos="7200"/>
        <w:tab w:val="right" w:pos="8504"/>
      </w:tabs>
      <w:spacing w:line="280" w:lineRule="exact"/>
      <w:jc w:val="center"/>
      <w:rPr>
        <w:rFonts w:ascii="Times New Roman" w:hAnsi="Times New Roman"/>
        <w:sz w:val="22"/>
      </w:rPr>
    </w:pPr>
    <w:r>
      <w:rPr>
        <w:rFonts w:ascii="Times New Roman" w:hAnsi="Times New Roman"/>
        <w:sz w:val="22"/>
      </w:rPr>
      <w:fldChar w:fldCharType="begin"/>
    </w:r>
    <w:r>
      <w:rPr>
        <w:rFonts w:ascii="Times New Roman" w:hAnsi="Times New Roman"/>
        <w:sz w:val="22"/>
      </w:rPr>
      <w:instrText xml:space="preserve"> PAGE  \* MERGEFORMAT </w:instrText>
    </w:r>
    <w:r>
      <w:rPr>
        <w:rFonts w:ascii="Times New Roman" w:hAnsi="Times New Roman"/>
        <w:sz w:val="22"/>
      </w:rPr>
      <w:fldChar w:fldCharType="separate"/>
    </w:r>
    <w:r>
      <w:rPr>
        <w:rFonts w:ascii="Times New Roman" w:hAnsi="Times New Roman"/>
        <w:noProof/>
        <w:sz w:val="22"/>
      </w:rPr>
      <w:t>1</w:t>
    </w:r>
    <w:r>
      <w:rPr>
        <w:rFonts w:ascii="Times New Roman" w:hAnsi="Times New Roman"/>
        <w:sz w:val="22"/>
      </w:rPr>
      <w:fldChar w:fldCharType="end"/>
    </w:r>
    <w:r>
      <w:rPr>
        <w:rFonts w:ascii="Times New Roman" w:hAnsi="Times New Roman"/>
        <w:sz w:val="22"/>
      </w:rPr>
      <w:t>.</w:t>
    </w:r>
  </w:p>
  <w:p w14:paraId="2C8EC684" w14:textId="77777777" w:rsidR="00E97682" w:rsidRPr="007406B5" w:rsidRDefault="00E97682" w:rsidP="007406B5">
    <w:pPr>
      <w:pStyle w:val="Header"/>
      <w:tabs>
        <w:tab w:val="clear" w:pos="4153"/>
        <w:tab w:val="clear" w:pos="8306"/>
        <w:tab w:val="left" w:pos="7200"/>
        <w:tab w:val="right" w:pos="8504"/>
      </w:tabs>
      <w:spacing w:line="280" w:lineRule="exact"/>
      <w:jc w:val="center"/>
      <w:rPr>
        <w:rFonts w:ascii="Times New Roman" w:hAnsi="Times New Roman"/>
        <w:sz w:val="2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76A7C" w14:textId="77777777" w:rsidR="00E97682" w:rsidRDefault="00E97682" w:rsidP="007406B5">
    <w:pPr>
      <w:pStyle w:val="Header"/>
      <w:tabs>
        <w:tab w:val="clear" w:pos="4153"/>
        <w:tab w:val="clear" w:pos="8306"/>
        <w:tab w:val="center" w:pos="1134"/>
      </w:tabs>
      <w:spacing w:line="280" w:lineRule="exact"/>
      <w:ind w:firstLine="0"/>
      <w:rPr>
        <w:rFonts w:ascii="Times New Roman" w:hAnsi="Times New Roman"/>
        <w:i/>
        <w:sz w:val="22"/>
      </w:rPr>
    </w:pPr>
  </w:p>
  <w:p w14:paraId="64DD0B69" w14:textId="77777777" w:rsidR="00E97682" w:rsidRDefault="00E97682" w:rsidP="007406B5">
    <w:pPr>
      <w:pStyle w:val="Header"/>
      <w:tabs>
        <w:tab w:val="clear" w:pos="4153"/>
        <w:tab w:val="clear" w:pos="8306"/>
        <w:tab w:val="center" w:pos="1134"/>
      </w:tabs>
      <w:spacing w:line="280" w:lineRule="exact"/>
      <w:ind w:firstLine="0"/>
      <w:rPr>
        <w:rFonts w:ascii="Times New Roman" w:hAnsi="Times New Roman"/>
        <w:i/>
        <w:sz w:val="22"/>
      </w:rPr>
    </w:pPr>
  </w:p>
  <w:p w14:paraId="0F0B986F" w14:textId="77777777" w:rsidR="00E97682" w:rsidRDefault="00E97682" w:rsidP="007406B5">
    <w:pPr>
      <w:pStyle w:val="Header"/>
      <w:tabs>
        <w:tab w:val="clear" w:pos="4153"/>
        <w:tab w:val="clear" w:pos="8306"/>
        <w:tab w:val="center" w:pos="1134"/>
      </w:tabs>
      <w:spacing w:line="280" w:lineRule="exact"/>
      <w:ind w:firstLine="0"/>
      <w:rPr>
        <w:rFonts w:ascii="Times New Roman" w:hAnsi="Times New Roman"/>
        <w:i/>
        <w:sz w:val="22"/>
      </w:rPr>
    </w:pPr>
  </w:p>
  <w:p w14:paraId="4AE39345" w14:textId="77777777" w:rsidR="00E97682" w:rsidRDefault="00E97682" w:rsidP="007406B5">
    <w:pPr>
      <w:pStyle w:val="Header"/>
      <w:tabs>
        <w:tab w:val="clear" w:pos="4153"/>
        <w:tab w:val="clear" w:pos="8306"/>
        <w:tab w:val="center" w:pos="1134"/>
      </w:tabs>
      <w:spacing w:line="280" w:lineRule="exact"/>
      <w:ind w:firstLine="0"/>
      <w:rPr>
        <w:rFonts w:ascii="Times New Roman" w:hAnsi="Times New Roman"/>
        <w:i/>
        <w:sz w:val="22"/>
      </w:rPr>
    </w:pPr>
  </w:p>
  <w:p w14:paraId="179599B5" w14:textId="77777777" w:rsidR="00E97682" w:rsidRPr="007406B5" w:rsidRDefault="00E97682" w:rsidP="007406B5">
    <w:pPr>
      <w:pStyle w:val="Header"/>
      <w:tabs>
        <w:tab w:val="clear" w:pos="4153"/>
        <w:tab w:val="clear" w:pos="8306"/>
        <w:tab w:val="center" w:pos="1134"/>
      </w:tabs>
      <w:spacing w:line="280" w:lineRule="exact"/>
      <w:ind w:firstLine="0"/>
      <w:rPr>
        <w:rFonts w:ascii="Times New Roman" w:hAnsi="Times New Roman"/>
        <w:i/>
        <w:sz w:val="22"/>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4A0B8" w14:textId="77777777" w:rsidR="004D2653" w:rsidRDefault="004D2653" w:rsidP="00992F81">
    <w:pPr>
      <w:pStyle w:val="Header"/>
      <w:tabs>
        <w:tab w:val="clear" w:pos="4153"/>
        <w:tab w:val="clear" w:pos="8306"/>
        <w:tab w:val="right" w:pos="1304"/>
      </w:tabs>
      <w:spacing w:line="280" w:lineRule="exact"/>
      <w:ind w:firstLine="0"/>
      <w:rPr>
        <w:rFonts w:ascii="Times New Roman" w:hAnsi="Times New Roman"/>
        <w:i/>
        <w:sz w:val="22"/>
      </w:rPr>
    </w:pPr>
    <w:r>
      <w:rPr>
        <w:rFonts w:ascii="Times New Roman" w:hAnsi="Times New Roman"/>
        <w:i/>
        <w:sz w:val="22"/>
      </w:rPr>
      <w:t>Gordon</w:t>
    </w:r>
    <w:r>
      <w:rPr>
        <w:rFonts w:ascii="Times New Roman" w:hAnsi="Times New Roman"/>
        <w:i/>
        <w:sz w:val="22"/>
      </w:rPr>
      <w:tab/>
      <w:t>J</w:t>
    </w:r>
  </w:p>
  <w:p w14:paraId="413689B0" w14:textId="77777777" w:rsidR="004D2653" w:rsidRDefault="004D2653" w:rsidP="00992F81">
    <w:pPr>
      <w:pStyle w:val="Header"/>
      <w:tabs>
        <w:tab w:val="clear" w:pos="4153"/>
        <w:tab w:val="clear" w:pos="8306"/>
        <w:tab w:val="right" w:pos="1304"/>
      </w:tabs>
      <w:spacing w:line="280" w:lineRule="exact"/>
      <w:ind w:firstLine="0"/>
      <w:rPr>
        <w:rFonts w:ascii="Times New Roman" w:hAnsi="Times New Roman"/>
        <w:i/>
        <w:sz w:val="22"/>
      </w:rPr>
    </w:pPr>
  </w:p>
  <w:p w14:paraId="644CEC6B" w14:textId="77777777" w:rsidR="004D2653" w:rsidRDefault="004D2653" w:rsidP="00992F81">
    <w:pPr>
      <w:pStyle w:val="Header"/>
      <w:tabs>
        <w:tab w:val="clear" w:pos="4153"/>
        <w:tab w:val="clear" w:pos="8306"/>
        <w:tab w:val="right" w:pos="1304"/>
      </w:tabs>
      <w:spacing w:line="280" w:lineRule="exact"/>
      <w:ind w:firstLine="0"/>
      <w:jc w:val="center"/>
      <w:rPr>
        <w:rFonts w:ascii="Times New Roman" w:hAnsi="Times New Roman"/>
        <w:sz w:val="22"/>
      </w:rPr>
    </w:pPr>
    <w:r>
      <w:rPr>
        <w:rFonts w:ascii="Times New Roman" w:hAnsi="Times New Roman"/>
        <w:sz w:val="22"/>
      </w:rPr>
      <w:fldChar w:fldCharType="begin"/>
    </w:r>
    <w:r>
      <w:rPr>
        <w:rFonts w:ascii="Times New Roman" w:hAnsi="Times New Roman"/>
        <w:sz w:val="22"/>
      </w:rPr>
      <w:instrText xml:space="preserve"> PAGE  \* MERGEFORMAT </w:instrText>
    </w:r>
    <w:r>
      <w:rPr>
        <w:rFonts w:ascii="Times New Roman" w:hAnsi="Times New Roman"/>
        <w:sz w:val="22"/>
      </w:rPr>
      <w:fldChar w:fldCharType="separate"/>
    </w:r>
    <w:r>
      <w:rPr>
        <w:rFonts w:ascii="Times New Roman" w:hAnsi="Times New Roman"/>
        <w:noProof/>
        <w:sz w:val="22"/>
      </w:rPr>
      <w:t>3</w:t>
    </w:r>
    <w:r>
      <w:rPr>
        <w:rFonts w:ascii="Times New Roman" w:hAnsi="Times New Roman"/>
        <w:sz w:val="22"/>
      </w:rPr>
      <w:fldChar w:fldCharType="end"/>
    </w:r>
    <w:r>
      <w:rPr>
        <w:rFonts w:ascii="Times New Roman" w:hAnsi="Times New Roman"/>
        <w:sz w:val="22"/>
      </w:rPr>
      <w:t>.</w:t>
    </w:r>
  </w:p>
  <w:p w14:paraId="7616A9A6" w14:textId="77777777" w:rsidR="004D2653" w:rsidRPr="00992F81" w:rsidRDefault="004D2653" w:rsidP="00992F81">
    <w:pPr>
      <w:pStyle w:val="Header"/>
      <w:tabs>
        <w:tab w:val="clear" w:pos="4153"/>
        <w:tab w:val="clear" w:pos="8306"/>
        <w:tab w:val="right" w:pos="1304"/>
      </w:tabs>
      <w:spacing w:line="280" w:lineRule="exact"/>
      <w:ind w:firstLine="0"/>
      <w:jc w:val="center"/>
      <w:rPr>
        <w:rFonts w:ascii="Times New Roman" w:hAnsi="Times New Roman"/>
        <w:sz w:val="22"/>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5EBD0" w14:textId="77777777" w:rsidR="004D2653" w:rsidRDefault="004D2653" w:rsidP="00992F81">
    <w:pPr>
      <w:pStyle w:val="Header"/>
      <w:tabs>
        <w:tab w:val="clear" w:pos="4153"/>
        <w:tab w:val="clear" w:pos="8306"/>
        <w:tab w:val="left" w:pos="7200"/>
        <w:tab w:val="right" w:pos="8504"/>
      </w:tabs>
      <w:spacing w:line="280" w:lineRule="exact"/>
      <w:jc w:val="right"/>
      <w:rPr>
        <w:rFonts w:ascii="Times New Roman" w:hAnsi="Times New Roman"/>
        <w:i/>
        <w:sz w:val="22"/>
      </w:rPr>
    </w:pPr>
    <w:r>
      <w:rPr>
        <w:rFonts w:ascii="Times New Roman" w:hAnsi="Times New Roman"/>
        <w:i/>
        <w:sz w:val="22"/>
      </w:rPr>
      <w:tab/>
      <w:t>Gordon</w:t>
    </w:r>
    <w:r>
      <w:rPr>
        <w:rFonts w:ascii="Times New Roman" w:hAnsi="Times New Roman"/>
        <w:i/>
        <w:sz w:val="22"/>
      </w:rPr>
      <w:tab/>
      <w:t>J</w:t>
    </w:r>
  </w:p>
  <w:p w14:paraId="0A2442C3" w14:textId="77777777" w:rsidR="004D2653" w:rsidRDefault="004D2653" w:rsidP="00992F81">
    <w:pPr>
      <w:pStyle w:val="Header"/>
      <w:tabs>
        <w:tab w:val="clear" w:pos="4153"/>
        <w:tab w:val="clear" w:pos="8306"/>
        <w:tab w:val="left" w:pos="7200"/>
        <w:tab w:val="right" w:pos="8504"/>
      </w:tabs>
      <w:spacing w:line="280" w:lineRule="exact"/>
      <w:jc w:val="right"/>
      <w:rPr>
        <w:rFonts w:ascii="Times New Roman" w:hAnsi="Times New Roman"/>
        <w:i/>
        <w:sz w:val="22"/>
      </w:rPr>
    </w:pPr>
  </w:p>
  <w:p w14:paraId="2C21EF29" w14:textId="77777777" w:rsidR="004D2653" w:rsidRDefault="004D2653" w:rsidP="00992F81">
    <w:pPr>
      <w:pStyle w:val="Header"/>
      <w:tabs>
        <w:tab w:val="clear" w:pos="4153"/>
        <w:tab w:val="clear" w:pos="8306"/>
        <w:tab w:val="left" w:pos="7200"/>
        <w:tab w:val="right" w:pos="8504"/>
      </w:tabs>
      <w:spacing w:line="280" w:lineRule="exact"/>
      <w:jc w:val="center"/>
      <w:rPr>
        <w:rFonts w:ascii="Times New Roman" w:hAnsi="Times New Roman"/>
        <w:sz w:val="22"/>
      </w:rPr>
    </w:pPr>
    <w:r>
      <w:rPr>
        <w:rFonts w:ascii="Times New Roman" w:hAnsi="Times New Roman"/>
        <w:sz w:val="22"/>
      </w:rPr>
      <w:fldChar w:fldCharType="begin"/>
    </w:r>
    <w:r>
      <w:rPr>
        <w:rFonts w:ascii="Times New Roman" w:hAnsi="Times New Roman"/>
        <w:sz w:val="22"/>
      </w:rPr>
      <w:instrText xml:space="preserve"> PAGE  \* MERGEFORMAT </w:instrText>
    </w:r>
    <w:r>
      <w:rPr>
        <w:rFonts w:ascii="Times New Roman" w:hAnsi="Times New Roman"/>
        <w:sz w:val="22"/>
      </w:rPr>
      <w:fldChar w:fldCharType="separate"/>
    </w:r>
    <w:r>
      <w:rPr>
        <w:rFonts w:ascii="Times New Roman" w:hAnsi="Times New Roman"/>
        <w:noProof/>
        <w:sz w:val="22"/>
      </w:rPr>
      <w:t>3</w:t>
    </w:r>
    <w:r>
      <w:rPr>
        <w:rFonts w:ascii="Times New Roman" w:hAnsi="Times New Roman"/>
        <w:sz w:val="22"/>
      </w:rPr>
      <w:fldChar w:fldCharType="end"/>
    </w:r>
    <w:r>
      <w:rPr>
        <w:rFonts w:ascii="Times New Roman" w:hAnsi="Times New Roman"/>
        <w:sz w:val="22"/>
      </w:rPr>
      <w:t>.</w:t>
    </w:r>
  </w:p>
  <w:p w14:paraId="2CE0B3D7" w14:textId="77777777" w:rsidR="004D2653" w:rsidRPr="00992F81" w:rsidRDefault="004D2653" w:rsidP="00992F81">
    <w:pPr>
      <w:pStyle w:val="Header"/>
      <w:tabs>
        <w:tab w:val="clear" w:pos="4153"/>
        <w:tab w:val="clear" w:pos="8306"/>
        <w:tab w:val="left" w:pos="7200"/>
        <w:tab w:val="right" w:pos="8504"/>
      </w:tabs>
      <w:spacing w:line="280" w:lineRule="exact"/>
      <w:jc w:val="center"/>
      <w:rPr>
        <w:rFonts w:ascii="Times New Roman" w:hAnsi="Times New Roman"/>
        <w:sz w:val="22"/>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5FB1C" w14:textId="77777777" w:rsidR="004D2653" w:rsidRDefault="004D2653" w:rsidP="00992F81">
    <w:pPr>
      <w:pStyle w:val="Header"/>
      <w:tabs>
        <w:tab w:val="clear" w:pos="4153"/>
        <w:tab w:val="clear" w:pos="8306"/>
        <w:tab w:val="center" w:pos="1134"/>
      </w:tabs>
      <w:spacing w:line="280" w:lineRule="exact"/>
      <w:ind w:firstLine="0"/>
      <w:rPr>
        <w:rFonts w:ascii="Times New Roman" w:hAnsi="Times New Roman"/>
        <w:i/>
        <w:sz w:val="22"/>
      </w:rPr>
    </w:pPr>
  </w:p>
  <w:p w14:paraId="646F335E" w14:textId="77777777" w:rsidR="004D2653" w:rsidRDefault="004D2653" w:rsidP="00992F81">
    <w:pPr>
      <w:pStyle w:val="Header"/>
      <w:tabs>
        <w:tab w:val="clear" w:pos="4153"/>
        <w:tab w:val="clear" w:pos="8306"/>
        <w:tab w:val="center" w:pos="1134"/>
      </w:tabs>
      <w:spacing w:line="280" w:lineRule="exact"/>
      <w:ind w:firstLine="0"/>
      <w:rPr>
        <w:rFonts w:ascii="Times New Roman" w:hAnsi="Times New Roman"/>
        <w:i/>
        <w:sz w:val="22"/>
      </w:rPr>
    </w:pPr>
  </w:p>
  <w:p w14:paraId="191280F5" w14:textId="77777777" w:rsidR="004D2653" w:rsidRDefault="004D2653" w:rsidP="00992F81">
    <w:pPr>
      <w:pStyle w:val="Header"/>
      <w:tabs>
        <w:tab w:val="clear" w:pos="4153"/>
        <w:tab w:val="clear" w:pos="8306"/>
        <w:tab w:val="center" w:pos="1134"/>
      </w:tabs>
      <w:spacing w:line="280" w:lineRule="exact"/>
      <w:ind w:firstLine="0"/>
      <w:rPr>
        <w:rFonts w:ascii="Times New Roman" w:hAnsi="Times New Roman"/>
        <w:i/>
        <w:sz w:val="22"/>
      </w:rPr>
    </w:pPr>
  </w:p>
  <w:p w14:paraId="75E9E861" w14:textId="77777777" w:rsidR="004D2653" w:rsidRPr="00992F81" w:rsidRDefault="004D2653" w:rsidP="00992F81">
    <w:pPr>
      <w:pStyle w:val="Header"/>
      <w:tabs>
        <w:tab w:val="clear" w:pos="4153"/>
        <w:tab w:val="clear" w:pos="8306"/>
        <w:tab w:val="center" w:pos="1134"/>
      </w:tabs>
      <w:spacing w:line="280" w:lineRule="exact"/>
      <w:ind w:firstLine="0"/>
      <w:rPr>
        <w:rFonts w:ascii="Times New Roman" w:hAnsi="Times New Roman"/>
        <w:i/>
        <w:sz w:val="22"/>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7F9E7" w14:textId="77777777" w:rsidR="008352AC" w:rsidRDefault="008352AC" w:rsidP="009F4AF4">
    <w:pPr>
      <w:pStyle w:val="Header"/>
      <w:tabs>
        <w:tab w:val="clear" w:pos="4153"/>
        <w:tab w:val="clear" w:pos="8306"/>
        <w:tab w:val="right" w:pos="1304"/>
      </w:tabs>
      <w:spacing w:line="280" w:lineRule="exact"/>
      <w:ind w:firstLine="0"/>
      <w:rPr>
        <w:rFonts w:ascii="Times New Roman" w:hAnsi="Times New Roman"/>
        <w:i/>
        <w:sz w:val="22"/>
      </w:rPr>
    </w:pPr>
    <w:r>
      <w:rPr>
        <w:rFonts w:ascii="Times New Roman" w:hAnsi="Times New Roman"/>
        <w:i/>
        <w:sz w:val="22"/>
      </w:rPr>
      <w:t>Edelman</w:t>
    </w:r>
    <w:r>
      <w:rPr>
        <w:rFonts w:ascii="Times New Roman" w:hAnsi="Times New Roman"/>
        <w:i/>
        <w:sz w:val="22"/>
      </w:rPr>
      <w:tab/>
      <w:t>J</w:t>
    </w:r>
  </w:p>
  <w:p w14:paraId="248AD648" w14:textId="77777777" w:rsidR="008352AC" w:rsidRDefault="008352AC" w:rsidP="009F4AF4">
    <w:pPr>
      <w:pStyle w:val="Header"/>
      <w:tabs>
        <w:tab w:val="clear" w:pos="4153"/>
        <w:tab w:val="clear" w:pos="8306"/>
        <w:tab w:val="right" w:pos="1304"/>
      </w:tabs>
      <w:spacing w:line="280" w:lineRule="exact"/>
      <w:ind w:firstLine="0"/>
      <w:rPr>
        <w:rFonts w:ascii="Times New Roman" w:hAnsi="Times New Roman"/>
        <w:i/>
        <w:sz w:val="22"/>
      </w:rPr>
    </w:pPr>
  </w:p>
  <w:p w14:paraId="7D4B46F1" w14:textId="77777777" w:rsidR="008352AC" w:rsidRDefault="008352AC" w:rsidP="009F4AF4">
    <w:pPr>
      <w:pStyle w:val="Header"/>
      <w:tabs>
        <w:tab w:val="clear" w:pos="4153"/>
        <w:tab w:val="clear" w:pos="8306"/>
        <w:tab w:val="right" w:pos="1304"/>
      </w:tabs>
      <w:spacing w:line="280" w:lineRule="exact"/>
      <w:ind w:firstLine="0"/>
      <w:jc w:val="center"/>
      <w:rPr>
        <w:rFonts w:ascii="Times New Roman" w:hAnsi="Times New Roman"/>
        <w:sz w:val="22"/>
      </w:rPr>
    </w:pPr>
    <w:r>
      <w:rPr>
        <w:rFonts w:ascii="Times New Roman" w:hAnsi="Times New Roman"/>
        <w:sz w:val="22"/>
      </w:rPr>
      <w:fldChar w:fldCharType="begin"/>
    </w:r>
    <w:r>
      <w:rPr>
        <w:rFonts w:ascii="Times New Roman" w:hAnsi="Times New Roman"/>
        <w:sz w:val="22"/>
      </w:rPr>
      <w:instrText xml:space="preserve"> PAGE  \* MERGEFORMAT </w:instrText>
    </w:r>
    <w:r>
      <w:rPr>
        <w:rFonts w:ascii="Times New Roman" w:hAnsi="Times New Roman"/>
        <w:sz w:val="22"/>
      </w:rPr>
      <w:fldChar w:fldCharType="separate"/>
    </w:r>
    <w:r>
      <w:rPr>
        <w:rFonts w:ascii="Times New Roman" w:hAnsi="Times New Roman"/>
        <w:noProof/>
        <w:sz w:val="22"/>
      </w:rPr>
      <w:t>3</w:t>
    </w:r>
    <w:r>
      <w:rPr>
        <w:rFonts w:ascii="Times New Roman" w:hAnsi="Times New Roman"/>
        <w:sz w:val="22"/>
      </w:rPr>
      <w:fldChar w:fldCharType="end"/>
    </w:r>
    <w:r>
      <w:rPr>
        <w:rFonts w:ascii="Times New Roman" w:hAnsi="Times New Roman"/>
        <w:sz w:val="22"/>
      </w:rPr>
      <w:t>.</w:t>
    </w:r>
  </w:p>
  <w:p w14:paraId="4BED93FF" w14:textId="77777777" w:rsidR="008352AC" w:rsidRPr="009F4AF4" w:rsidRDefault="008352AC" w:rsidP="009F4AF4">
    <w:pPr>
      <w:pStyle w:val="Header"/>
      <w:tabs>
        <w:tab w:val="clear" w:pos="4153"/>
        <w:tab w:val="clear" w:pos="8306"/>
        <w:tab w:val="right" w:pos="1304"/>
      </w:tabs>
      <w:spacing w:line="280" w:lineRule="exact"/>
      <w:ind w:firstLine="0"/>
      <w:jc w:val="center"/>
      <w:rPr>
        <w:rFonts w:ascii="Times New Roman" w:hAnsi="Times New Roman"/>
        <w:sz w:val="22"/>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82441" w14:textId="77777777" w:rsidR="008352AC" w:rsidRDefault="008352AC" w:rsidP="009F4AF4">
    <w:pPr>
      <w:pStyle w:val="Header"/>
      <w:tabs>
        <w:tab w:val="clear" w:pos="4153"/>
        <w:tab w:val="clear" w:pos="8306"/>
        <w:tab w:val="left" w:pos="7200"/>
        <w:tab w:val="right" w:pos="8504"/>
      </w:tabs>
      <w:spacing w:line="280" w:lineRule="exact"/>
      <w:jc w:val="right"/>
      <w:rPr>
        <w:rFonts w:ascii="Times New Roman" w:hAnsi="Times New Roman"/>
        <w:i/>
        <w:sz w:val="22"/>
      </w:rPr>
    </w:pPr>
    <w:r>
      <w:rPr>
        <w:rFonts w:ascii="Times New Roman" w:hAnsi="Times New Roman"/>
        <w:i/>
        <w:sz w:val="22"/>
      </w:rPr>
      <w:tab/>
      <w:t>Edelman</w:t>
    </w:r>
    <w:r>
      <w:rPr>
        <w:rFonts w:ascii="Times New Roman" w:hAnsi="Times New Roman"/>
        <w:i/>
        <w:sz w:val="22"/>
      </w:rPr>
      <w:tab/>
      <w:t>J</w:t>
    </w:r>
  </w:p>
  <w:p w14:paraId="7C239E90" w14:textId="77777777" w:rsidR="008352AC" w:rsidRDefault="008352AC" w:rsidP="009F4AF4">
    <w:pPr>
      <w:pStyle w:val="Header"/>
      <w:tabs>
        <w:tab w:val="clear" w:pos="4153"/>
        <w:tab w:val="clear" w:pos="8306"/>
        <w:tab w:val="left" w:pos="7200"/>
        <w:tab w:val="right" w:pos="8504"/>
      </w:tabs>
      <w:spacing w:line="280" w:lineRule="exact"/>
      <w:jc w:val="right"/>
      <w:rPr>
        <w:rFonts w:ascii="Times New Roman" w:hAnsi="Times New Roman"/>
        <w:i/>
        <w:sz w:val="22"/>
      </w:rPr>
    </w:pPr>
  </w:p>
  <w:p w14:paraId="7D86E90E" w14:textId="77777777" w:rsidR="008352AC" w:rsidRDefault="008352AC" w:rsidP="009F4AF4">
    <w:pPr>
      <w:pStyle w:val="Header"/>
      <w:tabs>
        <w:tab w:val="clear" w:pos="4153"/>
        <w:tab w:val="clear" w:pos="8306"/>
        <w:tab w:val="left" w:pos="7200"/>
        <w:tab w:val="right" w:pos="8504"/>
      </w:tabs>
      <w:spacing w:line="280" w:lineRule="exact"/>
      <w:jc w:val="center"/>
      <w:rPr>
        <w:rFonts w:ascii="Times New Roman" w:hAnsi="Times New Roman"/>
        <w:sz w:val="22"/>
      </w:rPr>
    </w:pPr>
    <w:r>
      <w:rPr>
        <w:rFonts w:ascii="Times New Roman" w:hAnsi="Times New Roman"/>
        <w:sz w:val="22"/>
      </w:rPr>
      <w:fldChar w:fldCharType="begin"/>
    </w:r>
    <w:r>
      <w:rPr>
        <w:rFonts w:ascii="Times New Roman" w:hAnsi="Times New Roman"/>
        <w:sz w:val="22"/>
      </w:rPr>
      <w:instrText xml:space="preserve"> PAGE  \* MERGEFORMAT </w:instrText>
    </w:r>
    <w:r>
      <w:rPr>
        <w:rFonts w:ascii="Times New Roman" w:hAnsi="Times New Roman"/>
        <w:sz w:val="22"/>
      </w:rPr>
      <w:fldChar w:fldCharType="separate"/>
    </w:r>
    <w:r>
      <w:rPr>
        <w:rFonts w:ascii="Times New Roman" w:hAnsi="Times New Roman"/>
        <w:noProof/>
        <w:sz w:val="22"/>
      </w:rPr>
      <w:t>3</w:t>
    </w:r>
    <w:r>
      <w:rPr>
        <w:rFonts w:ascii="Times New Roman" w:hAnsi="Times New Roman"/>
        <w:sz w:val="22"/>
      </w:rPr>
      <w:fldChar w:fldCharType="end"/>
    </w:r>
    <w:r>
      <w:rPr>
        <w:rFonts w:ascii="Times New Roman" w:hAnsi="Times New Roman"/>
        <w:sz w:val="22"/>
      </w:rPr>
      <w:t>.</w:t>
    </w:r>
  </w:p>
  <w:p w14:paraId="3BA7A9E9" w14:textId="77777777" w:rsidR="008352AC" w:rsidRPr="009F4AF4" w:rsidRDefault="008352AC" w:rsidP="009F4AF4">
    <w:pPr>
      <w:pStyle w:val="Header"/>
      <w:tabs>
        <w:tab w:val="clear" w:pos="4153"/>
        <w:tab w:val="clear" w:pos="8306"/>
        <w:tab w:val="left" w:pos="7200"/>
        <w:tab w:val="right" w:pos="8504"/>
      </w:tabs>
      <w:spacing w:line="280" w:lineRule="exact"/>
      <w:jc w:val="center"/>
      <w:rPr>
        <w:rFonts w:ascii="Times New Roman" w:hAnsi="Times New Roman"/>
        <w:sz w:val="22"/>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9CD65E" w14:textId="77777777" w:rsidR="008352AC" w:rsidRDefault="008352AC" w:rsidP="009F4AF4">
    <w:pPr>
      <w:pStyle w:val="Header"/>
      <w:tabs>
        <w:tab w:val="clear" w:pos="4153"/>
        <w:tab w:val="clear" w:pos="8306"/>
        <w:tab w:val="center" w:pos="1134"/>
      </w:tabs>
      <w:spacing w:line="280" w:lineRule="exact"/>
      <w:ind w:firstLine="0"/>
      <w:rPr>
        <w:rFonts w:ascii="Times New Roman" w:hAnsi="Times New Roman"/>
        <w:i/>
        <w:sz w:val="22"/>
      </w:rPr>
    </w:pPr>
  </w:p>
  <w:p w14:paraId="3BD8A48D" w14:textId="77777777" w:rsidR="008352AC" w:rsidRDefault="008352AC" w:rsidP="009F4AF4">
    <w:pPr>
      <w:pStyle w:val="Header"/>
      <w:tabs>
        <w:tab w:val="clear" w:pos="4153"/>
        <w:tab w:val="clear" w:pos="8306"/>
        <w:tab w:val="center" w:pos="1134"/>
      </w:tabs>
      <w:spacing w:line="280" w:lineRule="exact"/>
      <w:ind w:firstLine="0"/>
      <w:rPr>
        <w:rFonts w:ascii="Times New Roman" w:hAnsi="Times New Roman"/>
        <w:i/>
        <w:sz w:val="22"/>
      </w:rPr>
    </w:pPr>
  </w:p>
  <w:p w14:paraId="012D7BE2" w14:textId="77777777" w:rsidR="008352AC" w:rsidRDefault="008352AC" w:rsidP="009F4AF4">
    <w:pPr>
      <w:pStyle w:val="Header"/>
      <w:tabs>
        <w:tab w:val="clear" w:pos="4153"/>
        <w:tab w:val="clear" w:pos="8306"/>
        <w:tab w:val="center" w:pos="1134"/>
      </w:tabs>
      <w:spacing w:line="280" w:lineRule="exact"/>
      <w:ind w:firstLine="0"/>
      <w:rPr>
        <w:rFonts w:ascii="Times New Roman" w:hAnsi="Times New Roman"/>
        <w:i/>
        <w:sz w:val="22"/>
      </w:rPr>
    </w:pPr>
  </w:p>
  <w:p w14:paraId="48F64B97" w14:textId="77777777" w:rsidR="008352AC" w:rsidRPr="009F4AF4" w:rsidRDefault="008352AC" w:rsidP="009F4AF4">
    <w:pPr>
      <w:pStyle w:val="Header"/>
      <w:tabs>
        <w:tab w:val="clear" w:pos="4153"/>
        <w:tab w:val="clear" w:pos="8306"/>
        <w:tab w:val="center" w:pos="1134"/>
      </w:tabs>
      <w:spacing w:line="280" w:lineRule="exact"/>
      <w:ind w:firstLine="0"/>
      <w:rPr>
        <w:rFonts w:ascii="Times New Roman" w:hAnsi="Times New Roman"/>
        <w:i/>
        <w:sz w:val="22"/>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BEFB6" w14:textId="77777777" w:rsidR="00686E9C" w:rsidRDefault="00686E9C" w:rsidP="009137CA">
    <w:pPr>
      <w:pStyle w:val="Header"/>
      <w:tabs>
        <w:tab w:val="clear" w:pos="4153"/>
        <w:tab w:val="clear" w:pos="8306"/>
        <w:tab w:val="right" w:pos="1304"/>
      </w:tabs>
      <w:spacing w:line="280" w:lineRule="exact"/>
      <w:ind w:firstLine="0"/>
      <w:rPr>
        <w:rFonts w:ascii="Times New Roman" w:hAnsi="Times New Roman"/>
        <w:i/>
        <w:sz w:val="22"/>
      </w:rPr>
    </w:pPr>
    <w:r>
      <w:rPr>
        <w:rFonts w:ascii="Times New Roman" w:hAnsi="Times New Roman"/>
        <w:i/>
        <w:sz w:val="22"/>
      </w:rPr>
      <w:t>Beech-Jones</w:t>
    </w:r>
    <w:r>
      <w:rPr>
        <w:rFonts w:ascii="Times New Roman" w:hAnsi="Times New Roman"/>
        <w:i/>
        <w:sz w:val="22"/>
      </w:rPr>
      <w:tab/>
      <w:t>J</w:t>
    </w:r>
  </w:p>
  <w:p w14:paraId="19F7E685" w14:textId="77777777" w:rsidR="00686E9C" w:rsidRDefault="00686E9C" w:rsidP="009137CA">
    <w:pPr>
      <w:pStyle w:val="Header"/>
      <w:tabs>
        <w:tab w:val="clear" w:pos="4153"/>
        <w:tab w:val="clear" w:pos="8306"/>
        <w:tab w:val="right" w:pos="1304"/>
      </w:tabs>
      <w:spacing w:line="280" w:lineRule="exact"/>
      <w:ind w:firstLine="0"/>
      <w:rPr>
        <w:rFonts w:ascii="Times New Roman" w:hAnsi="Times New Roman"/>
        <w:i/>
        <w:sz w:val="22"/>
      </w:rPr>
    </w:pPr>
  </w:p>
  <w:p w14:paraId="56534825" w14:textId="77777777" w:rsidR="00686E9C" w:rsidRDefault="00686E9C" w:rsidP="009137CA">
    <w:pPr>
      <w:pStyle w:val="Header"/>
      <w:tabs>
        <w:tab w:val="clear" w:pos="4153"/>
        <w:tab w:val="clear" w:pos="8306"/>
        <w:tab w:val="right" w:pos="1304"/>
      </w:tabs>
      <w:spacing w:line="280" w:lineRule="exact"/>
      <w:ind w:firstLine="0"/>
      <w:jc w:val="center"/>
      <w:rPr>
        <w:rFonts w:ascii="Times New Roman" w:hAnsi="Times New Roman"/>
        <w:sz w:val="22"/>
      </w:rPr>
    </w:pPr>
    <w:r>
      <w:rPr>
        <w:rFonts w:ascii="Times New Roman" w:hAnsi="Times New Roman"/>
        <w:sz w:val="22"/>
      </w:rPr>
      <w:fldChar w:fldCharType="begin"/>
    </w:r>
    <w:r>
      <w:rPr>
        <w:rFonts w:ascii="Times New Roman" w:hAnsi="Times New Roman"/>
        <w:sz w:val="22"/>
      </w:rPr>
      <w:instrText xml:space="preserve"> PAGE  \* MERGEFORMAT </w:instrText>
    </w:r>
    <w:r>
      <w:rPr>
        <w:rFonts w:ascii="Times New Roman" w:hAnsi="Times New Roman"/>
        <w:sz w:val="22"/>
      </w:rPr>
      <w:fldChar w:fldCharType="separate"/>
    </w:r>
    <w:r>
      <w:rPr>
        <w:rFonts w:ascii="Times New Roman" w:hAnsi="Times New Roman"/>
        <w:noProof/>
        <w:sz w:val="22"/>
      </w:rPr>
      <w:t>1</w:t>
    </w:r>
    <w:r>
      <w:rPr>
        <w:rFonts w:ascii="Times New Roman" w:hAnsi="Times New Roman"/>
        <w:sz w:val="22"/>
      </w:rPr>
      <w:fldChar w:fldCharType="end"/>
    </w:r>
    <w:r>
      <w:rPr>
        <w:rFonts w:ascii="Times New Roman" w:hAnsi="Times New Roman"/>
        <w:sz w:val="22"/>
      </w:rPr>
      <w:t>.</w:t>
    </w:r>
  </w:p>
  <w:p w14:paraId="54038663" w14:textId="77777777" w:rsidR="00686E9C" w:rsidRPr="009137CA" w:rsidRDefault="00686E9C" w:rsidP="009137CA">
    <w:pPr>
      <w:pStyle w:val="Header"/>
      <w:tabs>
        <w:tab w:val="clear" w:pos="4153"/>
        <w:tab w:val="clear" w:pos="8306"/>
        <w:tab w:val="right" w:pos="1304"/>
      </w:tabs>
      <w:spacing w:line="280" w:lineRule="exact"/>
      <w:ind w:firstLine="0"/>
      <w:jc w:val="center"/>
      <w:rPr>
        <w:rFonts w:ascii="Times New Roman" w:hAnsi="Times New Roman"/>
        <w:sz w:val="22"/>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69477" w14:textId="77777777" w:rsidR="00686E9C" w:rsidRDefault="00686E9C" w:rsidP="009137CA">
    <w:pPr>
      <w:pStyle w:val="Header"/>
      <w:tabs>
        <w:tab w:val="clear" w:pos="4153"/>
        <w:tab w:val="clear" w:pos="8306"/>
        <w:tab w:val="left" w:pos="7200"/>
        <w:tab w:val="right" w:pos="8504"/>
      </w:tabs>
      <w:spacing w:line="280" w:lineRule="exact"/>
      <w:jc w:val="right"/>
      <w:rPr>
        <w:rFonts w:ascii="Times New Roman" w:hAnsi="Times New Roman"/>
        <w:i/>
        <w:sz w:val="22"/>
      </w:rPr>
    </w:pPr>
    <w:r>
      <w:rPr>
        <w:rFonts w:ascii="Times New Roman" w:hAnsi="Times New Roman"/>
        <w:i/>
        <w:sz w:val="22"/>
      </w:rPr>
      <w:tab/>
      <w:t>Beech-Jones</w:t>
    </w:r>
    <w:r>
      <w:rPr>
        <w:rFonts w:ascii="Times New Roman" w:hAnsi="Times New Roman"/>
        <w:i/>
        <w:sz w:val="22"/>
      </w:rPr>
      <w:tab/>
      <w:t>J</w:t>
    </w:r>
  </w:p>
  <w:p w14:paraId="638A6B5A" w14:textId="77777777" w:rsidR="00686E9C" w:rsidRDefault="00686E9C" w:rsidP="009137CA">
    <w:pPr>
      <w:pStyle w:val="Header"/>
      <w:tabs>
        <w:tab w:val="clear" w:pos="4153"/>
        <w:tab w:val="clear" w:pos="8306"/>
        <w:tab w:val="left" w:pos="7200"/>
        <w:tab w:val="right" w:pos="8504"/>
      </w:tabs>
      <w:spacing w:line="280" w:lineRule="exact"/>
      <w:jc w:val="right"/>
      <w:rPr>
        <w:rFonts w:ascii="Times New Roman" w:hAnsi="Times New Roman"/>
        <w:i/>
        <w:sz w:val="22"/>
      </w:rPr>
    </w:pPr>
  </w:p>
  <w:p w14:paraId="50453888" w14:textId="77777777" w:rsidR="00686E9C" w:rsidRDefault="00686E9C" w:rsidP="009137CA">
    <w:pPr>
      <w:pStyle w:val="Header"/>
      <w:tabs>
        <w:tab w:val="clear" w:pos="4153"/>
        <w:tab w:val="clear" w:pos="8306"/>
        <w:tab w:val="left" w:pos="7200"/>
        <w:tab w:val="right" w:pos="8504"/>
      </w:tabs>
      <w:spacing w:line="280" w:lineRule="exact"/>
      <w:jc w:val="center"/>
      <w:rPr>
        <w:rFonts w:ascii="Times New Roman" w:hAnsi="Times New Roman"/>
        <w:sz w:val="22"/>
      </w:rPr>
    </w:pPr>
    <w:r>
      <w:rPr>
        <w:rFonts w:ascii="Times New Roman" w:hAnsi="Times New Roman"/>
        <w:sz w:val="22"/>
      </w:rPr>
      <w:fldChar w:fldCharType="begin"/>
    </w:r>
    <w:r>
      <w:rPr>
        <w:rFonts w:ascii="Times New Roman" w:hAnsi="Times New Roman"/>
        <w:sz w:val="22"/>
      </w:rPr>
      <w:instrText xml:space="preserve"> PAGE  \* MERGEFORMAT </w:instrText>
    </w:r>
    <w:r>
      <w:rPr>
        <w:rFonts w:ascii="Times New Roman" w:hAnsi="Times New Roman"/>
        <w:sz w:val="22"/>
      </w:rPr>
      <w:fldChar w:fldCharType="separate"/>
    </w:r>
    <w:r>
      <w:rPr>
        <w:rFonts w:ascii="Times New Roman" w:hAnsi="Times New Roman"/>
        <w:noProof/>
        <w:sz w:val="22"/>
      </w:rPr>
      <w:t>1</w:t>
    </w:r>
    <w:r>
      <w:rPr>
        <w:rFonts w:ascii="Times New Roman" w:hAnsi="Times New Roman"/>
        <w:sz w:val="22"/>
      </w:rPr>
      <w:fldChar w:fldCharType="end"/>
    </w:r>
    <w:r>
      <w:rPr>
        <w:rFonts w:ascii="Times New Roman" w:hAnsi="Times New Roman"/>
        <w:sz w:val="22"/>
      </w:rPr>
      <w:t>.</w:t>
    </w:r>
  </w:p>
  <w:p w14:paraId="0A969546" w14:textId="77777777" w:rsidR="00686E9C" w:rsidRPr="009137CA" w:rsidRDefault="00686E9C" w:rsidP="009137CA">
    <w:pPr>
      <w:pStyle w:val="Header"/>
      <w:tabs>
        <w:tab w:val="clear" w:pos="4153"/>
        <w:tab w:val="clear" w:pos="8306"/>
        <w:tab w:val="left" w:pos="7200"/>
        <w:tab w:val="right" w:pos="8504"/>
      </w:tabs>
      <w:spacing w:line="280" w:lineRule="exact"/>
      <w:jc w:val="center"/>
      <w:rPr>
        <w:rFonts w:ascii="Times New Roman" w:hAnsi="Times New Roman"/>
        <w:sz w:val="22"/>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1D764" w14:textId="77777777" w:rsidR="00686E9C" w:rsidRDefault="00686E9C" w:rsidP="009137CA">
    <w:pPr>
      <w:pStyle w:val="Header"/>
      <w:tabs>
        <w:tab w:val="clear" w:pos="4153"/>
        <w:tab w:val="clear" w:pos="8306"/>
        <w:tab w:val="center" w:pos="1134"/>
      </w:tabs>
      <w:spacing w:line="280" w:lineRule="exact"/>
      <w:ind w:firstLine="0"/>
      <w:rPr>
        <w:rFonts w:ascii="Times New Roman" w:hAnsi="Times New Roman"/>
        <w:i/>
        <w:sz w:val="22"/>
      </w:rPr>
    </w:pPr>
  </w:p>
  <w:p w14:paraId="5820C94E" w14:textId="77777777" w:rsidR="00686E9C" w:rsidRDefault="00686E9C" w:rsidP="009137CA">
    <w:pPr>
      <w:pStyle w:val="Header"/>
      <w:tabs>
        <w:tab w:val="clear" w:pos="4153"/>
        <w:tab w:val="clear" w:pos="8306"/>
        <w:tab w:val="center" w:pos="1134"/>
      </w:tabs>
      <w:spacing w:line="280" w:lineRule="exact"/>
      <w:ind w:firstLine="0"/>
      <w:rPr>
        <w:rFonts w:ascii="Times New Roman" w:hAnsi="Times New Roman"/>
        <w:i/>
        <w:sz w:val="22"/>
      </w:rPr>
    </w:pPr>
  </w:p>
  <w:p w14:paraId="7CD79517" w14:textId="77777777" w:rsidR="00686E9C" w:rsidRDefault="00686E9C" w:rsidP="009137CA">
    <w:pPr>
      <w:pStyle w:val="Header"/>
      <w:tabs>
        <w:tab w:val="clear" w:pos="4153"/>
        <w:tab w:val="clear" w:pos="8306"/>
        <w:tab w:val="center" w:pos="1134"/>
      </w:tabs>
      <w:spacing w:line="280" w:lineRule="exact"/>
      <w:ind w:firstLine="0"/>
      <w:rPr>
        <w:rFonts w:ascii="Times New Roman" w:hAnsi="Times New Roman"/>
        <w:i/>
        <w:sz w:val="22"/>
      </w:rPr>
    </w:pPr>
  </w:p>
  <w:p w14:paraId="757F98CD" w14:textId="77777777" w:rsidR="00686E9C" w:rsidRPr="009137CA" w:rsidRDefault="00686E9C" w:rsidP="009137CA">
    <w:pPr>
      <w:pStyle w:val="Header"/>
      <w:tabs>
        <w:tab w:val="clear" w:pos="4153"/>
        <w:tab w:val="clear" w:pos="8306"/>
        <w:tab w:val="center" w:pos="1134"/>
      </w:tabs>
      <w:spacing w:line="280" w:lineRule="exact"/>
      <w:ind w:firstLine="0"/>
      <w:rPr>
        <w:rFonts w:ascii="Times New Roman" w:hAnsi="Times New Roman"/>
        <w:i/>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7682C4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F0807F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E7496D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864B1C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21A56D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DA2BE7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EF8279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008F19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202F9F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556C11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C60049"/>
    <w:multiLevelType w:val="multilevel"/>
    <w:tmpl w:val="58787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6AE6462"/>
    <w:multiLevelType w:val="hybridMultilevel"/>
    <w:tmpl w:val="87EE5BF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0799391F"/>
    <w:multiLevelType w:val="hybridMultilevel"/>
    <w:tmpl w:val="1DC2FE7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3" w15:restartNumberingAfterBreak="0">
    <w:nsid w:val="08D158E9"/>
    <w:multiLevelType w:val="hybridMultilevel"/>
    <w:tmpl w:val="F2E28A58"/>
    <w:lvl w:ilvl="0" w:tplc="3F84F7E0">
      <w:start w:val="1"/>
      <w:numFmt w:val="decimal"/>
      <w:lvlText w:val="%1."/>
      <w:lvlJc w:val="left"/>
      <w:pPr>
        <w:tabs>
          <w:tab w:val="num" w:pos="1440"/>
        </w:tabs>
        <w:ind w:left="1440" w:hanging="720"/>
      </w:pPr>
      <w:rPr>
        <w:rFonts w:hint="default"/>
      </w:rPr>
    </w:lvl>
    <w:lvl w:ilvl="1" w:tplc="0C090019" w:tentative="1">
      <w:start w:val="1"/>
      <w:numFmt w:val="lowerLetter"/>
      <w:lvlText w:val="%2."/>
      <w:lvlJc w:val="left"/>
      <w:pPr>
        <w:tabs>
          <w:tab w:val="num" w:pos="1800"/>
        </w:tabs>
        <w:ind w:left="1800" w:hanging="360"/>
      </w:pPr>
    </w:lvl>
    <w:lvl w:ilvl="2" w:tplc="0C09001B" w:tentative="1">
      <w:start w:val="1"/>
      <w:numFmt w:val="lowerRoman"/>
      <w:lvlText w:val="%3."/>
      <w:lvlJc w:val="right"/>
      <w:pPr>
        <w:tabs>
          <w:tab w:val="num" w:pos="2520"/>
        </w:tabs>
        <w:ind w:left="2520" w:hanging="180"/>
      </w:pPr>
    </w:lvl>
    <w:lvl w:ilvl="3" w:tplc="0C09000F" w:tentative="1">
      <w:start w:val="1"/>
      <w:numFmt w:val="decimal"/>
      <w:lvlText w:val="%4."/>
      <w:lvlJc w:val="left"/>
      <w:pPr>
        <w:tabs>
          <w:tab w:val="num" w:pos="3240"/>
        </w:tabs>
        <w:ind w:left="3240" w:hanging="360"/>
      </w:pPr>
    </w:lvl>
    <w:lvl w:ilvl="4" w:tplc="0C090019" w:tentative="1">
      <w:start w:val="1"/>
      <w:numFmt w:val="lowerLetter"/>
      <w:lvlText w:val="%5."/>
      <w:lvlJc w:val="left"/>
      <w:pPr>
        <w:tabs>
          <w:tab w:val="num" w:pos="3960"/>
        </w:tabs>
        <w:ind w:left="3960" w:hanging="360"/>
      </w:pPr>
    </w:lvl>
    <w:lvl w:ilvl="5" w:tplc="0C09001B" w:tentative="1">
      <w:start w:val="1"/>
      <w:numFmt w:val="lowerRoman"/>
      <w:lvlText w:val="%6."/>
      <w:lvlJc w:val="right"/>
      <w:pPr>
        <w:tabs>
          <w:tab w:val="num" w:pos="4680"/>
        </w:tabs>
        <w:ind w:left="4680" w:hanging="180"/>
      </w:pPr>
    </w:lvl>
    <w:lvl w:ilvl="6" w:tplc="0C09000F" w:tentative="1">
      <w:start w:val="1"/>
      <w:numFmt w:val="decimal"/>
      <w:lvlText w:val="%7."/>
      <w:lvlJc w:val="left"/>
      <w:pPr>
        <w:tabs>
          <w:tab w:val="num" w:pos="5400"/>
        </w:tabs>
        <w:ind w:left="5400" w:hanging="360"/>
      </w:pPr>
    </w:lvl>
    <w:lvl w:ilvl="7" w:tplc="0C090019" w:tentative="1">
      <w:start w:val="1"/>
      <w:numFmt w:val="lowerLetter"/>
      <w:lvlText w:val="%8."/>
      <w:lvlJc w:val="left"/>
      <w:pPr>
        <w:tabs>
          <w:tab w:val="num" w:pos="6120"/>
        </w:tabs>
        <w:ind w:left="6120" w:hanging="360"/>
      </w:pPr>
    </w:lvl>
    <w:lvl w:ilvl="8" w:tplc="0C09001B" w:tentative="1">
      <w:start w:val="1"/>
      <w:numFmt w:val="lowerRoman"/>
      <w:lvlText w:val="%9."/>
      <w:lvlJc w:val="right"/>
      <w:pPr>
        <w:tabs>
          <w:tab w:val="num" w:pos="6840"/>
        </w:tabs>
        <w:ind w:left="6840" w:hanging="180"/>
      </w:pPr>
    </w:lvl>
  </w:abstractNum>
  <w:abstractNum w:abstractNumId="14" w15:restartNumberingAfterBreak="0">
    <w:nsid w:val="0CA83894"/>
    <w:multiLevelType w:val="hybridMultilevel"/>
    <w:tmpl w:val="6CA696CA"/>
    <w:lvl w:ilvl="0" w:tplc="2542D178">
      <w:start w:val="1"/>
      <w:numFmt w:val="decimal"/>
      <w:pStyle w:val="FixListStyle"/>
      <w:lvlText w:val="%1"/>
      <w:lvlJc w:val="left"/>
      <w:pPr>
        <w:ind w:left="-360" w:hanging="360"/>
      </w:pPr>
      <w:rPr>
        <w:rFonts w:ascii="Times New Roman" w:hAnsi="Times New Roman" w:hint="default"/>
        <w:b w:val="0"/>
        <w:i w:val="0"/>
        <w:sz w:val="20"/>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15" w15:restartNumberingAfterBreak="0">
    <w:nsid w:val="11B03096"/>
    <w:multiLevelType w:val="hybridMultilevel"/>
    <w:tmpl w:val="5992C6C8"/>
    <w:lvl w:ilvl="0" w:tplc="71229276">
      <w:start w:val="1"/>
      <w:numFmt w:val="bullet"/>
      <w:lvlText w:val=""/>
      <w:lvlJc w:val="left"/>
      <w:pPr>
        <w:ind w:left="720" w:hanging="360"/>
      </w:pPr>
      <w:rPr>
        <w:rFonts w:ascii="Symbol" w:hAnsi="Symbol"/>
      </w:rPr>
    </w:lvl>
    <w:lvl w:ilvl="1" w:tplc="4EF0A76A">
      <w:start w:val="1"/>
      <w:numFmt w:val="bullet"/>
      <w:lvlText w:val=""/>
      <w:lvlJc w:val="left"/>
      <w:pPr>
        <w:ind w:left="720" w:hanging="360"/>
      </w:pPr>
      <w:rPr>
        <w:rFonts w:ascii="Symbol" w:hAnsi="Symbol"/>
      </w:rPr>
    </w:lvl>
    <w:lvl w:ilvl="2" w:tplc="1410F6F8">
      <w:start w:val="1"/>
      <w:numFmt w:val="bullet"/>
      <w:lvlText w:val=""/>
      <w:lvlJc w:val="left"/>
      <w:pPr>
        <w:ind w:left="720" w:hanging="360"/>
      </w:pPr>
      <w:rPr>
        <w:rFonts w:ascii="Symbol" w:hAnsi="Symbol"/>
      </w:rPr>
    </w:lvl>
    <w:lvl w:ilvl="3" w:tplc="5170C31C">
      <w:start w:val="1"/>
      <w:numFmt w:val="bullet"/>
      <w:lvlText w:val=""/>
      <w:lvlJc w:val="left"/>
      <w:pPr>
        <w:ind w:left="720" w:hanging="360"/>
      </w:pPr>
      <w:rPr>
        <w:rFonts w:ascii="Symbol" w:hAnsi="Symbol"/>
      </w:rPr>
    </w:lvl>
    <w:lvl w:ilvl="4" w:tplc="C0E6CD54">
      <w:start w:val="1"/>
      <w:numFmt w:val="bullet"/>
      <w:lvlText w:val=""/>
      <w:lvlJc w:val="left"/>
      <w:pPr>
        <w:ind w:left="720" w:hanging="360"/>
      </w:pPr>
      <w:rPr>
        <w:rFonts w:ascii="Symbol" w:hAnsi="Symbol"/>
      </w:rPr>
    </w:lvl>
    <w:lvl w:ilvl="5" w:tplc="AED0077E">
      <w:start w:val="1"/>
      <w:numFmt w:val="bullet"/>
      <w:lvlText w:val=""/>
      <w:lvlJc w:val="left"/>
      <w:pPr>
        <w:ind w:left="720" w:hanging="360"/>
      </w:pPr>
      <w:rPr>
        <w:rFonts w:ascii="Symbol" w:hAnsi="Symbol"/>
      </w:rPr>
    </w:lvl>
    <w:lvl w:ilvl="6" w:tplc="EB62BE46">
      <w:start w:val="1"/>
      <w:numFmt w:val="bullet"/>
      <w:lvlText w:val=""/>
      <w:lvlJc w:val="left"/>
      <w:pPr>
        <w:ind w:left="720" w:hanging="360"/>
      </w:pPr>
      <w:rPr>
        <w:rFonts w:ascii="Symbol" w:hAnsi="Symbol"/>
      </w:rPr>
    </w:lvl>
    <w:lvl w:ilvl="7" w:tplc="095A3958">
      <w:start w:val="1"/>
      <w:numFmt w:val="bullet"/>
      <w:lvlText w:val=""/>
      <w:lvlJc w:val="left"/>
      <w:pPr>
        <w:ind w:left="720" w:hanging="360"/>
      </w:pPr>
      <w:rPr>
        <w:rFonts w:ascii="Symbol" w:hAnsi="Symbol"/>
      </w:rPr>
    </w:lvl>
    <w:lvl w:ilvl="8" w:tplc="394EF806">
      <w:start w:val="1"/>
      <w:numFmt w:val="bullet"/>
      <w:lvlText w:val=""/>
      <w:lvlJc w:val="left"/>
      <w:pPr>
        <w:ind w:left="720" w:hanging="360"/>
      </w:pPr>
      <w:rPr>
        <w:rFonts w:ascii="Symbol" w:hAnsi="Symbol"/>
      </w:rPr>
    </w:lvl>
  </w:abstractNum>
  <w:abstractNum w:abstractNumId="16" w15:restartNumberingAfterBreak="0">
    <w:nsid w:val="1EF5578A"/>
    <w:multiLevelType w:val="hybridMultilevel"/>
    <w:tmpl w:val="1576A010"/>
    <w:lvl w:ilvl="0" w:tplc="97AE9906">
      <w:start w:val="1"/>
      <w:numFmt w:val="decimal"/>
      <w:pStyle w:val="NormalHC"/>
      <w:lvlText w:val="%1."/>
      <w:lvlJc w:val="left"/>
      <w:pPr>
        <w:ind w:left="720" w:hanging="1440"/>
      </w:pPr>
      <w:rPr>
        <w:rFonts w:hint="default"/>
      </w:rPr>
    </w:lvl>
    <w:lvl w:ilvl="1" w:tplc="0C090019">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17" w15:restartNumberingAfterBreak="0">
    <w:nsid w:val="1FEB2198"/>
    <w:multiLevelType w:val="hybridMultilevel"/>
    <w:tmpl w:val="D318B610"/>
    <w:lvl w:ilvl="0" w:tplc="214A6024">
      <w:start w:val="1"/>
      <w:numFmt w:val="bullet"/>
      <w:lvlText w:val="•"/>
      <w:lvlJc w:val="left"/>
      <w:pPr>
        <w:ind w:left="1800" w:hanging="360"/>
      </w:pPr>
      <w:rPr>
        <w:rFonts w:ascii="Arial" w:eastAsia="Times New Roman" w:hAnsi="Arial" w:cs="Arial"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18" w15:restartNumberingAfterBreak="0">
    <w:nsid w:val="21044998"/>
    <w:multiLevelType w:val="hybridMultilevel"/>
    <w:tmpl w:val="24B0CD76"/>
    <w:lvl w:ilvl="0" w:tplc="A24A8036">
      <w:start w:val="1"/>
      <w:numFmt w:val="bullet"/>
      <w:lvlText w:val=""/>
      <w:lvlJc w:val="left"/>
      <w:pPr>
        <w:ind w:left="720" w:hanging="360"/>
      </w:pPr>
      <w:rPr>
        <w:rFonts w:ascii="Symbol" w:hAnsi="Symbol"/>
      </w:rPr>
    </w:lvl>
    <w:lvl w:ilvl="1" w:tplc="261092CC">
      <w:start w:val="1"/>
      <w:numFmt w:val="bullet"/>
      <w:lvlText w:val=""/>
      <w:lvlJc w:val="left"/>
      <w:pPr>
        <w:ind w:left="720" w:hanging="360"/>
      </w:pPr>
      <w:rPr>
        <w:rFonts w:ascii="Symbol" w:hAnsi="Symbol"/>
      </w:rPr>
    </w:lvl>
    <w:lvl w:ilvl="2" w:tplc="331C196E">
      <w:start w:val="1"/>
      <w:numFmt w:val="bullet"/>
      <w:lvlText w:val=""/>
      <w:lvlJc w:val="left"/>
      <w:pPr>
        <w:ind w:left="720" w:hanging="360"/>
      </w:pPr>
      <w:rPr>
        <w:rFonts w:ascii="Symbol" w:hAnsi="Symbol"/>
      </w:rPr>
    </w:lvl>
    <w:lvl w:ilvl="3" w:tplc="1548BE9A">
      <w:start w:val="1"/>
      <w:numFmt w:val="bullet"/>
      <w:lvlText w:val=""/>
      <w:lvlJc w:val="left"/>
      <w:pPr>
        <w:ind w:left="720" w:hanging="360"/>
      </w:pPr>
      <w:rPr>
        <w:rFonts w:ascii="Symbol" w:hAnsi="Symbol"/>
      </w:rPr>
    </w:lvl>
    <w:lvl w:ilvl="4" w:tplc="960E1608">
      <w:start w:val="1"/>
      <w:numFmt w:val="bullet"/>
      <w:lvlText w:val=""/>
      <w:lvlJc w:val="left"/>
      <w:pPr>
        <w:ind w:left="720" w:hanging="360"/>
      </w:pPr>
      <w:rPr>
        <w:rFonts w:ascii="Symbol" w:hAnsi="Symbol"/>
      </w:rPr>
    </w:lvl>
    <w:lvl w:ilvl="5" w:tplc="9D1A5B72">
      <w:start w:val="1"/>
      <w:numFmt w:val="bullet"/>
      <w:lvlText w:val=""/>
      <w:lvlJc w:val="left"/>
      <w:pPr>
        <w:ind w:left="720" w:hanging="360"/>
      </w:pPr>
      <w:rPr>
        <w:rFonts w:ascii="Symbol" w:hAnsi="Symbol"/>
      </w:rPr>
    </w:lvl>
    <w:lvl w:ilvl="6" w:tplc="9114342C">
      <w:start w:val="1"/>
      <w:numFmt w:val="bullet"/>
      <w:lvlText w:val=""/>
      <w:lvlJc w:val="left"/>
      <w:pPr>
        <w:ind w:left="720" w:hanging="360"/>
      </w:pPr>
      <w:rPr>
        <w:rFonts w:ascii="Symbol" w:hAnsi="Symbol"/>
      </w:rPr>
    </w:lvl>
    <w:lvl w:ilvl="7" w:tplc="C8D06612">
      <w:start w:val="1"/>
      <w:numFmt w:val="bullet"/>
      <w:lvlText w:val=""/>
      <w:lvlJc w:val="left"/>
      <w:pPr>
        <w:ind w:left="720" w:hanging="360"/>
      </w:pPr>
      <w:rPr>
        <w:rFonts w:ascii="Symbol" w:hAnsi="Symbol"/>
      </w:rPr>
    </w:lvl>
    <w:lvl w:ilvl="8" w:tplc="55AAE946">
      <w:start w:val="1"/>
      <w:numFmt w:val="bullet"/>
      <w:lvlText w:val=""/>
      <w:lvlJc w:val="left"/>
      <w:pPr>
        <w:ind w:left="720" w:hanging="360"/>
      </w:pPr>
      <w:rPr>
        <w:rFonts w:ascii="Symbol" w:hAnsi="Symbol"/>
      </w:rPr>
    </w:lvl>
  </w:abstractNum>
  <w:abstractNum w:abstractNumId="19" w15:restartNumberingAfterBreak="0">
    <w:nsid w:val="21C13090"/>
    <w:multiLevelType w:val="hybridMultilevel"/>
    <w:tmpl w:val="94DE82D0"/>
    <w:lvl w:ilvl="0" w:tplc="FC1E9CD0">
      <w:start w:val="1"/>
      <w:numFmt w:val="bullet"/>
      <w:lvlText w:val=""/>
      <w:lvlJc w:val="left"/>
      <w:pPr>
        <w:ind w:left="720" w:hanging="360"/>
      </w:pPr>
      <w:rPr>
        <w:rFonts w:ascii="Symbol" w:hAnsi="Symbol"/>
      </w:rPr>
    </w:lvl>
    <w:lvl w:ilvl="1" w:tplc="66985EF6">
      <w:start w:val="1"/>
      <w:numFmt w:val="bullet"/>
      <w:lvlText w:val=""/>
      <w:lvlJc w:val="left"/>
      <w:pPr>
        <w:ind w:left="720" w:hanging="360"/>
      </w:pPr>
      <w:rPr>
        <w:rFonts w:ascii="Symbol" w:hAnsi="Symbol"/>
      </w:rPr>
    </w:lvl>
    <w:lvl w:ilvl="2" w:tplc="9790FAF8">
      <w:start w:val="1"/>
      <w:numFmt w:val="bullet"/>
      <w:lvlText w:val=""/>
      <w:lvlJc w:val="left"/>
      <w:pPr>
        <w:ind w:left="720" w:hanging="360"/>
      </w:pPr>
      <w:rPr>
        <w:rFonts w:ascii="Symbol" w:hAnsi="Symbol"/>
      </w:rPr>
    </w:lvl>
    <w:lvl w:ilvl="3" w:tplc="82CA1938">
      <w:start w:val="1"/>
      <w:numFmt w:val="bullet"/>
      <w:lvlText w:val=""/>
      <w:lvlJc w:val="left"/>
      <w:pPr>
        <w:ind w:left="720" w:hanging="360"/>
      </w:pPr>
      <w:rPr>
        <w:rFonts w:ascii="Symbol" w:hAnsi="Symbol"/>
      </w:rPr>
    </w:lvl>
    <w:lvl w:ilvl="4" w:tplc="FC4C8B92">
      <w:start w:val="1"/>
      <w:numFmt w:val="bullet"/>
      <w:lvlText w:val=""/>
      <w:lvlJc w:val="left"/>
      <w:pPr>
        <w:ind w:left="720" w:hanging="360"/>
      </w:pPr>
      <w:rPr>
        <w:rFonts w:ascii="Symbol" w:hAnsi="Symbol"/>
      </w:rPr>
    </w:lvl>
    <w:lvl w:ilvl="5" w:tplc="D5DA8790">
      <w:start w:val="1"/>
      <w:numFmt w:val="bullet"/>
      <w:lvlText w:val=""/>
      <w:lvlJc w:val="left"/>
      <w:pPr>
        <w:ind w:left="720" w:hanging="360"/>
      </w:pPr>
      <w:rPr>
        <w:rFonts w:ascii="Symbol" w:hAnsi="Symbol"/>
      </w:rPr>
    </w:lvl>
    <w:lvl w:ilvl="6" w:tplc="3A20641C">
      <w:start w:val="1"/>
      <w:numFmt w:val="bullet"/>
      <w:lvlText w:val=""/>
      <w:lvlJc w:val="left"/>
      <w:pPr>
        <w:ind w:left="720" w:hanging="360"/>
      </w:pPr>
      <w:rPr>
        <w:rFonts w:ascii="Symbol" w:hAnsi="Symbol"/>
      </w:rPr>
    </w:lvl>
    <w:lvl w:ilvl="7" w:tplc="E28CA030">
      <w:start w:val="1"/>
      <w:numFmt w:val="bullet"/>
      <w:lvlText w:val=""/>
      <w:lvlJc w:val="left"/>
      <w:pPr>
        <w:ind w:left="720" w:hanging="360"/>
      </w:pPr>
      <w:rPr>
        <w:rFonts w:ascii="Symbol" w:hAnsi="Symbol"/>
      </w:rPr>
    </w:lvl>
    <w:lvl w:ilvl="8" w:tplc="EAD8FFBE">
      <w:start w:val="1"/>
      <w:numFmt w:val="bullet"/>
      <w:lvlText w:val=""/>
      <w:lvlJc w:val="left"/>
      <w:pPr>
        <w:ind w:left="720" w:hanging="360"/>
      </w:pPr>
      <w:rPr>
        <w:rFonts w:ascii="Symbol" w:hAnsi="Symbol"/>
      </w:rPr>
    </w:lvl>
  </w:abstractNum>
  <w:abstractNum w:abstractNumId="20" w15:restartNumberingAfterBreak="0">
    <w:nsid w:val="2E8C6A09"/>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2EF472C7"/>
    <w:multiLevelType w:val="hybridMultilevel"/>
    <w:tmpl w:val="0386679A"/>
    <w:lvl w:ilvl="0" w:tplc="FA02D6DA">
      <w:start w:val="1"/>
      <w:numFmt w:val="decimal"/>
      <w:lvlText w:val="%1)"/>
      <w:lvlJc w:val="left"/>
      <w:pPr>
        <w:ind w:left="1020" w:hanging="360"/>
      </w:pPr>
    </w:lvl>
    <w:lvl w:ilvl="1" w:tplc="159AF1AC">
      <w:start w:val="1"/>
      <w:numFmt w:val="decimal"/>
      <w:lvlText w:val="%2)"/>
      <w:lvlJc w:val="left"/>
      <w:pPr>
        <w:ind w:left="1020" w:hanging="360"/>
      </w:pPr>
    </w:lvl>
    <w:lvl w:ilvl="2" w:tplc="0D4EC63A">
      <w:start w:val="1"/>
      <w:numFmt w:val="decimal"/>
      <w:lvlText w:val="%3)"/>
      <w:lvlJc w:val="left"/>
      <w:pPr>
        <w:ind w:left="1020" w:hanging="360"/>
      </w:pPr>
    </w:lvl>
    <w:lvl w:ilvl="3" w:tplc="4EC069B8">
      <w:start w:val="1"/>
      <w:numFmt w:val="decimal"/>
      <w:lvlText w:val="%4)"/>
      <w:lvlJc w:val="left"/>
      <w:pPr>
        <w:ind w:left="1020" w:hanging="360"/>
      </w:pPr>
    </w:lvl>
    <w:lvl w:ilvl="4" w:tplc="2862C494">
      <w:start w:val="1"/>
      <w:numFmt w:val="decimal"/>
      <w:lvlText w:val="%5)"/>
      <w:lvlJc w:val="left"/>
      <w:pPr>
        <w:ind w:left="1020" w:hanging="360"/>
      </w:pPr>
    </w:lvl>
    <w:lvl w:ilvl="5" w:tplc="11BCA6AC">
      <w:start w:val="1"/>
      <w:numFmt w:val="decimal"/>
      <w:lvlText w:val="%6)"/>
      <w:lvlJc w:val="left"/>
      <w:pPr>
        <w:ind w:left="1020" w:hanging="360"/>
      </w:pPr>
    </w:lvl>
    <w:lvl w:ilvl="6" w:tplc="B7003248">
      <w:start w:val="1"/>
      <w:numFmt w:val="decimal"/>
      <w:lvlText w:val="%7)"/>
      <w:lvlJc w:val="left"/>
      <w:pPr>
        <w:ind w:left="1020" w:hanging="360"/>
      </w:pPr>
    </w:lvl>
    <w:lvl w:ilvl="7" w:tplc="72BE4AF8">
      <w:start w:val="1"/>
      <w:numFmt w:val="decimal"/>
      <w:lvlText w:val="%8)"/>
      <w:lvlJc w:val="left"/>
      <w:pPr>
        <w:ind w:left="1020" w:hanging="360"/>
      </w:pPr>
    </w:lvl>
    <w:lvl w:ilvl="8" w:tplc="5BAA06F4">
      <w:start w:val="1"/>
      <w:numFmt w:val="decimal"/>
      <w:lvlText w:val="%9)"/>
      <w:lvlJc w:val="left"/>
      <w:pPr>
        <w:ind w:left="1020" w:hanging="360"/>
      </w:pPr>
    </w:lvl>
  </w:abstractNum>
  <w:abstractNum w:abstractNumId="22" w15:restartNumberingAfterBreak="0">
    <w:nsid w:val="326B5F52"/>
    <w:multiLevelType w:val="multilevel"/>
    <w:tmpl w:val="3FCCD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8635A0B"/>
    <w:multiLevelType w:val="hybridMultilevel"/>
    <w:tmpl w:val="5492D5C0"/>
    <w:lvl w:ilvl="0" w:tplc="9F90C2C0">
      <w:start w:val="1"/>
      <w:numFmt w:val="bullet"/>
      <w:lvlText w:val=""/>
      <w:lvlJc w:val="left"/>
      <w:pPr>
        <w:ind w:left="720" w:hanging="360"/>
      </w:pPr>
      <w:rPr>
        <w:rFonts w:ascii="Symbol" w:hAnsi="Symbol"/>
      </w:rPr>
    </w:lvl>
    <w:lvl w:ilvl="1" w:tplc="B080C1CC">
      <w:start w:val="1"/>
      <w:numFmt w:val="bullet"/>
      <w:lvlText w:val=""/>
      <w:lvlJc w:val="left"/>
      <w:pPr>
        <w:ind w:left="720" w:hanging="360"/>
      </w:pPr>
      <w:rPr>
        <w:rFonts w:ascii="Symbol" w:hAnsi="Symbol"/>
      </w:rPr>
    </w:lvl>
    <w:lvl w:ilvl="2" w:tplc="43EC10DE">
      <w:start w:val="1"/>
      <w:numFmt w:val="bullet"/>
      <w:lvlText w:val=""/>
      <w:lvlJc w:val="left"/>
      <w:pPr>
        <w:ind w:left="720" w:hanging="360"/>
      </w:pPr>
      <w:rPr>
        <w:rFonts w:ascii="Symbol" w:hAnsi="Symbol"/>
      </w:rPr>
    </w:lvl>
    <w:lvl w:ilvl="3" w:tplc="68C000AC">
      <w:start w:val="1"/>
      <w:numFmt w:val="bullet"/>
      <w:lvlText w:val=""/>
      <w:lvlJc w:val="left"/>
      <w:pPr>
        <w:ind w:left="720" w:hanging="360"/>
      </w:pPr>
      <w:rPr>
        <w:rFonts w:ascii="Symbol" w:hAnsi="Symbol"/>
      </w:rPr>
    </w:lvl>
    <w:lvl w:ilvl="4" w:tplc="003E9FD8">
      <w:start w:val="1"/>
      <w:numFmt w:val="bullet"/>
      <w:lvlText w:val=""/>
      <w:lvlJc w:val="left"/>
      <w:pPr>
        <w:ind w:left="720" w:hanging="360"/>
      </w:pPr>
      <w:rPr>
        <w:rFonts w:ascii="Symbol" w:hAnsi="Symbol"/>
      </w:rPr>
    </w:lvl>
    <w:lvl w:ilvl="5" w:tplc="CC26749C">
      <w:start w:val="1"/>
      <w:numFmt w:val="bullet"/>
      <w:lvlText w:val=""/>
      <w:lvlJc w:val="left"/>
      <w:pPr>
        <w:ind w:left="720" w:hanging="360"/>
      </w:pPr>
      <w:rPr>
        <w:rFonts w:ascii="Symbol" w:hAnsi="Symbol"/>
      </w:rPr>
    </w:lvl>
    <w:lvl w:ilvl="6" w:tplc="286298F2">
      <w:start w:val="1"/>
      <w:numFmt w:val="bullet"/>
      <w:lvlText w:val=""/>
      <w:lvlJc w:val="left"/>
      <w:pPr>
        <w:ind w:left="720" w:hanging="360"/>
      </w:pPr>
      <w:rPr>
        <w:rFonts w:ascii="Symbol" w:hAnsi="Symbol"/>
      </w:rPr>
    </w:lvl>
    <w:lvl w:ilvl="7" w:tplc="E5DA8096">
      <w:start w:val="1"/>
      <w:numFmt w:val="bullet"/>
      <w:lvlText w:val=""/>
      <w:lvlJc w:val="left"/>
      <w:pPr>
        <w:ind w:left="720" w:hanging="360"/>
      </w:pPr>
      <w:rPr>
        <w:rFonts w:ascii="Symbol" w:hAnsi="Symbol"/>
      </w:rPr>
    </w:lvl>
    <w:lvl w:ilvl="8" w:tplc="62AE1BC2">
      <w:start w:val="1"/>
      <w:numFmt w:val="bullet"/>
      <w:lvlText w:val=""/>
      <w:lvlJc w:val="left"/>
      <w:pPr>
        <w:ind w:left="720" w:hanging="360"/>
      </w:pPr>
      <w:rPr>
        <w:rFonts w:ascii="Symbol" w:hAnsi="Symbol"/>
      </w:rPr>
    </w:lvl>
  </w:abstractNum>
  <w:abstractNum w:abstractNumId="24" w15:restartNumberingAfterBreak="0">
    <w:nsid w:val="39373587"/>
    <w:multiLevelType w:val="hybridMultilevel"/>
    <w:tmpl w:val="79E0EC28"/>
    <w:lvl w:ilvl="0" w:tplc="0C090001">
      <w:start w:val="1"/>
      <w:numFmt w:val="bullet"/>
      <w:lvlText w:val=""/>
      <w:lvlJc w:val="left"/>
      <w:pPr>
        <w:ind w:left="773" w:hanging="360"/>
      </w:pPr>
      <w:rPr>
        <w:rFonts w:ascii="Symbol" w:hAnsi="Symbol" w:hint="default"/>
      </w:rPr>
    </w:lvl>
    <w:lvl w:ilvl="1" w:tplc="0C090003" w:tentative="1">
      <w:start w:val="1"/>
      <w:numFmt w:val="bullet"/>
      <w:lvlText w:val="o"/>
      <w:lvlJc w:val="left"/>
      <w:pPr>
        <w:ind w:left="1493" w:hanging="360"/>
      </w:pPr>
      <w:rPr>
        <w:rFonts w:ascii="Courier New" w:hAnsi="Courier New" w:cs="Courier New" w:hint="default"/>
      </w:rPr>
    </w:lvl>
    <w:lvl w:ilvl="2" w:tplc="0C090005" w:tentative="1">
      <w:start w:val="1"/>
      <w:numFmt w:val="bullet"/>
      <w:lvlText w:val=""/>
      <w:lvlJc w:val="left"/>
      <w:pPr>
        <w:ind w:left="2213" w:hanging="360"/>
      </w:pPr>
      <w:rPr>
        <w:rFonts w:ascii="Wingdings" w:hAnsi="Wingdings" w:hint="default"/>
      </w:rPr>
    </w:lvl>
    <w:lvl w:ilvl="3" w:tplc="0C090001" w:tentative="1">
      <w:start w:val="1"/>
      <w:numFmt w:val="bullet"/>
      <w:lvlText w:val=""/>
      <w:lvlJc w:val="left"/>
      <w:pPr>
        <w:ind w:left="2933" w:hanging="360"/>
      </w:pPr>
      <w:rPr>
        <w:rFonts w:ascii="Symbol" w:hAnsi="Symbol" w:hint="default"/>
      </w:rPr>
    </w:lvl>
    <w:lvl w:ilvl="4" w:tplc="0C090003" w:tentative="1">
      <w:start w:val="1"/>
      <w:numFmt w:val="bullet"/>
      <w:lvlText w:val="o"/>
      <w:lvlJc w:val="left"/>
      <w:pPr>
        <w:ind w:left="3653" w:hanging="360"/>
      </w:pPr>
      <w:rPr>
        <w:rFonts w:ascii="Courier New" w:hAnsi="Courier New" w:cs="Courier New" w:hint="default"/>
      </w:rPr>
    </w:lvl>
    <w:lvl w:ilvl="5" w:tplc="0C090005" w:tentative="1">
      <w:start w:val="1"/>
      <w:numFmt w:val="bullet"/>
      <w:lvlText w:val=""/>
      <w:lvlJc w:val="left"/>
      <w:pPr>
        <w:ind w:left="4373" w:hanging="360"/>
      </w:pPr>
      <w:rPr>
        <w:rFonts w:ascii="Wingdings" w:hAnsi="Wingdings" w:hint="default"/>
      </w:rPr>
    </w:lvl>
    <w:lvl w:ilvl="6" w:tplc="0C090001" w:tentative="1">
      <w:start w:val="1"/>
      <w:numFmt w:val="bullet"/>
      <w:lvlText w:val=""/>
      <w:lvlJc w:val="left"/>
      <w:pPr>
        <w:ind w:left="5093" w:hanging="360"/>
      </w:pPr>
      <w:rPr>
        <w:rFonts w:ascii="Symbol" w:hAnsi="Symbol" w:hint="default"/>
      </w:rPr>
    </w:lvl>
    <w:lvl w:ilvl="7" w:tplc="0C090003" w:tentative="1">
      <w:start w:val="1"/>
      <w:numFmt w:val="bullet"/>
      <w:lvlText w:val="o"/>
      <w:lvlJc w:val="left"/>
      <w:pPr>
        <w:ind w:left="5813" w:hanging="360"/>
      </w:pPr>
      <w:rPr>
        <w:rFonts w:ascii="Courier New" w:hAnsi="Courier New" w:cs="Courier New" w:hint="default"/>
      </w:rPr>
    </w:lvl>
    <w:lvl w:ilvl="8" w:tplc="0C090005" w:tentative="1">
      <w:start w:val="1"/>
      <w:numFmt w:val="bullet"/>
      <w:lvlText w:val=""/>
      <w:lvlJc w:val="left"/>
      <w:pPr>
        <w:ind w:left="6533" w:hanging="360"/>
      </w:pPr>
      <w:rPr>
        <w:rFonts w:ascii="Wingdings" w:hAnsi="Wingdings" w:hint="default"/>
      </w:rPr>
    </w:lvl>
  </w:abstractNum>
  <w:abstractNum w:abstractNumId="25" w15:restartNumberingAfterBreak="0">
    <w:nsid w:val="3D151F96"/>
    <w:multiLevelType w:val="hybridMultilevel"/>
    <w:tmpl w:val="CA222870"/>
    <w:lvl w:ilvl="0" w:tplc="3F84F7E0">
      <w:start w:val="1"/>
      <w:numFmt w:val="decimal"/>
      <w:lvlText w:val="%1."/>
      <w:lvlJc w:val="left"/>
      <w:pPr>
        <w:tabs>
          <w:tab w:val="num" w:pos="2160"/>
        </w:tabs>
        <w:ind w:left="2160" w:hanging="720"/>
      </w:pPr>
      <w:rPr>
        <w:rFonts w:hint="default"/>
      </w:rPr>
    </w:lvl>
    <w:lvl w:ilvl="1" w:tplc="0C090019" w:tentative="1">
      <w:start w:val="1"/>
      <w:numFmt w:val="lowerLetter"/>
      <w:lvlText w:val="%2."/>
      <w:lvlJc w:val="left"/>
      <w:pPr>
        <w:tabs>
          <w:tab w:val="num" w:pos="2160"/>
        </w:tabs>
        <w:ind w:left="2160" w:hanging="360"/>
      </w:pPr>
    </w:lvl>
    <w:lvl w:ilvl="2" w:tplc="0C09001B" w:tentative="1">
      <w:start w:val="1"/>
      <w:numFmt w:val="lowerRoman"/>
      <w:lvlText w:val="%3."/>
      <w:lvlJc w:val="right"/>
      <w:pPr>
        <w:tabs>
          <w:tab w:val="num" w:pos="2880"/>
        </w:tabs>
        <w:ind w:left="2880" w:hanging="180"/>
      </w:pPr>
    </w:lvl>
    <w:lvl w:ilvl="3" w:tplc="0C09000F" w:tentative="1">
      <w:start w:val="1"/>
      <w:numFmt w:val="decimal"/>
      <w:lvlText w:val="%4."/>
      <w:lvlJc w:val="left"/>
      <w:pPr>
        <w:tabs>
          <w:tab w:val="num" w:pos="3600"/>
        </w:tabs>
        <w:ind w:left="3600" w:hanging="360"/>
      </w:pPr>
    </w:lvl>
    <w:lvl w:ilvl="4" w:tplc="0C090019" w:tentative="1">
      <w:start w:val="1"/>
      <w:numFmt w:val="lowerLetter"/>
      <w:lvlText w:val="%5."/>
      <w:lvlJc w:val="left"/>
      <w:pPr>
        <w:tabs>
          <w:tab w:val="num" w:pos="4320"/>
        </w:tabs>
        <w:ind w:left="4320" w:hanging="360"/>
      </w:pPr>
    </w:lvl>
    <w:lvl w:ilvl="5" w:tplc="0C09001B" w:tentative="1">
      <w:start w:val="1"/>
      <w:numFmt w:val="lowerRoman"/>
      <w:lvlText w:val="%6."/>
      <w:lvlJc w:val="right"/>
      <w:pPr>
        <w:tabs>
          <w:tab w:val="num" w:pos="5040"/>
        </w:tabs>
        <w:ind w:left="5040" w:hanging="180"/>
      </w:pPr>
    </w:lvl>
    <w:lvl w:ilvl="6" w:tplc="0C09000F" w:tentative="1">
      <w:start w:val="1"/>
      <w:numFmt w:val="decimal"/>
      <w:lvlText w:val="%7."/>
      <w:lvlJc w:val="left"/>
      <w:pPr>
        <w:tabs>
          <w:tab w:val="num" w:pos="5760"/>
        </w:tabs>
        <w:ind w:left="5760" w:hanging="360"/>
      </w:pPr>
    </w:lvl>
    <w:lvl w:ilvl="7" w:tplc="0C090019" w:tentative="1">
      <w:start w:val="1"/>
      <w:numFmt w:val="lowerLetter"/>
      <w:lvlText w:val="%8."/>
      <w:lvlJc w:val="left"/>
      <w:pPr>
        <w:tabs>
          <w:tab w:val="num" w:pos="6480"/>
        </w:tabs>
        <w:ind w:left="6480" w:hanging="360"/>
      </w:pPr>
    </w:lvl>
    <w:lvl w:ilvl="8" w:tplc="0C09001B" w:tentative="1">
      <w:start w:val="1"/>
      <w:numFmt w:val="lowerRoman"/>
      <w:lvlText w:val="%9."/>
      <w:lvlJc w:val="right"/>
      <w:pPr>
        <w:tabs>
          <w:tab w:val="num" w:pos="7200"/>
        </w:tabs>
        <w:ind w:left="7200" w:hanging="180"/>
      </w:pPr>
    </w:lvl>
  </w:abstractNum>
  <w:abstractNum w:abstractNumId="26" w15:restartNumberingAfterBreak="0">
    <w:nsid w:val="3D6475AC"/>
    <w:multiLevelType w:val="hybridMultilevel"/>
    <w:tmpl w:val="4676AEDE"/>
    <w:lvl w:ilvl="0" w:tplc="22C2AF40">
      <w:start w:val="1"/>
      <w:numFmt w:val="bullet"/>
      <w:lvlText w:val=""/>
      <w:lvlJc w:val="left"/>
      <w:pPr>
        <w:ind w:left="720" w:hanging="360"/>
      </w:pPr>
      <w:rPr>
        <w:rFonts w:ascii="Symbol" w:hAnsi="Symbol"/>
      </w:rPr>
    </w:lvl>
    <w:lvl w:ilvl="1" w:tplc="D3A8668A">
      <w:start w:val="1"/>
      <w:numFmt w:val="bullet"/>
      <w:lvlText w:val=""/>
      <w:lvlJc w:val="left"/>
      <w:pPr>
        <w:ind w:left="720" w:hanging="360"/>
      </w:pPr>
      <w:rPr>
        <w:rFonts w:ascii="Symbol" w:hAnsi="Symbol"/>
      </w:rPr>
    </w:lvl>
    <w:lvl w:ilvl="2" w:tplc="3AAC2E18">
      <w:start w:val="1"/>
      <w:numFmt w:val="bullet"/>
      <w:lvlText w:val=""/>
      <w:lvlJc w:val="left"/>
      <w:pPr>
        <w:ind w:left="720" w:hanging="360"/>
      </w:pPr>
      <w:rPr>
        <w:rFonts w:ascii="Symbol" w:hAnsi="Symbol"/>
      </w:rPr>
    </w:lvl>
    <w:lvl w:ilvl="3" w:tplc="B2E2024A">
      <w:start w:val="1"/>
      <w:numFmt w:val="bullet"/>
      <w:lvlText w:val=""/>
      <w:lvlJc w:val="left"/>
      <w:pPr>
        <w:ind w:left="720" w:hanging="360"/>
      </w:pPr>
      <w:rPr>
        <w:rFonts w:ascii="Symbol" w:hAnsi="Symbol"/>
      </w:rPr>
    </w:lvl>
    <w:lvl w:ilvl="4" w:tplc="2C68FF40">
      <w:start w:val="1"/>
      <w:numFmt w:val="bullet"/>
      <w:lvlText w:val=""/>
      <w:lvlJc w:val="left"/>
      <w:pPr>
        <w:ind w:left="720" w:hanging="360"/>
      </w:pPr>
      <w:rPr>
        <w:rFonts w:ascii="Symbol" w:hAnsi="Symbol"/>
      </w:rPr>
    </w:lvl>
    <w:lvl w:ilvl="5" w:tplc="E17AC074">
      <w:start w:val="1"/>
      <w:numFmt w:val="bullet"/>
      <w:lvlText w:val=""/>
      <w:lvlJc w:val="left"/>
      <w:pPr>
        <w:ind w:left="720" w:hanging="360"/>
      </w:pPr>
      <w:rPr>
        <w:rFonts w:ascii="Symbol" w:hAnsi="Symbol"/>
      </w:rPr>
    </w:lvl>
    <w:lvl w:ilvl="6" w:tplc="9CF4B194">
      <w:start w:val="1"/>
      <w:numFmt w:val="bullet"/>
      <w:lvlText w:val=""/>
      <w:lvlJc w:val="left"/>
      <w:pPr>
        <w:ind w:left="720" w:hanging="360"/>
      </w:pPr>
      <w:rPr>
        <w:rFonts w:ascii="Symbol" w:hAnsi="Symbol"/>
      </w:rPr>
    </w:lvl>
    <w:lvl w:ilvl="7" w:tplc="29588C12">
      <w:start w:val="1"/>
      <w:numFmt w:val="bullet"/>
      <w:lvlText w:val=""/>
      <w:lvlJc w:val="left"/>
      <w:pPr>
        <w:ind w:left="720" w:hanging="360"/>
      </w:pPr>
      <w:rPr>
        <w:rFonts w:ascii="Symbol" w:hAnsi="Symbol"/>
      </w:rPr>
    </w:lvl>
    <w:lvl w:ilvl="8" w:tplc="04129878">
      <w:start w:val="1"/>
      <w:numFmt w:val="bullet"/>
      <w:lvlText w:val=""/>
      <w:lvlJc w:val="left"/>
      <w:pPr>
        <w:ind w:left="720" w:hanging="360"/>
      </w:pPr>
      <w:rPr>
        <w:rFonts w:ascii="Symbol" w:hAnsi="Symbol"/>
      </w:rPr>
    </w:lvl>
  </w:abstractNum>
  <w:abstractNum w:abstractNumId="27" w15:restartNumberingAfterBreak="0">
    <w:nsid w:val="3E160C82"/>
    <w:multiLevelType w:val="multilevel"/>
    <w:tmpl w:val="0C3A8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FF01F1A"/>
    <w:multiLevelType w:val="hybridMultilevel"/>
    <w:tmpl w:val="A2725F5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9" w15:restartNumberingAfterBreak="0">
    <w:nsid w:val="40716286"/>
    <w:multiLevelType w:val="multilevel"/>
    <w:tmpl w:val="D7D6E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37A52EA"/>
    <w:multiLevelType w:val="hybridMultilevel"/>
    <w:tmpl w:val="59E6264E"/>
    <w:lvl w:ilvl="0" w:tplc="DAC43CFC">
      <w:start w:val="1"/>
      <w:numFmt w:val="bullet"/>
      <w:lvlText w:val=""/>
      <w:lvlJc w:val="left"/>
      <w:pPr>
        <w:ind w:left="720" w:hanging="360"/>
      </w:pPr>
      <w:rPr>
        <w:rFonts w:ascii="Symbol" w:hAnsi="Symbol"/>
      </w:rPr>
    </w:lvl>
    <w:lvl w:ilvl="1" w:tplc="E1121EC2">
      <w:start w:val="1"/>
      <w:numFmt w:val="bullet"/>
      <w:lvlText w:val=""/>
      <w:lvlJc w:val="left"/>
      <w:pPr>
        <w:ind w:left="720" w:hanging="360"/>
      </w:pPr>
      <w:rPr>
        <w:rFonts w:ascii="Symbol" w:hAnsi="Symbol"/>
      </w:rPr>
    </w:lvl>
    <w:lvl w:ilvl="2" w:tplc="4CDAD974">
      <w:start w:val="1"/>
      <w:numFmt w:val="bullet"/>
      <w:lvlText w:val=""/>
      <w:lvlJc w:val="left"/>
      <w:pPr>
        <w:ind w:left="720" w:hanging="360"/>
      </w:pPr>
      <w:rPr>
        <w:rFonts w:ascii="Symbol" w:hAnsi="Symbol"/>
      </w:rPr>
    </w:lvl>
    <w:lvl w:ilvl="3" w:tplc="F7ECD72E">
      <w:start w:val="1"/>
      <w:numFmt w:val="bullet"/>
      <w:lvlText w:val=""/>
      <w:lvlJc w:val="left"/>
      <w:pPr>
        <w:ind w:left="720" w:hanging="360"/>
      </w:pPr>
      <w:rPr>
        <w:rFonts w:ascii="Symbol" w:hAnsi="Symbol"/>
      </w:rPr>
    </w:lvl>
    <w:lvl w:ilvl="4" w:tplc="B4A002B6">
      <w:start w:val="1"/>
      <w:numFmt w:val="bullet"/>
      <w:lvlText w:val=""/>
      <w:lvlJc w:val="left"/>
      <w:pPr>
        <w:ind w:left="720" w:hanging="360"/>
      </w:pPr>
      <w:rPr>
        <w:rFonts w:ascii="Symbol" w:hAnsi="Symbol"/>
      </w:rPr>
    </w:lvl>
    <w:lvl w:ilvl="5" w:tplc="37E472E6">
      <w:start w:val="1"/>
      <w:numFmt w:val="bullet"/>
      <w:lvlText w:val=""/>
      <w:lvlJc w:val="left"/>
      <w:pPr>
        <w:ind w:left="720" w:hanging="360"/>
      </w:pPr>
      <w:rPr>
        <w:rFonts w:ascii="Symbol" w:hAnsi="Symbol"/>
      </w:rPr>
    </w:lvl>
    <w:lvl w:ilvl="6" w:tplc="6CAA2AB4">
      <w:start w:val="1"/>
      <w:numFmt w:val="bullet"/>
      <w:lvlText w:val=""/>
      <w:lvlJc w:val="left"/>
      <w:pPr>
        <w:ind w:left="720" w:hanging="360"/>
      </w:pPr>
      <w:rPr>
        <w:rFonts w:ascii="Symbol" w:hAnsi="Symbol"/>
      </w:rPr>
    </w:lvl>
    <w:lvl w:ilvl="7" w:tplc="C472031E">
      <w:start w:val="1"/>
      <w:numFmt w:val="bullet"/>
      <w:lvlText w:val=""/>
      <w:lvlJc w:val="left"/>
      <w:pPr>
        <w:ind w:left="720" w:hanging="360"/>
      </w:pPr>
      <w:rPr>
        <w:rFonts w:ascii="Symbol" w:hAnsi="Symbol"/>
      </w:rPr>
    </w:lvl>
    <w:lvl w:ilvl="8" w:tplc="CE9CF5EE">
      <w:start w:val="1"/>
      <w:numFmt w:val="bullet"/>
      <w:lvlText w:val=""/>
      <w:lvlJc w:val="left"/>
      <w:pPr>
        <w:ind w:left="720" w:hanging="360"/>
      </w:pPr>
      <w:rPr>
        <w:rFonts w:ascii="Symbol" w:hAnsi="Symbol"/>
      </w:rPr>
    </w:lvl>
  </w:abstractNum>
  <w:abstractNum w:abstractNumId="31" w15:restartNumberingAfterBreak="0">
    <w:nsid w:val="441D3D2F"/>
    <w:multiLevelType w:val="hybridMultilevel"/>
    <w:tmpl w:val="02AE1D7A"/>
    <w:lvl w:ilvl="0" w:tplc="229E520A">
      <w:start w:val="1"/>
      <w:numFmt w:val="bullet"/>
      <w:lvlText w:val=""/>
      <w:lvlJc w:val="left"/>
      <w:pPr>
        <w:ind w:left="720" w:hanging="360"/>
      </w:pPr>
      <w:rPr>
        <w:rFonts w:ascii="Symbol" w:hAnsi="Symbol"/>
      </w:rPr>
    </w:lvl>
    <w:lvl w:ilvl="1" w:tplc="B9BAB28C">
      <w:start w:val="1"/>
      <w:numFmt w:val="bullet"/>
      <w:lvlText w:val=""/>
      <w:lvlJc w:val="left"/>
      <w:pPr>
        <w:ind w:left="720" w:hanging="360"/>
      </w:pPr>
      <w:rPr>
        <w:rFonts w:ascii="Symbol" w:hAnsi="Symbol"/>
      </w:rPr>
    </w:lvl>
    <w:lvl w:ilvl="2" w:tplc="1672668A">
      <w:start w:val="1"/>
      <w:numFmt w:val="bullet"/>
      <w:lvlText w:val=""/>
      <w:lvlJc w:val="left"/>
      <w:pPr>
        <w:ind w:left="720" w:hanging="360"/>
      </w:pPr>
      <w:rPr>
        <w:rFonts w:ascii="Symbol" w:hAnsi="Symbol"/>
      </w:rPr>
    </w:lvl>
    <w:lvl w:ilvl="3" w:tplc="20C48184">
      <w:start w:val="1"/>
      <w:numFmt w:val="bullet"/>
      <w:lvlText w:val=""/>
      <w:lvlJc w:val="left"/>
      <w:pPr>
        <w:ind w:left="720" w:hanging="360"/>
      </w:pPr>
      <w:rPr>
        <w:rFonts w:ascii="Symbol" w:hAnsi="Symbol"/>
      </w:rPr>
    </w:lvl>
    <w:lvl w:ilvl="4" w:tplc="27684846">
      <w:start w:val="1"/>
      <w:numFmt w:val="bullet"/>
      <w:lvlText w:val=""/>
      <w:lvlJc w:val="left"/>
      <w:pPr>
        <w:ind w:left="720" w:hanging="360"/>
      </w:pPr>
      <w:rPr>
        <w:rFonts w:ascii="Symbol" w:hAnsi="Symbol"/>
      </w:rPr>
    </w:lvl>
    <w:lvl w:ilvl="5" w:tplc="0240A01A">
      <w:start w:val="1"/>
      <w:numFmt w:val="bullet"/>
      <w:lvlText w:val=""/>
      <w:lvlJc w:val="left"/>
      <w:pPr>
        <w:ind w:left="720" w:hanging="360"/>
      </w:pPr>
      <w:rPr>
        <w:rFonts w:ascii="Symbol" w:hAnsi="Symbol"/>
      </w:rPr>
    </w:lvl>
    <w:lvl w:ilvl="6" w:tplc="6D46AF92">
      <w:start w:val="1"/>
      <w:numFmt w:val="bullet"/>
      <w:lvlText w:val=""/>
      <w:lvlJc w:val="left"/>
      <w:pPr>
        <w:ind w:left="720" w:hanging="360"/>
      </w:pPr>
      <w:rPr>
        <w:rFonts w:ascii="Symbol" w:hAnsi="Symbol"/>
      </w:rPr>
    </w:lvl>
    <w:lvl w:ilvl="7" w:tplc="EAECE94A">
      <w:start w:val="1"/>
      <w:numFmt w:val="bullet"/>
      <w:lvlText w:val=""/>
      <w:lvlJc w:val="left"/>
      <w:pPr>
        <w:ind w:left="720" w:hanging="360"/>
      </w:pPr>
      <w:rPr>
        <w:rFonts w:ascii="Symbol" w:hAnsi="Symbol"/>
      </w:rPr>
    </w:lvl>
    <w:lvl w:ilvl="8" w:tplc="545CA58A">
      <w:start w:val="1"/>
      <w:numFmt w:val="bullet"/>
      <w:lvlText w:val=""/>
      <w:lvlJc w:val="left"/>
      <w:pPr>
        <w:ind w:left="720" w:hanging="360"/>
      </w:pPr>
      <w:rPr>
        <w:rFonts w:ascii="Symbol" w:hAnsi="Symbol"/>
      </w:rPr>
    </w:lvl>
  </w:abstractNum>
  <w:abstractNum w:abstractNumId="32" w15:restartNumberingAfterBreak="0">
    <w:nsid w:val="447163E9"/>
    <w:multiLevelType w:val="hybridMultilevel"/>
    <w:tmpl w:val="6F023A3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3" w15:restartNumberingAfterBreak="0">
    <w:nsid w:val="480362CC"/>
    <w:multiLevelType w:val="hybridMultilevel"/>
    <w:tmpl w:val="1E24913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4" w15:restartNumberingAfterBreak="0">
    <w:nsid w:val="4A7943C2"/>
    <w:multiLevelType w:val="hybridMultilevel"/>
    <w:tmpl w:val="77D8FB18"/>
    <w:lvl w:ilvl="0" w:tplc="108C3F1C">
      <w:start w:val="1"/>
      <w:numFmt w:val="decimal"/>
      <w:lvlText w:val="%1"/>
      <w:lvlJc w:val="left"/>
      <w:pPr>
        <w:ind w:left="-360" w:hanging="360"/>
      </w:pPr>
      <w:rPr>
        <w:rFonts w:ascii="Univers" w:hAnsi="Univers" w:hint="default"/>
        <w:b w:val="0"/>
        <w:i w:val="0"/>
        <w:sz w:val="26"/>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15:restartNumberingAfterBreak="0">
    <w:nsid w:val="4BA00FB4"/>
    <w:multiLevelType w:val="hybridMultilevel"/>
    <w:tmpl w:val="224E5BE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6" w15:restartNumberingAfterBreak="0">
    <w:nsid w:val="4C8B22D4"/>
    <w:multiLevelType w:val="hybridMultilevel"/>
    <w:tmpl w:val="9F46F022"/>
    <w:lvl w:ilvl="0" w:tplc="129A1080">
      <w:start w:val="1"/>
      <w:numFmt w:val="bullet"/>
      <w:lvlText w:val=""/>
      <w:lvlJc w:val="left"/>
      <w:pPr>
        <w:ind w:left="720" w:hanging="360"/>
      </w:pPr>
      <w:rPr>
        <w:rFonts w:ascii="Symbol" w:hAnsi="Symbol"/>
      </w:rPr>
    </w:lvl>
    <w:lvl w:ilvl="1" w:tplc="7DC80822">
      <w:start w:val="1"/>
      <w:numFmt w:val="bullet"/>
      <w:lvlText w:val=""/>
      <w:lvlJc w:val="left"/>
      <w:pPr>
        <w:ind w:left="720" w:hanging="360"/>
      </w:pPr>
      <w:rPr>
        <w:rFonts w:ascii="Symbol" w:hAnsi="Symbol"/>
      </w:rPr>
    </w:lvl>
    <w:lvl w:ilvl="2" w:tplc="618CB50E">
      <w:start w:val="1"/>
      <w:numFmt w:val="bullet"/>
      <w:lvlText w:val=""/>
      <w:lvlJc w:val="left"/>
      <w:pPr>
        <w:ind w:left="720" w:hanging="360"/>
      </w:pPr>
      <w:rPr>
        <w:rFonts w:ascii="Symbol" w:hAnsi="Symbol"/>
      </w:rPr>
    </w:lvl>
    <w:lvl w:ilvl="3" w:tplc="609CC334">
      <w:start w:val="1"/>
      <w:numFmt w:val="bullet"/>
      <w:lvlText w:val=""/>
      <w:lvlJc w:val="left"/>
      <w:pPr>
        <w:ind w:left="720" w:hanging="360"/>
      </w:pPr>
      <w:rPr>
        <w:rFonts w:ascii="Symbol" w:hAnsi="Symbol"/>
      </w:rPr>
    </w:lvl>
    <w:lvl w:ilvl="4" w:tplc="1AF2FAEE">
      <w:start w:val="1"/>
      <w:numFmt w:val="bullet"/>
      <w:lvlText w:val=""/>
      <w:lvlJc w:val="left"/>
      <w:pPr>
        <w:ind w:left="720" w:hanging="360"/>
      </w:pPr>
      <w:rPr>
        <w:rFonts w:ascii="Symbol" w:hAnsi="Symbol"/>
      </w:rPr>
    </w:lvl>
    <w:lvl w:ilvl="5" w:tplc="2F068694">
      <w:start w:val="1"/>
      <w:numFmt w:val="bullet"/>
      <w:lvlText w:val=""/>
      <w:lvlJc w:val="left"/>
      <w:pPr>
        <w:ind w:left="720" w:hanging="360"/>
      </w:pPr>
      <w:rPr>
        <w:rFonts w:ascii="Symbol" w:hAnsi="Symbol"/>
      </w:rPr>
    </w:lvl>
    <w:lvl w:ilvl="6" w:tplc="47005902">
      <w:start w:val="1"/>
      <w:numFmt w:val="bullet"/>
      <w:lvlText w:val=""/>
      <w:lvlJc w:val="left"/>
      <w:pPr>
        <w:ind w:left="720" w:hanging="360"/>
      </w:pPr>
      <w:rPr>
        <w:rFonts w:ascii="Symbol" w:hAnsi="Symbol"/>
      </w:rPr>
    </w:lvl>
    <w:lvl w:ilvl="7" w:tplc="129C2B9C">
      <w:start w:val="1"/>
      <w:numFmt w:val="bullet"/>
      <w:lvlText w:val=""/>
      <w:lvlJc w:val="left"/>
      <w:pPr>
        <w:ind w:left="720" w:hanging="360"/>
      </w:pPr>
      <w:rPr>
        <w:rFonts w:ascii="Symbol" w:hAnsi="Symbol"/>
      </w:rPr>
    </w:lvl>
    <w:lvl w:ilvl="8" w:tplc="5108FFBE">
      <w:start w:val="1"/>
      <w:numFmt w:val="bullet"/>
      <w:lvlText w:val=""/>
      <w:lvlJc w:val="left"/>
      <w:pPr>
        <w:ind w:left="720" w:hanging="360"/>
      </w:pPr>
      <w:rPr>
        <w:rFonts w:ascii="Symbol" w:hAnsi="Symbol"/>
      </w:rPr>
    </w:lvl>
  </w:abstractNum>
  <w:abstractNum w:abstractNumId="37" w15:restartNumberingAfterBreak="0">
    <w:nsid w:val="5157302A"/>
    <w:multiLevelType w:val="hybridMultilevel"/>
    <w:tmpl w:val="CA744A46"/>
    <w:lvl w:ilvl="0" w:tplc="BAD650F2">
      <w:start w:val="1"/>
      <w:numFmt w:val="bullet"/>
      <w:lvlText w:val=""/>
      <w:lvlJc w:val="left"/>
      <w:pPr>
        <w:ind w:left="720" w:hanging="360"/>
      </w:pPr>
      <w:rPr>
        <w:rFonts w:ascii="Symbol" w:hAnsi="Symbol"/>
      </w:rPr>
    </w:lvl>
    <w:lvl w:ilvl="1" w:tplc="EE328538">
      <w:start w:val="1"/>
      <w:numFmt w:val="bullet"/>
      <w:lvlText w:val=""/>
      <w:lvlJc w:val="left"/>
      <w:pPr>
        <w:ind w:left="720" w:hanging="360"/>
      </w:pPr>
      <w:rPr>
        <w:rFonts w:ascii="Symbol" w:hAnsi="Symbol"/>
      </w:rPr>
    </w:lvl>
    <w:lvl w:ilvl="2" w:tplc="2EDE5204">
      <w:start w:val="1"/>
      <w:numFmt w:val="bullet"/>
      <w:lvlText w:val=""/>
      <w:lvlJc w:val="left"/>
      <w:pPr>
        <w:ind w:left="720" w:hanging="360"/>
      </w:pPr>
      <w:rPr>
        <w:rFonts w:ascii="Symbol" w:hAnsi="Symbol"/>
      </w:rPr>
    </w:lvl>
    <w:lvl w:ilvl="3" w:tplc="E82C970E">
      <w:start w:val="1"/>
      <w:numFmt w:val="bullet"/>
      <w:lvlText w:val=""/>
      <w:lvlJc w:val="left"/>
      <w:pPr>
        <w:ind w:left="720" w:hanging="360"/>
      </w:pPr>
      <w:rPr>
        <w:rFonts w:ascii="Symbol" w:hAnsi="Symbol"/>
      </w:rPr>
    </w:lvl>
    <w:lvl w:ilvl="4" w:tplc="8BACA6DE">
      <w:start w:val="1"/>
      <w:numFmt w:val="bullet"/>
      <w:lvlText w:val=""/>
      <w:lvlJc w:val="left"/>
      <w:pPr>
        <w:ind w:left="720" w:hanging="360"/>
      </w:pPr>
      <w:rPr>
        <w:rFonts w:ascii="Symbol" w:hAnsi="Symbol"/>
      </w:rPr>
    </w:lvl>
    <w:lvl w:ilvl="5" w:tplc="FC1E92F2">
      <w:start w:val="1"/>
      <w:numFmt w:val="bullet"/>
      <w:lvlText w:val=""/>
      <w:lvlJc w:val="left"/>
      <w:pPr>
        <w:ind w:left="720" w:hanging="360"/>
      </w:pPr>
      <w:rPr>
        <w:rFonts w:ascii="Symbol" w:hAnsi="Symbol"/>
      </w:rPr>
    </w:lvl>
    <w:lvl w:ilvl="6" w:tplc="D86AE6DC">
      <w:start w:val="1"/>
      <w:numFmt w:val="bullet"/>
      <w:lvlText w:val=""/>
      <w:lvlJc w:val="left"/>
      <w:pPr>
        <w:ind w:left="720" w:hanging="360"/>
      </w:pPr>
      <w:rPr>
        <w:rFonts w:ascii="Symbol" w:hAnsi="Symbol"/>
      </w:rPr>
    </w:lvl>
    <w:lvl w:ilvl="7" w:tplc="1B8C2E16">
      <w:start w:val="1"/>
      <w:numFmt w:val="bullet"/>
      <w:lvlText w:val=""/>
      <w:lvlJc w:val="left"/>
      <w:pPr>
        <w:ind w:left="720" w:hanging="360"/>
      </w:pPr>
      <w:rPr>
        <w:rFonts w:ascii="Symbol" w:hAnsi="Symbol"/>
      </w:rPr>
    </w:lvl>
    <w:lvl w:ilvl="8" w:tplc="77D25504">
      <w:start w:val="1"/>
      <w:numFmt w:val="bullet"/>
      <w:lvlText w:val=""/>
      <w:lvlJc w:val="left"/>
      <w:pPr>
        <w:ind w:left="720" w:hanging="360"/>
      </w:pPr>
      <w:rPr>
        <w:rFonts w:ascii="Symbol" w:hAnsi="Symbol"/>
      </w:rPr>
    </w:lvl>
  </w:abstractNum>
  <w:abstractNum w:abstractNumId="38" w15:restartNumberingAfterBreak="0">
    <w:nsid w:val="54D41666"/>
    <w:multiLevelType w:val="hybridMultilevel"/>
    <w:tmpl w:val="19BA59CE"/>
    <w:lvl w:ilvl="0" w:tplc="CE426716">
      <w:start w:val="1"/>
      <w:numFmt w:val="bullet"/>
      <w:lvlText w:val=""/>
      <w:lvlJc w:val="left"/>
      <w:pPr>
        <w:ind w:left="720" w:hanging="360"/>
      </w:pPr>
      <w:rPr>
        <w:rFonts w:ascii="Symbol" w:hAnsi="Symbol"/>
      </w:rPr>
    </w:lvl>
    <w:lvl w:ilvl="1" w:tplc="2140DBD4">
      <w:start w:val="1"/>
      <w:numFmt w:val="bullet"/>
      <w:lvlText w:val=""/>
      <w:lvlJc w:val="left"/>
      <w:pPr>
        <w:ind w:left="720" w:hanging="360"/>
      </w:pPr>
      <w:rPr>
        <w:rFonts w:ascii="Symbol" w:hAnsi="Symbol"/>
      </w:rPr>
    </w:lvl>
    <w:lvl w:ilvl="2" w:tplc="FB42C6F8">
      <w:start w:val="1"/>
      <w:numFmt w:val="bullet"/>
      <w:lvlText w:val=""/>
      <w:lvlJc w:val="left"/>
      <w:pPr>
        <w:ind w:left="720" w:hanging="360"/>
      </w:pPr>
      <w:rPr>
        <w:rFonts w:ascii="Symbol" w:hAnsi="Symbol"/>
      </w:rPr>
    </w:lvl>
    <w:lvl w:ilvl="3" w:tplc="CE122236">
      <w:start w:val="1"/>
      <w:numFmt w:val="bullet"/>
      <w:lvlText w:val=""/>
      <w:lvlJc w:val="left"/>
      <w:pPr>
        <w:ind w:left="720" w:hanging="360"/>
      </w:pPr>
      <w:rPr>
        <w:rFonts w:ascii="Symbol" w:hAnsi="Symbol"/>
      </w:rPr>
    </w:lvl>
    <w:lvl w:ilvl="4" w:tplc="F6DAAA7E">
      <w:start w:val="1"/>
      <w:numFmt w:val="bullet"/>
      <w:lvlText w:val=""/>
      <w:lvlJc w:val="left"/>
      <w:pPr>
        <w:ind w:left="720" w:hanging="360"/>
      </w:pPr>
      <w:rPr>
        <w:rFonts w:ascii="Symbol" w:hAnsi="Symbol"/>
      </w:rPr>
    </w:lvl>
    <w:lvl w:ilvl="5" w:tplc="2DDEF796">
      <w:start w:val="1"/>
      <w:numFmt w:val="bullet"/>
      <w:lvlText w:val=""/>
      <w:lvlJc w:val="left"/>
      <w:pPr>
        <w:ind w:left="720" w:hanging="360"/>
      </w:pPr>
      <w:rPr>
        <w:rFonts w:ascii="Symbol" w:hAnsi="Symbol"/>
      </w:rPr>
    </w:lvl>
    <w:lvl w:ilvl="6" w:tplc="E8B626A0">
      <w:start w:val="1"/>
      <w:numFmt w:val="bullet"/>
      <w:lvlText w:val=""/>
      <w:lvlJc w:val="left"/>
      <w:pPr>
        <w:ind w:left="720" w:hanging="360"/>
      </w:pPr>
      <w:rPr>
        <w:rFonts w:ascii="Symbol" w:hAnsi="Symbol"/>
      </w:rPr>
    </w:lvl>
    <w:lvl w:ilvl="7" w:tplc="17E2A0FC">
      <w:start w:val="1"/>
      <w:numFmt w:val="bullet"/>
      <w:lvlText w:val=""/>
      <w:lvlJc w:val="left"/>
      <w:pPr>
        <w:ind w:left="720" w:hanging="360"/>
      </w:pPr>
      <w:rPr>
        <w:rFonts w:ascii="Symbol" w:hAnsi="Symbol"/>
      </w:rPr>
    </w:lvl>
    <w:lvl w:ilvl="8" w:tplc="6C102BAA">
      <w:start w:val="1"/>
      <w:numFmt w:val="bullet"/>
      <w:lvlText w:val=""/>
      <w:lvlJc w:val="left"/>
      <w:pPr>
        <w:ind w:left="720" w:hanging="360"/>
      </w:pPr>
      <w:rPr>
        <w:rFonts w:ascii="Symbol" w:hAnsi="Symbol"/>
      </w:rPr>
    </w:lvl>
  </w:abstractNum>
  <w:abstractNum w:abstractNumId="39" w15:restartNumberingAfterBreak="0">
    <w:nsid w:val="557C4EEB"/>
    <w:multiLevelType w:val="multilevel"/>
    <w:tmpl w:val="0C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40" w15:restartNumberingAfterBreak="0">
    <w:nsid w:val="568E5B57"/>
    <w:multiLevelType w:val="hybridMultilevel"/>
    <w:tmpl w:val="DADCB6C6"/>
    <w:lvl w:ilvl="0" w:tplc="81B80EF8">
      <w:start w:val="1"/>
      <w:numFmt w:val="bullet"/>
      <w:lvlText w:val=""/>
      <w:lvlJc w:val="left"/>
      <w:pPr>
        <w:ind w:left="720" w:hanging="360"/>
      </w:pPr>
      <w:rPr>
        <w:rFonts w:ascii="Symbol" w:hAnsi="Symbol"/>
      </w:rPr>
    </w:lvl>
    <w:lvl w:ilvl="1" w:tplc="AE0A592C">
      <w:start w:val="1"/>
      <w:numFmt w:val="bullet"/>
      <w:lvlText w:val=""/>
      <w:lvlJc w:val="left"/>
      <w:pPr>
        <w:ind w:left="720" w:hanging="360"/>
      </w:pPr>
      <w:rPr>
        <w:rFonts w:ascii="Symbol" w:hAnsi="Symbol"/>
      </w:rPr>
    </w:lvl>
    <w:lvl w:ilvl="2" w:tplc="48681306">
      <w:start w:val="1"/>
      <w:numFmt w:val="bullet"/>
      <w:lvlText w:val=""/>
      <w:lvlJc w:val="left"/>
      <w:pPr>
        <w:ind w:left="720" w:hanging="360"/>
      </w:pPr>
      <w:rPr>
        <w:rFonts w:ascii="Symbol" w:hAnsi="Symbol"/>
      </w:rPr>
    </w:lvl>
    <w:lvl w:ilvl="3" w:tplc="1CCE5B82">
      <w:start w:val="1"/>
      <w:numFmt w:val="bullet"/>
      <w:lvlText w:val=""/>
      <w:lvlJc w:val="left"/>
      <w:pPr>
        <w:ind w:left="720" w:hanging="360"/>
      </w:pPr>
      <w:rPr>
        <w:rFonts w:ascii="Symbol" w:hAnsi="Symbol"/>
      </w:rPr>
    </w:lvl>
    <w:lvl w:ilvl="4" w:tplc="E1F40020">
      <w:start w:val="1"/>
      <w:numFmt w:val="bullet"/>
      <w:lvlText w:val=""/>
      <w:lvlJc w:val="left"/>
      <w:pPr>
        <w:ind w:left="720" w:hanging="360"/>
      </w:pPr>
      <w:rPr>
        <w:rFonts w:ascii="Symbol" w:hAnsi="Symbol"/>
      </w:rPr>
    </w:lvl>
    <w:lvl w:ilvl="5" w:tplc="0BC602DC">
      <w:start w:val="1"/>
      <w:numFmt w:val="bullet"/>
      <w:lvlText w:val=""/>
      <w:lvlJc w:val="left"/>
      <w:pPr>
        <w:ind w:left="720" w:hanging="360"/>
      </w:pPr>
      <w:rPr>
        <w:rFonts w:ascii="Symbol" w:hAnsi="Symbol"/>
      </w:rPr>
    </w:lvl>
    <w:lvl w:ilvl="6" w:tplc="1F660DC8">
      <w:start w:val="1"/>
      <w:numFmt w:val="bullet"/>
      <w:lvlText w:val=""/>
      <w:lvlJc w:val="left"/>
      <w:pPr>
        <w:ind w:left="720" w:hanging="360"/>
      </w:pPr>
      <w:rPr>
        <w:rFonts w:ascii="Symbol" w:hAnsi="Symbol"/>
      </w:rPr>
    </w:lvl>
    <w:lvl w:ilvl="7" w:tplc="FCE46142">
      <w:start w:val="1"/>
      <w:numFmt w:val="bullet"/>
      <w:lvlText w:val=""/>
      <w:lvlJc w:val="left"/>
      <w:pPr>
        <w:ind w:left="720" w:hanging="360"/>
      </w:pPr>
      <w:rPr>
        <w:rFonts w:ascii="Symbol" w:hAnsi="Symbol"/>
      </w:rPr>
    </w:lvl>
    <w:lvl w:ilvl="8" w:tplc="B3E4B392">
      <w:start w:val="1"/>
      <w:numFmt w:val="bullet"/>
      <w:lvlText w:val=""/>
      <w:lvlJc w:val="left"/>
      <w:pPr>
        <w:ind w:left="720" w:hanging="360"/>
      </w:pPr>
      <w:rPr>
        <w:rFonts w:ascii="Symbol" w:hAnsi="Symbol"/>
      </w:rPr>
    </w:lvl>
  </w:abstractNum>
  <w:abstractNum w:abstractNumId="41" w15:restartNumberingAfterBreak="0">
    <w:nsid w:val="629A729A"/>
    <w:multiLevelType w:val="hybridMultilevel"/>
    <w:tmpl w:val="9D680E10"/>
    <w:lvl w:ilvl="0" w:tplc="F4700706">
      <w:start w:val="1"/>
      <w:numFmt w:val="bullet"/>
      <w:lvlText w:val=""/>
      <w:lvlJc w:val="left"/>
      <w:pPr>
        <w:ind w:left="720" w:hanging="360"/>
      </w:pPr>
      <w:rPr>
        <w:rFonts w:ascii="Symbol" w:hAnsi="Symbol"/>
      </w:rPr>
    </w:lvl>
    <w:lvl w:ilvl="1" w:tplc="EB0233E2">
      <w:start w:val="1"/>
      <w:numFmt w:val="bullet"/>
      <w:lvlText w:val=""/>
      <w:lvlJc w:val="left"/>
      <w:pPr>
        <w:ind w:left="720" w:hanging="360"/>
      </w:pPr>
      <w:rPr>
        <w:rFonts w:ascii="Symbol" w:hAnsi="Symbol"/>
      </w:rPr>
    </w:lvl>
    <w:lvl w:ilvl="2" w:tplc="F0A0BB5C">
      <w:start w:val="1"/>
      <w:numFmt w:val="bullet"/>
      <w:lvlText w:val=""/>
      <w:lvlJc w:val="left"/>
      <w:pPr>
        <w:ind w:left="720" w:hanging="360"/>
      </w:pPr>
      <w:rPr>
        <w:rFonts w:ascii="Symbol" w:hAnsi="Symbol"/>
      </w:rPr>
    </w:lvl>
    <w:lvl w:ilvl="3" w:tplc="3D881E8A">
      <w:start w:val="1"/>
      <w:numFmt w:val="bullet"/>
      <w:lvlText w:val=""/>
      <w:lvlJc w:val="left"/>
      <w:pPr>
        <w:ind w:left="720" w:hanging="360"/>
      </w:pPr>
      <w:rPr>
        <w:rFonts w:ascii="Symbol" w:hAnsi="Symbol"/>
      </w:rPr>
    </w:lvl>
    <w:lvl w:ilvl="4" w:tplc="F11EA476">
      <w:start w:val="1"/>
      <w:numFmt w:val="bullet"/>
      <w:lvlText w:val=""/>
      <w:lvlJc w:val="left"/>
      <w:pPr>
        <w:ind w:left="720" w:hanging="360"/>
      </w:pPr>
      <w:rPr>
        <w:rFonts w:ascii="Symbol" w:hAnsi="Symbol"/>
      </w:rPr>
    </w:lvl>
    <w:lvl w:ilvl="5" w:tplc="BBA64064">
      <w:start w:val="1"/>
      <w:numFmt w:val="bullet"/>
      <w:lvlText w:val=""/>
      <w:lvlJc w:val="left"/>
      <w:pPr>
        <w:ind w:left="720" w:hanging="360"/>
      </w:pPr>
      <w:rPr>
        <w:rFonts w:ascii="Symbol" w:hAnsi="Symbol"/>
      </w:rPr>
    </w:lvl>
    <w:lvl w:ilvl="6" w:tplc="92565D4C">
      <w:start w:val="1"/>
      <w:numFmt w:val="bullet"/>
      <w:lvlText w:val=""/>
      <w:lvlJc w:val="left"/>
      <w:pPr>
        <w:ind w:left="720" w:hanging="360"/>
      </w:pPr>
      <w:rPr>
        <w:rFonts w:ascii="Symbol" w:hAnsi="Symbol"/>
      </w:rPr>
    </w:lvl>
    <w:lvl w:ilvl="7" w:tplc="904C38A8">
      <w:start w:val="1"/>
      <w:numFmt w:val="bullet"/>
      <w:lvlText w:val=""/>
      <w:lvlJc w:val="left"/>
      <w:pPr>
        <w:ind w:left="720" w:hanging="360"/>
      </w:pPr>
      <w:rPr>
        <w:rFonts w:ascii="Symbol" w:hAnsi="Symbol"/>
      </w:rPr>
    </w:lvl>
    <w:lvl w:ilvl="8" w:tplc="ED50DFF0">
      <w:start w:val="1"/>
      <w:numFmt w:val="bullet"/>
      <w:lvlText w:val=""/>
      <w:lvlJc w:val="left"/>
      <w:pPr>
        <w:ind w:left="720" w:hanging="360"/>
      </w:pPr>
      <w:rPr>
        <w:rFonts w:ascii="Symbol" w:hAnsi="Symbol"/>
      </w:rPr>
    </w:lvl>
  </w:abstractNum>
  <w:abstractNum w:abstractNumId="42" w15:restartNumberingAfterBreak="0">
    <w:nsid w:val="63853B6A"/>
    <w:multiLevelType w:val="hybridMultilevel"/>
    <w:tmpl w:val="0ECE4876"/>
    <w:lvl w:ilvl="0" w:tplc="65DE74C2">
      <w:start w:val="1"/>
      <w:numFmt w:val="bullet"/>
      <w:lvlText w:val=""/>
      <w:lvlJc w:val="left"/>
      <w:pPr>
        <w:ind w:left="720" w:hanging="360"/>
      </w:pPr>
      <w:rPr>
        <w:rFonts w:ascii="Symbol" w:hAnsi="Symbol"/>
      </w:rPr>
    </w:lvl>
    <w:lvl w:ilvl="1" w:tplc="AF4C9142">
      <w:start w:val="1"/>
      <w:numFmt w:val="bullet"/>
      <w:lvlText w:val=""/>
      <w:lvlJc w:val="left"/>
      <w:pPr>
        <w:ind w:left="720" w:hanging="360"/>
      </w:pPr>
      <w:rPr>
        <w:rFonts w:ascii="Symbol" w:hAnsi="Symbol"/>
      </w:rPr>
    </w:lvl>
    <w:lvl w:ilvl="2" w:tplc="1B8ADBBE">
      <w:start w:val="1"/>
      <w:numFmt w:val="bullet"/>
      <w:lvlText w:val=""/>
      <w:lvlJc w:val="left"/>
      <w:pPr>
        <w:ind w:left="720" w:hanging="360"/>
      </w:pPr>
      <w:rPr>
        <w:rFonts w:ascii="Symbol" w:hAnsi="Symbol"/>
      </w:rPr>
    </w:lvl>
    <w:lvl w:ilvl="3" w:tplc="AE9AC6C4">
      <w:start w:val="1"/>
      <w:numFmt w:val="bullet"/>
      <w:lvlText w:val=""/>
      <w:lvlJc w:val="left"/>
      <w:pPr>
        <w:ind w:left="720" w:hanging="360"/>
      </w:pPr>
      <w:rPr>
        <w:rFonts w:ascii="Symbol" w:hAnsi="Symbol"/>
      </w:rPr>
    </w:lvl>
    <w:lvl w:ilvl="4" w:tplc="D90A0F08">
      <w:start w:val="1"/>
      <w:numFmt w:val="bullet"/>
      <w:lvlText w:val=""/>
      <w:lvlJc w:val="left"/>
      <w:pPr>
        <w:ind w:left="720" w:hanging="360"/>
      </w:pPr>
      <w:rPr>
        <w:rFonts w:ascii="Symbol" w:hAnsi="Symbol"/>
      </w:rPr>
    </w:lvl>
    <w:lvl w:ilvl="5" w:tplc="240E889A">
      <w:start w:val="1"/>
      <w:numFmt w:val="bullet"/>
      <w:lvlText w:val=""/>
      <w:lvlJc w:val="left"/>
      <w:pPr>
        <w:ind w:left="720" w:hanging="360"/>
      </w:pPr>
      <w:rPr>
        <w:rFonts w:ascii="Symbol" w:hAnsi="Symbol"/>
      </w:rPr>
    </w:lvl>
    <w:lvl w:ilvl="6" w:tplc="E3525D84">
      <w:start w:val="1"/>
      <w:numFmt w:val="bullet"/>
      <w:lvlText w:val=""/>
      <w:lvlJc w:val="left"/>
      <w:pPr>
        <w:ind w:left="720" w:hanging="360"/>
      </w:pPr>
      <w:rPr>
        <w:rFonts w:ascii="Symbol" w:hAnsi="Symbol"/>
      </w:rPr>
    </w:lvl>
    <w:lvl w:ilvl="7" w:tplc="234096B6">
      <w:start w:val="1"/>
      <w:numFmt w:val="bullet"/>
      <w:lvlText w:val=""/>
      <w:lvlJc w:val="left"/>
      <w:pPr>
        <w:ind w:left="720" w:hanging="360"/>
      </w:pPr>
      <w:rPr>
        <w:rFonts w:ascii="Symbol" w:hAnsi="Symbol"/>
      </w:rPr>
    </w:lvl>
    <w:lvl w:ilvl="8" w:tplc="5882D1D0">
      <w:start w:val="1"/>
      <w:numFmt w:val="bullet"/>
      <w:lvlText w:val=""/>
      <w:lvlJc w:val="left"/>
      <w:pPr>
        <w:ind w:left="720" w:hanging="360"/>
      </w:pPr>
      <w:rPr>
        <w:rFonts w:ascii="Symbol" w:hAnsi="Symbol"/>
      </w:rPr>
    </w:lvl>
  </w:abstractNum>
  <w:abstractNum w:abstractNumId="43" w15:restartNumberingAfterBreak="0">
    <w:nsid w:val="75435CEA"/>
    <w:multiLevelType w:val="hybridMultilevel"/>
    <w:tmpl w:val="6C1849D2"/>
    <w:lvl w:ilvl="0" w:tplc="91B6847E">
      <w:start w:val="1"/>
      <w:numFmt w:val="bullet"/>
      <w:lvlText w:val=""/>
      <w:lvlJc w:val="left"/>
      <w:pPr>
        <w:ind w:left="720" w:hanging="360"/>
      </w:pPr>
      <w:rPr>
        <w:rFonts w:ascii="Symbol" w:hAnsi="Symbol"/>
      </w:rPr>
    </w:lvl>
    <w:lvl w:ilvl="1" w:tplc="4E78E2B6">
      <w:start w:val="1"/>
      <w:numFmt w:val="bullet"/>
      <w:lvlText w:val=""/>
      <w:lvlJc w:val="left"/>
      <w:pPr>
        <w:ind w:left="720" w:hanging="360"/>
      </w:pPr>
      <w:rPr>
        <w:rFonts w:ascii="Symbol" w:hAnsi="Symbol"/>
      </w:rPr>
    </w:lvl>
    <w:lvl w:ilvl="2" w:tplc="F0D6DFB4">
      <w:start w:val="1"/>
      <w:numFmt w:val="bullet"/>
      <w:lvlText w:val=""/>
      <w:lvlJc w:val="left"/>
      <w:pPr>
        <w:ind w:left="720" w:hanging="360"/>
      </w:pPr>
      <w:rPr>
        <w:rFonts w:ascii="Symbol" w:hAnsi="Symbol"/>
      </w:rPr>
    </w:lvl>
    <w:lvl w:ilvl="3" w:tplc="8F16E05E">
      <w:start w:val="1"/>
      <w:numFmt w:val="bullet"/>
      <w:lvlText w:val=""/>
      <w:lvlJc w:val="left"/>
      <w:pPr>
        <w:ind w:left="720" w:hanging="360"/>
      </w:pPr>
      <w:rPr>
        <w:rFonts w:ascii="Symbol" w:hAnsi="Symbol"/>
      </w:rPr>
    </w:lvl>
    <w:lvl w:ilvl="4" w:tplc="1BC0018A">
      <w:start w:val="1"/>
      <w:numFmt w:val="bullet"/>
      <w:lvlText w:val=""/>
      <w:lvlJc w:val="left"/>
      <w:pPr>
        <w:ind w:left="720" w:hanging="360"/>
      </w:pPr>
      <w:rPr>
        <w:rFonts w:ascii="Symbol" w:hAnsi="Symbol"/>
      </w:rPr>
    </w:lvl>
    <w:lvl w:ilvl="5" w:tplc="82A0C454">
      <w:start w:val="1"/>
      <w:numFmt w:val="bullet"/>
      <w:lvlText w:val=""/>
      <w:lvlJc w:val="left"/>
      <w:pPr>
        <w:ind w:left="720" w:hanging="360"/>
      </w:pPr>
      <w:rPr>
        <w:rFonts w:ascii="Symbol" w:hAnsi="Symbol"/>
      </w:rPr>
    </w:lvl>
    <w:lvl w:ilvl="6" w:tplc="7DAC9A8E">
      <w:start w:val="1"/>
      <w:numFmt w:val="bullet"/>
      <w:lvlText w:val=""/>
      <w:lvlJc w:val="left"/>
      <w:pPr>
        <w:ind w:left="720" w:hanging="360"/>
      </w:pPr>
      <w:rPr>
        <w:rFonts w:ascii="Symbol" w:hAnsi="Symbol"/>
      </w:rPr>
    </w:lvl>
    <w:lvl w:ilvl="7" w:tplc="A2A4F78C">
      <w:start w:val="1"/>
      <w:numFmt w:val="bullet"/>
      <w:lvlText w:val=""/>
      <w:lvlJc w:val="left"/>
      <w:pPr>
        <w:ind w:left="720" w:hanging="360"/>
      </w:pPr>
      <w:rPr>
        <w:rFonts w:ascii="Symbol" w:hAnsi="Symbol"/>
      </w:rPr>
    </w:lvl>
    <w:lvl w:ilvl="8" w:tplc="74E0195E">
      <w:start w:val="1"/>
      <w:numFmt w:val="bullet"/>
      <w:lvlText w:val=""/>
      <w:lvlJc w:val="left"/>
      <w:pPr>
        <w:ind w:left="720" w:hanging="360"/>
      </w:pPr>
      <w:rPr>
        <w:rFonts w:ascii="Symbol" w:hAnsi="Symbol"/>
      </w:rPr>
    </w:lvl>
  </w:abstractNum>
  <w:abstractNum w:abstractNumId="44" w15:restartNumberingAfterBreak="0">
    <w:nsid w:val="78A22ED0"/>
    <w:multiLevelType w:val="hybridMultilevel"/>
    <w:tmpl w:val="2E3E61E2"/>
    <w:lvl w:ilvl="0" w:tplc="B3D0D6A0">
      <w:start w:val="1"/>
      <w:numFmt w:val="bullet"/>
      <w:lvlText w:val=""/>
      <w:lvlJc w:val="left"/>
      <w:pPr>
        <w:ind w:left="720" w:hanging="360"/>
      </w:pPr>
      <w:rPr>
        <w:rFonts w:ascii="Symbol" w:hAnsi="Symbol"/>
      </w:rPr>
    </w:lvl>
    <w:lvl w:ilvl="1" w:tplc="6AFCCBFC">
      <w:start w:val="1"/>
      <w:numFmt w:val="bullet"/>
      <w:lvlText w:val=""/>
      <w:lvlJc w:val="left"/>
      <w:pPr>
        <w:ind w:left="720" w:hanging="360"/>
      </w:pPr>
      <w:rPr>
        <w:rFonts w:ascii="Symbol" w:hAnsi="Symbol"/>
      </w:rPr>
    </w:lvl>
    <w:lvl w:ilvl="2" w:tplc="0FDA79FC">
      <w:start w:val="1"/>
      <w:numFmt w:val="bullet"/>
      <w:lvlText w:val=""/>
      <w:lvlJc w:val="left"/>
      <w:pPr>
        <w:ind w:left="720" w:hanging="360"/>
      </w:pPr>
      <w:rPr>
        <w:rFonts w:ascii="Symbol" w:hAnsi="Symbol"/>
      </w:rPr>
    </w:lvl>
    <w:lvl w:ilvl="3" w:tplc="418611C0">
      <w:start w:val="1"/>
      <w:numFmt w:val="bullet"/>
      <w:lvlText w:val=""/>
      <w:lvlJc w:val="left"/>
      <w:pPr>
        <w:ind w:left="720" w:hanging="360"/>
      </w:pPr>
      <w:rPr>
        <w:rFonts w:ascii="Symbol" w:hAnsi="Symbol"/>
      </w:rPr>
    </w:lvl>
    <w:lvl w:ilvl="4" w:tplc="709C7C9C">
      <w:start w:val="1"/>
      <w:numFmt w:val="bullet"/>
      <w:lvlText w:val=""/>
      <w:lvlJc w:val="left"/>
      <w:pPr>
        <w:ind w:left="720" w:hanging="360"/>
      </w:pPr>
      <w:rPr>
        <w:rFonts w:ascii="Symbol" w:hAnsi="Symbol"/>
      </w:rPr>
    </w:lvl>
    <w:lvl w:ilvl="5" w:tplc="C9E037D6">
      <w:start w:val="1"/>
      <w:numFmt w:val="bullet"/>
      <w:lvlText w:val=""/>
      <w:lvlJc w:val="left"/>
      <w:pPr>
        <w:ind w:left="720" w:hanging="360"/>
      </w:pPr>
      <w:rPr>
        <w:rFonts w:ascii="Symbol" w:hAnsi="Symbol"/>
      </w:rPr>
    </w:lvl>
    <w:lvl w:ilvl="6" w:tplc="79C8706C">
      <w:start w:val="1"/>
      <w:numFmt w:val="bullet"/>
      <w:lvlText w:val=""/>
      <w:lvlJc w:val="left"/>
      <w:pPr>
        <w:ind w:left="720" w:hanging="360"/>
      </w:pPr>
      <w:rPr>
        <w:rFonts w:ascii="Symbol" w:hAnsi="Symbol"/>
      </w:rPr>
    </w:lvl>
    <w:lvl w:ilvl="7" w:tplc="409E45CE">
      <w:start w:val="1"/>
      <w:numFmt w:val="bullet"/>
      <w:lvlText w:val=""/>
      <w:lvlJc w:val="left"/>
      <w:pPr>
        <w:ind w:left="720" w:hanging="360"/>
      </w:pPr>
      <w:rPr>
        <w:rFonts w:ascii="Symbol" w:hAnsi="Symbol"/>
      </w:rPr>
    </w:lvl>
    <w:lvl w:ilvl="8" w:tplc="489E440E">
      <w:start w:val="1"/>
      <w:numFmt w:val="bullet"/>
      <w:lvlText w:val=""/>
      <w:lvlJc w:val="left"/>
      <w:pPr>
        <w:ind w:left="720" w:hanging="360"/>
      </w:pPr>
      <w:rPr>
        <w:rFonts w:ascii="Symbol" w:hAnsi="Symbol"/>
      </w:rPr>
    </w:lvl>
  </w:abstractNum>
  <w:abstractNum w:abstractNumId="45" w15:restartNumberingAfterBreak="0">
    <w:nsid w:val="79DF2E66"/>
    <w:multiLevelType w:val="hybridMultilevel"/>
    <w:tmpl w:val="EC366924"/>
    <w:lvl w:ilvl="0" w:tplc="1AB04AEA">
      <w:start w:val="1"/>
      <w:numFmt w:val="decimal"/>
      <w:lvlText w:val="%1."/>
      <w:lvlJc w:val="left"/>
      <w:pPr>
        <w:ind w:left="720" w:hanging="360"/>
      </w:pPr>
    </w:lvl>
    <w:lvl w:ilvl="1" w:tplc="5E3488B0">
      <w:start w:val="1"/>
      <w:numFmt w:val="decimal"/>
      <w:lvlText w:val="%2."/>
      <w:lvlJc w:val="left"/>
      <w:pPr>
        <w:ind w:left="720" w:hanging="360"/>
      </w:pPr>
    </w:lvl>
    <w:lvl w:ilvl="2" w:tplc="13CE2FBA">
      <w:start w:val="1"/>
      <w:numFmt w:val="lowerRoman"/>
      <w:lvlText w:val="%3."/>
      <w:lvlJc w:val="right"/>
      <w:pPr>
        <w:ind w:left="720" w:hanging="360"/>
      </w:pPr>
    </w:lvl>
    <w:lvl w:ilvl="3" w:tplc="327C2894">
      <w:start w:val="1"/>
      <w:numFmt w:val="decimal"/>
      <w:lvlText w:val="%4."/>
      <w:lvlJc w:val="left"/>
      <w:pPr>
        <w:ind w:left="720" w:hanging="360"/>
      </w:pPr>
    </w:lvl>
    <w:lvl w:ilvl="4" w:tplc="3CA63DF6">
      <w:start w:val="1"/>
      <w:numFmt w:val="decimal"/>
      <w:lvlText w:val="%5."/>
      <w:lvlJc w:val="left"/>
      <w:pPr>
        <w:ind w:left="720" w:hanging="360"/>
      </w:pPr>
    </w:lvl>
    <w:lvl w:ilvl="5" w:tplc="63B81960">
      <w:start w:val="1"/>
      <w:numFmt w:val="decimal"/>
      <w:lvlText w:val="%6."/>
      <w:lvlJc w:val="left"/>
      <w:pPr>
        <w:ind w:left="720" w:hanging="360"/>
      </w:pPr>
    </w:lvl>
    <w:lvl w:ilvl="6" w:tplc="E3B8914C">
      <w:start w:val="1"/>
      <w:numFmt w:val="decimal"/>
      <w:lvlText w:val="%7."/>
      <w:lvlJc w:val="left"/>
      <w:pPr>
        <w:ind w:left="720" w:hanging="360"/>
      </w:pPr>
    </w:lvl>
    <w:lvl w:ilvl="7" w:tplc="8C982FBE">
      <w:start w:val="1"/>
      <w:numFmt w:val="decimal"/>
      <w:lvlText w:val="%8."/>
      <w:lvlJc w:val="left"/>
      <w:pPr>
        <w:ind w:left="720" w:hanging="360"/>
      </w:pPr>
    </w:lvl>
    <w:lvl w:ilvl="8" w:tplc="F34407BA">
      <w:start w:val="1"/>
      <w:numFmt w:val="decimal"/>
      <w:lvlText w:val="%9."/>
      <w:lvlJc w:val="left"/>
      <w:pPr>
        <w:ind w:left="720" w:hanging="360"/>
      </w:pPr>
    </w:lvl>
  </w:abstractNum>
  <w:abstractNum w:abstractNumId="46" w15:restartNumberingAfterBreak="0">
    <w:nsid w:val="7F151745"/>
    <w:multiLevelType w:val="hybridMultilevel"/>
    <w:tmpl w:val="DC4AA4EC"/>
    <w:lvl w:ilvl="0" w:tplc="6C70A1E2">
      <w:start w:val="1"/>
      <w:numFmt w:val="bullet"/>
      <w:lvlText w:val=""/>
      <w:lvlJc w:val="left"/>
      <w:pPr>
        <w:ind w:left="720" w:hanging="360"/>
      </w:pPr>
      <w:rPr>
        <w:rFonts w:ascii="Symbol" w:hAnsi="Symbol"/>
      </w:rPr>
    </w:lvl>
    <w:lvl w:ilvl="1" w:tplc="D0C8111A">
      <w:start w:val="1"/>
      <w:numFmt w:val="bullet"/>
      <w:lvlText w:val=""/>
      <w:lvlJc w:val="left"/>
      <w:pPr>
        <w:ind w:left="720" w:hanging="360"/>
      </w:pPr>
      <w:rPr>
        <w:rFonts w:ascii="Symbol" w:hAnsi="Symbol"/>
      </w:rPr>
    </w:lvl>
    <w:lvl w:ilvl="2" w:tplc="8A903A0E">
      <w:start w:val="1"/>
      <w:numFmt w:val="bullet"/>
      <w:lvlText w:val=""/>
      <w:lvlJc w:val="left"/>
      <w:pPr>
        <w:ind w:left="720" w:hanging="360"/>
      </w:pPr>
      <w:rPr>
        <w:rFonts w:ascii="Symbol" w:hAnsi="Symbol"/>
      </w:rPr>
    </w:lvl>
    <w:lvl w:ilvl="3" w:tplc="BDB09C48">
      <w:start w:val="1"/>
      <w:numFmt w:val="bullet"/>
      <w:lvlText w:val=""/>
      <w:lvlJc w:val="left"/>
      <w:pPr>
        <w:ind w:left="720" w:hanging="360"/>
      </w:pPr>
      <w:rPr>
        <w:rFonts w:ascii="Symbol" w:hAnsi="Symbol"/>
      </w:rPr>
    </w:lvl>
    <w:lvl w:ilvl="4" w:tplc="1DDA9E56">
      <w:start w:val="1"/>
      <w:numFmt w:val="bullet"/>
      <w:lvlText w:val=""/>
      <w:lvlJc w:val="left"/>
      <w:pPr>
        <w:ind w:left="720" w:hanging="360"/>
      </w:pPr>
      <w:rPr>
        <w:rFonts w:ascii="Symbol" w:hAnsi="Symbol"/>
      </w:rPr>
    </w:lvl>
    <w:lvl w:ilvl="5" w:tplc="C9C643C0">
      <w:start w:val="1"/>
      <w:numFmt w:val="bullet"/>
      <w:lvlText w:val=""/>
      <w:lvlJc w:val="left"/>
      <w:pPr>
        <w:ind w:left="720" w:hanging="360"/>
      </w:pPr>
      <w:rPr>
        <w:rFonts w:ascii="Symbol" w:hAnsi="Symbol"/>
      </w:rPr>
    </w:lvl>
    <w:lvl w:ilvl="6" w:tplc="B06A6A16">
      <w:start w:val="1"/>
      <w:numFmt w:val="bullet"/>
      <w:lvlText w:val=""/>
      <w:lvlJc w:val="left"/>
      <w:pPr>
        <w:ind w:left="720" w:hanging="360"/>
      </w:pPr>
      <w:rPr>
        <w:rFonts w:ascii="Symbol" w:hAnsi="Symbol"/>
      </w:rPr>
    </w:lvl>
    <w:lvl w:ilvl="7" w:tplc="49268EB8">
      <w:start w:val="1"/>
      <w:numFmt w:val="bullet"/>
      <w:lvlText w:val=""/>
      <w:lvlJc w:val="left"/>
      <w:pPr>
        <w:ind w:left="720" w:hanging="360"/>
      </w:pPr>
      <w:rPr>
        <w:rFonts w:ascii="Symbol" w:hAnsi="Symbol"/>
      </w:rPr>
    </w:lvl>
    <w:lvl w:ilvl="8" w:tplc="D448636C">
      <w:start w:val="1"/>
      <w:numFmt w:val="bullet"/>
      <w:lvlText w:val=""/>
      <w:lvlJc w:val="left"/>
      <w:pPr>
        <w:ind w:left="720" w:hanging="360"/>
      </w:pPr>
      <w:rPr>
        <w:rFonts w:ascii="Symbol" w:hAnsi="Symbol"/>
      </w:rPr>
    </w:lvl>
  </w:abstractNum>
  <w:abstractNum w:abstractNumId="47" w15:restartNumberingAfterBreak="0">
    <w:nsid w:val="7FD97D77"/>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02596476">
    <w:abstractNumId w:val="13"/>
  </w:num>
  <w:num w:numId="2" w16cid:durableId="375815310">
    <w:abstractNumId w:val="25"/>
  </w:num>
  <w:num w:numId="3" w16cid:durableId="1375159326">
    <w:abstractNumId w:val="47"/>
  </w:num>
  <w:num w:numId="4" w16cid:durableId="1020468450">
    <w:abstractNumId w:val="20"/>
  </w:num>
  <w:num w:numId="5" w16cid:durableId="298609604">
    <w:abstractNumId w:val="39"/>
  </w:num>
  <w:num w:numId="6" w16cid:durableId="1668483507">
    <w:abstractNumId w:val="6"/>
  </w:num>
  <w:num w:numId="7" w16cid:durableId="1277131474">
    <w:abstractNumId w:val="9"/>
  </w:num>
  <w:num w:numId="8" w16cid:durableId="720982448">
    <w:abstractNumId w:val="7"/>
  </w:num>
  <w:num w:numId="9" w16cid:durableId="880166639">
    <w:abstractNumId w:val="5"/>
  </w:num>
  <w:num w:numId="10" w16cid:durableId="1552577615">
    <w:abstractNumId w:val="4"/>
  </w:num>
  <w:num w:numId="11" w16cid:durableId="822114542">
    <w:abstractNumId w:val="8"/>
  </w:num>
  <w:num w:numId="12" w16cid:durableId="868374538">
    <w:abstractNumId w:val="3"/>
  </w:num>
  <w:num w:numId="13" w16cid:durableId="935400494">
    <w:abstractNumId w:val="2"/>
  </w:num>
  <w:num w:numId="14" w16cid:durableId="1552810459">
    <w:abstractNumId w:val="1"/>
  </w:num>
  <w:num w:numId="15" w16cid:durableId="788087333">
    <w:abstractNumId w:val="0"/>
  </w:num>
  <w:num w:numId="16" w16cid:durableId="92282540">
    <w:abstractNumId w:val="16"/>
  </w:num>
  <w:num w:numId="17" w16cid:durableId="952325839">
    <w:abstractNumId w:val="34"/>
  </w:num>
  <w:num w:numId="18" w16cid:durableId="586305847">
    <w:abstractNumId w:val="14"/>
  </w:num>
  <w:num w:numId="19" w16cid:durableId="650985869">
    <w:abstractNumId w:val="14"/>
  </w:num>
  <w:num w:numId="20" w16cid:durableId="1687168877">
    <w:abstractNumId w:val="28"/>
  </w:num>
  <w:num w:numId="21" w16cid:durableId="2005930790">
    <w:abstractNumId w:val="35"/>
  </w:num>
  <w:num w:numId="22" w16cid:durableId="1273711964">
    <w:abstractNumId w:val="11"/>
  </w:num>
  <w:num w:numId="23" w16cid:durableId="781918032">
    <w:abstractNumId w:val="12"/>
  </w:num>
  <w:num w:numId="24" w16cid:durableId="195973590">
    <w:abstractNumId w:val="33"/>
  </w:num>
  <w:num w:numId="25" w16cid:durableId="2022395855">
    <w:abstractNumId w:val="17"/>
  </w:num>
  <w:num w:numId="26" w16cid:durableId="1347950758">
    <w:abstractNumId w:val="32"/>
  </w:num>
  <w:num w:numId="27" w16cid:durableId="1881551015">
    <w:abstractNumId w:val="45"/>
  </w:num>
  <w:num w:numId="28" w16cid:durableId="1472864652">
    <w:abstractNumId w:val="26"/>
  </w:num>
  <w:num w:numId="29" w16cid:durableId="1248493135">
    <w:abstractNumId w:val="42"/>
  </w:num>
  <w:num w:numId="30" w16cid:durableId="1114711247">
    <w:abstractNumId w:val="38"/>
  </w:num>
  <w:num w:numId="31" w16cid:durableId="832993045">
    <w:abstractNumId w:val="23"/>
  </w:num>
  <w:num w:numId="32" w16cid:durableId="791435151">
    <w:abstractNumId w:val="40"/>
  </w:num>
  <w:num w:numId="33" w16cid:durableId="1577935648">
    <w:abstractNumId w:val="46"/>
  </w:num>
  <w:num w:numId="34" w16cid:durableId="1721049088">
    <w:abstractNumId w:val="37"/>
  </w:num>
  <w:num w:numId="35" w16cid:durableId="984969168">
    <w:abstractNumId w:val="43"/>
  </w:num>
  <w:num w:numId="36" w16cid:durableId="684673423">
    <w:abstractNumId w:val="44"/>
  </w:num>
  <w:num w:numId="37" w16cid:durableId="1409958745">
    <w:abstractNumId w:val="19"/>
  </w:num>
  <w:num w:numId="38" w16cid:durableId="1848058437">
    <w:abstractNumId w:val="36"/>
  </w:num>
  <w:num w:numId="39" w16cid:durableId="1848129591">
    <w:abstractNumId w:val="18"/>
  </w:num>
  <w:num w:numId="40" w16cid:durableId="358773637">
    <w:abstractNumId w:val="31"/>
  </w:num>
  <w:num w:numId="41" w16cid:durableId="194007663">
    <w:abstractNumId w:val="24"/>
  </w:num>
  <w:num w:numId="42" w16cid:durableId="899756225">
    <w:abstractNumId w:val="30"/>
  </w:num>
  <w:num w:numId="43" w16cid:durableId="305399107">
    <w:abstractNumId w:val="21"/>
  </w:num>
  <w:num w:numId="44" w16cid:durableId="1029722510">
    <w:abstractNumId w:val="41"/>
  </w:num>
  <w:num w:numId="45" w16cid:durableId="1357585425">
    <w:abstractNumId w:val="15"/>
  </w:num>
  <w:num w:numId="46" w16cid:durableId="1427118740">
    <w:abstractNumId w:val="10"/>
  </w:num>
  <w:num w:numId="47" w16cid:durableId="1016467505">
    <w:abstractNumId w:val="27"/>
  </w:num>
  <w:num w:numId="48" w16cid:durableId="806779883">
    <w:abstractNumId w:val="22"/>
  </w:num>
  <w:num w:numId="49" w16cid:durableId="260188236">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attachedTemplate r:id="rId1"/>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40C3"/>
    <w:rsid w:val="00000417"/>
    <w:rsid w:val="00000570"/>
    <w:rsid w:val="00002069"/>
    <w:rsid w:val="000023EF"/>
    <w:rsid w:val="000024FD"/>
    <w:rsid w:val="0000257B"/>
    <w:rsid w:val="00002875"/>
    <w:rsid w:val="00002B4B"/>
    <w:rsid w:val="00002CE6"/>
    <w:rsid w:val="0000316A"/>
    <w:rsid w:val="0000385F"/>
    <w:rsid w:val="00003B1F"/>
    <w:rsid w:val="00003B51"/>
    <w:rsid w:val="00003BCC"/>
    <w:rsid w:val="00004028"/>
    <w:rsid w:val="000045D6"/>
    <w:rsid w:val="00004773"/>
    <w:rsid w:val="000049B7"/>
    <w:rsid w:val="00005B51"/>
    <w:rsid w:val="00005B99"/>
    <w:rsid w:val="00005C8E"/>
    <w:rsid w:val="000063F2"/>
    <w:rsid w:val="0000666F"/>
    <w:rsid w:val="00007264"/>
    <w:rsid w:val="000078CE"/>
    <w:rsid w:val="00007AF1"/>
    <w:rsid w:val="00010462"/>
    <w:rsid w:val="00010C1F"/>
    <w:rsid w:val="00011643"/>
    <w:rsid w:val="000116C9"/>
    <w:rsid w:val="00011ABE"/>
    <w:rsid w:val="00011F7B"/>
    <w:rsid w:val="00012181"/>
    <w:rsid w:val="000126E8"/>
    <w:rsid w:val="00012B47"/>
    <w:rsid w:val="000133C4"/>
    <w:rsid w:val="00013AD9"/>
    <w:rsid w:val="00013CE0"/>
    <w:rsid w:val="000141CA"/>
    <w:rsid w:val="0001421A"/>
    <w:rsid w:val="00014B34"/>
    <w:rsid w:val="000152E9"/>
    <w:rsid w:val="0001546F"/>
    <w:rsid w:val="00015926"/>
    <w:rsid w:val="00015CE1"/>
    <w:rsid w:val="00015E4A"/>
    <w:rsid w:val="000168C9"/>
    <w:rsid w:val="00016C20"/>
    <w:rsid w:val="00016DBB"/>
    <w:rsid w:val="00017144"/>
    <w:rsid w:val="00017A8D"/>
    <w:rsid w:val="00020283"/>
    <w:rsid w:val="0002098C"/>
    <w:rsid w:val="00020C24"/>
    <w:rsid w:val="00021260"/>
    <w:rsid w:val="00021470"/>
    <w:rsid w:val="00022A53"/>
    <w:rsid w:val="00024E14"/>
    <w:rsid w:val="000250AF"/>
    <w:rsid w:val="0002512E"/>
    <w:rsid w:val="00025490"/>
    <w:rsid w:val="0002561A"/>
    <w:rsid w:val="0002561E"/>
    <w:rsid w:val="000258B4"/>
    <w:rsid w:val="00025DC1"/>
    <w:rsid w:val="000268E1"/>
    <w:rsid w:val="000276BB"/>
    <w:rsid w:val="00027E39"/>
    <w:rsid w:val="000301A1"/>
    <w:rsid w:val="00030D73"/>
    <w:rsid w:val="00031300"/>
    <w:rsid w:val="00031404"/>
    <w:rsid w:val="00031CDF"/>
    <w:rsid w:val="00032900"/>
    <w:rsid w:val="00032F33"/>
    <w:rsid w:val="00033508"/>
    <w:rsid w:val="000347BB"/>
    <w:rsid w:val="00034826"/>
    <w:rsid w:val="00035521"/>
    <w:rsid w:val="0003575A"/>
    <w:rsid w:val="000359BD"/>
    <w:rsid w:val="000360EB"/>
    <w:rsid w:val="0003679B"/>
    <w:rsid w:val="00037A5F"/>
    <w:rsid w:val="00037D87"/>
    <w:rsid w:val="00040769"/>
    <w:rsid w:val="00040DCC"/>
    <w:rsid w:val="0004120E"/>
    <w:rsid w:val="00041244"/>
    <w:rsid w:val="00041798"/>
    <w:rsid w:val="00041D07"/>
    <w:rsid w:val="00042049"/>
    <w:rsid w:val="00042826"/>
    <w:rsid w:val="00042884"/>
    <w:rsid w:val="00042EF3"/>
    <w:rsid w:val="00043C82"/>
    <w:rsid w:val="00043D2C"/>
    <w:rsid w:val="00044277"/>
    <w:rsid w:val="000448B9"/>
    <w:rsid w:val="00044CB7"/>
    <w:rsid w:val="00044EE7"/>
    <w:rsid w:val="00045142"/>
    <w:rsid w:val="00045216"/>
    <w:rsid w:val="000452E0"/>
    <w:rsid w:val="0004539B"/>
    <w:rsid w:val="00045F10"/>
    <w:rsid w:val="0004673E"/>
    <w:rsid w:val="00046812"/>
    <w:rsid w:val="00046958"/>
    <w:rsid w:val="00050025"/>
    <w:rsid w:val="00050192"/>
    <w:rsid w:val="00052189"/>
    <w:rsid w:val="000524D3"/>
    <w:rsid w:val="0005396E"/>
    <w:rsid w:val="00053A1D"/>
    <w:rsid w:val="00054D0F"/>
    <w:rsid w:val="000550EB"/>
    <w:rsid w:val="00055ACD"/>
    <w:rsid w:val="00055C77"/>
    <w:rsid w:val="000568FA"/>
    <w:rsid w:val="00056F27"/>
    <w:rsid w:val="000573AF"/>
    <w:rsid w:val="00057742"/>
    <w:rsid w:val="0005794C"/>
    <w:rsid w:val="00057CA3"/>
    <w:rsid w:val="00057D41"/>
    <w:rsid w:val="00060409"/>
    <w:rsid w:val="0006098E"/>
    <w:rsid w:val="0006169E"/>
    <w:rsid w:val="000619D2"/>
    <w:rsid w:val="00061EA2"/>
    <w:rsid w:val="00062351"/>
    <w:rsid w:val="000626FD"/>
    <w:rsid w:val="0006351C"/>
    <w:rsid w:val="00063C9B"/>
    <w:rsid w:val="0006432B"/>
    <w:rsid w:val="00064599"/>
    <w:rsid w:val="00064817"/>
    <w:rsid w:val="000653D4"/>
    <w:rsid w:val="00065E02"/>
    <w:rsid w:val="00066AAD"/>
    <w:rsid w:val="000710E3"/>
    <w:rsid w:val="00071363"/>
    <w:rsid w:val="00071B14"/>
    <w:rsid w:val="00071C35"/>
    <w:rsid w:val="00071CA8"/>
    <w:rsid w:val="00071E47"/>
    <w:rsid w:val="00071E79"/>
    <w:rsid w:val="000722C1"/>
    <w:rsid w:val="000723E3"/>
    <w:rsid w:val="00072BEA"/>
    <w:rsid w:val="0007323B"/>
    <w:rsid w:val="00073B2B"/>
    <w:rsid w:val="00073EFD"/>
    <w:rsid w:val="0007415F"/>
    <w:rsid w:val="00074BC4"/>
    <w:rsid w:val="00074C98"/>
    <w:rsid w:val="00075489"/>
    <w:rsid w:val="00075852"/>
    <w:rsid w:val="00075F50"/>
    <w:rsid w:val="00076688"/>
    <w:rsid w:val="00076C3D"/>
    <w:rsid w:val="00076F06"/>
    <w:rsid w:val="00077C1B"/>
    <w:rsid w:val="000805D7"/>
    <w:rsid w:val="00080D77"/>
    <w:rsid w:val="00082601"/>
    <w:rsid w:val="000833CD"/>
    <w:rsid w:val="000835D8"/>
    <w:rsid w:val="00083CFF"/>
    <w:rsid w:val="0008435D"/>
    <w:rsid w:val="00084888"/>
    <w:rsid w:val="00085099"/>
    <w:rsid w:val="0008538D"/>
    <w:rsid w:val="0008558C"/>
    <w:rsid w:val="00085A1E"/>
    <w:rsid w:val="00085F13"/>
    <w:rsid w:val="00086785"/>
    <w:rsid w:val="000867D1"/>
    <w:rsid w:val="00087209"/>
    <w:rsid w:val="00087256"/>
    <w:rsid w:val="00087A23"/>
    <w:rsid w:val="000903EF"/>
    <w:rsid w:val="0009066F"/>
    <w:rsid w:val="000908C4"/>
    <w:rsid w:val="0009134B"/>
    <w:rsid w:val="00091F4B"/>
    <w:rsid w:val="00092002"/>
    <w:rsid w:val="000930F5"/>
    <w:rsid w:val="0009336D"/>
    <w:rsid w:val="000934A4"/>
    <w:rsid w:val="00093C86"/>
    <w:rsid w:val="00093D83"/>
    <w:rsid w:val="00093E79"/>
    <w:rsid w:val="000941B6"/>
    <w:rsid w:val="00094306"/>
    <w:rsid w:val="00094B2C"/>
    <w:rsid w:val="00094FD0"/>
    <w:rsid w:val="000950EF"/>
    <w:rsid w:val="00095123"/>
    <w:rsid w:val="0009536B"/>
    <w:rsid w:val="00095ADD"/>
    <w:rsid w:val="00096385"/>
    <w:rsid w:val="00096B6A"/>
    <w:rsid w:val="00096FA2"/>
    <w:rsid w:val="000971DE"/>
    <w:rsid w:val="0009723B"/>
    <w:rsid w:val="00097324"/>
    <w:rsid w:val="000977AE"/>
    <w:rsid w:val="00097DB1"/>
    <w:rsid w:val="00097DFE"/>
    <w:rsid w:val="000A01EF"/>
    <w:rsid w:val="000A0493"/>
    <w:rsid w:val="000A04F6"/>
    <w:rsid w:val="000A0A4F"/>
    <w:rsid w:val="000A131B"/>
    <w:rsid w:val="000A1584"/>
    <w:rsid w:val="000A28D4"/>
    <w:rsid w:val="000A296F"/>
    <w:rsid w:val="000A2B91"/>
    <w:rsid w:val="000A2C31"/>
    <w:rsid w:val="000A2EB4"/>
    <w:rsid w:val="000A384E"/>
    <w:rsid w:val="000A3952"/>
    <w:rsid w:val="000A3C91"/>
    <w:rsid w:val="000A3DA3"/>
    <w:rsid w:val="000A3EA9"/>
    <w:rsid w:val="000A4206"/>
    <w:rsid w:val="000A4335"/>
    <w:rsid w:val="000A48C5"/>
    <w:rsid w:val="000A5543"/>
    <w:rsid w:val="000A5BF6"/>
    <w:rsid w:val="000A5C87"/>
    <w:rsid w:val="000A63C6"/>
    <w:rsid w:val="000A6919"/>
    <w:rsid w:val="000A6ACA"/>
    <w:rsid w:val="000A6CB7"/>
    <w:rsid w:val="000B02AD"/>
    <w:rsid w:val="000B07B7"/>
    <w:rsid w:val="000B0E50"/>
    <w:rsid w:val="000B1028"/>
    <w:rsid w:val="000B10CD"/>
    <w:rsid w:val="000B16E0"/>
    <w:rsid w:val="000B193B"/>
    <w:rsid w:val="000B22B7"/>
    <w:rsid w:val="000B251A"/>
    <w:rsid w:val="000B36BF"/>
    <w:rsid w:val="000B398F"/>
    <w:rsid w:val="000B4335"/>
    <w:rsid w:val="000B4630"/>
    <w:rsid w:val="000B497F"/>
    <w:rsid w:val="000B624A"/>
    <w:rsid w:val="000B6806"/>
    <w:rsid w:val="000B69ED"/>
    <w:rsid w:val="000B710D"/>
    <w:rsid w:val="000B7558"/>
    <w:rsid w:val="000B761C"/>
    <w:rsid w:val="000B7A0D"/>
    <w:rsid w:val="000C02D8"/>
    <w:rsid w:val="000C04DC"/>
    <w:rsid w:val="000C0D98"/>
    <w:rsid w:val="000C0E87"/>
    <w:rsid w:val="000C0EB0"/>
    <w:rsid w:val="000C100F"/>
    <w:rsid w:val="000C140C"/>
    <w:rsid w:val="000C15FD"/>
    <w:rsid w:val="000C2BF2"/>
    <w:rsid w:val="000C2C6F"/>
    <w:rsid w:val="000C310E"/>
    <w:rsid w:val="000C35D6"/>
    <w:rsid w:val="000C41F6"/>
    <w:rsid w:val="000C469D"/>
    <w:rsid w:val="000C4BE4"/>
    <w:rsid w:val="000C4E17"/>
    <w:rsid w:val="000C560A"/>
    <w:rsid w:val="000C7127"/>
    <w:rsid w:val="000C7882"/>
    <w:rsid w:val="000C7F82"/>
    <w:rsid w:val="000D0742"/>
    <w:rsid w:val="000D0FEF"/>
    <w:rsid w:val="000D1C00"/>
    <w:rsid w:val="000D1E9F"/>
    <w:rsid w:val="000D222E"/>
    <w:rsid w:val="000D25E6"/>
    <w:rsid w:val="000D2928"/>
    <w:rsid w:val="000D2B72"/>
    <w:rsid w:val="000D2C33"/>
    <w:rsid w:val="000D2CD4"/>
    <w:rsid w:val="000D2F69"/>
    <w:rsid w:val="000D308C"/>
    <w:rsid w:val="000D31D1"/>
    <w:rsid w:val="000D367B"/>
    <w:rsid w:val="000D37FF"/>
    <w:rsid w:val="000D38B6"/>
    <w:rsid w:val="000D3F33"/>
    <w:rsid w:val="000D446D"/>
    <w:rsid w:val="000D4B6D"/>
    <w:rsid w:val="000D4E57"/>
    <w:rsid w:val="000D53C8"/>
    <w:rsid w:val="000D558C"/>
    <w:rsid w:val="000D57EB"/>
    <w:rsid w:val="000D5EBE"/>
    <w:rsid w:val="000D6260"/>
    <w:rsid w:val="000D65BC"/>
    <w:rsid w:val="000D6A32"/>
    <w:rsid w:val="000D6E97"/>
    <w:rsid w:val="000D72B9"/>
    <w:rsid w:val="000D73A5"/>
    <w:rsid w:val="000E08C8"/>
    <w:rsid w:val="000E0D4E"/>
    <w:rsid w:val="000E1863"/>
    <w:rsid w:val="000E2D82"/>
    <w:rsid w:val="000E3553"/>
    <w:rsid w:val="000E37D6"/>
    <w:rsid w:val="000E3B3F"/>
    <w:rsid w:val="000E3F28"/>
    <w:rsid w:val="000E3FFA"/>
    <w:rsid w:val="000E469D"/>
    <w:rsid w:val="000E5EB8"/>
    <w:rsid w:val="000E6162"/>
    <w:rsid w:val="000E65F7"/>
    <w:rsid w:val="000E676C"/>
    <w:rsid w:val="000E698F"/>
    <w:rsid w:val="000E6AEF"/>
    <w:rsid w:val="000E6DC8"/>
    <w:rsid w:val="000E7810"/>
    <w:rsid w:val="000E7A65"/>
    <w:rsid w:val="000F1345"/>
    <w:rsid w:val="000F2FE9"/>
    <w:rsid w:val="000F338F"/>
    <w:rsid w:val="000F351E"/>
    <w:rsid w:val="000F3A6E"/>
    <w:rsid w:val="000F3BB3"/>
    <w:rsid w:val="000F3D49"/>
    <w:rsid w:val="000F4183"/>
    <w:rsid w:val="000F4D82"/>
    <w:rsid w:val="000F4E31"/>
    <w:rsid w:val="000F5960"/>
    <w:rsid w:val="000F5B56"/>
    <w:rsid w:val="000F5DC7"/>
    <w:rsid w:val="000F63E0"/>
    <w:rsid w:val="000F69A4"/>
    <w:rsid w:val="000F7E2B"/>
    <w:rsid w:val="000F7F6E"/>
    <w:rsid w:val="000F7FAD"/>
    <w:rsid w:val="001001B9"/>
    <w:rsid w:val="001004D1"/>
    <w:rsid w:val="001007F6"/>
    <w:rsid w:val="00101A6E"/>
    <w:rsid w:val="00102254"/>
    <w:rsid w:val="00102346"/>
    <w:rsid w:val="00102B2A"/>
    <w:rsid w:val="0010342F"/>
    <w:rsid w:val="00103FA3"/>
    <w:rsid w:val="00104225"/>
    <w:rsid w:val="00104F50"/>
    <w:rsid w:val="00105D8C"/>
    <w:rsid w:val="001066B0"/>
    <w:rsid w:val="0010683F"/>
    <w:rsid w:val="00106BA4"/>
    <w:rsid w:val="00107011"/>
    <w:rsid w:val="0010702C"/>
    <w:rsid w:val="001077BF"/>
    <w:rsid w:val="00107B5B"/>
    <w:rsid w:val="00110970"/>
    <w:rsid w:val="00111568"/>
    <w:rsid w:val="0011157C"/>
    <w:rsid w:val="001120C0"/>
    <w:rsid w:val="001137FA"/>
    <w:rsid w:val="00113AD5"/>
    <w:rsid w:val="00113B87"/>
    <w:rsid w:val="00113C80"/>
    <w:rsid w:val="00114B4D"/>
    <w:rsid w:val="00114E18"/>
    <w:rsid w:val="001150BF"/>
    <w:rsid w:val="00115332"/>
    <w:rsid w:val="00115816"/>
    <w:rsid w:val="0011592B"/>
    <w:rsid w:val="00115A36"/>
    <w:rsid w:val="00115A6E"/>
    <w:rsid w:val="00115EB0"/>
    <w:rsid w:val="001168F2"/>
    <w:rsid w:val="00116B3F"/>
    <w:rsid w:val="00117B41"/>
    <w:rsid w:val="00120207"/>
    <w:rsid w:val="001206A2"/>
    <w:rsid w:val="00120957"/>
    <w:rsid w:val="00120A1B"/>
    <w:rsid w:val="00120B77"/>
    <w:rsid w:val="00120DDF"/>
    <w:rsid w:val="001216EA"/>
    <w:rsid w:val="00121EDE"/>
    <w:rsid w:val="001227C2"/>
    <w:rsid w:val="00123C1B"/>
    <w:rsid w:val="00124D50"/>
    <w:rsid w:val="00125278"/>
    <w:rsid w:val="0012586F"/>
    <w:rsid w:val="00125E3C"/>
    <w:rsid w:val="00125F39"/>
    <w:rsid w:val="00126C08"/>
    <w:rsid w:val="001277FC"/>
    <w:rsid w:val="0013094C"/>
    <w:rsid w:val="00130CD2"/>
    <w:rsid w:val="00130E39"/>
    <w:rsid w:val="00131189"/>
    <w:rsid w:val="001317E9"/>
    <w:rsid w:val="00131890"/>
    <w:rsid w:val="00131B70"/>
    <w:rsid w:val="00131FA5"/>
    <w:rsid w:val="001322EB"/>
    <w:rsid w:val="00132C1A"/>
    <w:rsid w:val="001333FB"/>
    <w:rsid w:val="00133E7E"/>
    <w:rsid w:val="00134266"/>
    <w:rsid w:val="001343D1"/>
    <w:rsid w:val="0013456F"/>
    <w:rsid w:val="00134AEF"/>
    <w:rsid w:val="00134C71"/>
    <w:rsid w:val="001367AF"/>
    <w:rsid w:val="00137253"/>
    <w:rsid w:val="00137A08"/>
    <w:rsid w:val="00137ED6"/>
    <w:rsid w:val="00137F59"/>
    <w:rsid w:val="0014000D"/>
    <w:rsid w:val="001409B5"/>
    <w:rsid w:val="001409D1"/>
    <w:rsid w:val="00141249"/>
    <w:rsid w:val="00141523"/>
    <w:rsid w:val="001419AC"/>
    <w:rsid w:val="00141B9B"/>
    <w:rsid w:val="00141CC1"/>
    <w:rsid w:val="00141DFC"/>
    <w:rsid w:val="00142048"/>
    <w:rsid w:val="00142072"/>
    <w:rsid w:val="00142855"/>
    <w:rsid w:val="00142D8B"/>
    <w:rsid w:val="00143F01"/>
    <w:rsid w:val="00143FCB"/>
    <w:rsid w:val="00144FEF"/>
    <w:rsid w:val="00145627"/>
    <w:rsid w:val="00145B0A"/>
    <w:rsid w:val="00145C13"/>
    <w:rsid w:val="001460EA"/>
    <w:rsid w:val="00146A41"/>
    <w:rsid w:val="00146D00"/>
    <w:rsid w:val="00147675"/>
    <w:rsid w:val="001477CE"/>
    <w:rsid w:val="001478E8"/>
    <w:rsid w:val="00147CCF"/>
    <w:rsid w:val="0015031C"/>
    <w:rsid w:val="001504C4"/>
    <w:rsid w:val="0015128C"/>
    <w:rsid w:val="00151679"/>
    <w:rsid w:val="00151AF8"/>
    <w:rsid w:val="0015228E"/>
    <w:rsid w:val="00152406"/>
    <w:rsid w:val="001526D9"/>
    <w:rsid w:val="0015279B"/>
    <w:rsid w:val="001529CC"/>
    <w:rsid w:val="00152E5B"/>
    <w:rsid w:val="0015318E"/>
    <w:rsid w:val="00153A28"/>
    <w:rsid w:val="00154308"/>
    <w:rsid w:val="00154363"/>
    <w:rsid w:val="0015453C"/>
    <w:rsid w:val="001545E6"/>
    <w:rsid w:val="001546C6"/>
    <w:rsid w:val="00154BE2"/>
    <w:rsid w:val="00154D5B"/>
    <w:rsid w:val="00154E0F"/>
    <w:rsid w:val="001557B8"/>
    <w:rsid w:val="00155B58"/>
    <w:rsid w:val="00155C69"/>
    <w:rsid w:val="001565AF"/>
    <w:rsid w:val="0015689C"/>
    <w:rsid w:val="00157441"/>
    <w:rsid w:val="00157ECB"/>
    <w:rsid w:val="0016033E"/>
    <w:rsid w:val="00160514"/>
    <w:rsid w:val="00160ADB"/>
    <w:rsid w:val="00160F7D"/>
    <w:rsid w:val="00161584"/>
    <w:rsid w:val="001617DC"/>
    <w:rsid w:val="00161CF6"/>
    <w:rsid w:val="001622F2"/>
    <w:rsid w:val="00162C48"/>
    <w:rsid w:val="00162F9B"/>
    <w:rsid w:val="001635FA"/>
    <w:rsid w:val="00163D3E"/>
    <w:rsid w:val="00163D92"/>
    <w:rsid w:val="00164144"/>
    <w:rsid w:val="00164960"/>
    <w:rsid w:val="00165063"/>
    <w:rsid w:val="00165118"/>
    <w:rsid w:val="00166722"/>
    <w:rsid w:val="0016692E"/>
    <w:rsid w:val="00166B22"/>
    <w:rsid w:val="001670BA"/>
    <w:rsid w:val="001675BE"/>
    <w:rsid w:val="00167A41"/>
    <w:rsid w:val="00167DF2"/>
    <w:rsid w:val="001708DE"/>
    <w:rsid w:val="001709AE"/>
    <w:rsid w:val="00170A2E"/>
    <w:rsid w:val="00171627"/>
    <w:rsid w:val="001716D9"/>
    <w:rsid w:val="00171A70"/>
    <w:rsid w:val="00171BAC"/>
    <w:rsid w:val="00171FFF"/>
    <w:rsid w:val="00172A0C"/>
    <w:rsid w:val="00172ADE"/>
    <w:rsid w:val="00174C42"/>
    <w:rsid w:val="00175703"/>
    <w:rsid w:val="001758DE"/>
    <w:rsid w:val="001759FD"/>
    <w:rsid w:val="00175FFA"/>
    <w:rsid w:val="00176447"/>
    <w:rsid w:val="00176D25"/>
    <w:rsid w:val="00177A1C"/>
    <w:rsid w:val="00177C4B"/>
    <w:rsid w:val="001802E7"/>
    <w:rsid w:val="0018047B"/>
    <w:rsid w:val="0018198A"/>
    <w:rsid w:val="00181D4F"/>
    <w:rsid w:val="00181FA2"/>
    <w:rsid w:val="001832C3"/>
    <w:rsid w:val="0018342E"/>
    <w:rsid w:val="00183780"/>
    <w:rsid w:val="00183BCE"/>
    <w:rsid w:val="00184068"/>
    <w:rsid w:val="001840B1"/>
    <w:rsid w:val="001840C2"/>
    <w:rsid w:val="00184B46"/>
    <w:rsid w:val="00185939"/>
    <w:rsid w:val="001859DE"/>
    <w:rsid w:val="0018656D"/>
    <w:rsid w:val="00186755"/>
    <w:rsid w:val="00187279"/>
    <w:rsid w:val="001876F6"/>
    <w:rsid w:val="00187DF7"/>
    <w:rsid w:val="001900C3"/>
    <w:rsid w:val="00191261"/>
    <w:rsid w:val="00191AB0"/>
    <w:rsid w:val="00191AD0"/>
    <w:rsid w:val="00191E23"/>
    <w:rsid w:val="001921E9"/>
    <w:rsid w:val="001922BA"/>
    <w:rsid w:val="00192321"/>
    <w:rsid w:val="001924BB"/>
    <w:rsid w:val="00192659"/>
    <w:rsid w:val="0019338A"/>
    <w:rsid w:val="001937CC"/>
    <w:rsid w:val="00193A57"/>
    <w:rsid w:val="00193B31"/>
    <w:rsid w:val="00193BEE"/>
    <w:rsid w:val="00194C22"/>
    <w:rsid w:val="00194CC8"/>
    <w:rsid w:val="001953B1"/>
    <w:rsid w:val="0019562B"/>
    <w:rsid w:val="001963C0"/>
    <w:rsid w:val="00196D52"/>
    <w:rsid w:val="00197329"/>
    <w:rsid w:val="00197830"/>
    <w:rsid w:val="00197956"/>
    <w:rsid w:val="001A0A27"/>
    <w:rsid w:val="001A0D2D"/>
    <w:rsid w:val="001A18DF"/>
    <w:rsid w:val="001A2538"/>
    <w:rsid w:val="001A2E70"/>
    <w:rsid w:val="001A2FA2"/>
    <w:rsid w:val="001A3394"/>
    <w:rsid w:val="001A38B5"/>
    <w:rsid w:val="001A409D"/>
    <w:rsid w:val="001A446E"/>
    <w:rsid w:val="001A44C9"/>
    <w:rsid w:val="001A4E79"/>
    <w:rsid w:val="001A5975"/>
    <w:rsid w:val="001A5EB6"/>
    <w:rsid w:val="001A67FE"/>
    <w:rsid w:val="001A6930"/>
    <w:rsid w:val="001A6B1C"/>
    <w:rsid w:val="001A6BE5"/>
    <w:rsid w:val="001A7840"/>
    <w:rsid w:val="001B05C2"/>
    <w:rsid w:val="001B075E"/>
    <w:rsid w:val="001B0AD7"/>
    <w:rsid w:val="001B0C04"/>
    <w:rsid w:val="001B1676"/>
    <w:rsid w:val="001B168E"/>
    <w:rsid w:val="001B17A8"/>
    <w:rsid w:val="001B195F"/>
    <w:rsid w:val="001B1EE5"/>
    <w:rsid w:val="001B2699"/>
    <w:rsid w:val="001B3509"/>
    <w:rsid w:val="001B4C43"/>
    <w:rsid w:val="001B524E"/>
    <w:rsid w:val="001B52C4"/>
    <w:rsid w:val="001B55C8"/>
    <w:rsid w:val="001B5801"/>
    <w:rsid w:val="001B63C6"/>
    <w:rsid w:val="001B6429"/>
    <w:rsid w:val="001B713B"/>
    <w:rsid w:val="001B766E"/>
    <w:rsid w:val="001B7839"/>
    <w:rsid w:val="001C0921"/>
    <w:rsid w:val="001C1C2A"/>
    <w:rsid w:val="001C2801"/>
    <w:rsid w:val="001C291C"/>
    <w:rsid w:val="001C2DC0"/>
    <w:rsid w:val="001C3518"/>
    <w:rsid w:val="001C3861"/>
    <w:rsid w:val="001C3DE0"/>
    <w:rsid w:val="001C44D8"/>
    <w:rsid w:val="001C484D"/>
    <w:rsid w:val="001C48D4"/>
    <w:rsid w:val="001C4E7E"/>
    <w:rsid w:val="001C5638"/>
    <w:rsid w:val="001C59C6"/>
    <w:rsid w:val="001C5DBD"/>
    <w:rsid w:val="001C6283"/>
    <w:rsid w:val="001C6C04"/>
    <w:rsid w:val="001C7AF0"/>
    <w:rsid w:val="001C7C93"/>
    <w:rsid w:val="001D022A"/>
    <w:rsid w:val="001D0471"/>
    <w:rsid w:val="001D0729"/>
    <w:rsid w:val="001D072F"/>
    <w:rsid w:val="001D0739"/>
    <w:rsid w:val="001D0A4D"/>
    <w:rsid w:val="001D1100"/>
    <w:rsid w:val="001D1892"/>
    <w:rsid w:val="001D19D6"/>
    <w:rsid w:val="001D1AD0"/>
    <w:rsid w:val="001D1B09"/>
    <w:rsid w:val="001D1BD6"/>
    <w:rsid w:val="001D1E80"/>
    <w:rsid w:val="001D210E"/>
    <w:rsid w:val="001D2EAC"/>
    <w:rsid w:val="001D36CD"/>
    <w:rsid w:val="001D39B0"/>
    <w:rsid w:val="001D4199"/>
    <w:rsid w:val="001D43D6"/>
    <w:rsid w:val="001D4F49"/>
    <w:rsid w:val="001D5A96"/>
    <w:rsid w:val="001D61D8"/>
    <w:rsid w:val="001D7982"/>
    <w:rsid w:val="001D7E36"/>
    <w:rsid w:val="001D7F6E"/>
    <w:rsid w:val="001E03ED"/>
    <w:rsid w:val="001E1696"/>
    <w:rsid w:val="001E1A3F"/>
    <w:rsid w:val="001E1C2F"/>
    <w:rsid w:val="001E1D3D"/>
    <w:rsid w:val="001E237B"/>
    <w:rsid w:val="001E23FE"/>
    <w:rsid w:val="001E284E"/>
    <w:rsid w:val="001E31A2"/>
    <w:rsid w:val="001E3C98"/>
    <w:rsid w:val="001E3E66"/>
    <w:rsid w:val="001E3F5E"/>
    <w:rsid w:val="001E410F"/>
    <w:rsid w:val="001E47C3"/>
    <w:rsid w:val="001E47D1"/>
    <w:rsid w:val="001E49C6"/>
    <w:rsid w:val="001E4BE2"/>
    <w:rsid w:val="001E4C58"/>
    <w:rsid w:val="001E5676"/>
    <w:rsid w:val="001E5DFD"/>
    <w:rsid w:val="001E6A64"/>
    <w:rsid w:val="001E75C5"/>
    <w:rsid w:val="001E7909"/>
    <w:rsid w:val="001E7978"/>
    <w:rsid w:val="001F05FA"/>
    <w:rsid w:val="001F1B5F"/>
    <w:rsid w:val="001F1BC7"/>
    <w:rsid w:val="001F1FB5"/>
    <w:rsid w:val="001F2105"/>
    <w:rsid w:val="001F24DC"/>
    <w:rsid w:val="001F2DAB"/>
    <w:rsid w:val="001F300F"/>
    <w:rsid w:val="001F3573"/>
    <w:rsid w:val="001F3BA7"/>
    <w:rsid w:val="001F3C38"/>
    <w:rsid w:val="001F3F2A"/>
    <w:rsid w:val="001F55AA"/>
    <w:rsid w:val="001F569C"/>
    <w:rsid w:val="001F57E6"/>
    <w:rsid w:val="001F580E"/>
    <w:rsid w:val="001F5AFE"/>
    <w:rsid w:val="001F61CD"/>
    <w:rsid w:val="001F69C2"/>
    <w:rsid w:val="001F7039"/>
    <w:rsid w:val="001F778F"/>
    <w:rsid w:val="001F7C86"/>
    <w:rsid w:val="0020015E"/>
    <w:rsid w:val="00201EC5"/>
    <w:rsid w:val="00202146"/>
    <w:rsid w:val="00202293"/>
    <w:rsid w:val="00202806"/>
    <w:rsid w:val="0020285A"/>
    <w:rsid w:val="00202C2A"/>
    <w:rsid w:val="00203383"/>
    <w:rsid w:val="00203560"/>
    <w:rsid w:val="00203895"/>
    <w:rsid w:val="0020393C"/>
    <w:rsid w:val="002048D1"/>
    <w:rsid w:val="002050E7"/>
    <w:rsid w:val="00205310"/>
    <w:rsid w:val="002053F3"/>
    <w:rsid w:val="0020577C"/>
    <w:rsid w:val="002057C8"/>
    <w:rsid w:val="00205DD9"/>
    <w:rsid w:val="00206536"/>
    <w:rsid w:val="002066C6"/>
    <w:rsid w:val="00206760"/>
    <w:rsid w:val="002079CB"/>
    <w:rsid w:val="00207A57"/>
    <w:rsid w:val="0021020B"/>
    <w:rsid w:val="0021096E"/>
    <w:rsid w:val="00210DE8"/>
    <w:rsid w:val="00211D73"/>
    <w:rsid w:val="00211F55"/>
    <w:rsid w:val="002124E8"/>
    <w:rsid w:val="0021262E"/>
    <w:rsid w:val="00212A3E"/>
    <w:rsid w:val="00212CA0"/>
    <w:rsid w:val="002144FF"/>
    <w:rsid w:val="00214AA1"/>
    <w:rsid w:val="00214BF2"/>
    <w:rsid w:val="00215206"/>
    <w:rsid w:val="00215A7F"/>
    <w:rsid w:val="00216522"/>
    <w:rsid w:val="00217913"/>
    <w:rsid w:val="00217949"/>
    <w:rsid w:val="0022000E"/>
    <w:rsid w:val="002206C6"/>
    <w:rsid w:val="00220F59"/>
    <w:rsid w:val="0022164F"/>
    <w:rsid w:val="00221C29"/>
    <w:rsid w:val="00221C52"/>
    <w:rsid w:val="00221D19"/>
    <w:rsid w:val="0022240F"/>
    <w:rsid w:val="00223BC7"/>
    <w:rsid w:val="00224243"/>
    <w:rsid w:val="00224A20"/>
    <w:rsid w:val="00225DC9"/>
    <w:rsid w:val="0022666B"/>
    <w:rsid w:val="00226CB9"/>
    <w:rsid w:val="0022734D"/>
    <w:rsid w:val="00227CCE"/>
    <w:rsid w:val="00231573"/>
    <w:rsid w:val="002319C9"/>
    <w:rsid w:val="00231E52"/>
    <w:rsid w:val="0023447F"/>
    <w:rsid w:val="002348B8"/>
    <w:rsid w:val="002349D3"/>
    <w:rsid w:val="0023506A"/>
    <w:rsid w:val="002350B3"/>
    <w:rsid w:val="00236CB8"/>
    <w:rsid w:val="0023786C"/>
    <w:rsid w:val="0023798E"/>
    <w:rsid w:val="00237CA4"/>
    <w:rsid w:val="0024028C"/>
    <w:rsid w:val="002405CF"/>
    <w:rsid w:val="002406B3"/>
    <w:rsid w:val="00240A07"/>
    <w:rsid w:val="002413D2"/>
    <w:rsid w:val="00241581"/>
    <w:rsid w:val="00241B7F"/>
    <w:rsid w:val="002425E6"/>
    <w:rsid w:val="00242EE4"/>
    <w:rsid w:val="00242F37"/>
    <w:rsid w:val="0024348B"/>
    <w:rsid w:val="00243930"/>
    <w:rsid w:val="00243F12"/>
    <w:rsid w:val="002444D0"/>
    <w:rsid w:val="0024462E"/>
    <w:rsid w:val="00245EAF"/>
    <w:rsid w:val="00246D75"/>
    <w:rsid w:val="002474FA"/>
    <w:rsid w:val="00247864"/>
    <w:rsid w:val="00250571"/>
    <w:rsid w:val="00250EDD"/>
    <w:rsid w:val="00250F2E"/>
    <w:rsid w:val="00250F80"/>
    <w:rsid w:val="00252759"/>
    <w:rsid w:val="00253493"/>
    <w:rsid w:val="002535F1"/>
    <w:rsid w:val="002538B9"/>
    <w:rsid w:val="00253DE9"/>
    <w:rsid w:val="00254DDF"/>
    <w:rsid w:val="002553B1"/>
    <w:rsid w:val="0025547D"/>
    <w:rsid w:val="00255503"/>
    <w:rsid w:val="00255638"/>
    <w:rsid w:val="002557C8"/>
    <w:rsid w:val="00256044"/>
    <w:rsid w:val="00257AFB"/>
    <w:rsid w:val="00257F57"/>
    <w:rsid w:val="002604D5"/>
    <w:rsid w:val="00260F03"/>
    <w:rsid w:val="00260F1F"/>
    <w:rsid w:val="00261284"/>
    <w:rsid w:val="00261925"/>
    <w:rsid w:val="00261BB9"/>
    <w:rsid w:val="00261E1B"/>
    <w:rsid w:val="002622C8"/>
    <w:rsid w:val="0026293D"/>
    <w:rsid w:val="00262CB5"/>
    <w:rsid w:val="002630D0"/>
    <w:rsid w:val="00263560"/>
    <w:rsid w:val="00263CC0"/>
    <w:rsid w:val="00263FDF"/>
    <w:rsid w:val="0026597C"/>
    <w:rsid w:val="00265982"/>
    <w:rsid w:val="002664CC"/>
    <w:rsid w:val="00266F0E"/>
    <w:rsid w:val="00267968"/>
    <w:rsid w:val="0026797F"/>
    <w:rsid w:val="00267ACB"/>
    <w:rsid w:val="00267F71"/>
    <w:rsid w:val="00270154"/>
    <w:rsid w:val="0027072B"/>
    <w:rsid w:val="00270AF6"/>
    <w:rsid w:val="00270F5A"/>
    <w:rsid w:val="00271422"/>
    <w:rsid w:val="00271F70"/>
    <w:rsid w:val="00272142"/>
    <w:rsid w:val="00272703"/>
    <w:rsid w:val="00272A24"/>
    <w:rsid w:val="00272EEA"/>
    <w:rsid w:val="00273394"/>
    <w:rsid w:val="0027408B"/>
    <w:rsid w:val="002740BD"/>
    <w:rsid w:val="00274B19"/>
    <w:rsid w:val="00274EFE"/>
    <w:rsid w:val="002756D9"/>
    <w:rsid w:val="00275D60"/>
    <w:rsid w:val="00276B56"/>
    <w:rsid w:val="00277021"/>
    <w:rsid w:val="00277E6B"/>
    <w:rsid w:val="00280394"/>
    <w:rsid w:val="0028076C"/>
    <w:rsid w:val="00280F46"/>
    <w:rsid w:val="002818E4"/>
    <w:rsid w:val="002819FD"/>
    <w:rsid w:val="00281BD7"/>
    <w:rsid w:val="00282742"/>
    <w:rsid w:val="00282FA3"/>
    <w:rsid w:val="00283FF4"/>
    <w:rsid w:val="002841A3"/>
    <w:rsid w:val="002853C9"/>
    <w:rsid w:val="0028583A"/>
    <w:rsid w:val="00285A44"/>
    <w:rsid w:val="00285C67"/>
    <w:rsid w:val="002860F4"/>
    <w:rsid w:val="0028645B"/>
    <w:rsid w:val="002869AD"/>
    <w:rsid w:val="00287368"/>
    <w:rsid w:val="00287873"/>
    <w:rsid w:val="0028795B"/>
    <w:rsid w:val="00287F20"/>
    <w:rsid w:val="00290135"/>
    <w:rsid w:val="00290460"/>
    <w:rsid w:val="00290633"/>
    <w:rsid w:val="002916CC"/>
    <w:rsid w:val="0029278C"/>
    <w:rsid w:val="002927B4"/>
    <w:rsid w:val="00292E65"/>
    <w:rsid w:val="00292ECD"/>
    <w:rsid w:val="00294AB4"/>
    <w:rsid w:val="002950E7"/>
    <w:rsid w:val="0029687C"/>
    <w:rsid w:val="0029697C"/>
    <w:rsid w:val="002979BE"/>
    <w:rsid w:val="002979F1"/>
    <w:rsid w:val="00297B02"/>
    <w:rsid w:val="00297BF9"/>
    <w:rsid w:val="002A01D5"/>
    <w:rsid w:val="002A0657"/>
    <w:rsid w:val="002A0706"/>
    <w:rsid w:val="002A13E1"/>
    <w:rsid w:val="002A1BA9"/>
    <w:rsid w:val="002A1CA0"/>
    <w:rsid w:val="002A2D17"/>
    <w:rsid w:val="002A3248"/>
    <w:rsid w:val="002A36A7"/>
    <w:rsid w:val="002A378A"/>
    <w:rsid w:val="002A3C57"/>
    <w:rsid w:val="002A3E14"/>
    <w:rsid w:val="002A4BA1"/>
    <w:rsid w:val="002A520C"/>
    <w:rsid w:val="002A587F"/>
    <w:rsid w:val="002A64A2"/>
    <w:rsid w:val="002A6E9B"/>
    <w:rsid w:val="002A6F53"/>
    <w:rsid w:val="002A71B2"/>
    <w:rsid w:val="002A758A"/>
    <w:rsid w:val="002A7A8B"/>
    <w:rsid w:val="002B0846"/>
    <w:rsid w:val="002B0B03"/>
    <w:rsid w:val="002B0BCE"/>
    <w:rsid w:val="002B0EB8"/>
    <w:rsid w:val="002B115B"/>
    <w:rsid w:val="002B1304"/>
    <w:rsid w:val="002B1360"/>
    <w:rsid w:val="002B154D"/>
    <w:rsid w:val="002B282F"/>
    <w:rsid w:val="002B303A"/>
    <w:rsid w:val="002B39AE"/>
    <w:rsid w:val="002B3CF3"/>
    <w:rsid w:val="002B4ADB"/>
    <w:rsid w:val="002B55BA"/>
    <w:rsid w:val="002B5784"/>
    <w:rsid w:val="002B582C"/>
    <w:rsid w:val="002B60F0"/>
    <w:rsid w:val="002B7525"/>
    <w:rsid w:val="002B7750"/>
    <w:rsid w:val="002B7D32"/>
    <w:rsid w:val="002B7E8E"/>
    <w:rsid w:val="002B7FB8"/>
    <w:rsid w:val="002C01F2"/>
    <w:rsid w:val="002C08E1"/>
    <w:rsid w:val="002C0A6E"/>
    <w:rsid w:val="002C1EA6"/>
    <w:rsid w:val="002C1EDE"/>
    <w:rsid w:val="002C2564"/>
    <w:rsid w:val="002C30F1"/>
    <w:rsid w:val="002C31F8"/>
    <w:rsid w:val="002C39DD"/>
    <w:rsid w:val="002C3E84"/>
    <w:rsid w:val="002C4148"/>
    <w:rsid w:val="002C4D04"/>
    <w:rsid w:val="002C51CD"/>
    <w:rsid w:val="002C5980"/>
    <w:rsid w:val="002C5981"/>
    <w:rsid w:val="002C5DF7"/>
    <w:rsid w:val="002C631B"/>
    <w:rsid w:val="002C6625"/>
    <w:rsid w:val="002C6ABF"/>
    <w:rsid w:val="002C6AC5"/>
    <w:rsid w:val="002C7307"/>
    <w:rsid w:val="002C775A"/>
    <w:rsid w:val="002D0410"/>
    <w:rsid w:val="002D0899"/>
    <w:rsid w:val="002D1575"/>
    <w:rsid w:val="002D1707"/>
    <w:rsid w:val="002D17E2"/>
    <w:rsid w:val="002D27F5"/>
    <w:rsid w:val="002D2834"/>
    <w:rsid w:val="002D28B9"/>
    <w:rsid w:val="002D36AE"/>
    <w:rsid w:val="002D3F5B"/>
    <w:rsid w:val="002D4012"/>
    <w:rsid w:val="002D4470"/>
    <w:rsid w:val="002D459C"/>
    <w:rsid w:val="002D487B"/>
    <w:rsid w:val="002D536E"/>
    <w:rsid w:val="002D61DD"/>
    <w:rsid w:val="002D68AA"/>
    <w:rsid w:val="002D74CF"/>
    <w:rsid w:val="002D792C"/>
    <w:rsid w:val="002D7978"/>
    <w:rsid w:val="002D7A5D"/>
    <w:rsid w:val="002E0684"/>
    <w:rsid w:val="002E0D7B"/>
    <w:rsid w:val="002E0EC8"/>
    <w:rsid w:val="002E18EF"/>
    <w:rsid w:val="002E278F"/>
    <w:rsid w:val="002E28E4"/>
    <w:rsid w:val="002E3171"/>
    <w:rsid w:val="002E3AC3"/>
    <w:rsid w:val="002E3B4D"/>
    <w:rsid w:val="002E493B"/>
    <w:rsid w:val="002E57DB"/>
    <w:rsid w:val="002E5D2C"/>
    <w:rsid w:val="002E6BE6"/>
    <w:rsid w:val="002E7EEF"/>
    <w:rsid w:val="002E7F2E"/>
    <w:rsid w:val="002F0522"/>
    <w:rsid w:val="002F0734"/>
    <w:rsid w:val="002F1247"/>
    <w:rsid w:val="002F13F6"/>
    <w:rsid w:val="002F18C3"/>
    <w:rsid w:val="002F1C95"/>
    <w:rsid w:val="002F2A76"/>
    <w:rsid w:val="002F2D72"/>
    <w:rsid w:val="002F3363"/>
    <w:rsid w:val="002F3BB9"/>
    <w:rsid w:val="002F402D"/>
    <w:rsid w:val="002F40C9"/>
    <w:rsid w:val="002F43C8"/>
    <w:rsid w:val="002F4668"/>
    <w:rsid w:val="002F494D"/>
    <w:rsid w:val="002F51BB"/>
    <w:rsid w:val="002F5530"/>
    <w:rsid w:val="002F5C2A"/>
    <w:rsid w:val="002F6A62"/>
    <w:rsid w:val="002F7513"/>
    <w:rsid w:val="002F7593"/>
    <w:rsid w:val="00300210"/>
    <w:rsid w:val="0030026A"/>
    <w:rsid w:val="00300499"/>
    <w:rsid w:val="00300996"/>
    <w:rsid w:val="00300A03"/>
    <w:rsid w:val="00301265"/>
    <w:rsid w:val="00301975"/>
    <w:rsid w:val="00301D21"/>
    <w:rsid w:val="00301EB6"/>
    <w:rsid w:val="003021A4"/>
    <w:rsid w:val="003027FE"/>
    <w:rsid w:val="00302D6D"/>
    <w:rsid w:val="00302D78"/>
    <w:rsid w:val="0030338C"/>
    <w:rsid w:val="003039A3"/>
    <w:rsid w:val="003039D2"/>
    <w:rsid w:val="00303BC5"/>
    <w:rsid w:val="00303D49"/>
    <w:rsid w:val="003040E5"/>
    <w:rsid w:val="0030542C"/>
    <w:rsid w:val="003064BB"/>
    <w:rsid w:val="003065E5"/>
    <w:rsid w:val="00306A33"/>
    <w:rsid w:val="00306FAD"/>
    <w:rsid w:val="00306FF8"/>
    <w:rsid w:val="00307057"/>
    <w:rsid w:val="003070EB"/>
    <w:rsid w:val="00310418"/>
    <w:rsid w:val="003104DB"/>
    <w:rsid w:val="0031050B"/>
    <w:rsid w:val="0031095B"/>
    <w:rsid w:val="00311BE2"/>
    <w:rsid w:val="00311C7C"/>
    <w:rsid w:val="003121D6"/>
    <w:rsid w:val="00312FFC"/>
    <w:rsid w:val="00313032"/>
    <w:rsid w:val="00313C87"/>
    <w:rsid w:val="00313E34"/>
    <w:rsid w:val="00314A42"/>
    <w:rsid w:val="00314B74"/>
    <w:rsid w:val="00314FD8"/>
    <w:rsid w:val="003150BF"/>
    <w:rsid w:val="003150CE"/>
    <w:rsid w:val="00315709"/>
    <w:rsid w:val="00315E92"/>
    <w:rsid w:val="00316C21"/>
    <w:rsid w:val="003175A2"/>
    <w:rsid w:val="00317654"/>
    <w:rsid w:val="00317D17"/>
    <w:rsid w:val="00317D73"/>
    <w:rsid w:val="0032011D"/>
    <w:rsid w:val="00320B34"/>
    <w:rsid w:val="00321337"/>
    <w:rsid w:val="00321563"/>
    <w:rsid w:val="00321EB0"/>
    <w:rsid w:val="00321F84"/>
    <w:rsid w:val="00322364"/>
    <w:rsid w:val="0032249C"/>
    <w:rsid w:val="00322834"/>
    <w:rsid w:val="00323346"/>
    <w:rsid w:val="003233D5"/>
    <w:rsid w:val="00323A6B"/>
    <w:rsid w:val="00323B9E"/>
    <w:rsid w:val="00324EF1"/>
    <w:rsid w:val="00324F57"/>
    <w:rsid w:val="00325686"/>
    <w:rsid w:val="003256DC"/>
    <w:rsid w:val="0032588A"/>
    <w:rsid w:val="003264F4"/>
    <w:rsid w:val="00326DEE"/>
    <w:rsid w:val="003272C0"/>
    <w:rsid w:val="00327432"/>
    <w:rsid w:val="003276B2"/>
    <w:rsid w:val="00327F59"/>
    <w:rsid w:val="0033038C"/>
    <w:rsid w:val="00330632"/>
    <w:rsid w:val="00330804"/>
    <w:rsid w:val="00330FFC"/>
    <w:rsid w:val="003318A5"/>
    <w:rsid w:val="0033254B"/>
    <w:rsid w:val="0033279C"/>
    <w:rsid w:val="00333971"/>
    <w:rsid w:val="00333AC4"/>
    <w:rsid w:val="003344D9"/>
    <w:rsid w:val="00334A6B"/>
    <w:rsid w:val="00334B61"/>
    <w:rsid w:val="0033525D"/>
    <w:rsid w:val="003352B2"/>
    <w:rsid w:val="00335509"/>
    <w:rsid w:val="00335606"/>
    <w:rsid w:val="00335CBB"/>
    <w:rsid w:val="003366B2"/>
    <w:rsid w:val="0033714E"/>
    <w:rsid w:val="00337AA9"/>
    <w:rsid w:val="00337EDA"/>
    <w:rsid w:val="00340066"/>
    <w:rsid w:val="003403FD"/>
    <w:rsid w:val="00340844"/>
    <w:rsid w:val="0034122D"/>
    <w:rsid w:val="00342111"/>
    <w:rsid w:val="003422A9"/>
    <w:rsid w:val="003425B8"/>
    <w:rsid w:val="0034288B"/>
    <w:rsid w:val="003429B5"/>
    <w:rsid w:val="0034332B"/>
    <w:rsid w:val="0034334C"/>
    <w:rsid w:val="00343762"/>
    <w:rsid w:val="00343A4E"/>
    <w:rsid w:val="00344378"/>
    <w:rsid w:val="003451FA"/>
    <w:rsid w:val="003465A8"/>
    <w:rsid w:val="0034681C"/>
    <w:rsid w:val="0035037B"/>
    <w:rsid w:val="003503DD"/>
    <w:rsid w:val="00350CB2"/>
    <w:rsid w:val="00350CEE"/>
    <w:rsid w:val="00351080"/>
    <w:rsid w:val="0035129B"/>
    <w:rsid w:val="00351670"/>
    <w:rsid w:val="0035216D"/>
    <w:rsid w:val="00352DAA"/>
    <w:rsid w:val="003530F1"/>
    <w:rsid w:val="00353B9B"/>
    <w:rsid w:val="00353C1C"/>
    <w:rsid w:val="00353D83"/>
    <w:rsid w:val="00354AA5"/>
    <w:rsid w:val="00354BBF"/>
    <w:rsid w:val="00355149"/>
    <w:rsid w:val="00355B1E"/>
    <w:rsid w:val="003564DB"/>
    <w:rsid w:val="00357D02"/>
    <w:rsid w:val="003600A8"/>
    <w:rsid w:val="0036023C"/>
    <w:rsid w:val="0036176E"/>
    <w:rsid w:val="00362680"/>
    <w:rsid w:val="0036284D"/>
    <w:rsid w:val="0036296F"/>
    <w:rsid w:val="003629D2"/>
    <w:rsid w:val="00362A8B"/>
    <w:rsid w:val="00362B36"/>
    <w:rsid w:val="00363207"/>
    <w:rsid w:val="003651F1"/>
    <w:rsid w:val="003653DC"/>
    <w:rsid w:val="00365EF1"/>
    <w:rsid w:val="00366524"/>
    <w:rsid w:val="00366567"/>
    <w:rsid w:val="00366965"/>
    <w:rsid w:val="00366D37"/>
    <w:rsid w:val="00366F35"/>
    <w:rsid w:val="003675A2"/>
    <w:rsid w:val="003700F4"/>
    <w:rsid w:val="00370222"/>
    <w:rsid w:val="003706D3"/>
    <w:rsid w:val="0037239F"/>
    <w:rsid w:val="00372974"/>
    <w:rsid w:val="003739CC"/>
    <w:rsid w:val="00373C3D"/>
    <w:rsid w:val="00373E58"/>
    <w:rsid w:val="00374010"/>
    <w:rsid w:val="0037439D"/>
    <w:rsid w:val="003746B8"/>
    <w:rsid w:val="003746ED"/>
    <w:rsid w:val="003757D0"/>
    <w:rsid w:val="00376073"/>
    <w:rsid w:val="003761E3"/>
    <w:rsid w:val="00377452"/>
    <w:rsid w:val="003776CF"/>
    <w:rsid w:val="00377F56"/>
    <w:rsid w:val="00380655"/>
    <w:rsid w:val="00380707"/>
    <w:rsid w:val="00380DD3"/>
    <w:rsid w:val="00380F3D"/>
    <w:rsid w:val="003810F5"/>
    <w:rsid w:val="00381213"/>
    <w:rsid w:val="00381223"/>
    <w:rsid w:val="00381849"/>
    <w:rsid w:val="003823A0"/>
    <w:rsid w:val="00382808"/>
    <w:rsid w:val="003845D1"/>
    <w:rsid w:val="0038478C"/>
    <w:rsid w:val="00384A7C"/>
    <w:rsid w:val="00384F36"/>
    <w:rsid w:val="00385271"/>
    <w:rsid w:val="00385596"/>
    <w:rsid w:val="0038573B"/>
    <w:rsid w:val="003858E4"/>
    <w:rsid w:val="0038609E"/>
    <w:rsid w:val="0038612E"/>
    <w:rsid w:val="003863B3"/>
    <w:rsid w:val="003865D3"/>
    <w:rsid w:val="003871F5"/>
    <w:rsid w:val="003875EC"/>
    <w:rsid w:val="0038771D"/>
    <w:rsid w:val="00387CD1"/>
    <w:rsid w:val="00387F73"/>
    <w:rsid w:val="003910CE"/>
    <w:rsid w:val="0039110F"/>
    <w:rsid w:val="00391463"/>
    <w:rsid w:val="0039226E"/>
    <w:rsid w:val="00392CC8"/>
    <w:rsid w:val="00392DB4"/>
    <w:rsid w:val="00393241"/>
    <w:rsid w:val="003932C8"/>
    <w:rsid w:val="00393883"/>
    <w:rsid w:val="00393B9A"/>
    <w:rsid w:val="00395760"/>
    <w:rsid w:val="003960E5"/>
    <w:rsid w:val="00396231"/>
    <w:rsid w:val="00396FC2"/>
    <w:rsid w:val="003974DA"/>
    <w:rsid w:val="00397708"/>
    <w:rsid w:val="003A0097"/>
    <w:rsid w:val="003A09F1"/>
    <w:rsid w:val="003A18ED"/>
    <w:rsid w:val="003A1D7F"/>
    <w:rsid w:val="003A1F10"/>
    <w:rsid w:val="003A2017"/>
    <w:rsid w:val="003A2AAB"/>
    <w:rsid w:val="003A32ED"/>
    <w:rsid w:val="003A33D7"/>
    <w:rsid w:val="003A35F7"/>
    <w:rsid w:val="003A36CF"/>
    <w:rsid w:val="003A39A2"/>
    <w:rsid w:val="003A39DE"/>
    <w:rsid w:val="003A404D"/>
    <w:rsid w:val="003A48CC"/>
    <w:rsid w:val="003A4985"/>
    <w:rsid w:val="003A5AE9"/>
    <w:rsid w:val="003A60F1"/>
    <w:rsid w:val="003A6561"/>
    <w:rsid w:val="003A6ED9"/>
    <w:rsid w:val="003A72EF"/>
    <w:rsid w:val="003A7313"/>
    <w:rsid w:val="003A7E21"/>
    <w:rsid w:val="003B0922"/>
    <w:rsid w:val="003B0EB4"/>
    <w:rsid w:val="003B0F0A"/>
    <w:rsid w:val="003B1800"/>
    <w:rsid w:val="003B1A61"/>
    <w:rsid w:val="003B2382"/>
    <w:rsid w:val="003B2675"/>
    <w:rsid w:val="003B2D55"/>
    <w:rsid w:val="003B33AF"/>
    <w:rsid w:val="003B4526"/>
    <w:rsid w:val="003B48DB"/>
    <w:rsid w:val="003B4EED"/>
    <w:rsid w:val="003B5711"/>
    <w:rsid w:val="003B5D97"/>
    <w:rsid w:val="003B65FC"/>
    <w:rsid w:val="003B6A64"/>
    <w:rsid w:val="003B6AF6"/>
    <w:rsid w:val="003B6B2C"/>
    <w:rsid w:val="003B70A2"/>
    <w:rsid w:val="003B7B24"/>
    <w:rsid w:val="003B7F93"/>
    <w:rsid w:val="003C058C"/>
    <w:rsid w:val="003C0FF9"/>
    <w:rsid w:val="003C1932"/>
    <w:rsid w:val="003C1D28"/>
    <w:rsid w:val="003C266A"/>
    <w:rsid w:val="003C3146"/>
    <w:rsid w:val="003C326F"/>
    <w:rsid w:val="003C35E3"/>
    <w:rsid w:val="003C4A88"/>
    <w:rsid w:val="003C53A9"/>
    <w:rsid w:val="003C602A"/>
    <w:rsid w:val="003C72C8"/>
    <w:rsid w:val="003C7CB7"/>
    <w:rsid w:val="003D0879"/>
    <w:rsid w:val="003D1235"/>
    <w:rsid w:val="003D1759"/>
    <w:rsid w:val="003D1896"/>
    <w:rsid w:val="003D1F91"/>
    <w:rsid w:val="003D2C24"/>
    <w:rsid w:val="003D3ACD"/>
    <w:rsid w:val="003D3B14"/>
    <w:rsid w:val="003D4144"/>
    <w:rsid w:val="003D4D24"/>
    <w:rsid w:val="003D62F7"/>
    <w:rsid w:val="003D7674"/>
    <w:rsid w:val="003D7BFB"/>
    <w:rsid w:val="003D7CD1"/>
    <w:rsid w:val="003E00EF"/>
    <w:rsid w:val="003E0B4C"/>
    <w:rsid w:val="003E1035"/>
    <w:rsid w:val="003E1551"/>
    <w:rsid w:val="003E17F2"/>
    <w:rsid w:val="003E19F7"/>
    <w:rsid w:val="003E1E68"/>
    <w:rsid w:val="003E1EB2"/>
    <w:rsid w:val="003E4095"/>
    <w:rsid w:val="003E4445"/>
    <w:rsid w:val="003E492C"/>
    <w:rsid w:val="003E4CE4"/>
    <w:rsid w:val="003E4E5F"/>
    <w:rsid w:val="003E62DE"/>
    <w:rsid w:val="003E6E29"/>
    <w:rsid w:val="003E6F6C"/>
    <w:rsid w:val="003E710D"/>
    <w:rsid w:val="003E74E7"/>
    <w:rsid w:val="003E7A9C"/>
    <w:rsid w:val="003E7C22"/>
    <w:rsid w:val="003F02B8"/>
    <w:rsid w:val="003F0F31"/>
    <w:rsid w:val="003F1EEC"/>
    <w:rsid w:val="003F2A0C"/>
    <w:rsid w:val="003F2AC7"/>
    <w:rsid w:val="003F2D92"/>
    <w:rsid w:val="003F3140"/>
    <w:rsid w:val="003F328F"/>
    <w:rsid w:val="003F32E1"/>
    <w:rsid w:val="003F367A"/>
    <w:rsid w:val="003F369D"/>
    <w:rsid w:val="003F433A"/>
    <w:rsid w:val="003F4A64"/>
    <w:rsid w:val="003F52CF"/>
    <w:rsid w:val="003F52D8"/>
    <w:rsid w:val="003F531A"/>
    <w:rsid w:val="003F545B"/>
    <w:rsid w:val="003F6EF3"/>
    <w:rsid w:val="003F70C8"/>
    <w:rsid w:val="003F764B"/>
    <w:rsid w:val="003F77E1"/>
    <w:rsid w:val="003F7C6B"/>
    <w:rsid w:val="003F7C9E"/>
    <w:rsid w:val="004009BF"/>
    <w:rsid w:val="00400FAC"/>
    <w:rsid w:val="00400FE5"/>
    <w:rsid w:val="004025E8"/>
    <w:rsid w:val="00402768"/>
    <w:rsid w:val="00402B16"/>
    <w:rsid w:val="00402D0D"/>
    <w:rsid w:val="004039D5"/>
    <w:rsid w:val="00403FDF"/>
    <w:rsid w:val="00404C36"/>
    <w:rsid w:val="00405655"/>
    <w:rsid w:val="00405ACB"/>
    <w:rsid w:val="00405B07"/>
    <w:rsid w:val="00406096"/>
    <w:rsid w:val="00406699"/>
    <w:rsid w:val="00406F38"/>
    <w:rsid w:val="0040749D"/>
    <w:rsid w:val="004107CA"/>
    <w:rsid w:val="00410D90"/>
    <w:rsid w:val="00410FD0"/>
    <w:rsid w:val="004111BC"/>
    <w:rsid w:val="004113A2"/>
    <w:rsid w:val="004114CB"/>
    <w:rsid w:val="00411738"/>
    <w:rsid w:val="004117F3"/>
    <w:rsid w:val="00411BA1"/>
    <w:rsid w:val="004124C2"/>
    <w:rsid w:val="004125F4"/>
    <w:rsid w:val="004126D4"/>
    <w:rsid w:val="0041272C"/>
    <w:rsid w:val="0041283D"/>
    <w:rsid w:val="00412B3D"/>
    <w:rsid w:val="00412EEB"/>
    <w:rsid w:val="004132B0"/>
    <w:rsid w:val="00413CEE"/>
    <w:rsid w:val="00413EC1"/>
    <w:rsid w:val="004140DE"/>
    <w:rsid w:val="0041426D"/>
    <w:rsid w:val="0041448A"/>
    <w:rsid w:val="00414703"/>
    <w:rsid w:val="004148C8"/>
    <w:rsid w:val="00414E54"/>
    <w:rsid w:val="00415415"/>
    <w:rsid w:val="00415D2B"/>
    <w:rsid w:val="0041605C"/>
    <w:rsid w:val="00416109"/>
    <w:rsid w:val="00416C0A"/>
    <w:rsid w:val="004170F0"/>
    <w:rsid w:val="00417192"/>
    <w:rsid w:val="004208E7"/>
    <w:rsid w:val="00420F5B"/>
    <w:rsid w:val="0042151A"/>
    <w:rsid w:val="0042153E"/>
    <w:rsid w:val="004216BF"/>
    <w:rsid w:val="00421941"/>
    <w:rsid w:val="00422BB3"/>
    <w:rsid w:val="00423395"/>
    <w:rsid w:val="00423478"/>
    <w:rsid w:val="00423C51"/>
    <w:rsid w:val="00423D9F"/>
    <w:rsid w:val="004249CD"/>
    <w:rsid w:val="00424DE2"/>
    <w:rsid w:val="004251B1"/>
    <w:rsid w:val="00425DEB"/>
    <w:rsid w:val="00426942"/>
    <w:rsid w:val="004274DD"/>
    <w:rsid w:val="004300C8"/>
    <w:rsid w:val="00431C5D"/>
    <w:rsid w:val="00432154"/>
    <w:rsid w:val="004321AC"/>
    <w:rsid w:val="004322D2"/>
    <w:rsid w:val="00432528"/>
    <w:rsid w:val="00432836"/>
    <w:rsid w:val="00433448"/>
    <w:rsid w:val="00433E14"/>
    <w:rsid w:val="00433F7F"/>
    <w:rsid w:val="00435E87"/>
    <w:rsid w:val="004373D1"/>
    <w:rsid w:val="0043778D"/>
    <w:rsid w:val="004402C4"/>
    <w:rsid w:val="00440519"/>
    <w:rsid w:val="00441082"/>
    <w:rsid w:val="004410DF"/>
    <w:rsid w:val="00442B11"/>
    <w:rsid w:val="004431E1"/>
    <w:rsid w:val="00444622"/>
    <w:rsid w:val="004454A2"/>
    <w:rsid w:val="004454C2"/>
    <w:rsid w:val="00445F7A"/>
    <w:rsid w:val="0044625A"/>
    <w:rsid w:val="00446711"/>
    <w:rsid w:val="0044716D"/>
    <w:rsid w:val="00447347"/>
    <w:rsid w:val="004478A5"/>
    <w:rsid w:val="00447D1F"/>
    <w:rsid w:val="00447F33"/>
    <w:rsid w:val="00450A27"/>
    <w:rsid w:val="00450FAE"/>
    <w:rsid w:val="004511DD"/>
    <w:rsid w:val="0045183B"/>
    <w:rsid w:val="00451B1F"/>
    <w:rsid w:val="00451EC2"/>
    <w:rsid w:val="004520AB"/>
    <w:rsid w:val="00452C8C"/>
    <w:rsid w:val="00453373"/>
    <w:rsid w:val="00453608"/>
    <w:rsid w:val="004538AE"/>
    <w:rsid w:val="00454C00"/>
    <w:rsid w:val="00454D19"/>
    <w:rsid w:val="004556D4"/>
    <w:rsid w:val="004564F8"/>
    <w:rsid w:val="00456D54"/>
    <w:rsid w:val="0045722C"/>
    <w:rsid w:val="00457598"/>
    <w:rsid w:val="00457F13"/>
    <w:rsid w:val="00461542"/>
    <w:rsid w:val="0046256D"/>
    <w:rsid w:val="00463357"/>
    <w:rsid w:val="0046354D"/>
    <w:rsid w:val="00463A04"/>
    <w:rsid w:val="00463C38"/>
    <w:rsid w:val="00463C70"/>
    <w:rsid w:val="0046478C"/>
    <w:rsid w:val="004648D7"/>
    <w:rsid w:val="004651D4"/>
    <w:rsid w:val="00465255"/>
    <w:rsid w:val="00465282"/>
    <w:rsid w:val="0046578D"/>
    <w:rsid w:val="00466398"/>
    <w:rsid w:val="004664C9"/>
    <w:rsid w:val="004671BB"/>
    <w:rsid w:val="004705F3"/>
    <w:rsid w:val="0047064F"/>
    <w:rsid w:val="004707E3"/>
    <w:rsid w:val="004708D2"/>
    <w:rsid w:val="0047285F"/>
    <w:rsid w:val="00473090"/>
    <w:rsid w:val="00473718"/>
    <w:rsid w:val="004737A0"/>
    <w:rsid w:val="00473869"/>
    <w:rsid w:val="004739DD"/>
    <w:rsid w:val="0047410E"/>
    <w:rsid w:val="00474256"/>
    <w:rsid w:val="00474D04"/>
    <w:rsid w:val="0047541E"/>
    <w:rsid w:val="00476B3D"/>
    <w:rsid w:val="00476C02"/>
    <w:rsid w:val="00477092"/>
    <w:rsid w:val="00477770"/>
    <w:rsid w:val="00477C71"/>
    <w:rsid w:val="00480065"/>
    <w:rsid w:val="0048054A"/>
    <w:rsid w:val="00480964"/>
    <w:rsid w:val="0048112F"/>
    <w:rsid w:val="004818E8"/>
    <w:rsid w:val="00482E4A"/>
    <w:rsid w:val="00482F67"/>
    <w:rsid w:val="00483006"/>
    <w:rsid w:val="00483305"/>
    <w:rsid w:val="00483C2D"/>
    <w:rsid w:val="00484203"/>
    <w:rsid w:val="004843C7"/>
    <w:rsid w:val="004847A7"/>
    <w:rsid w:val="00484915"/>
    <w:rsid w:val="00484C61"/>
    <w:rsid w:val="00485913"/>
    <w:rsid w:val="00485961"/>
    <w:rsid w:val="00485CBA"/>
    <w:rsid w:val="004860D3"/>
    <w:rsid w:val="0048686A"/>
    <w:rsid w:val="00486DBE"/>
    <w:rsid w:val="00487387"/>
    <w:rsid w:val="004873C3"/>
    <w:rsid w:val="00487788"/>
    <w:rsid w:val="00490E50"/>
    <w:rsid w:val="00491014"/>
    <w:rsid w:val="004919FD"/>
    <w:rsid w:val="004924D7"/>
    <w:rsid w:val="00492757"/>
    <w:rsid w:val="004937E5"/>
    <w:rsid w:val="004938F8"/>
    <w:rsid w:val="0049435F"/>
    <w:rsid w:val="00494404"/>
    <w:rsid w:val="0049548C"/>
    <w:rsid w:val="004956C7"/>
    <w:rsid w:val="00495EEF"/>
    <w:rsid w:val="00496683"/>
    <w:rsid w:val="00496691"/>
    <w:rsid w:val="004967E2"/>
    <w:rsid w:val="00497B00"/>
    <w:rsid w:val="004A0069"/>
    <w:rsid w:val="004A06FC"/>
    <w:rsid w:val="004A0BF4"/>
    <w:rsid w:val="004A0C21"/>
    <w:rsid w:val="004A132C"/>
    <w:rsid w:val="004A1BF0"/>
    <w:rsid w:val="004A222E"/>
    <w:rsid w:val="004A2A79"/>
    <w:rsid w:val="004A4762"/>
    <w:rsid w:val="004A4E7A"/>
    <w:rsid w:val="004A53A3"/>
    <w:rsid w:val="004A5CBB"/>
    <w:rsid w:val="004A6428"/>
    <w:rsid w:val="004A6631"/>
    <w:rsid w:val="004A680A"/>
    <w:rsid w:val="004A6AD0"/>
    <w:rsid w:val="004A6BA0"/>
    <w:rsid w:val="004A7A13"/>
    <w:rsid w:val="004B0827"/>
    <w:rsid w:val="004B0A03"/>
    <w:rsid w:val="004B0D53"/>
    <w:rsid w:val="004B10E8"/>
    <w:rsid w:val="004B246E"/>
    <w:rsid w:val="004B26D9"/>
    <w:rsid w:val="004B29B0"/>
    <w:rsid w:val="004B2C5E"/>
    <w:rsid w:val="004B2C86"/>
    <w:rsid w:val="004B2F3E"/>
    <w:rsid w:val="004B3BC8"/>
    <w:rsid w:val="004B3FF7"/>
    <w:rsid w:val="004B41DB"/>
    <w:rsid w:val="004B5706"/>
    <w:rsid w:val="004B5F97"/>
    <w:rsid w:val="004B6914"/>
    <w:rsid w:val="004B6C3C"/>
    <w:rsid w:val="004B6C75"/>
    <w:rsid w:val="004B7748"/>
    <w:rsid w:val="004B774B"/>
    <w:rsid w:val="004B7813"/>
    <w:rsid w:val="004B7A50"/>
    <w:rsid w:val="004C025D"/>
    <w:rsid w:val="004C0FDA"/>
    <w:rsid w:val="004C1307"/>
    <w:rsid w:val="004C17F4"/>
    <w:rsid w:val="004C1BF7"/>
    <w:rsid w:val="004C1EA3"/>
    <w:rsid w:val="004C1EC5"/>
    <w:rsid w:val="004C1EE5"/>
    <w:rsid w:val="004C22FC"/>
    <w:rsid w:val="004C26A7"/>
    <w:rsid w:val="004C2E5F"/>
    <w:rsid w:val="004C3392"/>
    <w:rsid w:val="004C3B9C"/>
    <w:rsid w:val="004C3D48"/>
    <w:rsid w:val="004C4629"/>
    <w:rsid w:val="004C497C"/>
    <w:rsid w:val="004C4B71"/>
    <w:rsid w:val="004C54CF"/>
    <w:rsid w:val="004C5772"/>
    <w:rsid w:val="004C644F"/>
    <w:rsid w:val="004C6F6E"/>
    <w:rsid w:val="004C7B96"/>
    <w:rsid w:val="004C7FE7"/>
    <w:rsid w:val="004D087E"/>
    <w:rsid w:val="004D0ABE"/>
    <w:rsid w:val="004D1271"/>
    <w:rsid w:val="004D19DB"/>
    <w:rsid w:val="004D1E88"/>
    <w:rsid w:val="004D2653"/>
    <w:rsid w:val="004D26BC"/>
    <w:rsid w:val="004D2E7F"/>
    <w:rsid w:val="004D3CD7"/>
    <w:rsid w:val="004D4B15"/>
    <w:rsid w:val="004D52CA"/>
    <w:rsid w:val="004D553F"/>
    <w:rsid w:val="004D58DE"/>
    <w:rsid w:val="004D5A2A"/>
    <w:rsid w:val="004D5BEC"/>
    <w:rsid w:val="004D63E2"/>
    <w:rsid w:val="004D69B3"/>
    <w:rsid w:val="004D6A88"/>
    <w:rsid w:val="004D6DD7"/>
    <w:rsid w:val="004D7480"/>
    <w:rsid w:val="004D76E8"/>
    <w:rsid w:val="004E0543"/>
    <w:rsid w:val="004E09BB"/>
    <w:rsid w:val="004E2458"/>
    <w:rsid w:val="004E2ECB"/>
    <w:rsid w:val="004E3126"/>
    <w:rsid w:val="004E3360"/>
    <w:rsid w:val="004E3F30"/>
    <w:rsid w:val="004E46F8"/>
    <w:rsid w:val="004E4857"/>
    <w:rsid w:val="004E50C8"/>
    <w:rsid w:val="004E53C6"/>
    <w:rsid w:val="004E55C1"/>
    <w:rsid w:val="004E5B31"/>
    <w:rsid w:val="004E5D2A"/>
    <w:rsid w:val="004E653E"/>
    <w:rsid w:val="004E65F5"/>
    <w:rsid w:val="004E6943"/>
    <w:rsid w:val="004E6E0E"/>
    <w:rsid w:val="004E6F42"/>
    <w:rsid w:val="004E73E8"/>
    <w:rsid w:val="004E7DC4"/>
    <w:rsid w:val="004F153D"/>
    <w:rsid w:val="004F1EEC"/>
    <w:rsid w:val="004F26DA"/>
    <w:rsid w:val="004F2D77"/>
    <w:rsid w:val="004F2EAA"/>
    <w:rsid w:val="004F30AD"/>
    <w:rsid w:val="004F3299"/>
    <w:rsid w:val="004F32D2"/>
    <w:rsid w:val="004F35F7"/>
    <w:rsid w:val="004F3C00"/>
    <w:rsid w:val="004F3E28"/>
    <w:rsid w:val="004F4B38"/>
    <w:rsid w:val="004F5997"/>
    <w:rsid w:val="004F5CE7"/>
    <w:rsid w:val="004F5EA3"/>
    <w:rsid w:val="004F621F"/>
    <w:rsid w:val="004F7952"/>
    <w:rsid w:val="00500463"/>
    <w:rsid w:val="00501197"/>
    <w:rsid w:val="005019B2"/>
    <w:rsid w:val="00501C67"/>
    <w:rsid w:val="00502311"/>
    <w:rsid w:val="0050299C"/>
    <w:rsid w:val="005029CD"/>
    <w:rsid w:val="00502E32"/>
    <w:rsid w:val="00502EAE"/>
    <w:rsid w:val="00502F1D"/>
    <w:rsid w:val="00502FA0"/>
    <w:rsid w:val="005032E9"/>
    <w:rsid w:val="00503A1B"/>
    <w:rsid w:val="00504172"/>
    <w:rsid w:val="0050500F"/>
    <w:rsid w:val="005051F7"/>
    <w:rsid w:val="00505279"/>
    <w:rsid w:val="0050625D"/>
    <w:rsid w:val="005063E1"/>
    <w:rsid w:val="00506A19"/>
    <w:rsid w:val="0050769C"/>
    <w:rsid w:val="00507959"/>
    <w:rsid w:val="00507AC1"/>
    <w:rsid w:val="00507C05"/>
    <w:rsid w:val="00507CC5"/>
    <w:rsid w:val="00507F29"/>
    <w:rsid w:val="00510F6F"/>
    <w:rsid w:val="005117AE"/>
    <w:rsid w:val="00511B05"/>
    <w:rsid w:val="0051239B"/>
    <w:rsid w:val="0051332C"/>
    <w:rsid w:val="00513BD3"/>
    <w:rsid w:val="00514669"/>
    <w:rsid w:val="00514DA8"/>
    <w:rsid w:val="005160F1"/>
    <w:rsid w:val="00516BBB"/>
    <w:rsid w:val="00517607"/>
    <w:rsid w:val="005176F2"/>
    <w:rsid w:val="005177E9"/>
    <w:rsid w:val="0052022F"/>
    <w:rsid w:val="0052026F"/>
    <w:rsid w:val="00520E66"/>
    <w:rsid w:val="00520F1D"/>
    <w:rsid w:val="00520F7F"/>
    <w:rsid w:val="00520FEE"/>
    <w:rsid w:val="00521074"/>
    <w:rsid w:val="0052145C"/>
    <w:rsid w:val="00521E6D"/>
    <w:rsid w:val="00521ECD"/>
    <w:rsid w:val="00522A9D"/>
    <w:rsid w:val="00522ADA"/>
    <w:rsid w:val="00523146"/>
    <w:rsid w:val="005238A6"/>
    <w:rsid w:val="00523A22"/>
    <w:rsid w:val="00523E4E"/>
    <w:rsid w:val="00523E83"/>
    <w:rsid w:val="005248BB"/>
    <w:rsid w:val="00526D3C"/>
    <w:rsid w:val="00526FBE"/>
    <w:rsid w:val="00527A5C"/>
    <w:rsid w:val="00530787"/>
    <w:rsid w:val="0053089C"/>
    <w:rsid w:val="005308A5"/>
    <w:rsid w:val="005309B3"/>
    <w:rsid w:val="005309BD"/>
    <w:rsid w:val="00531010"/>
    <w:rsid w:val="005314E9"/>
    <w:rsid w:val="00531723"/>
    <w:rsid w:val="0053192C"/>
    <w:rsid w:val="00531B9A"/>
    <w:rsid w:val="0053275E"/>
    <w:rsid w:val="00532BA9"/>
    <w:rsid w:val="00532FE2"/>
    <w:rsid w:val="0053324F"/>
    <w:rsid w:val="0053385E"/>
    <w:rsid w:val="00533E03"/>
    <w:rsid w:val="00534190"/>
    <w:rsid w:val="00534227"/>
    <w:rsid w:val="005342DF"/>
    <w:rsid w:val="005342FD"/>
    <w:rsid w:val="005348BF"/>
    <w:rsid w:val="00534F93"/>
    <w:rsid w:val="005350C1"/>
    <w:rsid w:val="00535174"/>
    <w:rsid w:val="0053618B"/>
    <w:rsid w:val="00536491"/>
    <w:rsid w:val="00536A8A"/>
    <w:rsid w:val="00536F38"/>
    <w:rsid w:val="00537296"/>
    <w:rsid w:val="00537BCA"/>
    <w:rsid w:val="00540478"/>
    <w:rsid w:val="00540FED"/>
    <w:rsid w:val="00541202"/>
    <w:rsid w:val="005412BD"/>
    <w:rsid w:val="00541334"/>
    <w:rsid w:val="00541B89"/>
    <w:rsid w:val="00541D76"/>
    <w:rsid w:val="00541E10"/>
    <w:rsid w:val="00541EF9"/>
    <w:rsid w:val="0054218A"/>
    <w:rsid w:val="0054245E"/>
    <w:rsid w:val="00542C6A"/>
    <w:rsid w:val="00543129"/>
    <w:rsid w:val="005431CF"/>
    <w:rsid w:val="00543BA0"/>
    <w:rsid w:val="00543D0A"/>
    <w:rsid w:val="005440E4"/>
    <w:rsid w:val="005444B5"/>
    <w:rsid w:val="005445E5"/>
    <w:rsid w:val="00544D9A"/>
    <w:rsid w:val="00544EFB"/>
    <w:rsid w:val="005450B3"/>
    <w:rsid w:val="005454F3"/>
    <w:rsid w:val="005455E5"/>
    <w:rsid w:val="005460D9"/>
    <w:rsid w:val="00546771"/>
    <w:rsid w:val="0054681B"/>
    <w:rsid w:val="00546E75"/>
    <w:rsid w:val="0054779A"/>
    <w:rsid w:val="00547BA1"/>
    <w:rsid w:val="005517D8"/>
    <w:rsid w:val="00552CD4"/>
    <w:rsid w:val="005541B2"/>
    <w:rsid w:val="005547F2"/>
    <w:rsid w:val="00555103"/>
    <w:rsid w:val="0055561F"/>
    <w:rsid w:val="005559F2"/>
    <w:rsid w:val="00555C1E"/>
    <w:rsid w:val="00556101"/>
    <w:rsid w:val="005561A1"/>
    <w:rsid w:val="00556840"/>
    <w:rsid w:val="00556CEF"/>
    <w:rsid w:val="005576F0"/>
    <w:rsid w:val="00557CB1"/>
    <w:rsid w:val="0056072C"/>
    <w:rsid w:val="0056091E"/>
    <w:rsid w:val="00560D4C"/>
    <w:rsid w:val="00560DC5"/>
    <w:rsid w:val="00561371"/>
    <w:rsid w:val="0056172D"/>
    <w:rsid w:val="00562935"/>
    <w:rsid w:val="0056294C"/>
    <w:rsid w:val="00562F26"/>
    <w:rsid w:val="005632E0"/>
    <w:rsid w:val="005635F3"/>
    <w:rsid w:val="00563CEE"/>
    <w:rsid w:val="0056411C"/>
    <w:rsid w:val="005641AE"/>
    <w:rsid w:val="00564667"/>
    <w:rsid w:val="00564D6F"/>
    <w:rsid w:val="0056512E"/>
    <w:rsid w:val="00565786"/>
    <w:rsid w:val="0056592C"/>
    <w:rsid w:val="00565B4C"/>
    <w:rsid w:val="00565F2C"/>
    <w:rsid w:val="005663FF"/>
    <w:rsid w:val="00566522"/>
    <w:rsid w:val="00566C3B"/>
    <w:rsid w:val="00566DAA"/>
    <w:rsid w:val="005677E5"/>
    <w:rsid w:val="00567CCF"/>
    <w:rsid w:val="00567FA7"/>
    <w:rsid w:val="0057067F"/>
    <w:rsid w:val="00570871"/>
    <w:rsid w:val="00570C27"/>
    <w:rsid w:val="00570CDE"/>
    <w:rsid w:val="00570D24"/>
    <w:rsid w:val="005712DE"/>
    <w:rsid w:val="005713CE"/>
    <w:rsid w:val="005716FA"/>
    <w:rsid w:val="00571941"/>
    <w:rsid w:val="00571B60"/>
    <w:rsid w:val="00572056"/>
    <w:rsid w:val="00573A85"/>
    <w:rsid w:val="00574964"/>
    <w:rsid w:val="00574C1A"/>
    <w:rsid w:val="005751DB"/>
    <w:rsid w:val="00577014"/>
    <w:rsid w:val="00577030"/>
    <w:rsid w:val="0057716F"/>
    <w:rsid w:val="0057768F"/>
    <w:rsid w:val="00577E4E"/>
    <w:rsid w:val="005800B0"/>
    <w:rsid w:val="00580EA9"/>
    <w:rsid w:val="00580EEB"/>
    <w:rsid w:val="00580FCF"/>
    <w:rsid w:val="005827F1"/>
    <w:rsid w:val="0058291A"/>
    <w:rsid w:val="00582991"/>
    <w:rsid w:val="00582ABE"/>
    <w:rsid w:val="00582E81"/>
    <w:rsid w:val="0058334F"/>
    <w:rsid w:val="00583673"/>
    <w:rsid w:val="00583C42"/>
    <w:rsid w:val="00583D08"/>
    <w:rsid w:val="00583EA9"/>
    <w:rsid w:val="0058461B"/>
    <w:rsid w:val="00584A9A"/>
    <w:rsid w:val="005856B5"/>
    <w:rsid w:val="00587BE7"/>
    <w:rsid w:val="00587CBC"/>
    <w:rsid w:val="00587FDC"/>
    <w:rsid w:val="00590D7D"/>
    <w:rsid w:val="00590F16"/>
    <w:rsid w:val="0059153B"/>
    <w:rsid w:val="00592718"/>
    <w:rsid w:val="005929C1"/>
    <w:rsid w:val="00593246"/>
    <w:rsid w:val="00593332"/>
    <w:rsid w:val="00593706"/>
    <w:rsid w:val="00593D8D"/>
    <w:rsid w:val="00594800"/>
    <w:rsid w:val="00594839"/>
    <w:rsid w:val="0059491F"/>
    <w:rsid w:val="00594FA8"/>
    <w:rsid w:val="005955BA"/>
    <w:rsid w:val="00595883"/>
    <w:rsid w:val="00595D43"/>
    <w:rsid w:val="00595DF1"/>
    <w:rsid w:val="00596524"/>
    <w:rsid w:val="00596845"/>
    <w:rsid w:val="00597D35"/>
    <w:rsid w:val="005A00F6"/>
    <w:rsid w:val="005A05A4"/>
    <w:rsid w:val="005A0F5D"/>
    <w:rsid w:val="005A1A5A"/>
    <w:rsid w:val="005A1AAA"/>
    <w:rsid w:val="005A1E79"/>
    <w:rsid w:val="005A2386"/>
    <w:rsid w:val="005A2F71"/>
    <w:rsid w:val="005A33F4"/>
    <w:rsid w:val="005A3FF5"/>
    <w:rsid w:val="005A4381"/>
    <w:rsid w:val="005A4406"/>
    <w:rsid w:val="005A477D"/>
    <w:rsid w:val="005A4A36"/>
    <w:rsid w:val="005A4C53"/>
    <w:rsid w:val="005A5A6D"/>
    <w:rsid w:val="005A62EB"/>
    <w:rsid w:val="005A698A"/>
    <w:rsid w:val="005A6D6D"/>
    <w:rsid w:val="005A6F07"/>
    <w:rsid w:val="005A70B6"/>
    <w:rsid w:val="005A7264"/>
    <w:rsid w:val="005B042E"/>
    <w:rsid w:val="005B0892"/>
    <w:rsid w:val="005B0DD7"/>
    <w:rsid w:val="005B1022"/>
    <w:rsid w:val="005B1492"/>
    <w:rsid w:val="005B1601"/>
    <w:rsid w:val="005B17B6"/>
    <w:rsid w:val="005B20F5"/>
    <w:rsid w:val="005B2352"/>
    <w:rsid w:val="005B24F6"/>
    <w:rsid w:val="005B2859"/>
    <w:rsid w:val="005B30BC"/>
    <w:rsid w:val="005B3BFB"/>
    <w:rsid w:val="005B48E8"/>
    <w:rsid w:val="005B4CFC"/>
    <w:rsid w:val="005B5257"/>
    <w:rsid w:val="005B58B0"/>
    <w:rsid w:val="005B5CD7"/>
    <w:rsid w:val="005B5CDF"/>
    <w:rsid w:val="005B5F31"/>
    <w:rsid w:val="005B62CE"/>
    <w:rsid w:val="005B6907"/>
    <w:rsid w:val="005B6E0D"/>
    <w:rsid w:val="005C0298"/>
    <w:rsid w:val="005C0769"/>
    <w:rsid w:val="005C1B3D"/>
    <w:rsid w:val="005C1C4E"/>
    <w:rsid w:val="005C254D"/>
    <w:rsid w:val="005C360A"/>
    <w:rsid w:val="005C3707"/>
    <w:rsid w:val="005C385D"/>
    <w:rsid w:val="005C3E5D"/>
    <w:rsid w:val="005C4CD6"/>
    <w:rsid w:val="005C4EE2"/>
    <w:rsid w:val="005C50E1"/>
    <w:rsid w:val="005C5416"/>
    <w:rsid w:val="005C5467"/>
    <w:rsid w:val="005C5C58"/>
    <w:rsid w:val="005C66E0"/>
    <w:rsid w:val="005C6B7F"/>
    <w:rsid w:val="005C7EE9"/>
    <w:rsid w:val="005D024D"/>
    <w:rsid w:val="005D1542"/>
    <w:rsid w:val="005D1DF9"/>
    <w:rsid w:val="005D221C"/>
    <w:rsid w:val="005D285F"/>
    <w:rsid w:val="005D2A43"/>
    <w:rsid w:val="005D3948"/>
    <w:rsid w:val="005D467C"/>
    <w:rsid w:val="005D49BE"/>
    <w:rsid w:val="005D4A9F"/>
    <w:rsid w:val="005D550C"/>
    <w:rsid w:val="005D566D"/>
    <w:rsid w:val="005D570F"/>
    <w:rsid w:val="005D605E"/>
    <w:rsid w:val="005D68F7"/>
    <w:rsid w:val="005D6EA0"/>
    <w:rsid w:val="005D6F06"/>
    <w:rsid w:val="005D7FB7"/>
    <w:rsid w:val="005E0BA4"/>
    <w:rsid w:val="005E2486"/>
    <w:rsid w:val="005E270C"/>
    <w:rsid w:val="005E2A17"/>
    <w:rsid w:val="005E3089"/>
    <w:rsid w:val="005E3188"/>
    <w:rsid w:val="005E3364"/>
    <w:rsid w:val="005E483D"/>
    <w:rsid w:val="005E4D42"/>
    <w:rsid w:val="005E4EB0"/>
    <w:rsid w:val="005E56A2"/>
    <w:rsid w:val="005E5792"/>
    <w:rsid w:val="005E5A9F"/>
    <w:rsid w:val="005E6091"/>
    <w:rsid w:val="005E62D5"/>
    <w:rsid w:val="005E6D7D"/>
    <w:rsid w:val="005E70E2"/>
    <w:rsid w:val="005E7448"/>
    <w:rsid w:val="005E76E2"/>
    <w:rsid w:val="005E7AA2"/>
    <w:rsid w:val="005E7B36"/>
    <w:rsid w:val="005F02E6"/>
    <w:rsid w:val="005F035A"/>
    <w:rsid w:val="005F10F1"/>
    <w:rsid w:val="005F1911"/>
    <w:rsid w:val="005F1E90"/>
    <w:rsid w:val="005F2A8C"/>
    <w:rsid w:val="005F2CBA"/>
    <w:rsid w:val="005F3216"/>
    <w:rsid w:val="005F38A2"/>
    <w:rsid w:val="005F4A72"/>
    <w:rsid w:val="005F4B04"/>
    <w:rsid w:val="005F4DFE"/>
    <w:rsid w:val="005F4EF9"/>
    <w:rsid w:val="005F52D7"/>
    <w:rsid w:val="005F58F5"/>
    <w:rsid w:val="005F5B7E"/>
    <w:rsid w:val="005F60F1"/>
    <w:rsid w:val="005F6754"/>
    <w:rsid w:val="005F69B2"/>
    <w:rsid w:val="005F6CFF"/>
    <w:rsid w:val="005F72DD"/>
    <w:rsid w:val="005F7535"/>
    <w:rsid w:val="005F772A"/>
    <w:rsid w:val="005F7CBB"/>
    <w:rsid w:val="00600B41"/>
    <w:rsid w:val="006010CE"/>
    <w:rsid w:val="006013E4"/>
    <w:rsid w:val="006015AE"/>
    <w:rsid w:val="006017B1"/>
    <w:rsid w:val="00601A05"/>
    <w:rsid w:val="00601CCE"/>
    <w:rsid w:val="00601F3C"/>
    <w:rsid w:val="006020F0"/>
    <w:rsid w:val="0060271E"/>
    <w:rsid w:val="006030DA"/>
    <w:rsid w:val="006031AE"/>
    <w:rsid w:val="00604659"/>
    <w:rsid w:val="00605CBC"/>
    <w:rsid w:val="0060685F"/>
    <w:rsid w:val="0060700E"/>
    <w:rsid w:val="00607066"/>
    <w:rsid w:val="00607197"/>
    <w:rsid w:val="006078E8"/>
    <w:rsid w:val="00607A16"/>
    <w:rsid w:val="00607F22"/>
    <w:rsid w:val="00610633"/>
    <w:rsid w:val="006107DC"/>
    <w:rsid w:val="0061086C"/>
    <w:rsid w:val="006109F8"/>
    <w:rsid w:val="006119CD"/>
    <w:rsid w:val="00612049"/>
    <w:rsid w:val="00612238"/>
    <w:rsid w:val="006129A5"/>
    <w:rsid w:val="00612EC2"/>
    <w:rsid w:val="00614783"/>
    <w:rsid w:val="006147EA"/>
    <w:rsid w:val="00616354"/>
    <w:rsid w:val="006168C2"/>
    <w:rsid w:val="00616AD1"/>
    <w:rsid w:val="00617A6D"/>
    <w:rsid w:val="00617E64"/>
    <w:rsid w:val="006208A5"/>
    <w:rsid w:val="00621074"/>
    <w:rsid w:val="0062146B"/>
    <w:rsid w:val="006216B8"/>
    <w:rsid w:val="00621D1A"/>
    <w:rsid w:val="006221DA"/>
    <w:rsid w:val="00622283"/>
    <w:rsid w:val="006222FA"/>
    <w:rsid w:val="00622434"/>
    <w:rsid w:val="006225E0"/>
    <w:rsid w:val="00622FD0"/>
    <w:rsid w:val="00623075"/>
    <w:rsid w:val="006238F1"/>
    <w:rsid w:val="00623910"/>
    <w:rsid w:val="006249E7"/>
    <w:rsid w:val="00624A27"/>
    <w:rsid w:val="00624D08"/>
    <w:rsid w:val="00624D74"/>
    <w:rsid w:val="00624FFE"/>
    <w:rsid w:val="00625162"/>
    <w:rsid w:val="006253F6"/>
    <w:rsid w:val="0062599A"/>
    <w:rsid w:val="00626B40"/>
    <w:rsid w:val="00626DDC"/>
    <w:rsid w:val="0062716D"/>
    <w:rsid w:val="00627AF2"/>
    <w:rsid w:val="00627BEB"/>
    <w:rsid w:val="00627CBF"/>
    <w:rsid w:val="00627D2F"/>
    <w:rsid w:val="00630378"/>
    <w:rsid w:val="006304FC"/>
    <w:rsid w:val="00630768"/>
    <w:rsid w:val="0063084B"/>
    <w:rsid w:val="00630E02"/>
    <w:rsid w:val="006310BF"/>
    <w:rsid w:val="00631180"/>
    <w:rsid w:val="00632486"/>
    <w:rsid w:val="006328B2"/>
    <w:rsid w:val="00632F94"/>
    <w:rsid w:val="006331BF"/>
    <w:rsid w:val="00633B77"/>
    <w:rsid w:val="006342DD"/>
    <w:rsid w:val="00634495"/>
    <w:rsid w:val="00634976"/>
    <w:rsid w:val="00635290"/>
    <w:rsid w:val="006354C0"/>
    <w:rsid w:val="00635EC8"/>
    <w:rsid w:val="0063632F"/>
    <w:rsid w:val="00636A73"/>
    <w:rsid w:val="006371F1"/>
    <w:rsid w:val="00637CE4"/>
    <w:rsid w:val="006401C9"/>
    <w:rsid w:val="0064044E"/>
    <w:rsid w:val="006404BE"/>
    <w:rsid w:val="00640E38"/>
    <w:rsid w:val="00640E68"/>
    <w:rsid w:val="00641BB3"/>
    <w:rsid w:val="00641BE0"/>
    <w:rsid w:val="00641CE3"/>
    <w:rsid w:val="006427B7"/>
    <w:rsid w:val="00642E1C"/>
    <w:rsid w:val="00642FD0"/>
    <w:rsid w:val="00643C7B"/>
    <w:rsid w:val="00643EA9"/>
    <w:rsid w:val="0064423A"/>
    <w:rsid w:val="00644AD1"/>
    <w:rsid w:val="00644D2C"/>
    <w:rsid w:val="006452AC"/>
    <w:rsid w:val="00645993"/>
    <w:rsid w:val="00645CF7"/>
    <w:rsid w:val="00645E92"/>
    <w:rsid w:val="0064612E"/>
    <w:rsid w:val="00646269"/>
    <w:rsid w:val="00646BE0"/>
    <w:rsid w:val="00646D51"/>
    <w:rsid w:val="00647417"/>
    <w:rsid w:val="006475B9"/>
    <w:rsid w:val="00647DE0"/>
    <w:rsid w:val="0065099C"/>
    <w:rsid w:val="00650C56"/>
    <w:rsid w:val="00651342"/>
    <w:rsid w:val="00651FCE"/>
    <w:rsid w:val="00652182"/>
    <w:rsid w:val="00652858"/>
    <w:rsid w:val="00652E07"/>
    <w:rsid w:val="0065334E"/>
    <w:rsid w:val="00653411"/>
    <w:rsid w:val="006554C0"/>
    <w:rsid w:val="006558DC"/>
    <w:rsid w:val="00655938"/>
    <w:rsid w:val="00656B27"/>
    <w:rsid w:val="00656E23"/>
    <w:rsid w:val="00657AAB"/>
    <w:rsid w:val="00657F72"/>
    <w:rsid w:val="00657F8B"/>
    <w:rsid w:val="00660401"/>
    <w:rsid w:val="006611F6"/>
    <w:rsid w:val="006618FC"/>
    <w:rsid w:val="00661C57"/>
    <w:rsid w:val="00663800"/>
    <w:rsid w:val="006639A2"/>
    <w:rsid w:val="00663C4D"/>
    <w:rsid w:val="00663C89"/>
    <w:rsid w:val="00663D00"/>
    <w:rsid w:val="00663E81"/>
    <w:rsid w:val="00663E86"/>
    <w:rsid w:val="00664CD0"/>
    <w:rsid w:val="00665183"/>
    <w:rsid w:val="006653B6"/>
    <w:rsid w:val="0066557A"/>
    <w:rsid w:val="0066577B"/>
    <w:rsid w:val="00665E42"/>
    <w:rsid w:val="00666832"/>
    <w:rsid w:val="00666DBC"/>
    <w:rsid w:val="00667319"/>
    <w:rsid w:val="00667C5A"/>
    <w:rsid w:val="00670589"/>
    <w:rsid w:val="00671B7E"/>
    <w:rsid w:val="006726CC"/>
    <w:rsid w:val="00672790"/>
    <w:rsid w:val="006740D3"/>
    <w:rsid w:val="00675245"/>
    <w:rsid w:val="006767BC"/>
    <w:rsid w:val="00677950"/>
    <w:rsid w:val="00677BB9"/>
    <w:rsid w:val="006803B8"/>
    <w:rsid w:val="00680994"/>
    <w:rsid w:val="006818D4"/>
    <w:rsid w:val="00681D75"/>
    <w:rsid w:val="00681E2C"/>
    <w:rsid w:val="00681F67"/>
    <w:rsid w:val="006823B4"/>
    <w:rsid w:val="006823FC"/>
    <w:rsid w:val="0068242E"/>
    <w:rsid w:val="00682C54"/>
    <w:rsid w:val="0068316B"/>
    <w:rsid w:val="00683B5D"/>
    <w:rsid w:val="00683C67"/>
    <w:rsid w:val="00684398"/>
    <w:rsid w:val="0068459C"/>
    <w:rsid w:val="00684BAF"/>
    <w:rsid w:val="00685D0F"/>
    <w:rsid w:val="00686623"/>
    <w:rsid w:val="00686E9C"/>
    <w:rsid w:val="00687A1A"/>
    <w:rsid w:val="00687DE5"/>
    <w:rsid w:val="0069036C"/>
    <w:rsid w:val="00690805"/>
    <w:rsid w:val="00690A83"/>
    <w:rsid w:val="00690F69"/>
    <w:rsid w:val="00691B48"/>
    <w:rsid w:val="00692159"/>
    <w:rsid w:val="0069295F"/>
    <w:rsid w:val="00692B77"/>
    <w:rsid w:val="00692FEA"/>
    <w:rsid w:val="00693D59"/>
    <w:rsid w:val="006940E9"/>
    <w:rsid w:val="0069451C"/>
    <w:rsid w:val="00694540"/>
    <w:rsid w:val="0069454A"/>
    <w:rsid w:val="00694BA0"/>
    <w:rsid w:val="00694D50"/>
    <w:rsid w:val="00696142"/>
    <w:rsid w:val="00696254"/>
    <w:rsid w:val="0069668A"/>
    <w:rsid w:val="00696EBB"/>
    <w:rsid w:val="00697036"/>
    <w:rsid w:val="006A0E43"/>
    <w:rsid w:val="006A1785"/>
    <w:rsid w:val="006A1F10"/>
    <w:rsid w:val="006A24CF"/>
    <w:rsid w:val="006A2A69"/>
    <w:rsid w:val="006A3380"/>
    <w:rsid w:val="006A4D4E"/>
    <w:rsid w:val="006A4FBE"/>
    <w:rsid w:val="006A4FC1"/>
    <w:rsid w:val="006A6C16"/>
    <w:rsid w:val="006A7115"/>
    <w:rsid w:val="006A7A60"/>
    <w:rsid w:val="006A7AB6"/>
    <w:rsid w:val="006A7D80"/>
    <w:rsid w:val="006B050E"/>
    <w:rsid w:val="006B0EDE"/>
    <w:rsid w:val="006B11C6"/>
    <w:rsid w:val="006B2E03"/>
    <w:rsid w:val="006B4339"/>
    <w:rsid w:val="006B497A"/>
    <w:rsid w:val="006B502E"/>
    <w:rsid w:val="006B5820"/>
    <w:rsid w:val="006B630A"/>
    <w:rsid w:val="006B64C9"/>
    <w:rsid w:val="006B689F"/>
    <w:rsid w:val="006B7366"/>
    <w:rsid w:val="006B771B"/>
    <w:rsid w:val="006B7C24"/>
    <w:rsid w:val="006C0E94"/>
    <w:rsid w:val="006C1577"/>
    <w:rsid w:val="006C1814"/>
    <w:rsid w:val="006C19FC"/>
    <w:rsid w:val="006C1A37"/>
    <w:rsid w:val="006C1CBB"/>
    <w:rsid w:val="006C230F"/>
    <w:rsid w:val="006C2934"/>
    <w:rsid w:val="006C2C52"/>
    <w:rsid w:val="006C33F8"/>
    <w:rsid w:val="006C3A2D"/>
    <w:rsid w:val="006C4FB7"/>
    <w:rsid w:val="006C50CB"/>
    <w:rsid w:val="006C522D"/>
    <w:rsid w:val="006C539E"/>
    <w:rsid w:val="006C5943"/>
    <w:rsid w:val="006C5ACD"/>
    <w:rsid w:val="006C6300"/>
    <w:rsid w:val="006C7007"/>
    <w:rsid w:val="006C7708"/>
    <w:rsid w:val="006C7935"/>
    <w:rsid w:val="006D077F"/>
    <w:rsid w:val="006D11EA"/>
    <w:rsid w:val="006D14EB"/>
    <w:rsid w:val="006D1544"/>
    <w:rsid w:val="006D17CC"/>
    <w:rsid w:val="006D23BC"/>
    <w:rsid w:val="006D286D"/>
    <w:rsid w:val="006D29DE"/>
    <w:rsid w:val="006D2BFD"/>
    <w:rsid w:val="006D3637"/>
    <w:rsid w:val="006D36B7"/>
    <w:rsid w:val="006D3A49"/>
    <w:rsid w:val="006D3E5F"/>
    <w:rsid w:val="006D48C4"/>
    <w:rsid w:val="006D4974"/>
    <w:rsid w:val="006D4D68"/>
    <w:rsid w:val="006D686D"/>
    <w:rsid w:val="006D6F5A"/>
    <w:rsid w:val="006D7893"/>
    <w:rsid w:val="006D7D96"/>
    <w:rsid w:val="006D7DD6"/>
    <w:rsid w:val="006D7EA6"/>
    <w:rsid w:val="006D7EDB"/>
    <w:rsid w:val="006E0BEC"/>
    <w:rsid w:val="006E16F1"/>
    <w:rsid w:val="006E2055"/>
    <w:rsid w:val="006E27B0"/>
    <w:rsid w:val="006E2996"/>
    <w:rsid w:val="006E359B"/>
    <w:rsid w:val="006E3B03"/>
    <w:rsid w:val="006E3DA6"/>
    <w:rsid w:val="006E4A66"/>
    <w:rsid w:val="006E50B2"/>
    <w:rsid w:val="006E5BAE"/>
    <w:rsid w:val="006E6781"/>
    <w:rsid w:val="006E6A61"/>
    <w:rsid w:val="006E6E5A"/>
    <w:rsid w:val="006E72E9"/>
    <w:rsid w:val="006E73FD"/>
    <w:rsid w:val="006E75BF"/>
    <w:rsid w:val="006E7735"/>
    <w:rsid w:val="006F0031"/>
    <w:rsid w:val="006F09B5"/>
    <w:rsid w:val="006F0B67"/>
    <w:rsid w:val="006F0E97"/>
    <w:rsid w:val="006F131D"/>
    <w:rsid w:val="006F1349"/>
    <w:rsid w:val="006F17AC"/>
    <w:rsid w:val="006F194F"/>
    <w:rsid w:val="006F1B6B"/>
    <w:rsid w:val="006F201F"/>
    <w:rsid w:val="006F2BA6"/>
    <w:rsid w:val="006F2C03"/>
    <w:rsid w:val="006F3F31"/>
    <w:rsid w:val="006F3FE5"/>
    <w:rsid w:val="006F4214"/>
    <w:rsid w:val="006F4256"/>
    <w:rsid w:val="006F48B3"/>
    <w:rsid w:val="006F48B8"/>
    <w:rsid w:val="006F4ACE"/>
    <w:rsid w:val="006F553C"/>
    <w:rsid w:val="006F5924"/>
    <w:rsid w:val="006F59EC"/>
    <w:rsid w:val="006F5DC6"/>
    <w:rsid w:val="006F6258"/>
    <w:rsid w:val="006F65E1"/>
    <w:rsid w:val="006F7343"/>
    <w:rsid w:val="006F745A"/>
    <w:rsid w:val="006F77E8"/>
    <w:rsid w:val="006F7AE9"/>
    <w:rsid w:val="006F7F8E"/>
    <w:rsid w:val="00700331"/>
    <w:rsid w:val="00700484"/>
    <w:rsid w:val="0070133E"/>
    <w:rsid w:val="007014D3"/>
    <w:rsid w:val="00701552"/>
    <w:rsid w:val="00701B56"/>
    <w:rsid w:val="0070240D"/>
    <w:rsid w:val="007027E9"/>
    <w:rsid w:val="007046B7"/>
    <w:rsid w:val="00704758"/>
    <w:rsid w:val="00704A9F"/>
    <w:rsid w:val="00704E7F"/>
    <w:rsid w:val="00704FDE"/>
    <w:rsid w:val="0070520A"/>
    <w:rsid w:val="00705230"/>
    <w:rsid w:val="00705448"/>
    <w:rsid w:val="00705CE5"/>
    <w:rsid w:val="007066C7"/>
    <w:rsid w:val="007068B7"/>
    <w:rsid w:val="00706D8B"/>
    <w:rsid w:val="00706DC7"/>
    <w:rsid w:val="007076AA"/>
    <w:rsid w:val="0071010F"/>
    <w:rsid w:val="0071052D"/>
    <w:rsid w:val="0071072E"/>
    <w:rsid w:val="00710838"/>
    <w:rsid w:val="00711932"/>
    <w:rsid w:val="0071219A"/>
    <w:rsid w:val="007122EC"/>
    <w:rsid w:val="0071391B"/>
    <w:rsid w:val="00714504"/>
    <w:rsid w:val="007149E5"/>
    <w:rsid w:val="0071501B"/>
    <w:rsid w:val="00715212"/>
    <w:rsid w:val="00715292"/>
    <w:rsid w:val="007167F2"/>
    <w:rsid w:val="00716C15"/>
    <w:rsid w:val="0071742A"/>
    <w:rsid w:val="007206C9"/>
    <w:rsid w:val="00720B28"/>
    <w:rsid w:val="00721CD6"/>
    <w:rsid w:val="00722E3C"/>
    <w:rsid w:val="0072382F"/>
    <w:rsid w:val="00724626"/>
    <w:rsid w:val="00724C2E"/>
    <w:rsid w:val="00724C2F"/>
    <w:rsid w:val="00724C53"/>
    <w:rsid w:val="00724FD2"/>
    <w:rsid w:val="007256BD"/>
    <w:rsid w:val="00725772"/>
    <w:rsid w:val="0072618D"/>
    <w:rsid w:val="00727FFC"/>
    <w:rsid w:val="007300B6"/>
    <w:rsid w:val="0073016D"/>
    <w:rsid w:val="00730CAA"/>
    <w:rsid w:val="00730E8F"/>
    <w:rsid w:val="0073105D"/>
    <w:rsid w:val="00731C0C"/>
    <w:rsid w:val="00731D48"/>
    <w:rsid w:val="00731E70"/>
    <w:rsid w:val="00731FCA"/>
    <w:rsid w:val="00732DF3"/>
    <w:rsid w:val="007332E0"/>
    <w:rsid w:val="0073358D"/>
    <w:rsid w:val="00733928"/>
    <w:rsid w:val="00733D9F"/>
    <w:rsid w:val="00733ED8"/>
    <w:rsid w:val="00734484"/>
    <w:rsid w:val="007357CD"/>
    <w:rsid w:val="00735B8C"/>
    <w:rsid w:val="00737868"/>
    <w:rsid w:val="00737E45"/>
    <w:rsid w:val="0074008F"/>
    <w:rsid w:val="00740104"/>
    <w:rsid w:val="007405A8"/>
    <w:rsid w:val="007406B5"/>
    <w:rsid w:val="007406D1"/>
    <w:rsid w:val="00740C5D"/>
    <w:rsid w:val="007416AC"/>
    <w:rsid w:val="007417EB"/>
    <w:rsid w:val="00742076"/>
    <w:rsid w:val="00742C4E"/>
    <w:rsid w:val="00743162"/>
    <w:rsid w:val="00743683"/>
    <w:rsid w:val="007446B8"/>
    <w:rsid w:val="00744890"/>
    <w:rsid w:val="00745136"/>
    <w:rsid w:val="007455F5"/>
    <w:rsid w:val="007456B9"/>
    <w:rsid w:val="00745A15"/>
    <w:rsid w:val="00745B8C"/>
    <w:rsid w:val="00745DD2"/>
    <w:rsid w:val="00745EB7"/>
    <w:rsid w:val="0074717E"/>
    <w:rsid w:val="00747923"/>
    <w:rsid w:val="00747B4D"/>
    <w:rsid w:val="00747BBB"/>
    <w:rsid w:val="0075053D"/>
    <w:rsid w:val="007509C7"/>
    <w:rsid w:val="00750A88"/>
    <w:rsid w:val="00750D74"/>
    <w:rsid w:val="00751354"/>
    <w:rsid w:val="007517B9"/>
    <w:rsid w:val="00753428"/>
    <w:rsid w:val="0075397B"/>
    <w:rsid w:val="007540B5"/>
    <w:rsid w:val="007542C8"/>
    <w:rsid w:val="0075440C"/>
    <w:rsid w:val="00755722"/>
    <w:rsid w:val="007558D4"/>
    <w:rsid w:val="00755BD8"/>
    <w:rsid w:val="00755BE8"/>
    <w:rsid w:val="00755C48"/>
    <w:rsid w:val="00755D95"/>
    <w:rsid w:val="00755F18"/>
    <w:rsid w:val="0075665A"/>
    <w:rsid w:val="00756909"/>
    <w:rsid w:val="007569E4"/>
    <w:rsid w:val="00756FC3"/>
    <w:rsid w:val="007606C3"/>
    <w:rsid w:val="00760D10"/>
    <w:rsid w:val="00761373"/>
    <w:rsid w:val="0076163E"/>
    <w:rsid w:val="00762108"/>
    <w:rsid w:val="007625CF"/>
    <w:rsid w:val="0076301F"/>
    <w:rsid w:val="007633E3"/>
    <w:rsid w:val="00763F34"/>
    <w:rsid w:val="00764118"/>
    <w:rsid w:val="007642F2"/>
    <w:rsid w:val="00764CA1"/>
    <w:rsid w:val="007655E3"/>
    <w:rsid w:val="00765A21"/>
    <w:rsid w:val="00765DB7"/>
    <w:rsid w:val="0076651F"/>
    <w:rsid w:val="00767142"/>
    <w:rsid w:val="007675EA"/>
    <w:rsid w:val="0076762E"/>
    <w:rsid w:val="007677F7"/>
    <w:rsid w:val="00770CCD"/>
    <w:rsid w:val="00770E38"/>
    <w:rsid w:val="007728CE"/>
    <w:rsid w:val="00773179"/>
    <w:rsid w:val="00773212"/>
    <w:rsid w:val="0077381D"/>
    <w:rsid w:val="0077386A"/>
    <w:rsid w:val="00773BFB"/>
    <w:rsid w:val="00773F14"/>
    <w:rsid w:val="00774223"/>
    <w:rsid w:val="007751DE"/>
    <w:rsid w:val="007753BB"/>
    <w:rsid w:val="0077699C"/>
    <w:rsid w:val="00776AF1"/>
    <w:rsid w:val="00776D33"/>
    <w:rsid w:val="00776FBE"/>
    <w:rsid w:val="00777954"/>
    <w:rsid w:val="00777E2D"/>
    <w:rsid w:val="00780174"/>
    <w:rsid w:val="0078063E"/>
    <w:rsid w:val="0078066C"/>
    <w:rsid w:val="00781153"/>
    <w:rsid w:val="0078122F"/>
    <w:rsid w:val="00781271"/>
    <w:rsid w:val="0078133D"/>
    <w:rsid w:val="00781E34"/>
    <w:rsid w:val="00781FB1"/>
    <w:rsid w:val="00782393"/>
    <w:rsid w:val="0078321C"/>
    <w:rsid w:val="007832EB"/>
    <w:rsid w:val="00783B37"/>
    <w:rsid w:val="00783C6A"/>
    <w:rsid w:val="007846E8"/>
    <w:rsid w:val="00784765"/>
    <w:rsid w:val="00784A9D"/>
    <w:rsid w:val="00784F3E"/>
    <w:rsid w:val="00784FF9"/>
    <w:rsid w:val="00785464"/>
    <w:rsid w:val="00785785"/>
    <w:rsid w:val="0078580A"/>
    <w:rsid w:val="0078682F"/>
    <w:rsid w:val="00786EB4"/>
    <w:rsid w:val="0078709C"/>
    <w:rsid w:val="00787127"/>
    <w:rsid w:val="00787558"/>
    <w:rsid w:val="0079099B"/>
    <w:rsid w:val="007917DE"/>
    <w:rsid w:val="0079186F"/>
    <w:rsid w:val="00791DED"/>
    <w:rsid w:val="00791EBA"/>
    <w:rsid w:val="00791F59"/>
    <w:rsid w:val="00792AA8"/>
    <w:rsid w:val="00792BA5"/>
    <w:rsid w:val="00793267"/>
    <w:rsid w:val="007935CD"/>
    <w:rsid w:val="007938FF"/>
    <w:rsid w:val="00793AAE"/>
    <w:rsid w:val="00793E1B"/>
    <w:rsid w:val="00794972"/>
    <w:rsid w:val="0079584B"/>
    <w:rsid w:val="00795AEE"/>
    <w:rsid w:val="00795D43"/>
    <w:rsid w:val="00796211"/>
    <w:rsid w:val="00796BDF"/>
    <w:rsid w:val="00796EE7"/>
    <w:rsid w:val="00796F72"/>
    <w:rsid w:val="00797022"/>
    <w:rsid w:val="00797307"/>
    <w:rsid w:val="00797669"/>
    <w:rsid w:val="00797BAF"/>
    <w:rsid w:val="00797D31"/>
    <w:rsid w:val="007A02BF"/>
    <w:rsid w:val="007A09F0"/>
    <w:rsid w:val="007A18A7"/>
    <w:rsid w:val="007A208F"/>
    <w:rsid w:val="007A2DFC"/>
    <w:rsid w:val="007A3ABE"/>
    <w:rsid w:val="007A4010"/>
    <w:rsid w:val="007A41E9"/>
    <w:rsid w:val="007A439B"/>
    <w:rsid w:val="007A4778"/>
    <w:rsid w:val="007A4C13"/>
    <w:rsid w:val="007A4CB0"/>
    <w:rsid w:val="007A5B52"/>
    <w:rsid w:val="007A5C90"/>
    <w:rsid w:val="007A60F8"/>
    <w:rsid w:val="007A62C3"/>
    <w:rsid w:val="007A682D"/>
    <w:rsid w:val="007A688C"/>
    <w:rsid w:val="007A69AA"/>
    <w:rsid w:val="007A7357"/>
    <w:rsid w:val="007B0914"/>
    <w:rsid w:val="007B0D52"/>
    <w:rsid w:val="007B0DF2"/>
    <w:rsid w:val="007B20FA"/>
    <w:rsid w:val="007B26B5"/>
    <w:rsid w:val="007B2EF3"/>
    <w:rsid w:val="007B341B"/>
    <w:rsid w:val="007B3952"/>
    <w:rsid w:val="007B4102"/>
    <w:rsid w:val="007B49F7"/>
    <w:rsid w:val="007B5346"/>
    <w:rsid w:val="007B6105"/>
    <w:rsid w:val="007B63E5"/>
    <w:rsid w:val="007B651A"/>
    <w:rsid w:val="007B6648"/>
    <w:rsid w:val="007B6669"/>
    <w:rsid w:val="007B6B5C"/>
    <w:rsid w:val="007B6CD2"/>
    <w:rsid w:val="007B76A7"/>
    <w:rsid w:val="007B7934"/>
    <w:rsid w:val="007B7F4D"/>
    <w:rsid w:val="007C08F3"/>
    <w:rsid w:val="007C1115"/>
    <w:rsid w:val="007C1709"/>
    <w:rsid w:val="007C1B59"/>
    <w:rsid w:val="007C1BBB"/>
    <w:rsid w:val="007C1CC3"/>
    <w:rsid w:val="007C2618"/>
    <w:rsid w:val="007C311B"/>
    <w:rsid w:val="007C34F5"/>
    <w:rsid w:val="007C3768"/>
    <w:rsid w:val="007C379F"/>
    <w:rsid w:val="007C3F93"/>
    <w:rsid w:val="007C41F9"/>
    <w:rsid w:val="007C462E"/>
    <w:rsid w:val="007C46F3"/>
    <w:rsid w:val="007C4A06"/>
    <w:rsid w:val="007C503D"/>
    <w:rsid w:val="007C506B"/>
    <w:rsid w:val="007C5102"/>
    <w:rsid w:val="007C5D32"/>
    <w:rsid w:val="007C5FD2"/>
    <w:rsid w:val="007C671C"/>
    <w:rsid w:val="007C69E8"/>
    <w:rsid w:val="007C7C46"/>
    <w:rsid w:val="007D0986"/>
    <w:rsid w:val="007D1840"/>
    <w:rsid w:val="007D22FB"/>
    <w:rsid w:val="007D22FF"/>
    <w:rsid w:val="007D2DD4"/>
    <w:rsid w:val="007D3455"/>
    <w:rsid w:val="007D38E6"/>
    <w:rsid w:val="007D39B6"/>
    <w:rsid w:val="007D3FDB"/>
    <w:rsid w:val="007D486F"/>
    <w:rsid w:val="007D5164"/>
    <w:rsid w:val="007D52A9"/>
    <w:rsid w:val="007D5441"/>
    <w:rsid w:val="007D54D9"/>
    <w:rsid w:val="007D5785"/>
    <w:rsid w:val="007D59A7"/>
    <w:rsid w:val="007D5A25"/>
    <w:rsid w:val="007D5A50"/>
    <w:rsid w:val="007D5A72"/>
    <w:rsid w:val="007D5A95"/>
    <w:rsid w:val="007D5BFD"/>
    <w:rsid w:val="007D5E0A"/>
    <w:rsid w:val="007D698B"/>
    <w:rsid w:val="007D6CAB"/>
    <w:rsid w:val="007D6FE0"/>
    <w:rsid w:val="007D7AD3"/>
    <w:rsid w:val="007D7BB6"/>
    <w:rsid w:val="007D7D83"/>
    <w:rsid w:val="007E02B4"/>
    <w:rsid w:val="007E0328"/>
    <w:rsid w:val="007E04EC"/>
    <w:rsid w:val="007E0BBF"/>
    <w:rsid w:val="007E11CF"/>
    <w:rsid w:val="007E2B07"/>
    <w:rsid w:val="007E2BC7"/>
    <w:rsid w:val="007E31A8"/>
    <w:rsid w:val="007E33DD"/>
    <w:rsid w:val="007E43C8"/>
    <w:rsid w:val="007E513A"/>
    <w:rsid w:val="007E5D35"/>
    <w:rsid w:val="007E71EB"/>
    <w:rsid w:val="007E7D07"/>
    <w:rsid w:val="007F003F"/>
    <w:rsid w:val="007F0287"/>
    <w:rsid w:val="007F0744"/>
    <w:rsid w:val="007F09BD"/>
    <w:rsid w:val="007F11FC"/>
    <w:rsid w:val="007F147C"/>
    <w:rsid w:val="007F2736"/>
    <w:rsid w:val="007F3212"/>
    <w:rsid w:val="007F3572"/>
    <w:rsid w:val="007F51BB"/>
    <w:rsid w:val="007F52A6"/>
    <w:rsid w:val="007F5789"/>
    <w:rsid w:val="007F59EF"/>
    <w:rsid w:val="007F5BE0"/>
    <w:rsid w:val="007F6223"/>
    <w:rsid w:val="007F68DA"/>
    <w:rsid w:val="007F710B"/>
    <w:rsid w:val="007F7285"/>
    <w:rsid w:val="008004CE"/>
    <w:rsid w:val="008004E7"/>
    <w:rsid w:val="00800707"/>
    <w:rsid w:val="00800BA8"/>
    <w:rsid w:val="00800E9F"/>
    <w:rsid w:val="00801B96"/>
    <w:rsid w:val="00802695"/>
    <w:rsid w:val="0080272A"/>
    <w:rsid w:val="0080276C"/>
    <w:rsid w:val="00802C86"/>
    <w:rsid w:val="00802FF1"/>
    <w:rsid w:val="00803351"/>
    <w:rsid w:val="0080495A"/>
    <w:rsid w:val="00804E00"/>
    <w:rsid w:val="00804F4C"/>
    <w:rsid w:val="00805838"/>
    <w:rsid w:val="0080586F"/>
    <w:rsid w:val="00805DAA"/>
    <w:rsid w:val="008060C8"/>
    <w:rsid w:val="00806576"/>
    <w:rsid w:val="0080664D"/>
    <w:rsid w:val="0080685D"/>
    <w:rsid w:val="008069C1"/>
    <w:rsid w:val="00807DF2"/>
    <w:rsid w:val="00810A5C"/>
    <w:rsid w:val="00810ABD"/>
    <w:rsid w:val="00810F5C"/>
    <w:rsid w:val="008112E4"/>
    <w:rsid w:val="008116EB"/>
    <w:rsid w:val="008117B8"/>
    <w:rsid w:val="00811A12"/>
    <w:rsid w:val="0081242B"/>
    <w:rsid w:val="008124EA"/>
    <w:rsid w:val="00812723"/>
    <w:rsid w:val="008128B1"/>
    <w:rsid w:val="00812D1D"/>
    <w:rsid w:val="00812FF3"/>
    <w:rsid w:val="00813643"/>
    <w:rsid w:val="008138BC"/>
    <w:rsid w:val="008145D4"/>
    <w:rsid w:val="00814700"/>
    <w:rsid w:val="008147F4"/>
    <w:rsid w:val="00814A6A"/>
    <w:rsid w:val="00814CB9"/>
    <w:rsid w:val="00814D47"/>
    <w:rsid w:val="00814ED4"/>
    <w:rsid w:val="008150F8"/>
    <w:rsid w:val="008151BF"/>
    <w:rsid w:val="008152E3"/>
    <w:rsid w:val="0081557C"/>
    <w:rsid w:val="008159B1"/>
    <w:rsid w:val="00816F6D"/>
    <w:rsid w:val="00817B8E"/>
    <w:rsid w:val="00820282"/>
    <w:rsid w:val="0082041B"/>
    <w:rsid w:val="00820651"/>
    <w:rsid w:val="0082068A"/>
    <w:rsid w:val="008208D4"/>
    <w:rsid w:val="00820AD3"/>
    <w:rsid w:val="0082117F"/>
    <w:rsid w:val="00822146"/>
    <w:rsid w:val="0082235A"/>
    <w:rsid w:val="008230DE"/>
    <w:rsid w:val="0082336B"/>
    <w:rsid w:val="008247E9"/>
    <w:rsid w:val="0082619C"/>
    <w:rsid w:val="008261D3"/>
    <w:rsid w:val="00826B6F"/>
    <w:rsid w:val="008305FF"/>
    <w:rsid w:val="00830619"/>
    <w:rsid w:val="00831401"/>
    <w:rsid w:val="0083165D"/>
    <w:rsid w:val="00831A0D"/>
    <w:rsid w:val="00831CEE"/>
    <w:rsid w:val="0083218D"/>
    <w:rsid w:val="0083244C"/>
    <w:rsid w:val="00832B95"/>
    <w:rsid w:val="00832E01"/>
    <w:rsid w:val="008335DA"/>
    <w:rsid w:val="00833A74"/>
    <w:rsid w:val="00834473"/>
    <w:rsid w:val="008352AC"/>
    <w:rsid w:val="00835BF6"/>
    <w:rsid w:val="00836537"/>
    <w:rsid w:val="00836686"/>
    <w:rsid w:val="00836AA3"/>
    <w:rsid w:val="00836AD2"/>
    <w:rsid w:val="00837533"/>
    <w:rsid w:val="008375CC"/>
    <w:rsid w:val="00840781"/>
    <w:rsid w:val="00840EC6"/>
    <w:rsid w:val="008415CC"/>
    <w:rsid w:val="00841802"/>
    <w:rsid w:val="00841A48"/>
    <w:rsid w:val="00841A5A"/>
    <w:rsid w:val="008425B7"/>
    <w:rsid w:val="008426D5"/>
    <w:rsid w:val="00842862"/>
    <w:rsid w:val="00842DF4"/>
    <w:rsid w:val="00842E4C"/>
    <w:rsid w:val="008432AC"/>
    <w:rsid w:val="00843476"/>
    <w:rsid w:val="008435FB"/>
    <w:rsid w:val="0084365E"/>
    <w:rsid w:val="00844228"/>
    <w:rsid w:val="00844A64"/>
    <w:rsid w:val="00845199"/>
    <w:rsid w:val="00845551"/>
    <w:rsid w:val="008457F9"/>
    <w:rsid w:val="00845A69"/>
    <w:rsid w:val="00845B58"/>
    <w:rsid w:val="00845E40"/>
    <w:rsid w:val="00847DFE"/>
    <w:rsid w:val="00850909"/>
    <w:rsid w:val="00850BA9"/>
    <w:rsid w:val="00850DF4"/>
    <w:rsid w:val="00851111"/>
    <w:rsid w:val="008525CF"/>
    <w:rsid w:val="00853391"/>
    <w:rsid w:val="0085395E"/>
    <w:rsid w:val="00853BDF"/>
    <w:rsid w:val="008542CC"/>
    <w:rsid w:val="00854800"/>
    <w:rsid w:val="00854C9E"/>
    <w:rsid w:val="00854FD9"/>
    <w:rsid w:val="00855C19"/>
    <w:rsid w:val="00856022"/>
    <w:rsid w:val="008563AA"/>
    <w:rsid w:val="00856790"/>
    <w:rsid w:val="00856CA7"/>
    <w:rsid w:val="00857230"/>
    <w:rsid w:val="00857345"/>
    <w:rsid w:val="008579DF"/>
    <w:rsid w:val="00857F9C"/>
    <w:rsid w:val="008606B3"/>
    <w:rsid w:val="00860973"/>
    <w:rsid w:val="008609FB"/>
    <w:rsid w:val="00860B77"/>
    <w:rsid w:val="00860FB9"/>
    <w:rsid w:val="008610A1"/>
    <w:rsid w:val="0086183E"/>
    <w:rsid w:val="00861BC1"/>
    <w:rsid w:val="008620DD"/>
    <w:rsid w:val="008632E5"/>
    <w:rsid w:val="008638FD"/>
    <w:rsid w:val="00864243"/>
    <w:rsid w:val="00864522"/>
    <w:rsid w:val="008645E0"/>
    <w:rsid w:val="008648B5"/>
    <w:rsid w:val="00864C88"/>
    <w:rsid w:val="00864EA3"/>
    <w:rsid w:val="00864F34"/>
    <w:rsid w:val="00864FD7"/>
    <w:rsid w:val="00865611"/>
    <w:rsid w:val="00865A78"/>
    <w:rsid w:val="008660EC"/>
    <w:rsid w:val="00866303"/>
    <w:rsid w:val="0086641A"/>
    <w:rsid w:val="00866A9F"/>
    <w:rsid w:val="00867270"/>
    <w:rsid w:val="0086759C"/>
    <w:rsid w:val="008678E1"/>
    <w:rsid w:val="00867BCB"/>
    <w:rsid w:val="00867F68"/>
    <w:rsid w:val="008703DF"/>
    <w:rsid w:val="00870EB6"/>
    <w:rsid w:val="00871AC1"/>
    <w:rsid w:val="0087262D"/>
    <w:rsid w:val="008737D3"/>
    <w:rsid w:val="00873E0E"/>
    <w:rsid w:val="00873F69"/>
    <w:rsid w:val="00875323"/>
    <w:rsid w:val="00875865"/>
    <w:rsid w:val="00876E33"/>
    <w:rsid w:val="00877344"/>
    <w:rsid w:val="00877737"/>
    <w:rsid w:val="0087785E"/>
    <w:rsid w:val="00877963"/>
    <w:rsid w:val="00877CBF"/>
    <w:rsid w:val="00877FBC"/>
    <w:rsid w:val="00880999"/>
    <w:rsid w:val="00880B86"/>
    <w:rsid w:val="00880DD9"/>
    <w:rsid w:val="0088128B"/>
    <w:rsid w:val="008816CF"/>
    <w:rsid w:val="0088194D"/>
    <w:rsid w:val="00881E3C"/>
    <w:rsid w:val="00882A03"/>
    <w:rsid w:val="00882D53"/>
    <w:rsid w:val="00883437"/>
    <w:rsid w:val="008834C5"/>
    <w:rsid w:val="00883703"/>
    <w:rsid w:val="00883C24"/>
    <w:rsid w:val="00883CF7"/>
    <w:rsid w:val="00884D86"/>
    <w:rsid w:val="008853F8"/>
    <w:rsid w:val="008857F7"/>
    <w:rsid w:val="00885B01"/>
    <w:rsid w:val="0088665C"/>
    <w:rsid w:val="00886E6B"/>
    <w:rsid w:val="00887804"/>
    <w:rsid w:val="0089076B"/>
    <w:rsid w:val="00890FB3"/>
    <w:rsid w:val="008916AA"/>
    <w:rsid w:val="008917C8"/>
    <w:rsid w:val="008929FD"/>
    <w:rsid w:val="00893149"/>
    <w:rsid w:val="00893899"/>
    <w:rsid w:val="00894009"/>
    <w:rsid w:val="0089432B"/>
    <w:rsid w:val="008945D8"/>
    <w:rsid w:val="00894A52"/>
    <w:rsid w:val="00894AA0"/>
    <w:rsid w:val="008953BD"/>
    <w:rsid w:val="0089648C"/>
    <w:rsid w:val="00896F7B"/>
    <w:rsid w:val="0089770B"/>
    <w:rsid w:val="0089795B"/>
    <w:rsid w:val="00897E4B"/>
    <w:rsid w:val="008A003D"/>
    <w:rsid w:val="008A1580"/>
    <w:rsid w:val="008A21E6"/>
    <w:rsid w:val="008A26E5"/>
    <w:rsid w:val="008A2D59"/>
    <w:rsid w:val="008A2FDB"/>
    <w:rsid w:val="008A3A86"/>
    <w:rsid w:val="008A3B30"/>
    <w:rsid w:val="008A3D04"/>
    <w:rsid w:val="008A4628"/>
    <w:rsid w:val="008A509A"/>
    <w:rsid w:val="008A5855"/>
    <w:rsid w:val="008A5D55"/>
    <w:rsid w:val="008A5E92"/>
    <w:rsid w:val="008A5FC2"/>
    <w:rsid w:val="008A69C7"/>
    <w:rsid w:val="008A69CF"/>
    <w:rsid w:val="008A6DAE"/>
    <w:rsid w:val="008A74E0"/>
    <w:rsid w:val="008A787C"/>
    <w:rsid w:val="008A7E94"/>
    <w:rsid w:val="008A7F8B"/>
    <w:rsid w:val="008B049B"/>
    <w:rsid w:val="008B04CE"/>
    <w:rsid w:val="008B0771"/>
    <w:rsid w:val="008B0F38"/>
    <w:rsid w:val="008B1290"/>
    <w:rsid w:val="008B2278"/>
    <w:rsid w:val="008B2E2F"/>
    <w:rsid w:val="008B35B3"/>
    <w:rsid w:val="008B3A7C"/>
    <w:rsid w:val="008B47CB"/>
    <w:rsid w:val="008B4D32"/>
    <w:rsid w:val="008B4D67"/>
    <w:rsid w:val="008B5523"/>
    <w:rsid w:val="008B55A9"/>
    <w:rsid w:val="008B699F"/>
    <w:rsid w:val="008B6A6C"/>
    <w:rsid w:val="008B6D69"/>
    <w:rsid w:val="008B6DBD"/>
    <w:rsid w:val="008B7781"/>
    <w:rsid w:val="008C069B"/>
    <w:rsid w:val="008C06D0"/>
    <w:rsid w:val="008C0D3E"/>
    <w:rsid w:val="008C15BB"/>
    <w:rsid w:val="008C21A1"/>
    <w:rsid w:val="008C2675"/>
    <w:rsid w:val="008C28E5"/>
    <w:rsid w:val="008C3020"/>
    <w:rsid w:val="008C3056"/>
    <w:rsid w:val="008C4C28"/>
    <w:rsid w:val="008C4D9F"/>
    <w:rsid w:val="008C4E5F"/>
    <w:rsid w:val="008C4EBE"/>
    <w:rsid w:val="008C56F0"/>
    <w:rsid w:val="008C5955"/>
    <w:rsid w:val="008C660C"/>
    <w:rsid w:val="008C6886"/>
    <w:rsid w:val="008C6C82"/>
    <w:rsid w:val="008C77D6"/>
    <w:rsid w:val="008C7F94"/>
    <w:rsid w:val="008D01D8"/>
    <w:rsid w:val="008D05E7"/>
    <w:rsid w:val="008D083C"/>
    <w:rsid w:val="008D0D4C"/>
    <w:rsid w:val="008D116D"/>
    <w:rsid w:val="008D1494"/>
    <w:rsid w:val="008D15F7"/>
    <w:rsid w:val="008D1C05"/>
    <w:rsid w:val="008D1FDE"/>
    <w:rsid w:val="008D25D2"/>
    <w:rsid w:val="008D2C75"/>
    <w:rsid w:val="008D2CDB"/>
    <w:rsid w:val="008D2E1E"/>
    <w:rsid w:val="008D351D"/>
    <w:rsid w:val="008D38A3"/>
    <w:rsid w:val="008D3B6F"/>
    <w:rsid w:val="008D3E0B"/>
    <w:rsid w:val="008D4314"/>
    <w:rsid w:val="008D4E88"/>
    <w:rsid w:val="008D6D33"/>
    <w:rsid w:val="008D6D60"/>
    <w:rsid w:val="008D73E4"/>
    <w:rsid w:val="008D73FF"/>
    <w:rsid w:val="008E0081"/>
    <w:rsid w:val="008E019E"/>
    <w:rsid w:val="008E0F91"/>
    <w:rsid w:val="008E1C45"/>
    <w:rsid w:val="008E21F2"/>
    <w:rsid w:val="008E242E"/>
    <w:rsid w:val="008E27B3"/>
    <w:rsid w:val="008E2F2C"/>
    <w:rsid w:val="008E328D"/>
    <w:rsid w:val="008E433A"/>
    <w:rsid w:val="008E526C"/>
    <w:rsid w:val="008E5B56"/>
    <w:rsid w:val="008E5E7A"/>
    <w:rsid w:val="008E63A6"/>
    <w:rsid w:val="008E647B"/>
    <w:rsid w:val="008E65B0"/>
    <w:rsid w:val="008E6BC6"/>
    <w:rsid w:val="008E7B61"/>
    <w:rsid w:val="008F0020"/>
    <w:rsid w:val="008F04C1"/>
    <w:rsid w:val="008F060D"/>
    <w:rsid w:val="008F0BF4"/>
    <w:rsid w:val="008F10EF"/>
    <w:rsid w:val="008F1260"/>
    <w:rsid w:val="008F21CA"/>
    <w:rsid w:val="008F2B20"/>
    <w:rsid w:val="008F2CBC"/>
    <w:rsid w:val="008F2E2A"/>
    <w:rsid w:val="008F300E"/>
    <w:rsid w:val="008F38E2"/>
    <w:rsid w:val="008F3AE2"/>
    <w:rsid w:val="008F3E98"/>
    <w:rsid w:val="008F4064"/>
    <w:rsid w:val="008F4332"/>
    <w:rsid w:val="008F45ED"/>
    <w:rsid w:val="008F4D88"/>
    <w:rsid w:val="008F50E6"/>
    <w:rsid w:val="008F5123"/>
    <w:rsid w:val="008F5263"/>
    <w:rsid w:val="008F5466"/>
    <w:rsid w:val="008F56F5"/>
    <w:rsid w:val="008F5F97"/>
    <w:rsid w:val="008F60D9"/>
    <w:rsid w:val="008F6221"/>
    <w:rsid w:val="008F6D25"/>
    <w:rsid w:val="008F722B"/>
    <w:rsid w:val="008F777B"/>
    <w:rsid w:val="008F7B6D"/>
    <w:rsid w:val="008F7CCE"/>
    <w:rsid w:val="0090104A"/>
    <w:rsid w:val="0090271D"/>
    <w:rsid w:val="00902EDF"/>
    <w:rsid w:val="00903A54"/>
    <w:rsid w:val="00903B2E"/>
    <w:rsid w:val="00903DB9"/>
    <w:rsid w:val="009043DF"/>
    <w:rsid w:val="009044AF"/>
    <w:rsid w:val="00904549"/>
    <w:rsid w:val="00904FCB"/>
    <w:rsid w:val="00905CC8"/>
    <w:rsid w:val="0090602D"/>
    <w:rsid w:val="009064E2"/>
    <w:rsid w:val="009069E1"/>
    <w:rsid w:val="0090730E"/>
    <w:rsid w:val="00907504"/>
    <w:rsid w:val="009077C7"/>
    <w:rsid w:val="00907AB9"/>
    <w:rsid w:val="00907B22"/>
    <w:rsid w:val="00911155"/>
    <w:rsid w:val="00911919"/>
    <w:rsid w:val="00911AC7"/>
    <w:rsid w:val="00912095"/>
    <w:rsid w:val="0091220E"/>
    <w:rsid w:val="00912810"/>
    <w:rsid w:val="00912F12"/>
    <w:rsid w:val="0091465A"/>
    <w:rsid w:val="009148A4"/>
    <w:rsid w:val="00914DA8"/>
    <w:rsid w:val="00915A63"/>
    <w:rsid w:val="00916255"/>
    <w:rsid w:val="009162D2"/>
    <w:rsid w:val="00916365"/>
    <w:rsid w:val="00916423"/>
    <w:rsid w:val="00917BDE"/>
    <w:rsid w:val="00920216"/>
    <w:rsid w:val="00920232"/>
    <w:rsid w:val="00920463"/>
    <w:rsid w:val="00920474"/>
    <w:rsid w:val="009206D7"/>
    <w:rsid w:val="0092184B"/>
    <w:rsid w:val="00921C62"/>
    <w:rsid w:val="00923183"/>
    <w:rsid w:val="009231E5"/>
    <w:rsid w:val="009232B3"/>
    <w:rsid w:val="0092353B"/>
    <w:rsid w:val="009236F5"/>
    <w:rsid w:val="009238C7"/>
    <w:rsid w:val="00923D68"/>
    <w:rsid w:val="009245CA"/>
    <w:rsid w:val="00924A54"/>
    <w:rsid w:val="009253F4"/>
    <w:rsid w:val="00925CEF"/>
    <w:rsid w:val="0092644A"/>
    <w:rsid w:val="00926E4D"/>
    <w:rsid w:val="0092740A"/>
    <w:rsid w:val="0092782B"/>
    <w:rsid w:val="009279B7"/>
    <w:rsid w:val="00927A77"/>
    <w:rsid w:val="00927B2C"/>
    <w:rsid w:val="00927DAC"/>
    <w:rsid w:val="00930AA2"/>
    <w:rsid w:val="00930DA6"/>
    <w:rsid w:val="00930FA9"/>
    <w:rsid w:val="00931272"/>
    <w:rsid w:val="00931F79"/>
    <w:rsid w:val="00932316"/>
    <w:rsid w:val="009327EB"/>
    <w:rsid w:val="00932A89"/>
    <w:rsid w:val="0093352D"/>
    <w:rsid w:val="00933758"/>
    <w:rsid w:val="009340F4"/>
    <w:rsid w:val="00934173"/>
    <w:rsid w:val="0093435E"/>
    <w:rsid w:val="009348AA"/>
    <w:rsid w:val="0093538A"/>
    <w:rsid w:val="0093544A"/>
    <w:rsid w:val="00935466"/>
    <w:rsid w:val="00935D27"/>
    <w:rsid w:val="009376FF"/>
    <w:rsid w:val="009377E2"/>
    <w:rsid w:val="00937A22"/>
    <w:rsid w:val="00940185"/>
    <w:rsid w:val="00940463"/>
    <w:rsid w:val="0094064C"/>
    <w:rsid w:val="00940B54"/>
    <w:rsid w:val="00940BCD"/>
    <w:rsid w:val="00940CDC"/>
    <w:rsid w:val="00940EFD"/>
    <w:rsid w:val="00941279"/>
    <w:rsid w:val="00941CEC"/>
    <w:rsid w:val="00942E1A"/>
    <w:rsid w:val="00943728"/>
    <w:rsid w:val="00943BA4"/>
    <w:rsid w:val="00943DDC"/>
    <w:rsid w:val="00944317"/>
    <w:rsid w:val="00944454"/>
    <w:rsid w:val="00944457"/>
    <w:rsid w:val="00944905"/>
    <w:rsid w:val="00945873"/>
    <w:rsid w:val="00945BD7"/>
    <w:rsid w:val="0094611C"/>
    <w:rsid w:val="009462D5"/>
    <w:rsid w:val="00946E91"/>
    <w:rsid w:val="009503D3"/>
    <w:rsid w:val="009529F1"/>
    <w:rsid w:val="009530C8"/>
    <w:rsid w:val="00953EB6"/>
    <w:rsid w:val="00954134"/>
    <w:rsid w:val="0095456C"/>
    <w:rsid w:val="00954761"/>
    <w:rsid w:val="009547B3"/>
    <w:rsid w:val="009550A3"/>
    <w:rsid w:val="009551BF"/>
    <w:rsid w:val="00955985"/>
    <w:rsid w:val="00956285"/>
    <w:rsid w:val="00956905"/>
    <w:rsid w:val="0095744E"/>
    <w:rsid w:val="009577C8"/>
    <w:rsid w:val="00960160"/>
    <w:rsid w:val="009602CF"/>
    <w:rsid w:val="00960454"/>
    <w:rsid w:val="009614C6"/>
    <w:rsid w:val="00961B90"/>
    <w:rsid w:val="0096205B"/>
    <w:rsid w:val="0096294D"/>
    <w:rsid w:val="00962BFB"/>
    <w:rsid w:val="00962C2F"/>
    <w:rsid w:val="00962E1C"/>
    <w:rsid w:val="0096318F"/>
    <w:rsid w:val="0096324E"/>
    <w:rsid w:val="00963427"/>
    <w:rsid w:val="0096349D"/>
    <w:rsid w:val="009640A1"/>
    <w:rsid w:val="009648D3"/>
    <w:rsid w:val="00964954"/>
    <w:rsid w:val="00965D9F"/>
    <w:rsid w:val="00966DEC"/>
    <w:rsid w:val="0096787F"/>
    <w:rsid w:val="00967906"/>
    <w:rsid w:val="00967A43"/>
    <w:rsid w:val="0097048B"/>
    <w:rsid w:val="00970609"/>
    <w:rsid w:val="009707CE"/>
    <w:rsid w:val="00970B64"/>
    <w:rsid w:val="00970E83"/>
    <w:rsid w:val="0097191B"/>
    <w:rsid w:val="00971E2A"/>
    <w:rsid w:val="00972046"/>
    <w:rsid w:val="0097269E"/>
    <w:rsid w:val="009727C5"/>
    <w:rsid w:val="00972A93"/>
    <w:rsid w:val="00973B2D"/>
    <w:rsid w:val="00974343"/>
    <w:rsid w:val="0097459F"/>
    <w:rsid w:val="00974F8A"/>
    <w:rsid w:val="00975DF8"/>
    <w:rsid w:val="0097636A"/>
    <w:rsid w:val="0097664D"/>
    <w:rsid w:val="0097668F"/>
    <w:rsid w:val="0097673B"/>
    <w:rsid w:val="0097683F"/>
    <w:rsid w:val="009769DF"/>
    <w:rsid w:val="00977A3A"/>
    <w:rsid w:val="0098013F"/>
    <w:rsid w:val="00980309"/>
    <w:rsid w:val="00980CA9"/>
    <w:rsid w:val="009814CC"/>
    <w:rsid w:val="00982125"/>
    <w:rsid w:val="009829B4"/>
    <w:rsid w:val="00984CBB"/>
    <w:rsid w:val="00984F38"/>
    <w:rsid w:val="00985813"/>
    <w:rsid w:val="00985AC6"/>
    <w:rsid w:val="00985AFE"/>
    <w:rsid w:val="009865A4"/>
    <w:rsid w:val="00987C7D"/>
    <w:rsid w:val="00990380"/>
    <w:rsid w:val="00990CBD"/>
    <w:rsid w:val="0099102F"/>
    <w:rsid w:val="0099178D"/>
    <w:rsid w:val="00991902"/>
    <w:rsid w:val="00991B1E"/>
    <w:rsid w:val="00991E3C"/>
    <w:rsid w:val="00991F8E"/>
    <w:rsid w:val="009921DB"/>
    <w:rsid w:val="00992430"/>
    <w:rsid w:val="00992B8E"/>
    <w:rsid w:val="00992C12"/>
    <w:rsid w:val="00993C85"/>
    <w:rsid w:val="00993DCB"/>
    <w:rsid w:val="009940EF"/>
    <w:rsid w:val="00994823"/>
    <w:rsid w:val="00994A8D"/>
    <w:rsid w:val="00994D06"/>
    <w:rsid w:val="00994D41"/>
    <w:rsid w:val="00995155"/>
    <w:rsid w:val="009958AC"/>
    <w:rsid w:val="00995B81"/>
    <w:rsid w:val="00995E92"/>
    <w:rsid w:val="00995F97"/>
    <w:rsid w:val="0099659F"/>
    <w:rsid w:val="00996A2E"/>
    <w:rsid w:val="00997347"/>
    <w:rsid w:val="009973AF"/>
    <w:rsid w:val="00997CF0"/>
    <w:rsid w:val="009A011C"/>
    <w:rsid w:val="009A0BBC"/>
    <w:rsid w:val="009A11DF"/>
    <w:rsid w:val="009A1D3B"/>
    <w:rsid w:val="009A1FF1"/>
    <w:rsid w:val="009A26F0"/>
    <w:rsid w:val="009A28FE"/>
    <w:rsid w:val="009A2965"/>
    <w:rsid w:val="009A2CE0"/>
    <w:rsid w:val="009A2CE3"/>
    <w:rsid w:val="009A358F"/>
    <w:rsid w:val="009A35AF"/>
    <w:rsid w:val="009A4C52"/>
    <w:rsid w:val="009A5AFD"/>
    <w:rsid w:val="009A6EFD"/>
    <w:rsid w:val="009A73E7"/>
    <w:rsid w:val="009A75B2"/>
    <w:rsid w:val="009A7A65"/>
    <w:rsid w:val="009A7BB4"/>
    <w:rsid w:val="009B097E"/>
    <w:rsid w:val="009B0995"/>
    <w:rsid w:val="009B0FB4"/>
    <w:rsid w:val="009B238A"/>
    <w:rsid w:val="009B2B09"/>
    <w:rsid w:val="009B2C90"/>
    <w:rsid w:val="009B2DAA"/>
    <w:rsid w:val="009B3962"/>
    <w:rsid w:val="009B39DC"/>
    <w:rsid w:val="009B3B44"/>
    <w:rsid w:val="009B4769"/>
    <w:rsid w:val="009B4811"/>
    <w:rsid w:val="009B4D83"/>
    <w:rsid w:val="009B594A"/>
    <w:rsid w:val="009B5BA5"/>
    <w:rsid w:val="009B61CE"/>
    <w:rsid w:val="009B61E7"/>
    <w:rsid w:val="009B68BB"/>
    <w:rsid w:val="009B7B55"/>
    <w:rsid w:val="009B7F6D"/>
    <w:rsid w:val="009C0039"/>
    <w:rsid w:val="009C0087"/>
    <w:rsid w:val="009C052D"/>
    <w:rsid w:val="009C0A6F"/>
    <w:rsid w:val="009C10F7"/>
    <w:rsid w:val="009C158B"/>
    <w:rsid w:val="009C18A5"/>
    <w:rsid w:val="009C1B2A"/>
    <w:rsid w:val="009C2533"/>
    <w:rsid w:val="009C295A"/>
    <w:rsid w:val="009C36B8"/>
    <w:rsid w:val="009C3B00"/>
    <w:rsid w:val="009C3F1C"/>
    <w:rsid w:val="009C3F9E"/>
    <w:rsid w:val="009C41D2"/>
    <w:rsid w:val="009C559B"/>
    <w:rsid w:val="009C578A"/>
    <w:rsid w:val="009C5B09"/>
    <w:rsid w:val="009C6270"/>
    <w:rsid w:val="009C6E72"/>
    <w:rsid w:val="009C6F3D"/>
    <w:rsid w:val="009D0193"/>
    <w:rsid w:val="009D08A5"/>
    <w:rsid w:val="009D0A78"/>
    <w:rsid w:val="009D142A"/>
    <w:rsid w:val="009D1444"/>
    <w:rsid w:val="009D1CED"/>
    <w:rsid w:val="009D21CD"/>
    <w:rsid w:val="009D2269"/>
    <w:rsid w:val="009D2A3D"/>
    <w:rsid w:val="009D2B86"/>
    <w:rsid w:val="009D2C8D"/>
    <w:rsid w:val="009D2F4E"/>
    <w:rsid w:val="009D3C3F"/>
    <w:rsid w:val="009D4A09"/>
    <w:rsid w:val="009D4C4E"/>
    <w:rsid w:val="009D4D67"/>
    <w:rsid w:val="009D4E0B"/>
    <w:rsid w:val="009D5ECB"/>
    <w:rsid w:val="009D635B"/>
    <w:rsid w:val="009D66DC"/>
    <w:rsid w:val="009D6A08"/>
    <w:rsid w:val="009D6EFD"/>
    <w:rsid w:val="009D7811"/>
    <w:rsid w:val="009D7F6F"/>
    <w:rsid w:val="009E0314"/>
    <w:rsid w:val="009E0393"/>
    <w:rsid w:val="009E07D3"/>
    <w:rsid w:val="009E0E65"/>
    <w:rsid w:val="009E12E0"/>
    <w:rsid w:val="009E1AC2"/>
    <w:rsid w:val="009E20AA"/>
    <w:rsid w:val="009E27B4"/>
    <w:rsid w:val="009E2B0F"/>
    <w:rsid w:val="009E319D"/>
    <w:rsid w:val="009E482B"/>
    <w:rsid w:val="009E4BC6"/>
    <w:rsid w:val="009E5014"/>
    <w:rsid w:val="009E5BE5"/>
    <w:rsid w:val="009E5F57"/>
    <w:rsid w:val="009E6726"/>
    <w:rsid w:val="009E726F"/>
    <w:rsid w:val="009E73BA"/>
    <w:rsid w:val="009E78D7"/>
    <w:rsid w:val="009E7B2E"/>
    <w:rsid w:val="009E7C72"/>
    <w:rsid w:val="009F0131"/>
    <w:rsid w:val="009F0440"/>
    <w:rsid w:val="009F06F2"/>
    <w:rsid w:val="009F10DD"/>
    <w:rsid w:val="009F1622"/>
    <w:rsid w:val="009F1AE5"/>
    <w:rsid w:val="009F1CCE"/>
    <w:rsid w:val="009F2126"/>
    <w:rsid w:val="009F280B"/>
    <w:rsid w:val="009F2BA6"/>
    <w:rsid w:val="009F2FA8"/>
    <w:rsid w:val="009F30BB"/>
    <w:rsid w:val="009F3102"/>
    <w:rsid w:val="009F3126"/>
    <w:rsid w:val="009F33DF"/>
    <w:rsid w:val="009F3B80"/>
    <w:rsid w:val="009F5593"/>
    <w:rsid w:val="009F58FC"/>
    <w:rsid w:val="009F635E"/>
    <w:rsid w:val="009F63D9"/>
    <w:rsid w:val="009F6569"/>
    <w:rsid w:val="00A02C5D"/>
    <w:rsid w:val="00A02DE9"/>
    <w:rsid w:val="00A03284"/>
    <w:rsid w:val="00A0360A"/>
    <w:rsid w:val="00A04D7B"/>
    <w:rsid w:val="00A05B69"/>
    <w:rsid w:val="00A0662C"/>
    <w:rsid w:val="00A06C15"/>
    <w:rsid w:val="00A06E3C"/>
    <w:rsid w:val="00A10732"/>
    <w:rsid w:val="00A10838"/>
    <w:rsid w:val="00A10F0A"/>
    <w:rsid w:val="00A11345"/>
    <w:rsid w:val="00A11736"/>
    <w:rsid w:val="00A11BE8"/>
    <w:rsid w:val="00A12065"/>
    <w:rsid w:val="00A1304D"/>
    <w:rsid w:val="00A13FBC"/>
    <w:rsid w:val="00A140D3"/>
    <w:rsid w:val="00A1424C"/>
    <w:rsid w:val="00A1446B"/>
    <w:rsid w:val="00A1477B"/>
    <w:rsid w:val="00A15877"/>
    <w:rsid w:val="00A167F2"/>
    <w:rsid w:val="00A1708B"/>
    <w:rsid w:val="00A17EFE"/>
    <w:rsid w:val="00A203F3"/>
    <w:rsid w:val="00A20C78"/>
    <w:rsid w:val="00A20FCA"/>
    <w:rsid w:val="00A212FD"/>
    <w:rsid w:val="00A220D5"/>
    <w:rsid w:val="00A22156"/>
    <w:rsid w:val="00A22801"/>
    <w:rsid w:val="00A22926"/>
    <w:rsid w:val="00A22A75"/>
    <w:rsid w:val="00A22DD0"/>
    <w:rsid w:val="00A2312E"/>
    <w:rsid w:val="00A23163"/>
    <w:rsid w:val="00A23312"/>
    <w:rsid w:val="00A239CA"/>
    <w:rsid w:val="00A24323"/>
    <w:rsid w:val="00A2512C"/>
    <w:rsid w:val="00A2515B"/>
    <w:rsid w:val="00A253F4"/>
    <w:rsid w:val="00A25442"/>
    <w:rsid w:val="00A2588E"/>
    <w:rsid w:val="00A26EDF"/>
    <w:rsid w:val="00A2707E"/>
    <w:rsid w:val="00A2792B"/>
    <w:rsid w:val="00A3069D"/>
    <w:rsid w:val="00A30B3B"/>
    <w:rsid w:val="00A30D09"/>
    <w:rsid w:val="00A30D48"/>
    <w:rsid w:val="00A328E2"/>
    <w:rsid w:val="00A32B9F"/>
    <w:rsid w:val="00A333E1"/>
    <w:rsid w:val="00A33461"/>
    <w:rsid w:val="00A33483"/>
    <w:rsid w:val="00A34789"/>
    <w:rsid w:val="00A34854"/>
    <w:rsid w:val="00A34C6D"/>
    <w:rsid w:val="00A35FB0"/>
    <w:rsid w:val="00A36041"/>
    <w:rsid w:val="00A36280"/>
    <w:rsid w:val="00A3630E"/>
    <w:rsid w:val="00A36C25"/>
    <w:rsid w:val="00A37B19"/>
    <w:rsid w:val="00A37B28"/>
    <w:rsid w:val="00A37BB8"/>
    <w:rsid w:val="00A37C32"/>
    <w:rsid w:val="00A37CB7"/>
    <w:rsid w:val="00A37D74"/>
    <w:rsid w:val="00A400DB"/>
    <w:rsid w:val="00A40230"/>
    <w:rsid w:val="00A40677"/>
    <w:rsid w:val="00A4171A"/>
    <w:rsid w:val="00A41AD6"/>
    <w:rsid w:val="00A41FF8"/>
    <w:rsid w:val="00A42760"/>
    <w:rsid w:val="00A42D87"/>
    <w:rsid w:val="00A43025"/>
    <w:rsid w:val="00A43E72"/>
    <w:rsid w:val="00A43EB9"/>
    <w:rsid w:val="00A43F30"/>
    <w:rsid w:val="00A44193"/>
    <w:rsid w:val="00A44A50"/>
    <w:rsid w:val="00A44B51"/>
    <w:rsid w:val="00A44BD3"/>
    <w:rsid w:val="00A4521D"/>
    <w:rsid w:val="00A4528E"/>
    <w:rsid w:val="00A45C86"/>
    <w:rsid w:val="00A45D3B"/>
    <w:rsid w:val="00A45E5F"/>
    <w:rsid w:val="00A46542"/>
    <w:rsid w:val="00A46A34"/>
    <w:rsid w:val="00A46D6F"/>
    <w:rsid w:val="00A46EF9"/>
    <w:rsid w:val="00A50A04"/>
    <w:rsid w:val="00A50ACE"/>
    <w:rsid w:val="00A51118"/>
    <w:rsid w:val="00A51C11"/>
    <w:rsid w:val="00A51F05"/>
    <w:rsid w:val="00A51F0A"/>
    <w:rsid w:val="00A5372A"/>
    <w:rsid w:val="00A53826"/>
    <w:rsid w:val="00A53A41"/>
    <w:rsid w:val="00A53D40"/>
    <w:rsid w:val="00A54ECC"/>
    <w:rsid w:val="00A54EF2"/>
    <w:rsid w:val="00A55CE1"/>
    <w:rsid w:val="00A55D48"/>
    <w:rsid w:val="00A55F5E"/>
    <w:rsid w:val="00A564DB"/>
    <w:rsid w:val="00A568CC"/>
    <w:rsid w:val="00A56BC6"/>
    <w:rsid w:val="00A56FE8"/>
    <w:rsid w:val="00A572DF"/>
    <w:rsid w:val="00A57418"/>
    <w:rsid w:val="00A57BEB"/>
    <w:rsid w:val="00A57F4E"/>
    <w:rsid w:val="00A6043F"/>
    <w:rsid w:val="00A60F22"/>
    <w:rsid w:val="00A611AF"/>
    <w:rsid w:val="00A613DC"/>
    <w:rsid w:val="00A614AD"/>
    <w:rsid w:val="00A61673"/>
    <w:rsid w:val="00A61733"/>
    <w:rsid w:val="00A61E94"/>
    <w:rsid w:val="00A620BB"/>
    <w:rsid w:val="00A62A0A"/>
    <w:rsid w:val="00A62D66"/>
    <w:rsid w:val="00A634CC"/>
    <w:rsid w:val="00A639E7"/>
    <w:rsid w:val="00A63F10"/>
    <w:rsid w:val="00A643A2"/>
    <w:rsid w:val="00A647FF"/>
    <w:rsid w:val="00A64926"/>
    <w:rsid w:val="00A64B7B"/>
    <w:rsid w:val="00A65221"/>
    <w:rsid w:val="00A6540B"/>
    <w:rsid w:val="00A665CF"/>
    <w:rsid w:val="00A67106"/>
    <w:rsid w:val="00A673A7"/>
    <w:rsid w:val="00A67CA7"/>
    <w:rsid w:val="00A708D4"/>
    <w:rsid w:val="00A72084"/>
    <w:rsid w:val="00A72612"/>
    <w:rsid w:val="00A7302B"/>
    <w:rsid w:val="00A7359A"/>
    <w:rsid w:val="00A73989"/>
    <w:rsid w:val="00A73F46"/>
    <w:rsid w:val="00A74218"/>
    <w:rsid w:val="00A74BE7"/>
    <w:rsid w:val="00A752F7"/>
    <w:rsid w:val="00A75B87"/>
    <w:rsid w:val="00A766ED"/>
    <w:rsid w:val="00A76E3C"/>
    <w:rsid w:val="00A7718A"/>
    <w:rsid w:val="00A7752F"/>
    <w:rsid w:val="00A77EE7"/>
    <w:rsid w:val="00A80BF9"/>
    <w:rsid w:val="00A81A0F"/>
    <w:rsid w:val="00A827B1"/>
    <w:rsid w:val="00A82F45"/>
    <w:rsid w:val="00A83124"/>
    <w:rsid w:val="00A831F7"/>
    <w:rsid w:val="00A84C7C"/>
    <w:rsid w:val="00A8558B"/>
    <w:rsid w:val="00A856A5"/>
    <w:rsid w:val="00A85901"/>
    <w:rsid w:val="00A85C35"/>
    <w:rsid w:val="00A85ED0"/>
    <w:rsid w:val="00A86586"/>
    <w:rsid w:val="00A86A09"/>
    <w:rsid w:val="00A86C5F"/>
    <w:rsid w:val="00A870D4"/>
    <w:rsid w:val="00A87425"/>
    <w:rsid w:val="00A87AF9"/>
    <w:rsid w:val="00A908CD"/>
    <w:rsid w:val="00A90B6C"/>
    <w:rsid w:val="00A90EFF"/>
    <w:rsid w:val="00A916D3"/>
    <w:rsid w:val="00A91FF6"/>
    <w:rsid w:val="00A92061"/>
    <w:rsid w:val="00A93102"/>
    <w:rsid w:val="00A93606"/>
    <w:rsid w:val="00A937B7"/>
    <w:rsid w:val="00A941A2"/>
    <w:rsid w:val="00A94249"/>
    <w:rsid w:val="00A94BC9"/>
    <w:rsid w:val="00A94CFF"/>
    <w:rsid w:val="00A9500C"/>
    <w:rsid w:val="00A957CC"/>
    <w:rsid w:val="00A959BC"/>
    <w:rsid w:val="00A95C16"/>
    <w:rsid w:val="00A96A28"/>
    <w:rsid w:val="00A96A91"/>
    <w:rsid w:val="00A96E43"/>
    <w:rsid w:val="00A973EA"/>
    <w:rsid w:val="00A97D0E"/>
    <w:rsid w:val="00AA04B8"/>
    <w:rsid w:val="00AA098A"/>
    <w:rsid w:val="00AA12BA"/>
    <w:rsid w:val="00AA1506"/>
    <w:rsid w:val="00AA1BD8"/>
    <w:rsid w:val="00AA1C21"/>
    <w:rsid w:val="00AA2562"/>
    <w:rsid w:val="00AA2BC1"/>
    <w:rsid w:val="00AA2D04"/>
    <w:rsid w:val="00AA3C60"/>
    <w:rsid w:val="00AA3C67"/>
    <w:rsid w:val="00AA407D"/>
    <w:rsid w:val="00AA40A4"/>
    <w:rsid w:val="00AA4F5E"/>
    <w:rsid w:val="00AA4FCE"/>
    <w:rsid w:val="00AA6E8B"/>
    <w:rsid w:val="00AA7E60"/>
    <w:rsid w:val="00AA7EE5"/>
    <w:rsid w:val="00AB0627"/>
    <w:rsid w:val="00AB1EF2"/>
    <w:rsid w:val="00AB241B"/>
    <w:rsid w:val="00AB2FF4"/>
    <w:rsid w:val="00AB388D"/>
    <w:rsid w:val="00AB4525"/>
    <w:rsid w:val="00AB4C3A"/>
    <w:rsid w:val="00AB4D4C"/>
    <w:rsid w:val="00AB5338"/>
    <w:rsid w:val="00AB599B"/>
    <w:rsid w:val="00AB5C3A"/>
    <w:rsid w:val="00AB5D04"/>
    <w:rsid w:val="00AB5F9C"/>
    <w:rsid w:val="00AB60B8"/>
    <w:rsid w:val="00AB63A3"/>
    <w:rsid w:val="00AB6755"/>
    <w:rsid w:val="00AB7273"/>
    <w:rsid w:val="00AB7B1F"/>
    <w:rsid w:val="00AC1485"/>
    <w:rsid w:val="00AC1671"/>
    <w:rsid w:val="00AC198C"/>
    <w:rsid w:val="00AC1A1F"/>
    <w:rsid w:val="00AC1AD6"/>
    <w:rsid w:val="00AC2C7D"/>
    <w:rsid w:val="00AC2CCD"/>
    <w:rsid w:val="00AC3882"/>
    <w:rsid w:val="00AC4AB1"/>
    <w:rsid w:val="00AC546B"/>
    <w:rsid w:val="00AC54B4"/>
    <w:rsid w:val="00AC5A34"/>
    <w:rsid w:val="00AC63B6"/>
    <w:rsid w:val="00AC6982"/>
    <w:rsid w:val="00AC6AFA"/>
    <w:rsid w:val="00AC6F8B"/>
    <w:rsid w:val="00AC702B"/>
    <w:rsid w:val="00AC7582"/>
    <w:rsid w:val="00AC7A65"/>
    <w:rsid w:val="00AD1194"/>
    <w:rsid w:val="00AD1D79"/>
    <w:rsid w:val="00AD3EB1"/>
    <w:rsid w:val="00AD4BD0"/>
    <w:rsid w:val="00AD4C77"/>
    <w:rsid w:val="00AD4DC6"/>
    <w:rsid w:val="00AD4DD0"/>
    <w:rsid w:val="00AD57A2"/>
    <w:rsid w:val="00AD57CE"/>
    <w:rsid w:val="00AD5AF7"/>
    <w:rsid w:val="00AD6132"/>
    <w:rsid w:val="00AD6243"/>
    <w:rsid w:val="00AD6287"/>
    <w:rsid w:val="00AD64DF"/>
    <w:rsid w:val="00AD710D"/>
    <w:rsid w:val="00AE06E8"/>
    <w:rsid w:val="00AE08AE"/>
    <w:rsid w:val="00AE1025"/>
    <w:rsid w:val="00AE1233"/>
    <w:rsid w:val="00AE205E"/>
    <w:rsid w:val="00AE2450"/>
    <w:rsid w:val="00AE25FD"/>
    <w:rsid w:val="00AE29D9"/>
    <w:rsid w:val="00AE2B3D"/>
    <w:rsid w:val="00AE2DE3"/>
    <w:rsid w:val="00AE2EC4"/>
    <w:rsid w:val="00AE2FF8"/>
    <w:rsid w:val="00AE30B0"/>
    <w:rsid w:val="00AE3A69"/>
    <w:rsid w:val="00AE3F03"/>
    <w:rsid w:val="00AE4032"/>
    <w:rsid w:val="00AE519F"/>
    <w:rsid w:val="00AE54B1"/>
    <w:rsid w:val="00AE64F0"/>
    <w:rsid w:val="00AE6554"/>
    <w:rsid w:val="00AE695F"/>
    <w:rsid w:val="00AE77AF"/>
    <w:rsid w:val="00AF1414"/>
    <w:rsid w:val="00AF1D00"/>
    <w:rsid w:val="00AF23C8"/>
    <w:rsid w:val="00AF2AE2"/>
    <w:rsid w:val="00AF399D"/>
    <w:rsid w:val="00AF39CA"/>
    <w:rsid w:val="00AF3FD1"/>
    <w:rsid w:val="00AF45EA"/>
    <w:rsid w:val="00AF4887"/>
    <w:rsid w:val="00AF502D"/>
    <w:rsid w:val="00AF518D"/>
    <w:rsid w:val="00AF5ED2"/>
    <w:rsid w:val="00AF62E5"/>
    <w:rsid w:val="00AF6D9C"/>
    <w:rsid w:val="00AF7AAC"/>
    <w:rsid w:val="00B0033C"/>
    <w:rsid w:val="00B003B4"/>
    <w:rsid w:val="00B00DFB"/>
    <w:rsid w:val="00B019FF"/>
    <w:rsid w:val="00B02E59"/>
    <w:rsid w:val="00B0344A"/>
    <w:rsid w:val="00B036E3"/>
    <w:rsid w:val="00B0377E"/>
    <w:rsid w:val="00B03ABE"/>
    <w:rsid w:val="00B03F92"/>
    <w:rsid w:val="00B04141"/>
    <w:rsid w:val="00B04349"/>
    <w:rsid w:val="00B05A8E"/>
    <w:rsid w:val="00B05F71"/>
    <w:rsid w:val="00B0613D"/>
    <w:rsid w:val="00B061F2"/>
    <w:rsid w:val="00B06A8B"/>
    <w:rsid w:val="00B06BF7"/>
    <w:rsid w:val="00B06D1E"/>
    <w:rsid w:val="00B07186"/>
    <w:rsid w:val="00B07973"/>
    <w:rsid w:val="00B07BA9"/>
    <w:rsid w:val="00B10055"/>
    <w:rsid w:val="00B1141E"/>
    <w:rsid w:val="00B11AB1"/>
    <w:rsid w:val="00B11F67"/>
    <w:rsid w:val="00B12515"/>
    <w:rsid w:val="00B125DA"/>
    <w:rsid w:val="00B1278B"/>
    <w:rsid w:val="00B128CA"/>
    <w:rsid w:val="00B12E6A"/>
    <w:rsid w:val="00B137A8"/>
    <w:rsid w:val="00B14295"/>
    <w:rsid w:val="00B14809"/>
    <w:rsid w:val="00B1487D"/>
    <w:rsid w:val="00B14B10"/>
    <w:rsid w:val="00B15E87"/>
    <w:rsid w:val="00B1649B"/>
    <w:rsid w:val="00B16FAD"/>
    <w:rsid w:val="00B17295"/>
    <w:rsid w:val="00B172E6"/>
    <w:rsid w:val="00B2027C"/>
    <w:rsid w:val="00B203C6"/>
    <w:rsid w:val="00B205BF"/>
    <w:rsid w:val="00B215F5"/>
    <w:rsid w:val="00B21633"/>
    <w:rsid w:val="00B21826"/>
    <w:rsid w:val="00B230C2"/>
    <w:rsid w:val="00B23673"/>
    <w:rsid w:val="00B23A3A"/>
    <w:rsid w:val="00B24846"/>
    <w:rsid w:val="00B250ED"/>
    <w:rsid w:val="00B26193"/>
    <w:rsid w:val="00B26B62"/>
    <w:rsid w:val="00B27A54"/>
    <w:rsid w:val="00B27D95"/>
    <w:rsid w:val="00B30783"/>
    <w:rsid w:val="00B30BEF"/>
    <w:rsid w:val="00B30E2A"/>
    <w:rsid w:val="00B313DD"/>
    <w:rsid w:val="00B316B5"/>
    <w:rsid w:val="00B31B06"/>
    <w:rsid w:val="00B31B25"/>
    <w:rsid w:val="00B321A5"/>
    <w:rsid w:val="00B3227F"/>
    <w:rsid w:val="00B333FE"/>
    <w:rsid w:val="00B3350E"/>
    <w:rsid w:val="00B33683"/>
    <w:rsid w:val="00B349A6"/>
    <w:rsid w:val="00B34C79"/>
    <w:rsid w:val="00B34D38"/>
    <w:rsid w:val="00B34F27"/>
    <w:rsid w:val="00B352B9"/>
    <w:rsid w:val="00B3536C"/>
    <w:rsid w:val="00B35880"/>
    <w:rsid w:val="00B35E47"/>
    <w:rsid w:val="00B36974"/>
    <w:rsid w:val="00B36A82"/>
    <w:rsid w:val="00B36FDE"/>
    <w:rsid w:val="00B373C8"/>
    <w:rsid w:val="00B37671"/>
    <w:rsid w:val="00B37B4A"/>
    <w:rsid w:val="00B37ECC"/>
    <w:rsid w:val="00B403A7"/>
    <w:rsid w:val="00B41854"/>
    <w:rsid w:val="00B4193D"/>
    <w:rsid w:val="00B41E90"/>
    <w:rsid w:val="00B41F0F"/>
    <w:rsid w:val="00B42213"/>
    <w:rsid w:val="00B42560"/>
    <w:rsid w:val="00B43D1A"/>
    <w:rsid w:val="00B43F5A"/>
    <w:rsid w:val="00B4414B"/>
    <w:rsid w:val="00B44DB1"/>
    <w:rsid w:val="00B4500B"/>
    <w:rsid w:val="00B455AA"/>
    <w:rsid w:val="00B4574D"/>
    <w:rsid w:val="00B45778"/>
    <w:rsid w:val="00B457A1"/>
    <w:rsid w:val="00B458CE"/>
    <w:rsid w:val="00B45ED1"/>
    <w:rsid w:val="00B4630F"/>
    <w:rsid w:val="00B464B1"/>
    <w:rsid w:val="00B467BA"/>
    <w:rsid w:val="00B46A14"/>
    <w:rsid w:val="00B46AFF"/>
    <w:rsid w:val="00B47247"/>
    <w:rsid w:val="00B47444"/>
    <w:rsid w:val="00B47A4A"/>
    <w:rsid w:val="00B47B99"/>
    <w:rsid w:val="00B50272"/>
    <w:rsid w:val="00B506F2"/>
    <w:rsid w:val="00B510A1"/>
    <w:rsid w:val="00B510E3"/>
    <w:rsid w:val="00B51D7A"/>
    <w:rsid w:val="00B521AC"/>
    <w:rsid w:val="00B523F0"/>
    <w:rsid w:val="00B52702"/>
    <w:rsid w:val="00B53C36"/>
    <w:rsid w:val="00B53FA8"/>
    <w:rsid w:val="00B5498D"/>
    <w:rsid w:val="00B54A10"/>
    <w:rsid w:val="00B54CE8"/>
    <w:rsid w:val="00B54E16"/>
    <w:rsid w:val="00B5501D"/>
    <w:rsid w:val="00B5572A"/>
    <w:rsid w:val="00B5576D"/>
    <w:rsid w:val="00B56F3B"/>
    <w:rsid w:val="00B57A61"/>
    <w:rsid w:val="00B606CC"/>
    <w:rsid w:val="00B6099A"/>
    <w:rsid w:val="00B6151E"/>
    <w:rsid w:val="00B6165D"/>
    <w:rsid w:val="00B61689"/>
    <w:rsid w:val="00B616A9"/>
    <w:rsid w:val="00B6270A"/>
    <w:rsid w:val="00B63268"/>
    <w:rsid w:val="00B63299"/>
    <w:rsid w:val="00B636AA"/>
    <w:rsid w:val="00B644F9"/>
    <w:rsid w:val="00B64962"/>
    <w:rsid w:val="00B64992"/>
    <w:rsid w:val="00B64A4F"/>
    <w:rsid w:val="00B64BED"/>
    <w:rsid w:val="00B65B29"/>
    <w:rsid w:val="00B65C76"/>
    <w:rsid w:val="00B6612F"/>
    <w:rsid w:val="00B663C5"/>
    <w:rsid w:val="00B66538"/>
    <w:rsid w:val="00B66772"/>
    <w:rsid w:val="00B67354"/>
    <w:rsid w:val="00B676EC"/>
    <w:rsid w:val="00B677E0"/>
    <w:rsid w:val="00B6785B"/>
    <w:rsid w:val="00B7016C"/>
    <w:rsid w:val="00B70197"/>
    <w:rsid w:val="00B7039B"/>
    <w:rsid w:val="00B7056C"/>
    <w:rsid w:val="00B7057B"/>
    <w:rsid w:val="00B705E0"/>
    <w:rsid w:val="00B70B71"/>
    <w:rsid w:val="00B70C1A"/>
    <w:rsid w:val="00B70F40"/>
    <w:rsid w:val="00B7177F"/>
    <w:rsid w:val="00B71B04"/>
    <w:rsid w:val="00B72605"/>
    <w:rsid w:val="00B72E52"/>
    <w:rsid w:val="00B737F3"/>
    <w:rsid w:val="00B73AA1"/>
    <w:rsid w:val="00B742BC"/>
    <w:rsid w:val="00B74D1E"/>
    <w:rsid w:val="00B74DC7"/>
    <w:rsid w:val="00B754CA"/>
    <w:rsid w:val="00B75B06"/>
    <w:rsid w:val="00B75BF1"/>
    <w:rsid w:val="00B75F21"/>
    <w:rsid w:val="00B76A18"/>
    <w:rsid w:val="00B76E6C"/>
    <w:rsid w:val="00B772A6"/>
    <w:rsid w:val="00B7772E"/>
    <w:rsid w:val="00B77DB1"/>
    <w:rsid w:val="00B801E8"/>
    <w:rsid w:val="00B80EC8"/>
    <w:rsid w:val="00B814B0"/>
    <w:rsid w:val="00B81559"/>
    <w:rsid w:val="00B82718"/>
    <w:rsid w:val="00B829B5"/>
    <w:rsid w:val="00B82A9C"/>
    <w:rsid w:val="00B838C3"/>
    <w:rsid w:val="00B84142"/>
    <w:rsid w:val="00B84C6C"/>
    <w:rsid w:val="00B85BC7"/>
    <w:rsid w:val="00B8756E"/>
    <w:rsid w:val="00B90193"/>
    <w:rsid w:val="00B905EE"/>
    <w:rsid w:val="00B91399"/>
    <w:rsid w:val="00B92687"/>
    <w:rsid w:val="00B92CF5"/>
    <w:rsid w:val="00B9320D"/>
    <w:rsid w:val="00B933BC"/>
    <w:rsid w:val="00B93684"/>
    <w:rsid w:val="00B93CCC"/>
    <w:rsid w:val="00B93E71"/>
    <w:rsid w:val="00B94248"/>
    <w:rsid w:val="00B9425C"/>
    <w:rsid w:val="00B942A1"/>
    <w:rsid w:val="00B944E9"/>
    <w:rsid w:val="00B94B4F"/>
    <w:rsid w:val="00B95103"/>
    <w:rsid w:val="00B9565B"/>
    <w:rsid w:val="00B958DC"/>
    <w:rsid w:val="00B96A90"/>
    <w:rsid w:val="00B96E5A"/>
    <w:rsid w:val="00B971AA"/>
    <w:rsid w:val="00B974B7"/>
    <w:rsid w:val="00B976F6"/>
    <w:rsid w:val="00B979D5"/>
    <w:rsid w:val="00BA0F70"/>
    <w:rsid w:val="00BA28EA"/>
    <w:rsid w:val="00BA2B03"/>
    <w:rsid w:val="00BA3B5A"/>
    <w:rsid w:val="00BA3B89"/>
    <w:rsid w:val="00BA3F30"/>
    <w:rsid w:val="00BA4D3D"/>
    <w:rsid w:val="00BA5911"/>
    <w:rsid w:val="00BA5C1E"/>
    <w:rsid w:val="00BA5F41"/>
    <w:rsid w:val="00BA5F8D"/>
    <w:rsid w:val="00BA6442"/>
    <w:rsid w:val="00BA6AE7"/>
    <w:rsid w:val="00BA6AF4"/>
    <w:rsid w:val="00BA7385"/>
    <w:rsid w:val="00BB0584"/>
    <w:rsid w:val="00BB0747"/>
    <w:rsid w:val="00BB1362"/>
    <w:rsid w:val="00BB1700"/>
    <w:rsid w:val="00BB187C"/>
    <w:rsid w:val="00BB1E1D"/>
    <w:rsid w:val="00BB2035"/>
    <w:rsid w:val="00BB296B"/>
    <w:rsid w:val="00BB2A9C"/>
    <w:rsid w:val="00BB320D"/>
    <w:rsid w:val="00BB345A"/>
    <w:rsid w:val="00BB3622"/>
    <w:rsid w:val="00BB3F19"/>
    <w:rsid w:val="00BB3F45"/>
    <w:rsid w:val="00BB4214"/>
    <w:rsid w:val="00BB4D77"/>
    <w:rsid w:val="00BB5A07"/>
    <w:rsid w:val="00BB5BDD"/>
    <w:rsid w:val="00BB5C9C"/>
    <w:rsid w:val="00BB682C"/>
    <w:rsid w:val="00BB6AB6"/>
    <w:rsid w:val="00BB6B20"/>
    <w:rsid w:val="00BB7CA9"/>
    <w:rsid w:val="00BC0396"/>
    <w:rsid w:val="00BC0584"/>
    <w:rsid w:val="00BC0DA3"/>
    <w:rsid w:val="00BC230D"/>
    <w:rsid w:val="00BC236B"/>
    <w:rsid w:val="00BC2BB4"/>
    <w:rsid w:val="00BC409C"/>
    <w:rsid w:val="00BC47A4"/>
    <w:rsid w:val="00BC4EE0"/>
    <w:rsid w:val="00BC5C9B"/>
    <w:rsid w:val="00BC65D9"/>
    <w:rsid w:val="00BC7C52"/>
    <w:rsid w:val="00BC7E36"/>
    <w:rsid w:val="00BD0322"/>
    <w:rsid w:val="00BD0CF6"/>
    <w:rsid w:val="00BD1471"/>
    <w:rsid w:val="00BD14C5"/>
    <w:rsid w:val="00BD18C6"/>
    <w:rsid w:val="00BD196A"/>
    <w:rsid w:val="00BD2081"/>
    <w:rsid w:val="00BD2311"/>
    <w:rsid w:val="00BD248F"/>
    <w:rsid w:val="00BD2B9C"/>
    <w:rsid w:val="00BD2E73"/>
    <w:rsid w:val="00BD33A3"/>
    <w:rsid w:val="00BD4236"/>
    <w:rsid w:val="00BD4AE0"/>
    <w:rsid w:val="00BD51CA"/>
    <w:rsid w:val="00BD6262"/>
    <w:rsid w:val="00BD65A5"/>
    <w:rsid w:val="00BD6BFE"/>
    <w:rsid w:val="00BD6D18"/>
    <w:rsid w:val="00BD7677"/>
    <w:rsid w:val="00BD7A3D"/>
    <w:rsid w:val="00BD7C5E"/>
    <w:rsid w:val="00BD7EED"/>
    <w:rsid w:val="00BE0A35"/>
    <w:rsid w:val="00BE0AFC"/>
    <w:rsid w:val="00BE179C"/>
    <w:rsid w:val="00BE19C0"/>
    <w:rsid w:val="00BE1C17"/>
    <w:rsid w:val="00BE257F"/>
    <w:rsid w:val="00BE26DC"/>
    <w:rsid w:val="00BE2AB7"/>
    <w:rsid w:val="00BE4C48"/>
    <w:rsid w:val="00BE4F29"/>
    <w:rsid w:val="00BE501B"/>
    <w:rsid w:val="00BE61C1"/>
    <w:rsid w:val="00BE64AF"/>
    <w:rsid w:val="00BE6717"/>
    <w:rsid w:val="00BE67AB"/>
    <w:rsid w:val="00BE6C99"/>
    <w:rsid w:val="00BE71A6"/>
    <w:rsid w:val="00BE72EB"/>
    <w:rsid w:val="00BE7864"/>
    <w:rsid w:val="00BE7E3D"/>
    <w:rsid w:val="00BF0381"/>
    <w:rsid w:val="00BF0701"/>
    <w:rsid w:val="00BF211F"/>
    <w:rsid w:val="00BF3414"/>
    <w:rsid w:val="00BF3AB8"/>
    <w:rsid w:val="00BF445B"/>
    <w:rsid w:val="00BF446E"/>
    <w:rsid w:val="00BF5EC2"/>
    <w:rsid w:val="00BF62F0"/>
    <w:rsid w:val="00BF6635"/>
    <w:rsid w:val="00BF6A4E"/>
    <w:rsid w:val="00BF6E7B"/>
    <w:rsid w:val="00BF7B59"/>
    <w:rsid w:val="00BF7C19"/>
    <w:rsid w:val="00BF7C37"/>
    <w:rsid w:val="00C0037D"/>
    <w:rsid w:val="00C01021"/>
    <w:rsid w:val="00C0141F"/>
    <w:rsid w:val="00C01665"/>
    <w:rsid w:val="00C0190E"/>
    <w:rsid w:val="00C03045"/>
    <w:rsid w:val="00C0318C"/>
    <w:rsid w:val="00C0364C"/>
    <w:rsid w:val="00C03D3B"/>
    <w:rsid w:val="00C04286"/>
    <w:rsid w:val="00C042E9"/>
    <w:rsid w:val="00C04721"/>
    <w:rsid w:val="00C048AF"/>
    <w:rsid w:val="00C04CD4"/>
    <w:rsid w:val="00C04EE3"/>
    <w:rsid w:val="00C05075"/>
    <w:rsid w:val="00C05323"/>
    <w:rsid w:val="00C054E7"/>
    <w:rsid w:val="00C05A29"/>
    <w:rsid w:val="00C05EE8"/>
    <w:rsid w:val="00C077E0"/>
    <w:rsid w:val="00C07BC2"/>
    <w:rsid w:val="00C07DE6"/>
    <w:rsid w:val="00C10C61"/>
    <w:rsid w:val="00C10D38"/>
    <w:rsid w:val="00C11573"/>
    <w:rsid w:val="00C13460"/>
    <w:rsid w:val="00C154B5"/>
    <w:rsid w:val="00C15A42"/>
    <w:rsid w:val="00C15ED0"/>
    <w:rsid w:val="00C16502"/>
    <w:rsid w:val="00C16E66"/>
    <w:rsid w:val="00C16EEB"/>
    <w:rsid w:val="00C175BD"/>
    <w:rsid w:val="00C17872"/>
    <w:rsid w:val="00C17A3C"/>
    <w:rsid w:val="00C205E9"/>
    <w:rsid w:val="00C20F39"/>
    <w:rsid w:val="00C212FC"/>
    <w:rsid w:val="00C2232F"/>
    <w:rsid w:val="00C22476"/>
    <w:rsid w:val="00C225F9"/>
    <w:rsid w:val="00C233AA"/>
    <w:rsid w:val="00C236F7"/>
    <w:rsid w:val="00C23F48"/>
    <w:rsid w:val="00C2403F"/>
    <w:rsid w:val="00C244A8"/>
    <w:rsid w:val="00C24752"/>
    <w:rsid w:val="00C24C61"/>
    <w:rsid w:val="00C250B9"/>
    <w:rsid w:val="00C262BD"/>
    <w:rsid w:val="00C263B8"/>
    <w:rsid w:val="00C26D8E"/>
    <w:rsid w:val="00C26EAE"/>
    <w:rsid w:val="00C27F04"/>
    <w:rsid w:val="00C30010"/>
    <w:rsid w:val="00C303BE"/>
    <w:rsid w:val="00C30E04"/>
    <w:rsid w:val="00C310C2"/>
    <w:rsid w:val="00C31254"/>
    <w:rsid w:val="00C313D2"/>
    <w:rsid w:val="00C31D2B"/>
    <w:rsid w:val="00C31E4C"/>
    <w:rsid w:val="00C31E96"/>
    <w:rsid w:val="00C3207A"/>
    <w:rsid w:val="00C3221A"/>
    <w:rsid w:val="00C33573"/>
    <w:rsid w:val="00C343B9"/>
    <w:rsid w:val="00C34E76"/>
    <w:rsid w:val="00C350C5"/>
    <w:rsid w:val="00C3604C"/>
    <w:rsid w:val="00C36525"/>
    <w:rsid w:val="00C36863"/>
    <w:rsid w:val="00C3692C"/>
    <w:rsid w:val="00C36EE7"/>
    <w:rsid w:val="00C37062"/>
    <w:rsid w:val="00C37825"/>
    <w:rsid w:val="00C378D5"/>
    <w:rsid w:val="00C40218"/>
    <w:rsid w:val="00C405F8"/>
    <w:rsid w:val="00C40942"/>
    <w:rsid w:val="00C40C78"/>
    <w:rsid w:val="00C40EB3"/>
    <w:rsid w:val="00C417F9"/>
    <w:rsid w:val="00C41BD9"/>
    <w:rsid w:val="00C4210A"/>
    <w:rsid w:val="00C42A9A"/>
    <w:rsid w:val="00C434FD"/>
    <w:rsid w:val="00C4350E"/>
    <w:rsid w:val="00C43612"/>
    <w:rsid w:val="00C44542"/>
    <w:rsid w:val="00C44BB4"/>
    <w:rsid w:val="00C44F8E"/>
    <w:rsid w:val="00C45405"/>
    <w:rsid w:val="00C4570A"/>
    <w:rsid w:val="00C4578C"/>
    <w:rsid w:val="00C45FD6"/>
    <w:rsid w:val="00C4618A"/>
    <w:rsid w:val="00C46660"/>
    <w:rsid w:val="00C46708"/>
    <w:rsid w:val="00C46B3C"/>
    <w:rsid w:val="00C46F61"/>
    <w:rsid w:val="00C4706D"/>
    <w:rsid w:val="00C4792E"/>
    <w:rsid w:val="00C47AC7"/>
    <w:rsid w:val="00C47C9E"/>
    <w:rsid w:val="00C502CC"/>
    <w:rsid w:val="00C50995"/>
    <w:rsid w:val="00C5192E"/>
    <w:rsid w:val="00C5263A"/>
    <w:rsid w:val="00C52D26"/>
    <w:rsid w:val="00C52DE6"/>
    <w:rsid w:val="00C54203"/>
    <w:rsid w:val="00C54775"/>
    <w:rsid w:val="00C54CF0"/>
    <w:rsid w:val="00C551F8"/>
    <w:rsid w:val="00C5565C"/>
    <w:rsid w:val="00C55913"/>
    <w:rsid w:val="00C55DB3"/>
    <w:rsid w:val="00C56234"/>
    <w:rsid w:val="00C56241"/>
    <w:rsid w:val="00C56338"/>
    <w:rsid w:val="00C56FD1"/>
    <w:rsid w:val="00C600FB"/>
    <w:rsid w:val="00C6016B"/>
    <w:rsid w:val="00C60999"/>
    <w:rsid w:val="00C60C36"/>
    <w:rsid w:val="00C61752"/>
    <w:rsid w:val="00C62A84"/>
    <w:rsid w:val="00C62ECE"/>
    <w:rsid w:val="00C62F4F"/>
    <w:rsid w:val="00C634A7"/>
    <w:rsid w:val="00C638D7"/>
    <w:rsid w:val="00C638DF"/>
    <w:rsid w:val="00C638F9"/>
    <w:rsid w:val="00C63F37"/>
    <w:rsid w:val="00C64720"/>
    <w:rsid w:val="00C64B6E"/>
    <w:rsid w:val="00C6517F"/>
    <w:rsid w:val="00C6578C"/>
    <w:rsid w:val="00C66379"/>
    <w:rsid w:val="00C66B2E"/>
    <w:rsid w:val="00C66FEF"/>
    <w:rsid w:val="00C67122"/>
    <w:rsid w:val="00C67BA6"/>
    <w:rsid w:val="00C70684"/>
    <w:rsid w:val="00C70DA3"/>
    <w:rsid w:val="00C71920"/>
    <w:rsid w:val="00C71F64"/>
    <w:rsid w:val="00C72A63"/>
    <w:rsid w:val="00C73BC9"/>
    <w:rsid w:val="00C73ECB"/>
    <w:rsid w:val="00C75521"/>
    <w:rsid w:val="00C75D97"/>
    <w:rsid w:val="00C75FC6"/>
    <w:rsid w:val="00C7659B"/>
    <w:rsid w:val="00C768E3"/>
    <w:rsid w:val="00C76A64"/>
    <w:rsid w:val="00C7719E"/>
    <w:rsid w:val="00C774E4"/>
    <w:rsid w:val="00C77761"/>
    <w:rsid w:val="00C77A70"/>
    <w:rsid w:val="00C77C85"/>
    <w:rsid w:val="00C80AE4"/>
    <w:rsid w:val="00C80DB3"/>
    <w:rsid w:val="00C80ED2"/>
    <w:rsid w:val="00C82302"/>
    <w:rsid w:val="00C8244C"/>
    <w:rsid w:val="00C84E04"/>
    <w:rsid w:val="00C857F1"/>
    <w:rsid w:val="00C85B64"/>
    <w:rsid w:val="00C869BC"/>
    <w:rsid w:val="00C86A35"/>
    <w:rsid w:val="00C871C4"/>
    <w:rsid w:val="00C873B8"/>
    <w:rsid w:val="00C878AD"/>
    <w:rsid w:val="00C87A2C"/>
    <w:rsid w:val="00C87FDF"/>
    <w:rsid w:val="00C90CC3"/>
    <w:rsid w:val="00C90D7F"/>
    <w:rsid w:val="00C9205A"/>
    <w:rsid w:val="00C92151"/>
    <w:rsid w:val="00C9289B"/>
    <w:rsid w:val="00C92E7E"/>
    <w:rsid w:val="00C92F28"/>
    <w:rsid w:val="00C930AF"/>
    <w:rsid w:val="00C944A8"/>
    <w:rsid w:val="00C9452C"/>
    <w:rsid w:val="00C9472A"/>
    <w:rsid w:val="00C9484F"/>
    <w:rsid w:val="00C9498A"/>
    <w:rsid w:val="00C94A2F"/>
    <w:rsid w:val="00C94D2E"/>
    <w:rsid w:val="00C950FE"/>
    <w:rsid w:val="00C961DF"/>
    <w:rsid w:val="00C96A4F"/>
    <w:rsid w:val="00C97301"/>
    <w:rsid w:val="00C9743B"/>
    <w:rsid w:val="00CA0199"/>
    <w:rsid w:val="00CA01DE"/>
    <w:rsid w:val="00CA05AB"/>
    <w:rsid w:val="00CA08DB"/>
    <w:rsid w:val="00CA0DA0"/>
    <w:rsid w:val="00CA1130"/>
    <w:rsid w:val="00CA1520"/>
    <w:rsid w:val="00CA1714"/>
    <w:rsid w:val="00CA1ED1"/>
    <w:rsid w:val="00CA24E4"/>
    <w:rsid w:val="00CA29A3"/>
    <w:rsid w:val="00CA2DFB"/>
    <w:rsid w:val="00CA415F"/>
    <w:rsid w:val="00CA44BE"/>
    <w:rsid w:val="00CA458F"/>
    <w:rsid w:val="00CA4629"/>
    <w:rsid w:val="00CA46CB"/>
    <w:rsid w:val="00CA48F2"/>
    <w:rsid w:val="00CA4D93"/>
    <w:rsid w:val="00CA4F92"/>
    <w:rsid w:val="00CA529D"/>
    <w:rsid w:val="00CA5EA7"/>
    <w:rsid w:val="00CA60BC"/>
    <w:rsid w:val="00CA622C"/>
    <w:rsid w:val="00CA6A6A"/>
    <w:rsid w:val="00CB026C"/>
    <w:rsid w:val="00CB053D"/>
    <w:rsid w:val="00CB0F21"/>
    <w:rsid w:val="00CB1460"/>
    <w:rsid w:val="00CB2828"/>
    <w:rsid w:val="00CB2B21"/>
    <w:rsid w:val="00CB2C14"/>
    <w:rsid w:val="00CB2DA1"/>
    <w:rsid w:val="00CB2E6A"/>
    <w:rsid w:val="00CB38EB"/>
    <w:rsid w:val="00CB3A90"/>
    <w:rsid w:val="00CB42E1"/>
    <w:rsid w:val="00CB4422"/>
    <w:rsid w:val="00CB458B"/>
    <w:rsid w:val="00CB4D37"/>
    <w:rsid w:val="00CB4F52"/>
    <w:rsid w:val="00CB5929"/>
    <w:rsid w:val="00CB5A49"/>
    <w:rsid w:val="00CB5C15"/>
    <w:rsid w:val="00CB678B"/>
    <w:rsid w:val="00CB759D"/>
    <w:rsid w:val="00CC03BC"/>
    <w:rsid w:val="00CC0D15"/>
    <w:rsid w:val="00CC1228"/>
    <w:rsid w:val="00CC175B"/>
    <w:rsid w:val="00CC1A21"/>
    <w:rsid w:val="00CC217E"/>
    <w:rsid w:val="00CC3954"/>
    <w:rsid w:val="00CC4E11"/>
    <w:rsid w:val="00CC4F9C"/>
    <w:rsid w:val="00CC50CA"/>
    <w:rsid w:val="00CC5474"/>
    <w:rsid w:val="00CC550E"/>
    <w:rsid w:val="00CC5DE7"/>
    <w:rsid w:val="00CC5F37"/>
    <w:rsid w:val="00CC6586"/>
    <w:rsid w:val="00CC66DE"/>
    <w:rsid w:val="00CC6E44"/>
    <w:rsid w:val="00CC7761"/>
    <w:rsid w:val="00CC7C0C"/>
    <w:rsid w:val="00CD05E7"/>
    <w:rsid w:val="00CD090F"/>
    <w:rsid w:val="00CD0A3D"/>
    <w:rsid w:val="00CD15A0"/>
    <w:rsid w:val="00CD29EC"/>
    <w:rsid w:val="00CD3470"/>
    <w:rsid w:val="00CD3979"/>
    <w:rsid w:val="00CD5062"/>
    <w:rsid w:val="00CD5694"/>
    <w:rsid w:val="00CD616C"/>
    <w:rsid w:val="00CD6196"/>
    <w:rsid w:val="00CD62D6"/>
    <w:rsid w:val="00CD6819"/>
    <w:rsid w:val="00CD6C8B"/>
    <w:rsid w:val="00CD6FFA"/>
    <w:rsid w:val="00CD7310"/>
    <w:rsid w:val="00CD75E3"/>
    <w:rsid w:val="00CD7F36"/>
    <w:rsid w:val="00CD7F84"/>
    <w:rsid w:val="00CE11A0"/>
    <w:rsid w:val="00CE1687"/>
    <w:rsid w:val="00CE1B33"/>
    <w:rsid w:val="00CE201F"/>
    <w:rsid w:val="00CE23F6"/>
    <w:rsid w:val="00CE2504"/>
    <w:rsid w:val="00CE2627"/>
    <w:rsid w:val="00CE2EB2"/>
    <w:rsid w:val="00CE34BF"/>
    <w:rsid w:val="00CE35C6"/>
    <w:rsid w:val="00CE3931"/>
    <w:rsid w:val="00CE3D04"/>
    <w:rsid w:val="00CE3FE0"/>
    <w:rsid w:val="00CE486A"/>
    <w:rsid w:val="00CE4D60"/>
    <w:rsid w:val="00CE4DCC"/>
    <w:rsid w:val="00CE525D"/>
    <w:rsid w:val="00CE529A"/>
    <w:rsid w:val="00CE5B39"/>
    <w:rsid w:val="00CE5C99"/>
    <w:rsid w:val="00CE6B25"/>
    <w:rsid w:val="00CE7C43"/>
    <w:rsid w:val="00CE7CF0"/>
    <w:rsid w:val="00CF03F4"/>
    <w:rsid w:val="00CF0B9E"/>
    <w:rsid w:val="00CF1524"/>
    <w:rsid w:val="00CF23EE"/>
    <w:rsid w:val="00CF25A9"/>
    <w:rsid w:val="00CF3521"/>
    <w:rsid w:val="00CF35DA"/>
    <w:rsid w:val="00CF3B6D"/>
    <w:rsid w:val="00CF3FEF"/>
    <w:rsid w:val="00CF41D3"/>
    <w:rsid w:val="00CF43C7"/>
    <w:rsid w:val="00CF51AC"/>
    <w:rsid w:val="00CF5F28"/>
    <w:rsid w:val="00CF60B2"/>
    <w:rsid w:val="00CF782B"/>
    <w:rsid w:val="00D0074E"/>
    <w:rsid w:val="00D0082B"/>
    <w:rsid w:val="00D012AB"/>
    <w:rsid w:val="00D015F2"/>
    <w:rsid w:val="00D016B7"/>
    <w:rsid w:val="00D021AA"/>
    <w:rsid w:val="00D02338"/>
    <w:rsid w:val="00D02530"/>
    <w:rsid w:val="00D02889"/>
    <w:rsid w:val="00D02FAD"/>
    <w:rsid w:val="00D037AB"/>
    <w:rsid w:val="00D041AF"/>
    <w:rsid w:val="00D05B87"/>
    <w:rsid w:val="00D05E11"/>
    <w:rsid w:val="00D05F93"/>
    <w:rsid w:val="00D060B9"/>
    <w:rsid w:val="00D0634B"/>
    <w:rsid w:val="00D06645"/>
    <w:rsid w:val="00D06990"/>
    <w:rsid w:val="00D07B50"/>
    <w:rsid w:val="00D07D50"/>
    <w:rsid w:val="00D1107F"/>
    <w:rsid w:val="00D11357"/>
    <w:rsid w:val="00D12466"/>
    <w:rsid w:val="00D12522"/>
    <w:rsid w:val="00D126F7"/>
    <w:rsid w:val="00D12732"/>
    <w:rsid w:val="00D127D7"/>
    <w:rsid w:val="00D129F5"/>
    <w:rsid w:val="00D12AA3"/>
    <w:rsid w:val="00D12ED9"/>
    <w:rsid w:val="00D141DD"/>
    <w:rsid w:val="00D14219"/>
    <w:rsid w:val="00D1494A"/>
    <w:rsid w:val="00D1564E"/>
    <w:rsid w:val="00D15663"/>
    <w:rsid w:val="00D16283"/>
    <w:rsid w:val="00D167AF"/>
    <w:rsid w:val="00D177BB"/>
    <w:rsid w:val="00D17FF4"/>
    <w:rsid w:val="00D202BE"/>
    <w:rsid w:val="00D202F1"/>
    <w:rsid w:val="00D207F6"/>
    <w:rsid w:val="00D210FB"/>
    <w:rsid w:val="00D21887"/>
    <w:rsid w:val="00D21BF1"/>
    <w:rsid w:val="00D239FD"/>
    <w:rsid w:val="00D246F4"/>
    <w:rsid w:val="00D258DA"/>
    <w:rsid w:val="00D2629F"/>
    <w:rsid w:val="00D266DE"/>
    <w:rsid w:val="00D267F7"/>
    <w:rsid w:val="00D268F5"/>
    <w:rsid w:val="00D27359"/>
    <w:rsid w:val="00D27924"/>
    <w:rsid w:val="00D30843"/>
    <w:rsid w:val="00D30D43"/>
    <w:rsid w:val="00D3144E"/>
    <w:rsid w:val="00D31689"/>
    <w:rsid w:val="00D31842"/>
    <w:rsid w:val="00D31A71"/>
    <w:rsid w:val="00D31E83"/>
    <w:rsid w:val="00D325D3"/>
    <w:rsid w:val="00D326BD"/>
    <w:rsid w:val="00D326F5"/>
    <w:rsid w:val="00D32A80"/>
    <w:rsid w:val="00D32B3D"/>
    <w:rsid w:val="00D33CAE"/>
    <w:rsid w:val="00D34167"/>
    <w:rsid w:val="00D34583"/>
    <w:rsid w:val="00D346ED"/>
    <w:rsid w:val="00D355E8"/>
    <w:rsid w:val="00D3578A"/>
    <w:rsid w:val="00D35968"/>
    <w:rsid w:val="00D35E05"/>
    <w:rsid w:val="00D361F3"/>
    <w:rsid w:val="00D36700"/>
    <w:rsid w:val="00D3679F"/>
    <w:rsid w:val="00D37E96"/>
    <w:rsid w:val="00D4042C"/>
    <w:rsid w:val="00D41C2F"/>
    <w:rsid w:val="00D41E9E"/>
    <w:rsid w:val="00D42A1F"/>
    <w:rsid w:val="00D43D86"/>
    <w:rsid w:val="00D43DD6"/>
    <w:rsid w:val="00D440E9"/>
    <w:rsid w:val="00D44996"/>
    <w:rsid w:val="00D4524D"/>
    <w:rsid w:val="00D454EC"/>
    <w:rsid w:val="00D459BB"/>
    <w:rsid w:val="00D4672C"/>
    <w:rsid w:val="00D47511"/>
    <w:rsid w:val="00D478FB"/>
    <w:rsid w:val="00D5046F"/>
    <w:rsid w:val="00D5086B"/>
    <w:rsid w:val="00D50BCD"/>
    <w:rsid w:val="00D51C2C"/>
    <w:rsid w:val="00D51CDB"/>
    <w:rsid w:val="00D525EE"/>
    <w:rsid w:val="00D5270A"/>
    <w:rsid w:val="00D52EC6"/>
    <w:rsid w:val="00D533BF"/>
    <w:rsid w:val="00D53A5F"/>
    <w:rsid w:val="00D54396"/>
    <w:rsid w:val="00D550E8"/>
    <w:rsid w:val="00D555FC"/>
    <w:rsid w:val="00D55A36"/>
    <w:rsid w:val="00D5689A"/>
    <w:rsid w:val="00D56A50"/>
    <w:rsid w:val="00D56ABD"/>
    <w:rsid w:val="00D56B4E"/>
    <w:rsid w:val="00D56B7B"/>
    <w:rsid w:val="00D56C63"/>
    <w:rsid w:val="00D57072"/>
    <w:rsid w:val="00D57114"/>
    <w:rsid w:val="00D57493"/>
    <w:rsid w:val="00D57B4F"/>
    <w:rsid w:val="00D57BBD"/>
    <w:rsid w:val="00D57C5C"/>
    <w:rsid w:val="00D60088"/>
    <w:rsid w:val="00D60AD6"/>
    <w:rsid w:val="00D60D53"/>
    <w:rsid w:val="00D61249"/>
    <w:rsid w:val="00D61434"/>
    <w:rsid w:val="00D61AE5"/>
    <w:rsid w:val="00D63CA3"/>
    <w:rsid w:val="00D6422F"/>
    <w:rsid w:val="00D64450"/>
    <w:rsid w:val="00D6446A"/>
    <w:rsid w:val="00D64636"/>
    <w:rsid w:val="00D64CFA"/>
    <w:rsid w:val="00D65B4A"/>
    <w:rsid w:val="00D65C00"/>
    <w:rsid w:val="00D66545"/>
    <w:rsid w:val="00D668E4"/>
    <w:rsid w:val="00D66DBA"/>
    <w:rsid w:val="00D6733B"/>
    <w:rsid w:val="00D67466"/>
    <w:rsid w:val="00D676D0"/>
    <w:rsid w:val="00D7047B"/>
    <w:rsid w:val="00D70735"/>
    <w:rsid w:val="00D71A27"/>
    <w:rsid w:val="00D729A9"/>
    <w:rsid w:val="00D72B95"/>
    <w:rsid w:val="00D73632"/>
    <w:rsid w:val="00D741F4"/>
    <w:rsid w:val="00D74628"/>
    <w:rsid w:val="00D749FE"/>
    <w:rsid w:val="00D74B15"/>
    <w:rsid w:val="00D74FEC"/>
    <w:rsid w:val="00D75143"/>
    <w:rsid w:val="00D75505"/>
    <w:rsid w:val="00D75649"/>
    <w:rsid w:val="00D75670"/>
    <w:rsid w:val="00D76531"/>
    <w:rsid w:val="00D76695"/>
    <w:rsid w:val="00D76B6C"/>
    <w:rsid w:val="00D77016"/>
    <w:rsid w:val="00D77AEB"/>
    <w:rsid w:val="00D77D7F"/>
    <w:rsid w:val="00D77DAB"/>
    <w:rsid w:val="00D8037D"/>
    <w:rsid w:val="00D80998"/>
    <w:rsid w:val="00D80B25"/>
    <w:rsid w:val="00D810AF"/>
    <w:rsid w:val="00D8228F"/>
    <w:rsid w:val="00D825DB"/>
    <w:rsid w:val="00D82DFF"/>
    <w:rsid w:val="00D82E21"/>
    <w:rsid w:val="00D83316"/>
    <w:rsid w:val="00D83355"/>
    <w:rsid w:val="00D8360A"/>
    <w:rsid w:val="00D83CB1"/>
    <w:rsid w:val="00D84232"/>
    <w:rsid w:val="00D84387"/>
    <w:rsid w:val="00D84609"/>
    <w:rsid w:val="00D84E53"/>
    <w:rsid w:val="00D85AB1"/>
    <w:rsid w:val="00D85D50"/>
    <w:rsid w:val="00D86124"/>
    <w:rsid w:val="00D862DA"/>
    <w:rsid w:val="00D8640C"/>
    <w:rsid w:val="00D86456"/>
    <w:rsid w:val="00D8678A"/>
    <w:rsid w:val="00D870BD"/>
    <w:rsid w:val="00D87DDF"/>
    <w:rsid w:val="00D900A8"/>
    <w:rsid w:val="00D90469"/>
    <w:rsid w:val="00D90ED8"/>
    <w:rsid w:val="00D91E7C"/>
    <w:rsid w:val="00D92209"/>
    <w:rsid w:val="00D928F9"/>
    <w:rsid w:val="00D92CEB"/>
    <w:rsid w:val="00D931DD"/>
    <w:rsid w:val="00D93626"/>
    <w:rsid w:val="00D936C9"/>
    <w:rsid w:val="00D93F34"/>
    <w:rsid w:val="00D94283"/>
    <w:rsid w:val="00D94D15"/>
    <w:rsid w:val="00D95317"/>
    <w:rsid w:val="00D95F0F"/>
    <w:rsid w:val="00D95F59"/>
    <w:rsid w:val="00D962A4"/>
    <w:rsid w:val="00D96C8D"/>
    <w:rsid w:val="00D97D55"/>
    <w:rsid w:val="00DA044E"/>
    <w:rsid w:val="00DA0A0B"/>
    <w:rsid w:val="00DA0A1B"/>
    <w:rsid w:val="00DA1494"/>
    <w:rsid w:val="00DA2579"/>
    <w:rsid w:val="00DA25E1"/>
    <w:rsid w:val="00DA3732"/>
    <w:rsid w:val="00DA3B2B"/>
    <w:rsid w:val="00DA3D7B"/>
    <w:rsid w:val="00DA4CF9"/>
    <w:rsid w:val="00DA5231"/>
    <w:rsid w:val="00DA56B7"/>
    <w:rsid w:val="00DA6006"/>
    <w:rsid w:val="00DA6196"/>
    <w:rsid w:val="00DA6721"/>
    <w:rsid w:val="00DA68F1"/>
    <w:rsid w:val="00DA6A56"/>
    <w:rsid w:val="00DA7189"/>
    <w:rsid w:val="00DA7370"/>
    <w:rsid w:val="00DB011F"/>
    <w:rsid w:val="00DB1190"/>
    <w:rsid w:val="00DB1B1F"/>
    <w:rsid w:val="00DB20A2"/>
    <w:rsid w:val="00DB2671"/>
    <w:rsid w:val="00DB26C0"/>
    <w:rsid w:val="00DB2A24"/>
    <w:rsid w:val="00DB2AF4"/>
    <w:rsid w:val="00DB31B1"/>
    <w:rsid w:val="00DB3F0A"/>
    <w:rsid w:val="00DB4594"/>
    <w:rsid w:val="00DB4AA3"/>
    <w:rsid w:val="00DB4FFB"/>
    <w:rsid w:val="00DB6610"/>
    <w:rsid w:val="00DB68FF"/>
    <w:rsid w:val="00DB7230"/>
    <w:rsid w:val="00DB734B"/>
    <w:rsid w:val="00DB747A"/>
    <w:rsid w:val="00DC1998"/>
    <w:rsid w:val="00DC1AA6"/>
    <w:rsid w:val="00DC29B3"/>
    <w:rsid w:val="00DC32BA"/>
    <w:rsid w:val="00DC53B7"/>
    <w:rsid w:val="00DC54CC"/>
    <w:rsid w:val="00DC55EB"/>
    <w:rsid w:val="00DC5A9A"/>
    <w:rsid w:val="00DC5BBB"/>
    <w:rsid w:val="00DC5CB2"/>
    <w:rsid w:val="00DC5FD8"/>
    <w:rsid w:val="00DC6C99"/>
    <w:rsid w:val="00DC7F8B"/>
    <w:rsid w:val="00DD1326"/>
    <w:rsid w:val="00DD175E"/>
    <w:rsid w:val="00DD1D6B"/>
    <w:rsid w:val="00DD2500"/>
    <w:rsid w:val="00DD2504"/>
    <w:rsid w:val="00DD2E07"/>
    <w:rsid w:val="00DD31F8"/>
    <w:rsid w:val="00DD5AA6"/>
    <w:rsid w:val="00DD6518"/>
    <w:rsid w:val="00DD6537"/>
    <w:rsid w:val="00DD6667"/>
    <w:rsid w:val="00DD6698"/>
    <w:rsid w:val="00DD6BC1"/>
    <w:rsid w:val="00DD734D"/>
    <w:rsid w:val="00DD74A2"/>
    <w:rsid w:val="00DD764D"/>
    <w:rsid w:val="00DD766F"/>
    <w:rsid w:val="00DD7F5B"/>
    <w:rsid w:val="00DE07A7"/>
    <w:rsid w:val="00DE0C13"/>
    <w:rsid w:val="00DE0F17"/>
    <w:rsid w:val="00DE16D1"/>
    <w:rsid w:val="00DE1BB9"/>
    <w:rsid w:val="00DE2681"/>
    <w:rsid w:val="00DE28EE"/>
    <w:rsid w:val="00DE2B32"/>
    <w:rsid w:val="00DE30D2"/>
    <w:rsid w:val="00DE37BD"/>
    <w:rsid w:val="00DE383B"/>
    <w:rsid w:val="00DE3B61"/>
    <w:rsid w:val="00DE3FC8"/>
    <w:rsid w:val="00DE47C5"/>
    <w:rsid w:val="00DE49BE"/>
    <w:rsid w:val="00DE4C06"/>
    <w:rsid w:val="00DE51FA"/>
    <w:rsid w:val="00DE55CB"/>
    <w:rsid w:val="00DE63AF"/>
    <w:rsid w:val="00DE6576"/>
    <w:rsid w:val="00DE69AE"/>
    <w:rsid w:val="00DE7DAC"/>
    <w:rsid w:val="00DE7F73"/>
    <w:rsid w:val="00DF0212"/>
    <w:rsid w:val="00DF08D7"/>
    <w:rsid w:val="00DF184C"/>
    <w:rsid w:val="00DF1D90"/>
    <w:rsid w:val="00DF24AA"/>
    <w:rsid w:val="00DF2B2A"/>
    <w:rsid w:val="00DF33D1"/>
    <w:rsid w:val="00DF3A71"/>
    <w:rsid w:val="00DF3B99"/>
    <w:rsid w:val="00DF4614"/>
    <w:rsid w:val="00DF59C3"/>
    <w:rsid w:val="00DF5AF2"/>
    <w:rsid w:val="00DF6573"/>
    <w:rsid w:val="00DF6D10"/>
    <w:rsid w:val="00DF6DD9"/>
    <w:rsid w:val="00DF713D"/>
    <w:rsid w:val="00DF739A"/>
    <w:rsid w:val="00DF7B25"/>
    <w:rsid w:val="00E00386"/>
    <w:rsid w:val="00E0084E"/>
    <w:rsid w:val="00E00B67"/>
    <w:rsid w:val="00E00EB6"/>
    <w:rsid w:val="00E0161E"/>
    <w:rsid w:val="00E01E25"/>
    <w:rsid w:val="00E02179"/>
    <w:rsid w:val="00E032F1"/>
    <w:rsid w:val="00E03433"/>
    <w:rsid w:val="00E03868"/>
    <w:rsid w:val="00E040A8"/>
    <w:rsid w:val="00E04230"/>
    <w:rsid w:val="00E04840"/>
    <w:rsid w:val="00E04889"/>
    <w:rsid w:val="00E05240"/>
    <w:rsid w:val="00E05C9A"/>
    <w:rsid w:val="00E05DC1"/>
    <w:rsid w:val="00E060F7"/>
    <w:rsid w:val="00E062B7"/>
    <w:rsid w:val="00E077B1"/>
    <w:rsid w:val="00E077ED"/>
    <w:rsid w:val="00E10935"/>
    <w:rsid w:val="00E10E7C"/>
    <w:rsid w:val="00E113C1"/>
    <w:rsid w:val="00E1152D"/>
    <w:rsid w:val="00E11938"/>
    <w:rsid w:val="00E11A31"/>
    <w:rsid w:val="00E11F71"/>
    <w:rsid w:val="00E11F83"/>
    <w:rsid w:val="00E13060"/>
    <w:rsid w:val="00E135A1"/>
    <w:rsid w:val="00E138A6"/>
    <w:rsid w:val="00E13CFA"/>
    <w:rsid w:val="00E13F13"/>
    <w:rsid w:val="00E1496E"/>
    <w:rsid w:val="00E156A4"/>
    <w:rsid w:val="00E15737"/>
    <w:rsid w:val="00E16EF1"/>
    <w:rsid w:val="00E16F5C"/>
    <w:rsid w:val="00E1749E"/>
    <w:rsid w:val="00E177A0"/>
    <w:rsid w:val="00E17835"/>
    <w:rsid w:val="00E17F63"/>
    <w:rsid w:val="00E2020E"/>
    <w:rsid w:val="00E206BE"/>
    <w:rsid w:val="00E20C4F"/>
    <w:rsid w:val="00E20E8D"/>
    <w:rsid w:val="00E21426"/>
    <w:rsid w:val="00E22679"/>
    <w:rsid w:val="00E23B90"/>
    <w:rsid w:val="00E24661"/>
    <w:rsid w:val="00E24665"/>
    <w:rsid w:val="00E24CA2"/>
    <w:rsid w:val="00E24D3A"/>
    <w:rsid w:val="00E25464"/>
    <w:rsid w:val="00E25E53"/>
    <w:rsid w:val="00E27378"/>
    <w:rsid w:val="00E3079B"/>
    <w:rsid w:val="00E31249"/>
    <w:rsid w:val="00E32946"/>
    <w:rsid w:val="00E33629"/>
    <w:rsid w:val="00E33FB5"/>
    <w:rsid w:val="00E344D7"/>
    <w:rsid w:val="00E3566D"/>
    <w:rsid w:val="00E36168"/>
    <w:rsid w:val="00E368C3"/>
    <w:rsid w:val="00E37396"/>
    <w:rsid w:val="00E37419"/>
    <w:rsid w:val="00E3764A"/>
    <w:rsid w:val="00E37DAC"/>
    <w:rsid w:val="00E40DD5"/>
    <w:rsid w:val="00E414D1"/>
    <w:rsid w:val="00E4246E"/>
    <w:rsid w:val="00E43378"/>
    <w:rsid w:val="00E434C2"/>
    <w:rsid w:val="00E438C1"/>
    <w:rsid w:val="00E43C06"/>
    <w:rsid w:val="00E43DC5"/>
    <w:rsid w:val="00E440C3"/>
    <w:rsid w:val="00E449B1"/>
    <w:rsid w:val="00E450A2"/>
    <w:rsid w:val="00E451DD"/>
    <w:rsid w:val="00E45524"/>
    <w:rsid w:val="00E45D24"/>
    <w:rsid w:val="00E45E08"/>
    <w:rsid w:val="00E46524"/>
    <w:rsid w:val="00E46D55"/>
    <w:rsid w:val="00E47B31"/>
    <w:rsid w:val="00E47EDE"/>
    <w:rsid w:val="00E501F7"/>
    <w:rsid w:val="00E507CB"/>
    <w:rsid w:val="00E5082D"/>
    <w:rsid w:val="00E50CD1"/>
    <w:rsid w:val="00E5124B"/>
    <w:rsid w:val="00E51B75"/>
    <w:rsid w:val="00E5224B"/>
    <w:rsid w:val="00E52326"/>
    <w:rsid w:val="00E5252A"/>
    <w:rsid w:val="00E526AF"/>
    <w:rsid w:val="00E5277B"/>
    <w:rsid w:val="00E52941"/>
    <w:rsid w:val="00E52C4C"/>
    <w:rsid w:val="00E52E42"/>
    <w:rsid w:val="00E53120"/>
    <w:rsid w:val="00E533C6"/>
    <w:rsid w:val="00E53435"/>
    <w:rsid w:val="00E542A8"/>
    <w:rsid w:val="00E545AF"/>
    <w:rsid w:val="00E54E6D"/>
    <w:rsid w:val="00E551DD"/>
    <w:rsid w:val="00E5656C"/>
    <w:rsid w:val="00E56EFB"/>
    <w:rsid w:val="00E57205"/>
    <w:rsid w:val="00E574A9"/>
    <w:rsid w:val="00E576D6"/>
    <w:rsid w:val="00E603B4"/>
    <w:rsid w:val="00E604A5"/>
    <w:rsid w:val="00E6059B"/>
    <w:rsid w:val="00E608BA"/>
    <w:rsid w:val="00E611B1"/>
    <w:rsid w:val="00E61355"/>
    <w:rsid w:val="00E613BC"/>
    <w:rsid w:val="00E616DB"/>
    <w:rsid w:val="00E61758"/>
    <w:rsid w:val="00E61852"/>
    <w:rsid w:val="00E618BC"/>
    <w:rsid w:val="00E61A07"/>
    <w:rsid w:val="00E61DEE"/>
    <w:rsid w:val="00E61DFE"/>
    <w:rsid w:val="00E61F1E"/>
    <w:rsid w:val="00E624F2"/>
    <w:rsid w:val="00E62657"/>
    <w:rsid w:val="00E62B0C"/>
    <w:rsid w:val="00E62BD1"/>
    <w:rsid w:val="00E631BE"/>
    <w:rsid w:val="00E63DE9"/>
    <w:rsid w:val="00E6520C"/>
    <w:rsid w:val="00E65A6F"/>
    <w:rsid w:val="00E65D73"/>
    <w:rsid w:val="00E65DFB"/>
    <w:rsid w:val="00E6640E"/>
    <w:rsid w:val="00E66861"/>
    <w:rsid w:val="00E66E21"/>
    <w:rsid w:val="00E67063"/>
    <w:rsid w:val="00E67473"/>
    <w:rsid w:val="00E674AE"/>
    <w:rsid w:val="00E67659"/>
    <w:rsid w:val="00E70290"/>
    <w:rsid w:val="00E707FB"/>
    <w:rsid w:val="00E709C4"/>
    <w:rsid w:val="00E70B9F"/>
    <w:rsid w:val="00E70F38"/>
    <w:rsid w:val="00E710FC"/>
    <w:rsid w:val="00E712D8"/>
    <w:rsid w:val="00E71915"/>
    <w:rsid w:val="00E72509"/>
    <w:rsid w:val="00E72905"/>
    <w:rsid w:val="00E7350F"/>
    <w:rsid w:val="00E73CFD"/>
    <w:rsid w:val="00E74446"/>
    <w:rsid w:val="00E74966"/>
    <w:rsid w:val="00E74ADF"/>
    <w:rsid w:val="00E75459"/>
    <w:rsid w:val="00E756E5"/>
    <w:rsid w:val="00E75CF3"/>
    <w:rsid w:val="00E75D68"/>
    <w:rsid w:val="00E7623E"/>
    <w:rsid w:val="00E76F34"/>
    <w:rsid w:val="00E77145"/>
    <w:rsid w:val="00E77A3D"/>
    <w:rsid w:val="00E8038D"/>
    <w:rsid w:val="00E8054B"/>
    <w:rsid w:val="00E80916"/>
    <w:rsid w:val="00E80C0A"/>
    <w:rsid w:val="00E81877"/>
    <w:rsid w:val="00E8220E"/>
    <w:rsid w:val="00E8226B"/>
    <w:rsid w:val="00E82363"/>
    <w:rsid w:val="00E82698"/>
    <w:rsid w:val="00E828BA"/>
    <w:rsid w:val="00E83491"/>
    <w:rsid w:val="00E83E63"/>
    <w:rsid w:val="00E840DF"/>
    <w:rsid w:val="00E8444A"/>
    <w:rsid w:val="00E84501"/>
    <w:rsid w:val="00E8452A"/>
    <w:rsid w:val="00E84C51"/>
    <w:rsid w:val="00E8560F"/>
    <w:rsid w:val="00E86174"/>
    <w:rsid w:val="00E87097"/>
    <w:rsid w:val="00E8780A"/>
    <w:rsid w:val="00E902E5"/>
    <w:rsid w:val="00E908DE"/>
    <w:rsid w:val="00E90976"/>
    <w:rsid w:val="00E90E25"/>
    <w:rsid w:val="00E911B6"/>
    <w:rsid w:val="00E92898"/>
    <w:rsid w:val="00E92A4A"/>
    <w:rsid w:val="00E92BB5"/>
    <w:rsid w:val="00E931F3"/>
    <w:rsid w:val="00E93B73"/>
    <w:rsid w:val="00E9489C"/>
    <w:rsid w:val="00E95003"/>
    <w:rsid w:val="00E95303"/>
    <w:rsid w:val="00E957FC"/>
    <w:rsid w:val="00E95F29"/>
    <w:rsid w:val="00E960F2"/>
    <w:rsid w:val="00E96B1F"/>
    <w:rsid w:val="00E96B60"/>
    <w:rsid w:val="00E970A4"/>
    <w:rsid w:val="00E97682"/>
    <w:rsid w:val="00EA0054"/>
    <w:rsid w:val="00EA01D6"/>
    <w:rsid w:val="00EA0289"/>
    <w:rsid w:val="00EA0945"/>
    <w:rsid w:val="00EA1A33"/>
    <w:rsid w:val="00EA1BDE"/>
    <w:rsid w:val="00EA219A"/>
    <w:rsid w:val="00EA2967"/>
    <w:rsid w:val="00EA2AA7"/>
    <w:rsid w:val="00EA2B17"/>
    <w:rsid w:val="00EA3508"/>
    <w:rsid w:val="00EA35AC"/>
    <w:rsid w:val="00EA466A"/>
    <w:rsid w:val="00EA489D"/>
    <w:rsid w:val="00EA5264"/>
    <w:rsid w:val="00EA5AB5"/>
    <w:rsid w:val="00EA5C45"/>
    <w:rsid w:val="00EA6551"/>
    <w:rsid w:val="00EA7391"/>
    <w:rsid w:val="00EA75D1"/>
    <w:rsid w:val="00EA782A"/>
    <w:rsid w:val="00EA7A2F"/>
    <w:rsid w:val="00EA7C0D"/>
    <w:rsid w:val="00EB0186"/>
    <w:rsid w:val="00EB0B96"/>
    <w:rsid w:val="00EB0DC7"/>
    <w:rsid w:val="00EB0DE9"/>
    <w:rsid w:val="00EB0F43"/>
    <w:rsid w:val="00EB10E0"/>
    <w:rsid w:val="00EB11D1"/>
    <w:rsid w:val="00EB181B"/>
    <w:rsid w:val="00EB19F2"/>
    <w:rsid w:val="00EB1CA4"/>
    <w:rsid w:val="00EB22C2"/>
    <w:rsid w:val="00EB252B"/>
    <w:rsid w:val="00EB2600"/>
    <w:rsid w:val="00EB2DEA"/>
    <w:rsid w:val="00EB385F"/>
    <w:rsid w:val="00EB4732"/>
    <w:rsid w:val="00EB4942"/>
    <w:rsid w:val="00EB521E"/>
    <w:rsid w:val="00EB58F7"/>
    <w:rsid w:val="00EB5AC0"/>
    <w:rsid w:val="00EB5AF0"/>
    <w:rsid w:val="00EB63DC"/>
    <w:rsid w:val="00EB7DB9"/>
    <w:rsid w:val="00EC0960"/>
    <w:rsid w:val="00EC10FE"/>
    <w:rsid w:val="00EC1EE9"/>
    <w:rsid w:val="00EC2DC0"/>
    <w:rsid w:val="00EC2ED1"/>
    <w:rsid w:val="00EC33A9"/>
    <w:rsid w:val="00EC341C"/>
    <w:rsid w:val="00EC3772"/>
    <w:rsid w:val="00EC3B60"/>
    <w:rsid w:val="00EC55A7"/>
    <w:rsid w:val="00EC57A3"/>
    <w:rsid w:val="00EC5CAF"/>
    <w:rsid w:val="00EC62E4"/>
    <w:rsid w:val="00EC6373"/>
    <w:rsid w:val="00EC6397"/>
    <w:rsid w:val="00EC6978"/>
    <w:rsid w:val="00EC7664"/>
    <w:rsid w:val="00EC7714"/>
    <w:rsid w:val="00EC7DA9"/>
    <w:rsid w:val="00ED0198"/>
    <w:rsid w:val="00ED01EE"/>
    <w:rsid w:val="00ED1657"/>
    <w:rsid w:val="00ED176A"/>
    <w:rsid w:val="00ED351E"/>
    <w:rsid w:val="00ED5299"/>
    <w:rsid w:val="00ED5637"/>
    <w:rsid w:val="00ED5A2A"/>
    <w:rsid w:val="00ED5B34"/>
    <w:rsid w:val="00ED6618"/>
    <w:rsid w:val="00ED6BB2"/>
    <w:rsid w:val="00ED7307"/>
    <w:rsid w:val="00ED749B"/>
    <w:rsid w:val="00ED75A0"/>
    <w:rsid w:val="00ED787C"/>
    <w:rsid w:val="00ED7BD4"/>
    <w:rsid w:val="00EE0D1D"/>
    <w:rsid w:val="00EE1288"/>
    <w:rsid w:val="00EE13D6"/>
    <w:rsid w:val="00EE14CA"/>
    <w:rsid w:val="00EE23B4"/>
    <w:rsid w:val="00EE2A61"/>
    <w:rsid w:val="00EE2F1D"/>
    <w:rsid w:val="00EE328F"/>
    <w:rsid w:val="00EE3350"/>
    <w:rsid w:val="00EE3864"/>
    <w:rsid w:val="00EE46B7"/>
    <w:rsid w:val="00EE4FB2"/>
    <w:rsid w:val="00EE500A"/>
    <w:rsid w:val="00EE69AB"/>
    <w:rsid w:val="00EE6DCD"/>
    <w:rsid w:val="00EE71C9"/>
    <w:rsid w:val="00EF22D4"/>
    <w:rsid w:val="00EF230D"/>
    <w:rsid w:val="00EF352D"/>
    <w:rsid w:val="00EF35FC"/>
    <w:rsid w:val="00EF3AB9"/>
    <w:rsid w:val="00EF40F8"/>
    <w:rsid w:val="00EF4AEE"/>
    <w:rsid w:val="00EF5286"/>
    <w:rsid w:val="00EF598D"/>
    <w:rsid w:val="00EF599D"/>
    <w:rsid w:val="00EF5F07"/>
    <w:rsid w:val="00EF6D3A"/>
    <w:rsid w:val="00EF6E41"/>
    <w:rsid w:val="00EF7BD6"/>
    <w:rsid w:val="00F00D02"/>
    <w:rsid w:val="00F02280"/>
    <w:rsid w:val="00F0271A"/>
    <w:rsid w:val="00F028EF"/>
    <w:rsid w:val="00F03261"/>
    <w:rsid w:val="00F03BF4"/>
    <w:rsid w:val="00F03F3B"/>
    <w:rsid w:val="00F043C6"/>
    <w:rsid w:val="00F051DC"/>
    <w:rsid w:val="00F0597E"/>
    <w:rsid w:val="00F06673"/>
    <w:rsid w:val="00F067DF"/>
    <w:rsid w:val="00F06CE6"/>
    <w:rsid w:val="00F07468"/>
    <w:rsid w:val="00F102AF"/>
    <w:rsid w:val="00F11CE2"/>
    <w:rsid w:val="00F11DDC"/>
    <w:rsid w:val="00F11F4E"/>
    <w:rsid w:val="00F12512"/>
    <w:rsid w:val="00F128BF"/>
    <w:rsid w:val="00F12CFA"/>
    <w:rsid w:val="00F12DA9"/>
    <w:rsid w:val="00F1302B"/>
    <w:rsid w:val="00F1357D"/>
    <w:rsid w:val="00F13B40"/>
    <w:rsid w:val="00F13F76"/>
    <w:rsid w:val="00F153C1"/>
    <w:rsid w:val="00F15520"/>
    <w:rsid w:val="00F15E9F"/>
    <w:rsid w:val="00F16933"/>
    <w:rsid w:val="00F16BF9"/>
    <w:rsid w:val="00F17169"/>
    <w:rsid w:val="00F17A57"/>
    <w:rsid w:val="00F200C7"/>
    <w:rsid w:val="00F2047A"/>
    <w:rsid w:val="00F208BE"/>
    <w:rsid w:val="00F20BF2"/>
    <w:rsid w:val="00F213D1"/>
    <w:rsid w:val="00F2176B"/>
    <w:rsid w:val="00F217E8"/>
    <w:rsid w:val="00F21AC5"/>
    <w:rsid w:val="00F21F87"/>
    <w:rsid w:val="00F2266E"/>
    <w:rsid w:val="00F227D6"/>
    <w:rsid w:val="00F22D82"/>
    <w:rsid w:val="00F22FE8"/>
    <w:rsid w:val="00F23059"/>
    <w:rsid w:val="00F23A8E"/>
    <w:rsid w:val="00F249DA"/>
    <w:rsid w:val="00F24A75"/>
    <w:rsid w:val="00F24AF0"/>
    <w:rsid w:val="00F25260"/>
    <w:rsid w:val="00F2527E"/>
    <w:rsid w:val="00F25BF8"/>
    <w:rsid w:val="00F25DA7"/>
    <w:rsid w:val="00F25EF1"/>
    <w:rsid w:val="00F26407"/>
    <w:rsid w:val="00F2663E"/>
    <w:rsid w:val="00F267AC"/>
    <w:rsid w:val="00F26D0B"/>
    <w:rsid w:val="00F26D40"/>
    <w:rsid w:val="00F3075C"/>
    <w:rsid w:val="00F30E42"/>
    <w:rsid w:val="00F31DC2"/>
    <w:rsid w:val="00F323A1"/>
    <w:rsid w:val="00F32C79"/>
    <w:rsid w:val="00F32EA6"/>
    <w:rsid w:val="00F33D60"/>
    <w:rsid w:val="00F340B6"/>
    <w:rsid w:val="00F34CE5"/>
    <w:rsid w:val="00F34E6F"/>
    <w:rsid w:val="00F34FB3"/>
    <w:rsid w:val="00F360AA"/>
    <w:rsid w:val="00F361B7"/>
    <w:rsid w:val="00F366FE"/>
    <w:rsid w:val="00F376E4"/>
    <w:rsid w:val="00F40878"/>
    <w:rsid w:val="00F40BAE"/>
    <w:rsid w:val="00F40D51"/>
    <w:rsid w:val="00F40D7B"/>
    <w:rsid w:val="00F420CF"/>
    <w:rsid w:val="00F426D2"/>
    <w:rsid w:val="00F4364C"/>
    <w:rsid w:val="00F455E3"/>
    <w:rsid w:val="00F46954"/>
    <w:rsid w:val="00F46E21"/>
    <w:rsid w:val="00F46FE1"/>
    <w:rsid w:val="00F4774B"/>
    <w:rsid w:val="00F478AC"/>
    <w:rsid w:val="00F50A0F"/>
    <w:rsid w:val="00F50AE3"/>
    <w:rsid w:val="00F51B45"/>
    <w:rsid w:val="00F52F93"/>
    <w:rsid w:val="00F531ED"/>
    <w:rsid w:val="00F53233"/>
    <w:rsid w:val="00F5399E"/>
    <w:rsid w:val="00F53A1A"/>
    <w:rsid w:val="00F53CC5"/>
    <w:rsid w:val="00F54608"/>
    <w:rsid w:val="00F547EE"/>
    <w:rsid w:val="00F54F28"/>
    <w:rsid w:val="00F54F93"/>
    <w:rsid w:val="00F552F2"/>
    <w:rsid w:val="00F55324"/>
    <w:rsid w:val="00F553A5"/>
    <w:rsid w:val="00F5583E"/>
    <w:rsid w:val="00F55E52"/>
    <w:rsid w:val="00F5691B"/>
    <w:rsid w:val="00F57A24"/>
    <w:rsid w:val="00F57BD0"/>
    <w:rsid w:val="00F57DE6"/>
    <w:rsid w:val="00F57EF0"/>
    <w:rsid w:val="00F60417"/>
    <w:rsid w:val="00F60BA0"/>
    <w:rsid w:val="00F60CE3"/>
    <w:rsid w:val="00F6112C"/>
    <w:rsid w:val="00F6208C"/>
    <w:rsid w:val="00F627E2"/>
    <w:rsid w:val="00F62983"/>
    <w:rsid w:val="00F62E72"/>
    <w:rsid w:val="00F62EB8"/>
    <w:rsid w:val="00F62EF7"/>
    <w:rsid w:val="00F63C85"/>
    <w:rsid w:val="00F6511C"/>
    <w:rsid w:val="00F653B7"/>
    <w:rsid w:val="00F65C72"/>
    <w:rsid w:val="00F66915"/>
    <w:rsid w:val="00F66D3C"/>
    <w:rsid w:val="00F66DFC"/>
    <w:rsid w:val="00F67C29"/>
    <w:rsid w:val="00F70C42"/>
    <w:rsid w:val="00F70F5B"/>
    <w:rsid w:val="00F71520"/>
    <w:rsid w:val="00F72699"/>
    <w:rsid w:val="00F72A0B"/>
    <w:rsid w:val="00F7355C"/>
    <w:rsid w:val="00F74B84"/>
    <w:rsid w:val="00F7590F"/>
    <w:rsid w:val="00F75D7D"/>
    <w:rsid w:val="00F75FE2"/>
    <w:rsid w:val="00F76716"/>
    <w:rsid w:val="00F7674E"/>
    <w:rsid w:val="00F77197"/>
    <w:rsid w:val="00F772CC"/>
    <w:rsid w:val="00F77CEB"/>
    <w:rsid w:val="00F77E37"/>
    <w:rsid w:val="00F8023F"/>
    <w:rsid w:val="00F813F4"/>
    <w:rsid w:val="00F81779"/>
    <w:rsid w:val="00F81A6C"/>
    <w:rsid w:val="00F81ADB"/>
    <w:rsid w:val="00F82129"/>
    <w:rsid w:val="00F821F4"/>
    <w:rsid w:val="00F82960"/>
    <w:rsid w:val="00F82F07"/>
    <w:rsid w:val="00F83B65"/>
    <w:rsid w:val="00F8454A"/>
    <w:rsid w:val="00F85126"/>
    <w:rsid w:val="00F8569E"/>
    <w:rsid w:val="00F8595C"/>
    <w:rsid w:val="00F85A14"/>
    <w:rsid w:val="00F85C34"/>
    <w:rsid w:val="00F85D95"/>
    <w:rsid w:val="00F87004"/>
    <w:rsid w:val="00F87116"/>
    <w:rsid w:val="00F87DBA"/>
    <w:rsid w:val="00F90020"/>
    <w:rsid w:val="00F90875"/>
    <w:rsid w:val="00F90EB0"/>
    <w:rsid w:val="00F91031"/>
    <w:rsid w:val="00F9119C"/>
    <w:rsid w:val="00F913C6"/>
    <w:rsid w:val="00F9143A"/>
    <w:rsid w:val="00F91594"/>
    <w:rsid w:val="00F91648"/>
    <w:rsid w:val="00F91D42"/>
    <w:rsid w:val="00F920CD"/>
    <w:rsid w:val="00F92261"/>
    <w:rsid w:val="00F92270"/>
    <w:rsid w:val="00F92476"/>
    <w:rsid w:val="00F928F0"/>
    <w:rsid w:val="00F92DDF"/>
    <w:rsid w:val="00F9400A"/>
    <w:rsid w:val="00F9409D"/>
    <w:rsid w:val="00F94864"/>
    <w:rsid w:val="00F94AEB"/>
    <w:rsid w:val="00F94CEA"/>
    <w:rsid w:val="00F95578"/>
    <w:rsid w:val="00F956AB"/>
    <w:rsid w:val="00F95825"/>
    <w:rsid w:val="00F95BDD"/>
    <w:rsid w:val="00F963B4"/>
    <w:rsid w:val="00F96525"/>
    <w:rsid w:val="00F97458"/>
    <w:rsid w:val="00F978A8"/>
    <w:rsid w:val="00F97B85"/>
    <w:rsid w:val="00FA015D"/>
    <w:rsid w:val="00FA02EE"/>
    <w:rsid w:val="00FA0ED9"/>
    <w:rsid w:val="00FA1554"/>
    <w:rsid w:val="00FA2B22"/>
    <w:rsid w:val="00FA2FA5"/>
    <w:rsid w:val="00FA31A7"/>
    <w:rsid w:val="00FA33A6"/>
    <w:rsid w:val="00FA3DAD"/>
    <w:rsid w:val="00FA4F53"/>
    <w:rsid w:val="00FA5B76"/>
    <w:rsid w:val="00FA615B"/>
    <w:rsid w:val="00FA68F0"/>
    <w:rsid w:val="00FA6962"/>
    <w:rsid w:val="00FA7826"/>
    <w:rsid w:val="00FA7A9F"/>
    <w:rsid w:val="00FA7B80"/>
    <w:rsid w:val="00FA7F0A"/>
    <w:rsid w:val="00FB0B18"/>
    <w:rsid w:val="00FB0BC8"/>
    <w:rsid w:val="00FB0D24"/>
    <w:rsid w:val="00FB14A5"/>
    <w:rsid w:val="00FB18EA"/>
    <w:rsid w:val="00FB2662"/>
    <w:rsid w:val="00FB292F"/>
    <w:rsid w:val="00FB2ACA"/>
    <w:rsid w:val="00FB380D"/>
    <w:rsid w:val="00FB4127"/>
    <w:rsid w:val="00FB446F"/>
    <w:rsid w:val="00FB448E"/>
    <w:rsid w:val="00FB48B8"/>
    <w:rsid w:val="00FB5708"/>
    <w:rsid w:val="00FB5E48"/>
    <w:rsid w:val="00FB618F"/>
    <w:rsid w:val="00FB673E"/>
    <w:rsid w:val="00FB6C47"/>
    <w:rsid w:val="00FB753B"/>
    <w:rsid w:val="00FB7565"/>
    <w:rsid w:val="00FC04A5"/>
    <w:rsid w:val="00FC09D0"/>
    <w:rsid w:val="00FC1293"/>
    <w:rsid w:val="00FC1738"/>
    <w:rsid w:val="00FC1785"/>
    <w:rsid w:val="00FC208D"/>
    <w:rsid w:val="00FC25BC"/>
    <w:rsid w:val="00FC2EFF"/>
    <w:rsid w:val="00FC37F6"/>
    <w:rsid w:val="00FC3A25"/>
    <w:rsid w:val="00FC3BDB"/>
    <w:rsid w:val="00FC3D57"/>
    <w:rsid w:val="00FC3EB4"/>
    <w:rsid w:val="00FC4046"/>
    <w:rsid w:val="00FC47D0"/>
    <w:rsid w:val="00FC49FD"/>
    <w:rsid w:val="00FC51B8"/>
    <w:rsid w:val="00FC5730"/>
    <w:rsid w:val="00FC5D07"/>
    <w:rsid w:val="00FC5FD1"/>
    <w:rsid w:val="00FC5FEB"/>
    <w:rsid w:val="00FC6683"/>
    <w:rsid w:val="00FC6A1F"/>
    <w:rsid w:val="00FC6C2D"/>
    <w:rsid w:val="00FC7D74"/>
    <w:rsid w:val="00FD00DC"/>
    <w:rsid w:val="00FD04B3"/>
    <w:rsid w:val="00FD16AB"/>
    <w:rsid w:val="00FD21F9"/>
    <w:rsid w:val="00FD2862"/>
    <w:rsid w:val="00FD29A4"/>
    <w:rsid w:val="00FD2B3B"/>
    <w:rsid w:val="00FD2E3A"/>
    <w:rsid w:val="00FD32DD"/>
    <w:rsid w:val="00FD3304"/>
    <w:rsid w:val="00FD38DC"/>
    <w:rsid w:val="00FD3E8D"/>
    <w:rsid w:val="00FD500D"/>
    <w:rsid w:val="00FD50CF"/>
    <w:rsid w:val="00FD63B4"/>
    <w:rsid w:val="00FD640B"/>
    <w:rsid w:val="00FD6457"/>
    <w:rsid w:val="00FD7396"/>
    <w:rsid w:val="00FD7527"/>
    <w:rsid w:val="00FD755E"/>
    <w:rsid w:val="00FD77C7"/>
    <w:rsid w:val="00FD788A"/>
    <w:rsid w:val="00FD7CAC"/>
    <w:rsid w:val="00FD7CD3"/>
    <w:rsid w:val="00FD7CF5"/>
    <w:rsid w:val="00FE043E"/>
    <w:rsid w:val="00FE0464"/>
    <w:rsid w:val="00FE09BD"/>
    <w:rsid w:val="00FE121E"/>
    <w:rsid w:val="00FE1623"/>
    <w:rsid w:val="00FE191B"/>
    <w:rsid w:val="00FE2B9E"/>
    <w:rsid w:val="00FE360A"/>
    <w:rsid w:val="00FE39E5"/>
    <w:rsid w:val="00FE3C33"/>
    <w:rsid w:val="00FE3ED5"/>
    <w:rsid w:val="00FE410C"/>
    <w:rsid w:val="00FE44C5"/>
    <w:rsid w:val="00FE45D4"/>
    <w:rsid w:val="00FE4D79"/>
    <w:rsid w:val="00FE5918"/>
    <w:rsid w:val="00FE6520"/>
    <w:rsid w:val="00FE693E"/>
    <w:rsid w:val="00FE6E1E"/>
    <w:rsid w:val="00FE7219"/>
    <w:rsid w:val="00FE7AA4"/>
    <w:rsid w:val="00FF0003"/>
    <w:rsid w:val="00FF1021"/>
    <w:rsid w:val="00FF141F"/>
    <w:rsid w:val="00FF21B4"/>
    <w:rsid w:val="00FF2AB0"/>
    <w:rsid w:val="00FF2E09"/>
    <w:rsid w:val="00FF2E95"/>
    <w:rsid w:val="00FF3297"/>
    <w:rsid w:val="00FF406D"/>
    <w:rsid w:val="00FF43AF"/>
    <w:rsid w:val="00FF460E"/>
    <w:rsid w:val="00FF494E"/>
    <w:rsid w:val="00FF4D32"/>
    <w:rsid w:val="00FF51AE"/>
    <w:rsid w:val="00FF58B4"/>
    <w:rsid w:val="00FF5CE3"/>
    <w:rsid w:val="00FF61F0"/>
    <w:rsid w:val="00FF66F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6DE3F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Univers" w:eastAsia="Times New Roman" w:hAnsi="Univers" w:cs="Times New Roman"/>
        <w:sz w:val="26"/>
        <w:szCs w:val="26"/>
        <w:lang w:val="en-AU" w:eastAsia="en-AU" w:bidi="ar-SA"/>
      </w:rPr>
    </w:rPrDefault>
    <w:pPrDefault/>
  </w:docDefaults>
  <w:latentStyles w:defLockedState="1" w:defUIPriority="99" w:defSemiHidden="0" w:defUnhideWhenUsed="0" w:defQFormat="0" w:count="376">
    <w:lsdException w:name="Normal" w:locked="0" w:uiPriority="0" w:qFormat="1"/>
    <w:lsdException w:name="heading 1" w:uiPriority="9" w:qFormat="1"/>
    <w:lsdException w:name="heading 2" w:uiPriority="9" w:qFormat="1"/>
    <w:lsdException w:name="heading 3" w:uiPriority="9" w:qFormat="1"/>
    <w:lsdException w:name="heading 4" w:semiHidden="1" w:qFormat="1"/>
    <w:lsdException w:name="heading 5" w:semiHidden="1" w:qFormat="1"/>
    <w:lsdException w:name="heading 6" w:semiHidden="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57"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uiPriority="56"/>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55" w:qFormat="1"/>
    <w:lsdException w:name="Quote" w:semiHidden="1" w:qFormat="1"/>
    <w:lsdException w:name="Intense Quote"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qFormat="1"/>
    <w:lsdException w:name="Intense Emphasis" w:semiHidden="1" w:qFormat="1"/>
    <w:lsdException w:name="Subtle Reference" w:semiHidden="1" w:qFormat="1"/>
    <w:lsdException w:name="Intense Reference" w:semiHidden="1" w:qFormat="1"/>
    <w:lsdException w:name="Book Title" w:semiHidden="1" w:qFormat="1"/>
    <w:lsdException w:name="Bibliography" w:semiHidden="1" w:unhideWhenUsed="1"/>
    <w:lsdException w:name="TOC Heading" w:semiHidden="1"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uiPriority w:val="99"/>
    <w:semiHidden/>
    <w:qFormat/>
    <w:rsid w:val="001E47D1"/>
    <w:pPr>
      <w:tabs>
        <w:tab w:val="left" w:pos="720"/>
        <w:tab w:val="left" w:pos="1440"/>
        <w:tab w:val="left" w:pos="2160"/>
        <w:tab w:val="left" w:pos="2880"/>
        <w:tab w:val="left" w:pos="3600"/>
        <w:tab w:val="left" w:pos="4320"/>
        <w:tab w:val="left" w:pos="5040"/>
        <w:tab w:val="left" w:pos="5760"/>
        <w:tab w:val="left" w:pos="6480"/>
        <w:tab w:val="left" w:pos="7200"/>
      </w:tabs>
      <w:spacing w:line="480" w:lineRule="exact"/>
      <w:ind w:right="130" w:firstLine="720"/>
    </w:pPr>
  </w:style>
  <w:style w:type="paragraph" w:styleId="Heading1">
    <w:name w:val="heading 1"/>
    <w:basedOn w:val="Normal"/>
    <w:next w:val="Normal"/>
    <w:uiPriority w:val="99"/>
    <w:semiHidden/>
    <w:qFormat/>
    <w:locked/>
    <w:rsid w:val="00F75FE2"/>
    <w:pPr>
      <w:keepNext/>
      <w:numPr>
        <w:numId w:val="5"/>
      </w:numPr>
      <w:ind w:right="1296"/>
      <w:outlineLvl w:val="0"/>
    </w:pPr>
    <w:rPr>
      <w:u w:val="single"/>
    </w:rPr>
  </w:style>
  <w:style w:type="paragraph" w:styleId="Heading2">
    <w:name w:val="heading 2"/>
    <w:basedOn w:val="Normal"/>
    <w:next w:val="Normal"/>
    <w:uiPriority w:val="9"/>
    <w:qFormat/>
    <w:locked/>
    <w:rsid w:val="00F75FE2"/>
    <w:pPr>
      <w:keepNext/>
      <w:numPr>
        <w:ilvl w:val="1"/>
        <w:numId w:val="5"/>
      </w:numPr>
      <w:spacing w:before="240" w:after="60"/>
      <w:outlineLvl w:val="1"/>
    </w:pPr>
    <w:rPr>
      <w:rFonts w:ascii="Arial" w:hAnsi="Arial"/>
      <w:b/>
      <w:i/>
      <w:sz w:val="24"/>
    </w:rPr>
  </w:style>
  <w:style w:type="paragraph" w:styleId="Heading3">
    <w:name w:val="heading 3"/>
    <w:basedOn w:val="Normal"/>
    <w:next w:val="Normal"/>
    <w:uiPriority w:val="99"/>
    <w:qFormat/>
    <w:locked/>
    <w:rsid w:val="00F75FE2"/>
    <w:pPr>
      <w:keepNext/>
      <w:numPr>
        <w:ilvl w:val="2"/>
        <w:numId w:val="5"/>
      </w:numPr>
      <w:spacing w:before="240" w:after="60"/>
      <w:outlineLvl w:val="2"/>
    </w:pPr>
    <w:rPr>
      <w:rFonts w:ascii="Arial" w:hAnsi="Arial"/>
      <w:sz w:val="24"/>
    </w:rPr>
  </w:style>
  <w:style w:type="paragraph" w:styleId="Heading4">
    <w:name w:val="heading 4"/>
    <w:basedOn w:val="Heading3"/>
    <w:next w:val="Normal"/>
    <w:link w:val="Heading4Char"/>
    <w:uiPriority w:val="99"/>
    <w:unhideWhenUsed/>
    <w:qFormat/>
    <w:locked/>
    <w:rsid w:val="004D2653"/>
    <w:pPr>
      <w:numPr>
        <w:ilvl w:val="0"/>
        <w:numId w:val="0"/>
      </w:numPr>
      <w:tabs>
        <w:tab w:val="clear" w:pos="720"/>
        <w:tab w:val="clear" w:pos="1440"/>
        <w:tab w:val="clear" w:pos="2160"/>
        <w:tab w:val="clear" w:pos="2880"/>
        <w:tab w:val="clear" w:pos="3600"/>
        <w:tab w:val="clear" w:pos="4320"/>
        <w:tab w:val="clear" w:pos="5040"/>
        <w:tab w:val="clear" w:pos="5760"/>
        <w:tab w:val="clear" w:pos="6480"/>
        <w:tab w:val="clear" w:pos="7200"/>
      </w:tabs>
      <w:spacing w:before="120" w:after="120" w:line="240" w:lineRule="auto"/>
      <w:ind w:left="709" w:right="0"/>
      <w:outlineLvl w:val="3"/>
    </w:pPr>
    <w:rPr>
      <w:rFonts w:eastAsia="Calibri" w:cs="Arial"/>
      <w:b/>
      <w:i/>
      <w:sz w:val="22"/>
      <w:szCs w:val="22"/>
    </w:rPr>
  </w:style>
  <w:style w:type="paragraph" w:styleId="Heading5">
    <w:name w:val="heading 5"/>
    <w:basedOn w:val="Normal"/>
    <w:next w:val="Normal"/>
    <w:link w:val="Heading5Char"/>
    <w:uiPriority w:val="99"/>
    <w:semiHidden/>
    <w:qFormat/>
    <w:locked/>
    <w:rsid w:val="008352AC"/>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9"/>
    <w:semiHidden/>
    <w:qFormat/>
    <w:locked/>
    <w:rsid w:val="008352AC"/>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9"/>
    <w:semiHidden/>
    <w:unhideWhenUsed/>
    <w:qFormat/>
    <w:locked/>
    <w:rsid w:val="008352AC"/>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9"/>
    <w:semiHidden/>
    <w:unhideWhenUsed/>
    <w:qFormat/>
    <w:locked/>
    <w:rsid w:val="008352AC"/>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9"/>
    <w:semiHidden/>
    <w:unhideWhenUsed/>
    <w:qFormat/>
    <w:locked/>
    <w:rsid w:val="008352AC"/>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43"/>
    <w:locked/>
    <w:pPr>
      <w:tabs>
        <w:tab w:val="center" w:pos="4153"/>
        <w:tab w:val="right" w:pos="8306"/>
      </w:tabs>
      <w:spacing w:after="240" w:line="240" w:lineRule="exact"/>
      <w:ind w:firstLine="0"/>
    </w:pPr>
  </w:style>
  <w:style w:type="paragraph" w:customStyle="1" w:styleId="FootInd">
    <w:name w:val="FootInd"/>
    <w:basedOn w:val="FootnoteText"/>
    <w:uiPriority w:val="45"/>
    <w:qFormat/>
    <w:locked/>
    <w:rsid w:val="00570D24"/>
    <w:pPr>
      <w:tabs>
        <w:tab w:val="clear" w:pos="720"/>
        <w:tab w:val="clear" w:pos="1440"/>
        <w:tab w:val="clear" w:pos="2160"/>
        <w:tab w:val="clear" w:pos="2880"/>
        <w:tab w:val="clear" w:pos="3600"/>
        <w:tab w:val="clear" w:pos="4320"/>
        <w:tab w:val="clear" w:pos="5040"/>
        <w:tab w:val="clear" w:pos="5760"/>
        <w:tab w:val="clear" w:pos="6480"/>
        <w:tab w:val="clear" w:pos="7200"/>
      </w:tabs>
      <w:ind w:left="1440" w:right="1077" w:firstLine="0"/>
    </w:pPr>
  </w:style>
  <w:style w:type="paragraph" w:customStyle="1" w:styleId="leftright">
    <w:name w:val="leftright"/>
    <w:basedOn w:val="Normal"/>
    <w:uiPriority w:val="33"/>
    <w:qFormat/>
    <w:locked/>
    <w:rsid w:val="00B976F6"/>
    <w:pPr>
      <w:spacing w:before="240" w:line="240" w:lineRule="exact"/>
      <w:ind w:left="720" w:right="794" w:firstLine="0"/>
    </w:pPr>
  </w:style>
  <w:style w:type="paragraph" w:styleId="FootnoteText">
    <w:name w:val="footnote text"/>
    <w:basedOn w:val="Normal"/>
    <w:link w:val="FootnoteTextChar"/>
    <w:uiPriority w:val="53"/>
    <w:locked/>
    <w:pPr>
      <w:spacing w:after="240" w:line="240" w:lineRule="exact"/>
      <w:ind w:left="510" w:hanging="510"/>
    </w:pPr>
  </w:style>
  <w:style w:type="character" w:styleId="FootnoteReference">
    <w:name w:val="footnote reference"/>
    <w:uiPriority w:val="51"/>
    <w:locked/>
    <w:rsid w:val="00C40EB3"/>
    <w:rPr>
      <w:b/>
      <w:sz w:val="28"/>
      <w:vertAlign w:val="superscript"/>
    </w:rPr>
  </w:style>
  <w:style w:type="paragraph" w:customStyle="1" w:styleId="FootIndAgain">
    <w:name w:val="FootIndAgain"/>
    <w:basedOn w:val="FootnoteText"/>
    <w:uiPriority w:val="47"/>
    <w:qFormat/>
    <w:locked/>
    <w:rsid w:val="00570D24"/>
    <w:pPr>
      <w:tabs>
        <w:tab w:val="clear" w:pos="720"/>
        <w:tab w:val="clear" w:pos="1440"/>
        <w:tab w:val="clear" w:pos="2160"/>
        <w:tab w:val="clear" w:pos="2880"/>
        <w:tab w:val="clear" w:pos="3600"/>
        <w:tab w:val="clear" w:pos="4320"/>
        <w:tab w:val="clear" w:pos="5040"/>
        <w:tab w:val="clear" w:pos="5760"/>
        <w:tab w:val="clear" w:pos="6480"/>
        <w:tab w:val="clear" w:pos="7200"/>
      </w:tabs>
      <w:ind w:left="2160" w:right="1077" w:firstLine="0"/>
    </w:pPr>
  </w:style>
  <w:style w:type="paragraph" w:customStyle="1" w:styleId="FootNorm">
    <w:name w:val="FootNorm"/>
    <w:basedOn w:val="FootnoteText"/>
    <w:uiPriority w:val="49"/>
    <w:qFormat/>
    <w:locked/>
    <w:rsid w:val="00570D24"/>
    <w:pPr>
      <w:ind w:firstLine="0"/>
    </w:pPr>
  </w:style>
  <w:style w:type="character" w:customStyle="1" w:styleId="Heading1Char">
    <w:name w:val="Heading 1 Char"/>
    <w:uiPriority w:val="99"/>
    <w:semiHidden/>
    <w:locked/>
    <w:rPr>
      <w:rFonts w:ascii="Univers" w:hAnsi="Univers"/>
      <w:sz w:val="26"/>
      <w:u w:val="single"/>
      <w:lang w:val="en-AU"/>
    </w:rPr>
  </w:style>
  <w:style w:type="character" w:customStyle="1" w:styleId="Heading2Char">
    <w:name w:val="Heading 2 Char"/>
    <w:uiPriority w:val="9"/>
    <w:locked/>
    <w:rPr>
      <w:rFonts w:ascii="Arial" w:hAnsi="Arial"/>
      <w:b/>
      <w:i/>
      <w:sz w:val="24"/>
      <w:lang w:val="en-AU"/>
    </w:rPr>
  </w:style>
  <w:style w:type="character" w:customStyle="1" w:styleId="Heading3Char">
    <w:name w:val="Heading 3 Char"/>
    <w:uiPriority w:val="99"/>
    <w:locked/>
    <w:rPr>
      <w:rFonts w:ascii="Arial" w:hAnsi="Arial"/>
      <w:sz w:val="24"/>
      <w:lang w:val="en-AU"/>
    </w:rPr>
  </w:style>
  <w:style w:type="paragraph" w:customStyle="1" w:styleId="NormalHC">
    <w:name w:val="Normal HC"/>
    <w:basedOn w:val="Normal"/>
    <w:qFormat/>
    <w:locked/>
    <w:rsid w:val="006E359B"/>
    <w:pPr>
      <w:numPr>
        <w:numId w:val="16"/>
      </w:numPr>
      <w:spacing w:after="480"/>
      <w:ind w:left="0" w:hanging="720"/>
    </w:pPr>
  </w:style>
  <w:style w:type="paragraph" w:customStyle="1" w:styleId="HeadingFirst">
    <w:name w:val="Heading First"/>
    <w:basedOn w:val="NormalHC"/>
    <w:next w:val="HeadingV"/>
    <w:uiPriority w:val="15"/>
    <w:qFormat/>
    <w:locked/>
    <w:rsid w:val="005F3216"/>
    <w:pPr>
      <w:keepNext/>
      <w:numPr>
        <w:numId w:val="0"/>
      </w:numPr>
      <w:jc w:val="center"/>
      <w:outlineLvl w:val="1"/>
    </w:pPr>
    <w:rPr>
      <w:caps/>
      <w:u w:val="single"/>
    </w:rPr>
  </w:style>
  <w:style w:type="paragraph" w:customStyle="1" w:styleId="HeadingL1">
    <w:name w:val="Heading L1"/>
    <w:basedOn w:val="NormalHC"/>
    <w:next w:val="NormalHC"/>
    <w:uiPriority w:val="21"/>
    <w:qFormat/>
    <w:locked/>
    <w:rsid w:val="005F3216"/>
    <w:pPr>
      <w:keepNext/>
      <w:numPr>
        <w:numId w:val="0"/>
      </w:numPr>
      <w:outlineLvl w:val="2"/>
    </w:pPr>
    <w:rPr>
      <w:b/>
      <w:szCs w:val="20"/>
    </w:rPr>
  </w:style>
  <w:style w:type="paragraph" w:customStyle="1" w:styleId="HeadingL2">
    <w:name w:val="Heading L2"/>
    <w:basedOn w:val="HeadingL1"/>
    <w:next w:val="NormalHC"/>
    <w:uiPriority w:val="23"/>
    <w:qFormat/>
    <w:locked/>
    <w:rsid w:val="00745DD2"/>
    <w:pPr>
      <w:outlineLvl w:val="3"/>
    </w:pPr>
    <w:rPr>
      <w:b w:val="0"/>
      <w:i/>
    </w:rPr>
  </w:style>
  <w:style w:type="paragraph" w:customStyle="1" w:styleId="HeadingMatter">
    <w:name w:val="Heading Matter"/>
    <w:basedOn w:val="NormalHC"/>
    <w:next w:val="HeadingFirst"/>
    <w:uiPriority w:val="13"/>
    <w:qFormat/>
    <w:locked/>
    <w:rsid w:val="005F3216"/>
    <w:pPr>
      <w:keepNext/>
      <w:numPr>
        <w:numId w:val="0"/>
      </w:numPr>
      <w:spacing w:after="0"/>
      <w:outlineLvl w:val="0"/>
    </w:pPr>
    <w:rPr>
      <w:u w:val="single"/>
    </w:rPr>
  </w:style>
  <w:style w:type="paragraph" w:customStyle="1" w:styleId="HeadingSecond">
    <w:name w:val="Heading Second"/>
    <w:basedOn w:val="HeadingFirst"/>
    <w:next w:val="NormalHC"/>
    <w:uiPriority w:val="19"/>
    <w:qFormat/>
    <w:locked/>
    <w:rsid w:val="000E65F7"/>
    <w:pPr>
      <w:keepNext w:val="0"/>
    </w:pPr>
  </w:style>
  <w:style w:type="paragraph" w:customStyle="1" w:styleId="HeadingV">
    <w:name w:val="Heading V"/>
    <w:basedOn w:val="HeadingFirst"/>
    <w:next w:val="HeadingSecond"/>
    <w:uiPriority w:val="17"/>
    <w:qFormat/>
    <w:locked/>
    <w:rsid w:val="000E65F7"/>
    <w:rPr>
      <w:caps w:val="0"/>
      <w:u w:val="none"/>
    </w:rPr>
  </w:style>
  <w:style w:type="paragraph" w:customStyle="1" w:styleId="LeftrightafterHC">
    <w:name w:val="Leftright after HC"/>
    <w:basedOn w:val="Normal"/>
    <w:next w:val="leftright"/>
    <w:uiPriority w:val="31"/>
    <w:qFormat/>
    <w:locked/>
    <w:rsid w:val="00B976F6"/>
    <w:pPr>
      <w:spacing w:before="720" w:line="240" w:lineRule="exact"/>
      <w:ind w:left="720" w:right="794" w:firstLine="0"/>
    </w:pPr>
  </w:style>
  <w:style w:type="paragraph" w:customStyle="1" w:styleId="LRIndentafterHC">
    <w:name w:val="LR Indent after HC"/>
    <w:basedOn w:val="LeftrightafterHC"/>
    <w:next w:val="leftright"/>
    <w:uiPriority w:val="39"/>
    <w:qFormat/>
    <w:locked/>
    <w:rsid w:val="00E66E21"/>
    <w:pPr>
      <w:ind w:firstLine="720"/>
    </w:pPr>
  </w:style>
  <w:style w:type="paragraph" w:customStyle="1" w:styleId="LeftrightHanging">
    <w:name w:val="LeftrightHanging"/>
    <w:basedOn w:val="NormalHC"/>
    <w:uiPriority w:val="35"/>
    <w:qFormat/>
    <w:locked/>
    <w:rsid w:val="00E66E21"/>
    <w:pPr>
      <w:numPr>
        <w:numId w:val="0"/>
      </w:numPr>
      <w:spacing w:before="240" w:after="0" w:line="240" w:lineRule="exact"/>
      <w:ind w:left="1440" w:right="794" w:hanging="720"/>
    </w:pPr>
    <w:rPr>
      <w:szCs w:val="20"/>
    </w:rPr>
  </w:style>
  <w:style w:type="paragraph" w:customStyle="1" w:styleId="LRIndent">
    <w:name w:val="LR Indent"/>
    <w:basedOn w:val="Normal"/>
    <w:uiPriority w:val="41"/>
    <w:qFormat/>
    <w:locked/>
    <w:rsid w:val="00E66E21"/>
    <w:pPr>
      <w:tabs>
        <w:tab w:val="clear" w:pos="720"/>
        <w:tab w:val="clear" w:pos="1440"/>
        <w:tab w:val="clear" w:pos="2160"/>
        <w:tab w:val="clear" w:pos="2880"/>
        <w:tab w:val="clear" w:pos="3600"/>
        <w:tab w:val="clear" w:pos="4320"/>
        <w:tab w:val="clear" w:pos="5040"/>
        <w:tab w:val="clear" w:pos="5760"/>
        <w:tab w:val="clear" w:pos="6480"/>
        <w:tab w:val="clear" w:pos="7200"/>
      </w:tabs>
      <w:spacing w:before="240" w:line="240" w:lineRule="exact"/>
      <w:ind w:left="720" w:right="794"/>
    </w:pPr>
  </w:style>
  <w:style w:type="paragraph" w:customStyle="1" w:styleId="LRHangingMore">
    <w:name w:val="LRHangingMore"/>
    <w:basedOn w:val="LeftrightHanging"/>
    <w:uiPriority w:val="37"/>
    <w:qFormat/>
    <w:locked/>
    <w:rsid w:val="00E66E21"/>
    <w:pPr>
      <w:spacing w:before="200"/>
      <w:ind w:left="2160"/>
    </w:pPr>
  </w:style>
  <w:style w:type="paragraph" w:customStyle="1" w:styleId="NormalafterHd2nd">
    <w:name w:val="Normal after Hd2nd"/>
    <w:basedOn w:val="NormalHC"/>
    <w:next w:val="NormalHC"/>
    <w:uiPriority w:val="29"/>
    <w:locked/>
    <w:rsid w:val="005F3216"/>
    <w:pPr>
      <w:numPr>
        <w:numId w:val="0"/>
      </w:numPr>
      <w:spacing w:before="1000"/>
    </w:pPr>
  </w:style>
  <w:style w:type="character" w:customStyle="1" w:styleId="NormalHCChar">
    <w:name w:val="Normal HC Char"/>
    <w:uiPriority w:val="99"/>
    <w:semiHidden/>
    <w:locked/>
    <w:rPr>
      <w:rFonts w:ascii="Univers" w:hAnsi="Univers"/>
      <w:sz w:val="26"/>
      <w:szCs w:val="26"/>
    </w:rPr>
  </w:style>
  <w:style w:type="character" w:customStyle="1" w:styleId="StyleFootnoteReferenceChar">
    <w:name w:val="Style Footnote Reference Char"/>
    <w:uiPriority w:val="99"/>
    <w:semiHidden/>
    <w:locked/>
    <w:rPr>
      <w:rFonts w:ascii="Univers" w:hAnsi="Univers"/>
      <w:sz w:val="26"/>
      <w:szCs w:val="26"/>
      <w:vertAlign w:val="superscript"/>
      <w:lang w:val="en-AU" w:eastAsia="en-AU" w:bidi="ar-SA"/>
    </w:rPr>
  </w:style>
  <w:style w:type="character" w:customStyle="1" w:styleId="FooterChar">
    <w:name w:val="Footer Char"/>
    <w:basedOn w:val="DefaultParagraphFont"/>
    <w:link w:val="Footer"/>
    <w:uiPriority w:val="43"/>
    <w:rsid w:val="00663E86"/>
  </w:style>
  <w:style w:type="paragraph" w:customStyle="1" w:styleId="HeadingJudgment">
    <w:name w:val="Heading Judgment"/>
    <w:basedOn w:val="Normal"/>
    <w:uiPriority w:val="59"/>
    <w:qFormat/>
    <w:locked/>
    <w:rsid w:val="00F90EB0"/>
    <w:pPr>
      <w:tabs>
        <w:tab w:val="clear" w:pos="720"/>
        <w:tab w:val="clear" w:pos="1440"/>
        <w:tab w:val="clear" w:pos="2160"/>
        <w:tab w:val="clear" w:pos="2880"/>
        <w:tab w:val="clear" w:pos="3600"/>
        <w:tab w:val="clear" w:pos="4320"/>
        <w:tab w:val="clear" w:pos="5040"/>
        <w:tab w:val="clear" w:pos="5760"/>
        <w:tab w:val="clear" w:pos="6480"/>
        <w:tab w:val="clear" w:pos="7200"/>
        <w:tab w:val="left" w:pos="6237"/>
      </w:tabs>
      <w:spacing w:line="240" w:lineRule="auto"/>
      <w:ind w:right="0" w:firstLine="0"/>
    </w:pPr>
  </w:style>
  <w:style w:type="paragraph" w:customStyle="1" w:styleId="ClosingTextSign">
    <w:name w:val="Closing Text Sign"/>
    <w:basedOn w:val="Normal"/>
    <w:uiPriority w:val="99"/>
    <w:semiHidden/>
    <w:qFormat/>
    <w:locked/>
    <w:rsid w:val="00F75FE2"/>
    <w:pPr>
      <w:tabs>
        <w:tab w:val="clear" w:pos="720"/>
        <w:tab w:val="clear" w:pos="1440"/>
        <w:tab w:val="clear" w:pos="2160"/>
        <w:tab w:val="clear" w:pos="2880"/>
        <w:tab w:val="clear" w:pos="3600"/>
        <w:tab w:val="clear" w:pos="4320"/>
        <w:tab w:val="clear" w:pos="5040"/>
        <w:tab w:val="clear" w:pos="5760"/>
        <w:tab w:val="clear" w:pos="6480"/>
        <w:tab w:val="clear" w:pos="7200"/>
        <w:tab w:val="right" w:leader="underscore" w:pos="8505"/>
      </w:tabs>
      <w:spacing w:line="840" w:lineRule="exact"/>
      <w:ind w:left="2268" w:right="0" w:firstLine="0"/>
      <w:jc w:val="both"/>
    </w:pPr>
    <w:rPr>
      <w:sz w:val="20"/>
    </w:rPr>
  </w:style>
  <w:style w:type="paragraph" w:customStyle="1" w:styleId="HeadingL3">
    <w:name w:val="Heading L3"/>
    <w:basedOn w:val="HeadingL1"/>
    <w:next w:val="NormalHC"/>
    <w:uiPriority w:val="25"/>
    <w:qFormat/>
    <w:locked/>
    <w:rsid w:val="00CE2EB2"/>
    <w:pPr>
      <w:outlineLvl w:val="4"/>
    </w:pPr>
    <w:rPr>
      <w:b w:val="0"/>
    </w:rPr>
  </w:style>
  <w:style w:type="character" w:styleId="PageNumber">
    <w:name w:val="page number"/>
    <w:basedOn w:val="DefaultParagraphFont"/>
    <w:uiPriority w:val="57"/>
    <w:locked/>
    <w:rsid w:val="00A2312E"/>
  </w:style>
  <w:style w:type="paragraph" w:styleId="BalloonText">
    <w:name w:val="Balloon Text"/>
    <w:basedOn w:val="Normal"/>
    <w:link w:val="BalloonTextChar"/>
    <w:semiHidden/>
    <w:locked/>
    <w:rsid w:val="005F4DFE"/>
    <w:rPr>
      <w:rFonts w:ascii="Tahoma" w:hAnsi="Tahoma" w:cs="Tahoma"/>
      <w:sz w:val="16"/>
      <w:szCs w:val="16"/>
      <w:lang w:eastAsia="en-US"/>
    </w:rPr>
  </w:style>
  <w:style w:type="character" w:customStyle="1" w:styleId="BalloonTextChar">
    <w:name w:val="Balloon Text Char"/>
    <w:basedOn w:val="DefaultParagraphFont"/>
    <w:link w:val="BalloonText"/>
    <w:semiHidden/>
    <w:rsid w:val="005F4DFE"/>
    <w:rPr>
      <w:rFonts w:ascii="Tahoma" w:hAnsi="Tahoma" w:cs="Tahoma"/>
      <w:sz w:val="16"/>
      <w:szCs w:val="16"/>
      <w:lang w:eastAsia="en-US"/>
    </w:rPr>
  </w:style>
  <w:style w:type="paragraph" w:customStyle="1" w:styleId="ClosingText">
    <w:name w:val="Closing Text"/>
    <w:basedOn w:val="Normal"/>
    <w:uiPriority w:val="98"/>
    <w:semiHidden/>
    <w:qFormat/>
    <w:locked/>
    <w:rsid w:val="005F4DFE"/>
    <w:pPr>
      <w:spacing w:line="240" w:lineRule="auto"/>
      <w:ind w:left="2268" w:right="0" w:firstLine="0"/>
      <w:jc w:val="both"/>
    </w:pPr>
    <w:rPr>
      <w:sz w:val="20"/>
      <w:szCs w:val="20"/>
      <w:lang w:eastAsia="en-US"/>
    </w:rPr>
  </w:style>
  <w:style w:type="paragraph" w:styleId="EnvelopeAddress">
    <w:name w:val="envelope address"/>
    <w:basedOn w:val="Normal"/>
    <w:uiPriority w:val="99"/>
    <w:semiHidden/>
    <w:unhideWhenUsed/>
    <w:locked/>
    <w:rsid w:val="005F4DFE"/>
    <w:pPr>
      <w:framePr w:w="7920" w:h="1980" w:hRule="exact" w:hSpace="180" w:wrap="auto" w:hAnchor="page" w:xAlign="center" w:yAlign="bottom"/>
      <w:spacing w:line="240" w:lineRule="auto"/>
      <w:ind w:left="2880"/>
    </w:pPr>
    <w:rPr>
      <w:rFonts w:ascii="Cambria" w:hAnsi="Cambria"/>
      <w:sz w:val="24"/>
      <w:szCs w:val="24"/>
      <w:lang w:eastAsia="en-US"/>
    </w:rPr>
  </w:style>
  <w:style w:type="paragraph" w:styleId="EnvelopeReturn">
    <w:name w:val="envelope return"/>
    <w:basedOn w:val="Normal"/>
    <w:uiPriority w:val="99"/>
    <w:semiHidden/>
    <w:unhideWhenUsed/>
    <w:locked/>
    <w:rsid w:val="005F4DFE"/>
    <w:pPr>
      <w:spacing w:line="240" w:lineRule="auto"/>
    </w:pPr>
    <w:rPr>
      <w:rFonts w:ascii="Cambria" w:hAnsi="Cambria"/>
      <w:sz w:val="20"/>
      <w:szCs w:val="20"/>
      <w:lang w:eastAsia="en-US"/>
    </w:rPr>
  </w:style>
  <w:style w:type="paragraph" w:styleId="Header">
    <w:name w:val="header"/>
    <w:basedOn w:val="Normal"/>
    <w:link w:val="HeaderChar"/>
    <w:uiPriority w:val="98"/>
    <w:semiHidden/>
    <w:locked/>
    <w:rsid w:val="005F4DFE"/>
    <w:pPr>
      <w:tabs>
        <w:tab w:val="clear" w:pos="720"/>
        <w:tab w:val="clear" w:pos="1440"/>
        <w:tab w:val="clear" w:pos="2160"/>
        <w:tab w:val="clear" w:pos="2880"/>
        <w:tab w:val="clear" w:pos="3600"/>
        <w:tab w:val="clear" w:pos="4320"/>
        <w:tab w:val="clear" w:pos="5040"/>
        <w:tab w:val="clear" w:pos="5760"/>
        <w:tab w:val="clear" w:pos="6480"/>
        <w:tab w:val="clear" w:pos="7200"/>
        <w:tab w:val="center" w:pos="4153"/>
        <w:tab w:val="right" w:pos="8306"/>
      </w:tabs>
    </w:pPr>
    <w:rPr>
      <w:szCs w:val="20"/>
      <w:lang w:eastAsia="en-US"/>
    </w:rPr>
  </w:style>
  <w:style w:type="character" w:customStyle="1" w:styleId="HeaderChar">
    <w:name w:val="Header Char"/>
    <w:link w:val="Header"/>
    <w:uiPriority w:val="98"/>
    <w:semiHidden/>
    <w:rsid w:val="00037A5F"/>
    <w:rPr>
      <w:szCs w:val="20"/>
      <w:lang w:eastAsia="en-US"/>
    </w:rPr>
  </w:style>
  <w:style w:type="paragraph" w:customStyle="1" w:styleId="NormalBody">
    <w:name w:val="Normal Body"/>
    <w:basedOn w:val="NormalHC"/>
    <w:uiPriority w:val="28"/>
    <w:qFormat/>
    <w:locked/>
    <w:rsid w:val="005F3216"/>
    <w:pPr>
      <w:numPr>
        <w:numId w:val="0"/>
      </w:numPr>
    </w:pPr>
    <w:rPr>
      <w:lang w:eastAsia="en-US"/>
    </w:rPr>
  </w:style>
  <w:style w:type="paragraph" w:customStyle="1" w:styleId="StyleFootnoteReference">
    <w:name w:val="Style Footnote Reference"/>
    <w:basedOn w:val="Normal"/>
    <w:next w:val="Normal"/>
    <w:semiHidden/>
    <w:rsid w:val="005F4DFE"/>
    <w:rPr>
      <w:vertAlign w:val="superscript"/>
      <w:lang w:eastAsia="en-US"/>
    </w:rPr>
  </w:style>
  <w:style w:type="paragraph" w:styleId="ListNumber">
    <w:name w:val="List Number"/>
    <w:basedOn w:val="Normal"/>
    <w:uiPriority w:val="56"/>
    <w:locked/>
    <w:rsid w:val="00473869"/>
    <w:pPr>
      <w:numPr>
        <w:numId w:val="11"/>
      </w:numPr>
      <w:contextualSpacing/>
    </w:pPr>
  </w:style>
  <w:style w:type="paragraph" w:customStyle="1" w:styleId="FixListStyle">
    <w:name w:val="FixListStyle"/>
    <w:basedOn w:val="Normal"/>
    <w:uiPriority w:val="99"/>
    <w:qFormat/>
    <w:rsid w:val="00583673"/>
    <w:pPr>
      <w:numPr>
        <w:numId w:val="19"/>
      </w:numPr>
      <w:spacing w:after="480"/>
      <w:ind w:left="0" w:hanging="720"/>
    </w:pPr>
  </w:style>
  <w:style w:type="paragraph" w:customStyle="1" w:styleId="CatchwordsBold">
    <w:name w:val="Catchwords Bold"/>
    <w:basedOn w:val="Normal"/>
    <w:link w:val="CatchwordsBoldChar"/>
    <w:qFormat/>
    <w:rsid w:val="0095456C"/>
    <w:pPr>
      <w:tabs>
        <w:tab w:val="clear" w:pos="4320"/>
        <w:tab w:val="clear" w:pos="5040"/>
        <w:tab w:val="clear" w:pos="5760"/>
        <w:tab w:val="clear" w:pos="7200"/>
      </w:tabs>
      <w:spacing w:line="280" w:lineRule="exact"/>
      <w:ind w:right="0" w:firstLine="0"/>
      <w:jc w:val="both"/>
    </w:pPr>
    <w:rPr>
      <w:rFonts w:ascii="Times New Roman" w:hAnsi="Times New Roman"/>
      <w:b/>
      <w:szCs w:val="20"/>
    </w:rPr>
  </w:style>
  <w:style w:type="character" w:customStyle="1" w:styleId="CatchwordsBoldChar">
    <w:name w:val="Catchwords Bold Char"/>
    <w:link w:val="CatchwordsBold"/>
    <w:rsid w:val="0095456C"/>
    <w:rPr>
      <w:rFonts w:ascii="Times New Roman" w:hAnsi="Times New Roman"/>
      <w:b/>
      <w:szCs w:val="20"/>
    </w:rPr>
  </w:style>
  <w:style w:type="paragraph" w:customStyle="1" w:styleId="CatchwordsRight">
    <w:name w:val="Catchwords Right"/>
    <w:basedOn w:val="Normal"/>
    <w:link w:val="CatchwordsRightChar"/>
    <w:qFormat/>
    <w:rsid w:val="0095456C"/>
    <w:pPr>
      <w:tabs>
        <w:tab w:val="clear" w:pos="4320"/>
        <w:tab w:val="clear" w:pos="5040"/>
        <w:tab w:val="clear" w:pos="5760"/>
        <w:tab w:val="clear" w:pos="7200"/>
      </w:tabs>
      <w:spacing w:line="280" w:lineRule="exact"/>
      <w:ind w:right="0" w:firstLine="0"/>
      <w:jc w:val="right"/>
    </w:pPr>
    <w:rPr>
      <w:rFonts w:ascii="Times New Roman" w:hAnsi="Times New Roman"/>
      <w:szCs w:val="20"/>
    </w:rPr>
  </w:style>
  <w:style w:type="character" w:customStyle="1" w:styleId="CatchwordsRightChar">
    <w:name w:val="Catchwords Right Char"/>
    <w:link w:val="CatchwordsRight"/>
    <w:rsid w:val="0095456C"/>
    <w:rPr>
      <w:rFonts w:ascii="Times New Roman" w:hAnsi="Times New Roman"/>
      <w:szCs w:val="20"/>
    </w:rPr>
  </w:style>
  <w:style w:type="paragraph" w:customStyle="1" w:styleId="CatchwordsText">
    <w:name w:val="Catchwords Text"/>
    <w:basedOn w:val="Normal"/>
    <w:link w:val="CatchwordsTextChar"/>
    <w:qFormat/>
    <w:rsid w:val="0095456C"/>
    <w:pPr>
      <w:tabs>
        <w:tab w:val="clear" w:pos="4320"/>
        <w:tab w:val="clear" w:pos="5040"/>
        <w:tab w:val="clear" w:pos="5760"/>
        <w:tab w:val="clear" w:pos="7200"/>
      </w:tabs>
      <w:spacing w:line="240" w:lineRule="auto"/>
      <w:ind w:right="0" w:firstLine="0"/>
      <w:jc w:val="both"/>
    </w:pPr>
    <w:rPr>
      <w:rFonts w:ascii="Times New Roman" w:hAnsi="Times New Roman"/>
      <w:szCs w:val="20"/>
    </w:rPr>
  </w:style>
  <w:style w:type="character" w:customStyle="1" w:styleId="CatchwordsTextChar">
    <w:name w:val="Catchwords Text Char"/>
    <w:link w:val="CatchwordsText"/>
    <w:rsid w:val="0095456C"/>
    <w:rPr>
      <w:rFonts w:ascii="Times New Roman" w:hAnsi="Times New Roman"/>
      <w:szCs w:val="20"/>
    </w:rPr>
  </w:style>
  <w:style w:type="paragraph" w:customStyle="1" w:styleId="CenteredBorder">
    <w:name w:val="Centered Border"/>
    <w:qFormat/>
    <w:rsid w:val="0095456C"/>
    <w:pPr>
      <w:pBdr>
        <w:top w:val="single" w:sz="12" w:space="1" w:color="auto"/>
      </w:pBdr>
      <w:tabs>
        <w:tab w:val="left" w:pos="720"/>
        <w:tab w:val="left" w:pos="1440"/>
        <w:tab w:val="left" w:pos="5103"/>
      </w:tabs>
      <w:ind w:left="1440" w:right="1457"/>
    </w:pPr>
    <w:rPr>
      <w:rFonts w:ascii="Times New Roman" w:hAnsi="Times New Roman"/>
      <w:szCs w:val="20"/>
      <w:lang w:val="en-GB"/>
    </w:rPr>
  </w:style>
  <w:style w:type="paragraph" w:customStyle="1" w:styleId="OrderCentreBold">
    <w:name w:val="Order Centre Bold"/>
    <w:rsid w:val="0095456C"/>
    <w:pPr>
      <w:jc w:val="center"/>
    </w:pPr>
    <w:rPr>
      <w:rFonts w:ascii="Times New Roman" w:hAnsi="Times New Roman"/>
      <w:b/>
      <w:bCs/>
      <w:szCs w:val="20"/>
      <w:lang w:val="en-GB"/>
    </w:rPr>
  </w:style>
  <w:style w:type="character" w:customStyle="1" w:styleId="OrderCentred">
    <w:name w:val="Order Centred"/>
    <w:semiHidden/>
    <w:rsid w:val="0095456C"/>
    <w:rPr>
      <w:b/>
      <w:bCs/>
      <w:sz w:val="26"/>
    </w:rPr>
  </w:style>
  <w:style w:type="paragraph" w:customStyle="1" w:styleId="OrdersTopLine">
    <w:name w:val="Orders TopLine"/>
    <w:qFormat/>
    <w:rsid w:val="0095456C"/>
    <w:pPr>
      <w:spacing w:line="240" w:lineRule="atLeast"/>
      <w:ind w:right="17"/>
      <w:jc w:val="center"/>
      <w:outlineLvl w:val="0"/>
    </w:pPr>
    <w:rPr>
      <w:rFonts w:ascii="Times New Roman" w:hAnsi="Times New Roman"/>
      <w:b/>
      <w:bCs/>
      <w:kern w:val="28"/>
      <w:sz w:val="48"/>
      <w:szCs w:val="20"/>
      <w:lang w:val="en-GB" w:eastAsia="en-US"/>
    </w:rPr>
  </w:style>
  <w:style w:type="paragraph" w:customStyle="1" w:styleId="OrdersBody">
    <w:name w:val="Orders Body"/>
    <w:basedOn w:val="Normal"/>
    <w:qFormat/>
    <w:rsid w:val="0095456C"/>
    <w:pPr>
      <w:tabs>
        <w:tab w:val="clear" w:pos="2160"/>
        <w:tab w:val="clear" w:pos="2880"/>
        <w:tab w:val="clear" w:pos="3600"/>
        <w:tab w:val="clear" w:pos="4320"/>
        <w:tab w:val="clear" w:pos="5040"/>
        <w:tab w:val="clear" w:pos="5760"/>
        <w:tab w:val="clear" w:pos="6480"/>
        <w:tab w:val="clear" w:pos="7200"/>
      </w:tabs>
      <w:spacing w:line="240" w:lineRule="auto"/>
      <w:ind w:right="17" w:firstLine="0"/>
      <w:jc w:val="both"/>
    </w:pPr>
    <w:rPr>
      <w:rFonts w:ascii="Times New Roman" w:hAnsi="Times New Roman"/>
      <w:szCs w:val="20"/>
      <w:lang w:val="en-GB"/>
    </w:rPr>
  </w:style>
  <w:style w:type="paragraph" w:customStyle="1" w:styleId="OrdersBodyHeading">
    <w:name w:val="Orders Body Heading"/>
    <w:basedOn w:val="Normal"/>
    <w:qFormat/>
    <w:rsid w:val="0095456C"/>
    <w:pPr>
      <w:tabs>
        <w:tab w:val="clear" w:pos="2160"/>
        <w:tab w:val="clear" w:pos="2880"/>
        <w:tab w:val="clear" w:pos="3600"/>
        <w:tab w:val="clear" w:pos="4320"/>
        <w:tab w:val="clear" w:pos="5040"/>
        <w:tab w:val="clear" w:pos="5760"/>
        <w:tab w:val="clear" w:pos="6480"/>
        <w:tab w:val="clear" w:pos="7200"/>
      </w:tabs>
      <w:spacing w:line="240" w:lineRule="auto"/>
      <w:ind w:right="17" w:firstLine="0"/>
      <w:jc w:val="both"/>
    </w:pPr>
    <w:rPr>
      <w:rFonts w:ascii="Times New Roman" w:hAnsi="Times New Roman"/>
      <w:b/>
      <w:bCs/>
      <w:szCs w:val="20"/>
      <w:lang w:val="en-GB"/>
    </w:rPr>
  </w:style>
  <w:style w:type="paragraph" w:customStyle="1" w:styleId="OrdersCentre">
    <w:name w:val="Orders Centre"/>
    <w:qFormat/>
    <w:rsid w:val="0095456C"/>
    <w:pPr>
      <w:tabs>
        <w:tab w:val="left" w:pos="720"/>
        <w:tab w:val="left" w:pos="1440"/>
      </w:tabs>
      <w:ind w:right="17"/>
      <w:jc w:val="center"/>
    </w:pPr>
    <w:rPr>
      <w:rFonts w:ascii="Times New Roman" w:hAnsi="Times New Roman"/>
      <w:szCs w:val="20"/>
      <w:lang w:val="en-GB"/>
    </w:rPr>
  </w:style>
  <w:style w:type="paragraph" w:customStyle="1" w:styleId="OrdersCentreItalics">
    <w:name w:val="Orders Centre Italics"/>
    <w:basedOn w:val="Normal"/>
    <w:qFormat/>
    <w:rsid w:val="0095456C"/>
    <w:pPr>
      <w:tabs>
        <w:tab w:val="clear" w:pos="2160"/>
        <w:tab w:val="clear" w:pos="2880"/>
        <w:tab w:val="clear" w:pos="3600"/>
        <w:tab w:val="clear" w:pos="4320"/>
        <w:tab w:val="clear" w:pos="5040"/>
        <w:tab w:val="clear" w:pos="5760"/>
        <w:tab w:val="clear" w:pos="6480"/>
        <w:tab w:val="clear" w:pos="7200"/>
      </w:tabs>
      <w:spacing w:line="240" w:lineRule="auto"/>
      <w:ind w:right="17" w:firstLine="0"/>
      <w:jc w:val="center"/>
    </w:pPr>
    <w:rPr>
      <w:rFonts w:ascii="Times New Roman" w:hAnsi="Times New Roman"/>
      <w:i/>
      <w:iCs/>
      <w:szCs w:val="20"/>
      <w:lang w:val="en-GB"/>
    </w:rPr>
  </w:style>
  <w:style w:type="paragraph" w:customStyle="1" w:styleId="OrdersIndentLevel1a">
    <w:name w:val="Orders Indent Level 1 (a)"/>
    <w:basedOn w:val="Normal"/>
    <w:link w:val="OrdersIndentLevel1aChar"/>
    <w:qFormat/>
    <w:rsid w:val="0095456C"/>
    <w:pPr>
      <w:tabs>
        <w:tab w:val="clear" w:pos="720"/>
        <w:tab w:val="clear" w:pos="1440"/>
        <w:tab w:val="clear" w:pos="2160"/>
        <w:tab w:val="clear" w:pos="4320"/>
        <w:tab w:val="clear" w:pos="5040"/>
        <w:tab w:val="clear" w:pos="5760"/>
        <w:tab w:val="clear" w:pos="7200"/>
        <w:tab w:val="left" w:pos="709"/>
        <w:tab w:val="left" w:pos="1418"/>
      </w:tabs>
      <w:spacing w:line="240" w:lineRule="auto"/>
      <w:ind w:left="1418" w:right="0" w:hanging="709"/>
      <w:jc w:val="both"/>
    </w:pPr>
    <w:rPr>
      <w:rFonts w:ascii="Times New Roman" w:hAnsi="Times New Roman"/>
      <w:i/>
      <w:lang w:eastAsia="en-US"/>
    </w:rPr>
  </w:style>
  <w:style w:type="character" w:customStyle="1" w:styleId="OrdersIndentLevel1aChar">
    <w:name w:val="Orders Indent Level 1 (a) Char"/>
    <w:link w:val="OrdersIndentLevel1a"/>
    <w:rsid w:val="0095456C"/>
    <w:rPr>
      <w:rFonts w:ascii="Times New Roman" w:hAnsi="Times New Roman"/>
      <w:i/>
      <w:lang w:eastAsia="en-US"/>
    </w:rPr>
  </w:style>
  <w:style w:type="paragraph" w:customStyle="1" w:styleId="OrdersIndentLevel2i">
    <w:name w:val="Orders Indent Level 2 (i)"/>
    <w:basedOn w:val="Normal"/>
    <w:link w:val="OrdersIndentLevel2iChar"/>
    <w:qFormat/>
    <w:rsid w:val="0095456C"/>
    <w:pPr>
      <w:tabs>
        <w:tab w:val="clear" w:pos="720"/>
        <w:tab w:val="clear" w:pos="1440"/>
        <w:tab w:val="clear" w:pos="4320"/>
        <w:tab w:val="clear" w:pos="5040"/>
        <w:tab w:val="clear" w:pos="5760"/>
        <w:tab w:val="clear" w:pos="7200"/>
      </w:tabs>
      <w:spacing w:line="240" w:lineRule="auto"/>
      <w:ind w:left="2836" w:right="0" w:hanging="1418"/>
      <w:jc w:val="both"/>
    </w:pPr>
    <w:rPr>
      <w:rFonts w:ascii="Times New Roman" w:hAnsi="Times New Roman"/>
      <w:i/>
      <w:lang w:eastAsia="en-US"/>
    </w:rPr>
  </w:style>
  <w:style w:type="character" w:customStyle="1" w:styleId="OrdersIndentLevel2iChar">
    <w:name w:val="Orders Indent Level 2 (i) Char"/>
    <w:link w:val="OrdersIndentLevel2i"/>
    <w:rsid w:val="0095456C"/>
    <w:rPr>
      <w:rFonts w:ascii="Times New Roman" w:hAnsi="Times New Roman"/>
      <w:i/>
      <w:lang w:eastAsia="en-US"/>
    </w:rPr>
  </w:style>
  <w:style w:type="paragraph" w:customStyle="1" w:styleId="OrdersMatter">
    <w:name w:val="Orders Matter"/>
    <w:basedOn w:val="OrderCentreBold"/>
    <w:link w:val="OrdersMatterChar"/>
    <w:qFormat/>
    <w:rsid w:val="0095456C"/>
  </w:style>
  <w:style w:type="character" w:customStyle="1" w:styleId="OrdersMatterChar">
    <w:name w:val="Orders Matter Char"/>
    <w:link w:val="OrdersMatter"/>
    <w:rsid w:val="0095456C"/>
    <w:rPr>
      <w:rFonts w:ascii="Times New Roman" w:hAnsi="Times New Roman"/>
      <w:b/>
      <w:bCs/>
      <w:szCs w:val="20"/>
      <w:lang w:val="en-GB"/>
    </w:rPr>
  </w:style>
  <w:style w:type="paragraph" w:customStyle="1" w:styleId="OrdersNotice">
    <w:name w:val="Orders Notice"/>
    <w:rsid w:val="0095456C"/>
    <w:pPr>
      <w:tabs>
        <w:tab w:val="left" w:pos="5103"/>
        <w:tab w:val="right" w:pos="7797"/>
      </w:tabs>
      <w:ind w:left="851" w:right="17"/>
    </w:pPr>
    <w:rPr>
      <w:rFonts w:ascii="Times New Roman" w:hAnsi="Times New Roman"/>
      <w:szCs w:val="20"/>
      <w:lang w:val="en-GB"/>
    </w:rPr>
  </w:style>
  <w:style w:type="paragraph" w:customStyle="1" w:styleId="OrdersRight">
    <w:name w:val="Orders Right"/>
    <w:basedOn w:val="Normal"/>
    <w:link w:val="OrdersRightChar"/>
    <w:qFormat/>
    <w:rsid w:val="0095456C"/>
    <w:pPr>
      <w:tabs>
        <w:tab w:val="clear" w:pos="4320"/>
        <w:tab w:val="clear" w:pos="5040"/>
        <w:tab w:val="clear" w:pos="5760"/>
        <w:tab w:val="clear" w:pos="7200"/>
      </w:tabs>
      <w:spacing w:line="240" w:lineRule="auto"/>
      <w:ind w:right="0" w:firstLine="0"/>
      <w:jc w:val="right"/>
    </w:pPr>
    <w:rPr>
      <w:rFonts w:ascii="Times New Roman" w:hAnsi="Times New Roman"/>
      <w:szCs w:val="20"/>
      <w:lang w:eastAsia="en-US"/>
    </w:rPr>
  </w:style>
  <w:style w:type="character" w:customStyle="1" w:styleId="OrdersRightChar">
    <w:name w:val="Orders Right Char"/>
    <w:link w:val="OrdersRight"/>
    <w:rsid w:val="0095456C"/>
    <w:rPr>
      <w:rFonts w:ascii="Times New Roman" w:hAnsi="Times New Roman"/>
      <w:szCs w:val="20"/>
      <w:lang w:eastAsia="en-US"/>
    </w:rPr>
  </w:style>
  <w:style w:type="paragraph" w:customStyle="1" w:styleId="OrdersText">
    <w:name w:val="Orders Text"/>
    <w:basedOn w:val="Normal"/>
    <w:link w:val="OrdersTextChar"/>
    <w:qFormat/>
    <w:rsid w:val="0095456C"/>
    <w:pPr>
      <w:spacing w:line="240" w:lineRule="auto"/>
      <w:ind w:left="709" w:right="0" w:hanging="709"/>
      <w:jc w:val="both"/>
    </w:pPr>
    <w:rPr>
      <w:rFonts w:ascii="Times New Roman" w:hAnsi="Times New Roman"/>
      <w:i/>
      <w:lang w:eastAsia="en-US"/>
    </w:rPr>
  </w:style>
  <w:style w:type="character" w:customStyle="1" w:styleId="OrdersTextChar">
    <w:name w:val="Orders Text Char"/>
    <w:link w:val="OrdersText"/>
    <w:rsid w:val="0095456C"/>
    <w:rPr>
      <w:rFonts w:ascii="Times New Roman" w:hAnsi="Times New Roman"/>
      <w:i/>
      <w:lang w:eastAsia="en-US"/>
    </w:rPr>
  </w:style>
  <w:style w:type="paragraph" w:customStyle="1" w:styleId="OrdersCenteredBorder">
    <w:name w:val="Orders Centered Border"/>
    <w:qFormat/>
    <w:rsid w:val="004B26D9"/>
    <w:pPr>
      <w:pBdr>
        <w:top w:val="single" w:sz="12" w:space="1" w:color="auto"/>
      </w:pBdr>
      <w:tabs>
        <w:tab w:val="left" w:pos="720"/>
        <w:tab w:val="left" w:pos="1440"/>
        <w:tab w:val="left" w:pos="5103"/>
      </w:tabs>
      <w:ind w:left="1440" w:right="1457"/>
    </w:pPr>
    <w:rPr>
      <w:rFonts w:ascii="Times New Roman" w:hAnsi="Times New Roman"/>
      <w:szCs w:val="20"/>
      <w:lang w:val="en-GB"/>
    </w:rPr>
  </w:style>
  <w:style w:type="paragraph" w:customStyle="1" w:styleId="OrdersPartyName">
    <w:name w:val="Orders PartyName"/>
    <w:basedOn w:val="Normal"/>
    <w:link w:val="OrdersPartyNameChar"/>
    <w:qFormat/>
    <w:rsid w:val="00B94B4F"/>
    <w:pPr>
      <w:tabs>
        <w:tab w:val="clear" w:pos="720"/>
        <w:tab w:val="clear" w:pos="1440"/>
        <w:tab w:val="clear" w:pos="2160"/>
        <w:tab w:val="clear" w:pos="2880"/>
        <w:tab w:val="clear" w:pos="3600"/>
        <w:tab w:val="clear" w:pos="4320"/>
        <w:tab w:val="clear" w:pos="5040"/>
        <w:tab w:val="clear" w:pos="5760"/>
        <w:tab w:val="clear" w:pos="6480"/>
        <w:tab w:val="clear" w:pos="7200"/>
        <w:tab w:val="right" w:pos="7938"/>
      </w:tabs>
      <w:spacing w:line="240" w:lineRule="auto"/>
      <w:ind w:right="2125" w:firstLine="0"/>
      <w:jc w:val="both"/>
    </w:pPr>
    <w:rPr>
      <w:rFonts w:ascii="Times New Roman" w:hAnsi="Times New Roman"/>
      <w:szCs w:val="20"/>
    </w:rPr>
  </w:style>
  <w:style w:type="character" w:customStyle="1" w:styleId="OrdersPartyNameChar">
    <w:name w:val="Orders PartyName Char"/>
    <w:link w:val="OrdersPartyName"/>
    <w:rsid w:val="00B94B4F"/>
    <w:rPr>
      <w:rFonts w:ascii="Times New Roman" w:hAnsi="Times New Roman"/>
      <w:szCs w:val="20"/>
    </w:rPr>
  </w:style>
  <w:style w:type="paragraph" w:customStyle="1" w:styleId="LRHangingafterHC">
    <w:name w:val="LR Hanging after HC"/>
    <w:basedOn w:val="Normal"/>
    <w:next w:val="LeftrightHanging"/>
    <w:uiPriority w:val="99"/>
    <w:qFormat/>
    <w:rsid w:val="0053324F"/>
    <w:pPr>
      <w:spacing w:before="720" w:line="240" w:lineRule="exact"/>
      <w:ind w:left="1440" w:right="794" w:hanging="720"/>
    </w:pPr>
  </w:style>
  <w:style w:type="character" w:styleId="Hyperlink">
    <w:name w:val="Hyperlink"/>
    <w:basedOn w:val="DefaultParagraphFont"/>
    <w:uiPriority w:val="99"/>
    <w:unhideWhenUsed/>
    <w:locked/>
    <w:rsid w:val="00700331"/>
    <w:rPr>
      <w:color w:val="0000FF" w:themeColor="hyperlink"/>
      <w:u w:val="single"/>
    </w:rPr>
  </w:style>
  <w:style w:type="character" w:styleId="UnresolvedMention">
    <w:name w:val="Unresolved Mention"/>
    <w:basedOn w:val="DefaultParagraphFont"/>
    <w:uiPriority w:val="99"/>
    <w:semiHidden/>
    <w:unhideWhenUsed/>
    <w:rsid w:val="00700331"/>
    <w:rPr>
      <w:color w:val="605E5C"/>
      <w:shd w:val="clear" w:color="auto" w:fill="E1DFDD"/>
    </w:rPr>
  </w:style>
  <w:style w:type="paragraph" w:styleId="Revision">
    <w:name w:val="Revision"/>
    <w:hidden/>
    <w:uiPriority w:val="99"/>
    <w:semiHidden/>
    <w:rsid w:val="0080664D"/>
  </w:style>
  <w:style w:type="character" w:customStyle="1" w:styleId="Heading4Char">
    <w:name w:val="Heading 4 Char"/>
    <w:basedOn w:val="DefaultParagraphFont"/>
    <w:link w:val="Heading4"/>
    <w:uiPriority w:val="99"/>
    <w:rsid w:val="004D2653"/>
    <w:rPr>
      <w:rFonts w:ascii="Arial" w:eastAsia="Calibri" w:hAnsi="Arial" w:cs="Arial"/>
      <w:b/>
      <w:i/>
      <w:sz w:val="22"/>
      <w:szCs w:val="22"/>
    </w:rPr>
  </w:style>
  <w:style w:type="paragraph" w:styleId="ListParagraph">
    <w:name w:val="List Paragraph"/>
    <w:basedOn w:val="Normal"/>
    <w:uiPriority w:val="55"/>
    <w:qFormat/>
    <w:locked/>
    <w:rsid w:val="004D2653"/>
    <w:pPr>
      <w:tabs>
        <w:tab w:val="clear" w:pos="720"/>
        <w:tab w:val="clear" w:pos="1440"/>
        <w:tab w:val="clear" w:pos="2160"/>
        <w:tab w:val="clear" w:pos="2880"/>
        <w:tab w:val="clear" w:pos="3600"/>
        <w:tab w:val="clear" w:pos="4320"/>
        <w:tab w:val="clear" w:pos="5040"/>
        <w:tab w:val="clear" w:pos="5760"/>
        <w:tab w:val="clear" w:pos="6480"/>
        <w:tab w:val="clear" w:pos="7200"/>
      </w:tabs>
      <w:spacing w:after="160" w:line="259" w:lineRule="auto"/>
      <w:ind w:left="720" w:right="0" w:firstLine="0"/>
      <w:contextualSpacing/>
    </w:pPr>
    <w:rPr>
      <w:rFonts w:asciiTheme="minorHAnsi" w:eastAsiaTheme="minorHAnsi" w:hAnsiTheme="minorHAnsi" w:cstheme="minorBidi"/>
      <w:kern w:val="2"/>
      <w:sz w:val="22"/>
      <w:szCs w:val="22"/>
      <w:lang w:eastAsia="en-US"/>
      <w14:ligatures w14:val="standardContextual"/>
    </w:rPr>
  </w:style>
  <w:style w:type="character" w:customStyle="1" w:styleId="FootnoteTextChar">
    <w:name w:val="Footnote Text Char"/>
    <w:basedOn w:val="DefaultParagraphFont"/>
    <w:link w:val="FootnoteText"/>
    <w:uiPriority w:val="53"/>
    <w:rsid w:val="004D2653"/>
  </w:style>
  <w:style w:type="character" w:styleId="CommentReference">
    <w:name w:val="annotation reference"/>
    <w:basedOn w:val="DefaultParagraphFont"/>
    <w:uiPriority w:val="99"/>
    <w:semiHidden/>
    <w:unhideWhenUsed/>
    <w:locked/>
    <w:rsid w:val="004D2653"/>
    <w:rPr>
      <w:sz w:val="16"/>
      <w:szCs w:val="16"/>
    </w:rPr>
  </w:style>
  <w:style w:type="paragraph" w:styleId="CommentText">
    <w:name w:val="annotation text"/>
    <w:basedOn w:val="Normal"/>
    <w:link w:val="CommentTextChar"/>
    <w:uiPriority w:val="99"/>
    <w:unhideWhenUsed/>
    <w:locked/>
    <w:rsid w:val="004D2653"/>
    <w:pPr>
      <w:spacing w:line="240" w:lineRule="auto"/>
    </w:pPr>
    <w:rPr>
      <w:sz w:val="20"/>
      <w:szCs w:val="20"/>
    </w:rPr>
  </w:style>
  <w:style w:type="character" w:customStyle="1" w:styleId="CommentTextChar">
    <w:name w:val="Comment Text Char"/>
    <w:basedOn w:val="DefaultParagraphFont"/>
    <w:link w:val="CommentText"/>
    <w:uiPriority w:val="99"/>
    <w:rsid w:val="004D2653"/>
    <w:rPr>
      <w:sz w:val="20"/>
      <w:szCs w:val="20"/>
    </w:rPr>
  </w:style>
  <w:style w:type="paragraph" w:styleId="CommentSubject">
    <w:name w:val="annotation subject"/>
    <w:basedOn w:val="CommentText"/>
    <w:next w:val="CommentText"/>
    <w:link w:val="CommentSubjectChar"/>
    <w:uiPriority w:val="99"/>
    <w:semiHidden/>
    <w:unhideWhenUsed/>
    <w:locked/>
    <w:rsid w:val="004D2653"/>
    <w:rPr>
      <w:b/>
      <w:bCs/>
    </w:rPr>
  </w:style>
  <w:style w:type="character" w:customStyle="1" w:styleId="CommentSubjectChar">
    <w:name w:val="Comment Subject Char"/>
    <w:basedOn w:val="CommentTextChar"/>
    <w:link w:val="CommentSubject"/>
    <w:uiPriority w:val="99"/>
    <w:semiHidden/>
    <w:rsid w:val="004D2653"/>
    <w:rPr>
      <w:b/>
      <w:bCs/>
      <w:sz w:val="20"/>
      <w:szCs w:val="20"/>
    </w:rPr>
  </w:style>
  <w:style w:type="paragraph" w:customStyle="1" w:styleId="NoNorm">
    <w:name w:val="No Norm"/>
    <w:basedOn w:val="Normal"/>
    <w:qFormat/>
    <w:rsid w:val="004D2653"/>
    <w:pPr>
      <w:tabs>
        <w:tab w:val="clear" w:pos="720"/>
        <w:tab w:val="clear" w:pos="1440"/>
        <w:tab w:val="left" w:pos="709"/>
      </w:tabs>
      <w:spacing w:before="120" w:line="240" w:lineRule="auto"/>
      <w:ind w:left="720" w:hanging="720"/>
      <w:jc w:val="both"/>
    </w:pPr>
    <w:rPr>
      <w:rFonts w:ascii="Arial" w:eastAsia="Calibri" w:hAnsi="Arial" w:cs="Arial"/>
      <w:sz w:val="22"/>
      <w:szCs w:val="22"/>
    </w:rPr>
  </w:style>
  <w:style w:type="paragraph" w:customStyle="1" w:styleId="Noindentnormal">
    <w:name w:val="No indent normal"/>
    <w:basedOn w:val="NoNorm"/>
    <w:qFormat/>
    <w:rsid w:val="004D2653"/>
    <w:pPr>
      <w:tabs>
        <w:tab w:val="clear" w:pos="2160"/>
        <w:tab w:val="left" w:pos="1418"/>
      </w:tabs>
      <w:ind w:left="1418" w:hanging="709"/>
    </w:pPr>
  </w:style>
  <w:style w:type="paragraph" w:customStyle="1" w:styleId="Indentlista">
    <w:name w:val="Indent list a)"/>
    <w:basedOn w:val="Noindentnormal"/>
    <w:qFormat/>
    <w:rsid w:val="004D2653"/>
    <w:pPr>
      <w:tabs>
        <w:tab w:val="left" w:pos="2268"/>
      </w:tabs>
      <w:spacing w:before="60"/>
      <w:ind w:left="2268" w:hanging="567"/>
    </w:pPr>
  </w:style>
  <w:style w:type="paragraph" w:styleId="ListBullet5">
    <w:name w:val="List Bullet 5"/>
    <w:basedOn w:val="Normal"/>
    <w:uiPriority w:val="99"/>
    <w:unhideWhenUsed/>
    <w:locked/>
    <w:rsid w:val="004D2653"/>
    <w:pPr>
      <w:tabs>
        <w:tab w:val="clear" w:pos="720"/>
        <w:tab w:val="num" w:pos="1492"/>
      </w:tabs>
      <w:spacing w:before="120" w:line="312" w:lineRule="auto"/>
      <w:ind w:left="1492" w:hanging="360"/>
      <w:contextualSpacing/>
      <w:jc w:val="both"/>
    </w:pPr>
    <w:rPr>
      <w:rFonts w:ascii="Arial" w:hAnsi="Arial" w:cs="Arial"/>
      <w:sz w:val="22"/>
      <w:szCs w:val="22"/>
    </w:rPr>
  </w:style>
  <w:style w:type="character" w:customStyle="1" w:styleId="cf01">
    <w:name w:val="cf01"/>
    <w:basedOn w:val="DefaultParagraphFont"/>
    <w:rsid w:val="004D2653"/>
    <w:rPr>
      <w:rFonts w:ascii="Segoe UI" w:hAnsi="Segoe UI" w:cs="Segoe UI" w:hint="default"/>
      <w:sz w:val="18"/>
      <w:szCs w:val="18"/>
    </w:rPr>
  </w:style>
  <w:style w:type="character" w:customStyle="1" w:styleId="cf11">
    <w:name w:val="cf11"/>
    <w:basedOn w:val="DefaultParagraphFont"/>
    <w:rsid w:val="004D2653"/>
    <w:rPr>
      <w:rFonts w:ascii="Segoe UI" w:hAnsi="Segoe UI" w:cs="Segoe UI" w:hint="default"/>
      <w:b/>
      <w:bCs/>
      <w:sz w:val="18"/>
      <w:szCs w:val="18"/>
    </w:rPr>
  </w:style>
  <w:style w:type="character" w:customStyle="1" w:styleId="cf21">
    <w:name w:val="cf21"/>
    <w:basedOn w:val="DefaultParagraphFont"/>
    <w:rsid w:val="004D2653"/>
    <w:rPr>
      <w:rFonts w:ascii="Segoe UI" w:hAnsi="Segoe UI" w:cs="Segoe UI" w:hint="default"/>
      <w:i/>
      <w:iCs/>
      <w:sz w:val="18"/>
      <w:szCs w:val="18"/>
    </w:rPr>
  </w:style>
  <w:style w:type="paragraph" w:styleId="NormalWeb">
    <w:name w:val="Normal (Web)"/>
    <w:basedOn w:val="Normal"/>
    <w:uiPriority w:val="99"/>
    <w:semiHidden/>
    <w:unhideWhenUsed/>
    <w:locked/>
    <w:rsid w:val="004D2653"/>
    <w:rPr>
      <w:rFonts w:ascii="Times New Roman" w:hAnsi="Times New Roman"/>
      <w:sz w:val="24"/>
      <w:szCs w:val="24"/>
    </w:rPr>
  </w:style>
  <w:style w:type="character" w:customStyle="1" w:styleId="Heading5Char">
    <w:name w:val="Heading 5 Char"/>
    <w:basedOn w:val="DefaultParagraphFont"/>
    <w:link w:val="Heading5"/>
    <w:uiPriority w:val="99"/>
    <w:semiHidden/>
    <w:rsid w:val="008352AC"/>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9"/>
    <w:semiHidden/>
    <w:rsid w:val="008352AC"/>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9"/>
    <w:semiHidden/>
    <w:rsid w:val="008352AC"/>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9"/>
    <w:semiHidden/>
    <w:rsid w:val="008352A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9"/>
    <w:semiHidden/>
    <w:rsid w:val="008352AC"/>
    <w:rPr>
      <w:rFonts w:asciiTheme="majorHAnsi" w:eastAsiaTheme="majorEastAsia" w:hAnsiTheme="majorHAnsi" w:cstheme="majorBidi"/>
      <w:i/>
      <w:iCs/>
      <w:color w:val="272727" w:themeColor="text1" w:themeTint="D8"/>
      <w:sz w:val="21"/>
      <w:szCs w:val="21"/>
    </w:rPr>
  </w:style>
  <w:style w:type="character" w:styleId="BookTitle">
    <w:name w:val="Book Title"/>
    <w:basedOn w:val="DefaultParagraphFont"/>
    <w:uiPriority w:val="99"/>
    <w:semiHidden/>
    <w:qFormat/>
    <w:locked/>
    <w:rsid w:val="008352AC"/>
    <w:rPr>
      <w:b/>
      <w:bCs/>
      <w:i/>
      <w:iCs/>
      <w:spacing w:val="5"/>
    </w:rPr>
  </w:style>
  <w:style w:type="paragraph" w:styleId="Caption">
    <w:name w:val="caption"/>
    <w:basedOn w:val="Normal"/>
    <w:next w:val="Normal"/>
    <w:uiPriority w:val="99"/>
    <w:semiHidden/>
    <w:unhideWhenUsed/>
    <w:qFormat/>
    <w:locked/>
    <w:rsid w:val="008352AC"/>
    <w:pPr>
      <w:spacing w:after="200" w:line="240" w:lineRule="auto"/>
    </w:pPr>
    <w:rPr>
      <w:i/>
      <w:iCs/>
      <w:color w:val="1F497D" w:themeColor="text2"/>
      <w:sz w:val="18"/>
      <w:szCs w:val="18"/>
    </w:rPr>
  </w:style>
  <w:style w:type="character" w:styleId="Emphasis">
    <w:name w:val="Emphasis"/>
    <w:basedOn w:val="DefaultParagraphFont"/>
    <w:uiPriority w:val="99"/>
    <w:semiHidden/>
    <w:qFormat/>
    <w:locked/>
    <w:rsid w:val="008352AC"/>
    <w:rPr>
      <w:i/>
      <w:iCs/>
    </w:rPr>
  </w:style>
  <w:style w:type="character" w:styleId="IntenseEmphasis">
    <w:name w:val="Intense Emphasis"/>
    <w:basedOn w:val="DefaultParagraphFont"/>
    <w:uiPriority w:val="99"/>
    <w:semiHidden/>
    <w:qFormat/>
    <w:locked/>
    <w:rsid w:val="008352AC"/>
    <w:rPr>
      <w:i/>
      <w:iCs/>
      <w:color w:val="4F81BD" w:themeColor="accent1"/>
    </w:rPr>
  </w:style>
  <w:style w:type="paragraph" w:styleId="IntenseQuote">
    <w:name w:val="Intense Quote"/>
    <w:basedOn w:val="Normal"/>
    <w:next w:val="Normal"/>
    <w:link w:val="IntenseQuoteChar"/>
    <w:uiPriority w:val="99"/>
    <w:semiHidden/>
    <w:qFormat/>
    <w:locked/>
    <w:rsid w:val="008352AC"/>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99"/>
    <w:semiHidden/>
    <w:rsid w:val="008352AC"/>
    <w:rPr>
      <w:i/>
      <w:iCs/>
      <w:color w:val="4F81BD" w:themeColor="accent1"/>
    </w:rPr>
  </w:style>
  <w:style w:type="character" w:styleId="IntenseReference">
    <w:name w:val="Intense Reference"/>
    <w:basedOn w:val="DefaultParagraphFont"/>
    <w:uiPriority w:val="99"/>
    <w:semiHidden/>
    <w:qFormat/>
    <w:locked/>
    <w:rsid w:val="008352AC"/>
    <w:rPr>
      <w:b/>
      <w:bCs/>
      <w:smallCaps/>
      <w:color w:val="4F81BD" w:themeColor="accent1"/>
      <w:spacing w:val="5"/>
    </w:rPr>
  </w:style>
  <w:style w:type="paragraph" w:styleId="NoSpacing">
    <w:name w:val="No Spacing"/>
    <w:uiPriority w:val="99"/>
    <w:semiHidden/>
    <w:qFormat/>
    <w:locked/>
    <w:rsid w:val="008352AC"/>
    <w:pPr>
      <w:tabs>
        <w:tab w:val="left" w:pos="720"/>
        <w:tab w:val="left" w:pos="1440"/>
        <w:tab w:val="left" w:pos="2160"/>
        <w:tab w:val="left" w:pos="2880"/>
        <w:tab w:val="left" w:pos="3600"/>
        <w:tab w:val="left" w:pos="4320"/>
        <w:tab w:val="left" w:pos="5040"/>
        <w:tab w:val="left" w:pos="5760"/>
        <w:tab w:val="left" w:pos="6480"/>
        <w:tab w:val="left" w:pos="7200"/>
      </w:tabs>
      <w:ind w:right="130" w:firstLine="720"/>
    </w:pPr>
  </w:style>
  <w:style w:type="paragraph" w:styleId="Quote">
    <w:name w:val="Quote"/>
    <w:basedOn w:val="Normal"/>
    <w:next w:val="Normal"/>
    <w:link w:val="QuoteChar"/>
    <w:uiPriority w:val="99"/>
    <w:semiHidden/>
    <w:qFormat/>
    <w:locked/>
    <w:rsid w:val="008352AC"/>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99"/>
    <w:semiHidden/>
    <w:rsid w:val="008352AC"/>
    <w:rPr>
      <w:i/>
      <w:iCs/>
      <w:color w:val="404040" w:themeColor="text1" w:themeTint="BF"/>
    </w:rPr>
  </w:style>
  <w:style w:type="character" w:styleId="Strong">
    <w:name w:val="Strong"/>
    <w:basedOn w:val="DefaultParagraphFont"/>
    <w:uiPriority w:val="99"/>
    <w:semiHidden/>
    <w:qFormat/>
    <w:locked/>
    <w:rsid w:val="008352AC"/>
    <w:rPr>
      <w:b/>
      <w:bCs/>
    </w:rPr>
  </w:style>
  <w:style w:type="paragraph" w:styleId="Subtitle">
    <w:name w:val="Subtitle"/>
    <w:basedOn w:val="Normal"/>
    <w:next w:val="Normal"/>
    <w:link w:val="SubtitleChar"/>
    <w:uiPriority w:val="99"/>
    <w:semiHidden/>
    <w:qFormat/>
    <w:locked/>
    <w:rsid w:val="008352AC"/>
    <w:pPr>
      <w:numPr>
        <w:ilvl w:val="1"/>
      </w:numPr>
      <w:spacing w:after="160"/>
      <w:ind w:firstLine="72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99"/>
    <w:semiHidden/>
    <w:rsid w:val="008352AC"/>
    <w:rPr>
      <w:rFonts w:asciiTheme="minorHAnsi" w:eastAsiaTheme="minorEastAsia" w:hAnsiTheme="minorHAnsi" w:cstheme="minorBidi"/>
      <w:color w:val="5A5A5A" w:themeColor="text1" w:themeTint="A5"/>
      <w:spacing w:val="15"/>
      <w:sz w:val="22"/>
      <w:szCs w:val="22"/>
    </w:rPr>
  </w:style>
  <w:style w:type="character" w:styleId="SubtleEmphasis">
    <w:name w:val="Subtle Emphasis"/>
    <w:basedOn w:val="DefaultParagraphFont"/>
    <w:uiPriority w:val="99"/>
    <w:semiHidden/>
    <w:qFormat/>
    <w:locked/>
    <w:rsid w:val="008352AC"/>
    <w:rPr>
      <w:i/>
      <w:iCs/>
      <w:color w:val="404040" w:themeColor="text1" w:themeTint="BF"/>
    </w:rPr>
  </w:style>
  <w:style w:type="character" w:styleId="SubtleReference">
    <w:name w:val="Subtle Reference"/>
    <w:basedOn w:val="DefaultParagraphFont"/>
    <w:uiPriority w:val="99"/>
    <w:semiHidden/>
    <w:qFormat/>
    <w:locked/>
    <w:rsid w:val="008352AC"/>
    <w:rPr>
      <w:smallCaps/>
      <w:color w:val="5A5A5A" w:themeColor="text1" w:themeTint="A5"/>
    </w:rPr>
  </w:style>
  <w:style w:type="paragraph" w:styleId="Title">
    <w:name w:val="Title"/>
    <w:basedOn w:val="Normal"/>
    <w:next w:val="Normal"/>
    <w:link w:val="TitleChar"/>
    <w:uiPriority w:val="99"/>
    <w:qFormat/>
    <w:locked/>
    <w:rsid w:val="008352AC"/>
    <w:pPr>
      <w:spacing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99"/>
    <w:rsid w:val="008352AC"/>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99"/>
    <w:semiHidden/>
    <w:unhideWhenUsed/>
    <w:qFormat/>
    <w:locked/>
    <w:rsid w:val="008352AC"/>
    <w:pPr>
      <w:keepLines/>
      <w:numPr>
        <w:numId w:val="0"/>
      </w:numPr>
      <w:spacing w:before="240"/>
      <w:ind w:right="130" w:firstLine="720"/>
      <w:outlineLvl w:val="9"/>
    </w:pPr>
    <w:rPr>
      <w:rFonts w:asciiTheme="majorHAnsi" w:eastAsiaTheme="majorEastAsia" w:hAnsiTheme="majorHAnsi" w:cstheme="majorBidi"/>
      <w:color w:val="365F91" w:themeColor="accent1" w:themeShade="BF"/>
      <w:sz w:val="32"/>
      <w:szCs w:val="32"/>
      <w:u w:val="none"/>
    </w:rPr>
  </w:style>
  <w:style w:type="paragraph" w:customStyle="1" w:styleId="Body">
    <w:name w:val="Body"/>
    <w:basedOn w:val="Normal"/>
    <w:qFormat/>
    <w:rsid w:val="00E97682"/>
    <w:pPr>
      <w:tabs>
        <w:tab w:val="clear" w:pos="2160"/>
        <w:tab w:val="clear" w:pos="2880"/>
        <w:tab w:val="clear" w:pos="3600"/>
        <w:tab w:val="clear" w:pos="4320"/>
        <w:tab w:val="clear" w:pos="5040"/>
        <w:tab w:val="clear" w:pos="5760"/>
        <w:tab w:val="clear" w:pos="6480"/>
        <w:tab w:val="clear" w:pos="7200"/>
      </w:tabs>
      <w:spacing w:line="240" w:lineRule="auto"/>
      <w:ind w:right="17" w:firstLine="0"/>
      <w:jc w:val="both"/>
    </w:pPr>
    <w:rPr>
      <w:rFonts w:ascii="Times New Roman" w:hAnsi="Times New Roman"/>
      <w:szCs w:val="20"/>
    </w:rPr>
  </w:style>
  <w:style w:type="paragraph" w:customStyle="1" w:styleId="BodyHeading">
    <w:name w:val="Body Heading"/>
    <w:basedOn w:val="Normal"/>
    <w:qFormat/>
    <w:rsid w:val="00E97682"/>
    <w:pPr>
      <w:tabs>
        <w:tab w:val="clear" w:pos="2160"/>
        <w:tab w:val="clear" w:pos="2880"/>
        <w:tab w:val="clear" w:pos="3600"/>
        <w:tab w:val="clear" w:pos="4320"/>
        <w:tab w:val="clear" w:pos="5040"/>
        <w:tab w:val="clear" w:pos="5760"/>
        <w:tab w:val="clear" w:pos="6480"/>
        <w:tab w:val="clear" w:pos="7200"/>
      </w:tabs>
      <w:spacing w:line="240" w:lineRule="auto"/>
      <w:ind w:right="17" w:firstLine="0"/>
      <w:jc w:val="both"/>
    </w:pPr>
    <w:rPr>
      <w:rFonts w:ascii="Times New Roman" w:hAnsi="Times New Roman"/>
      <w:b/>
      <w:bCs/>
      <w:szCs w:val="20"/>
    </w:rPr>
  </w:style>
  <w:style w:type="paragraph" w:customStyle="1" w:styleId="Centre">
    <w:name w:val="Centre"/>
    <w:qFormat/>
    <w:rsid w:val="00E97682"/>
    <w:pPr>
      <w:tabs>
        <w:tab w:val="left" w:pos="720"/>
        <w:tab w:val="left" w:pos="1440"/>
      </w:tabs>
      <w:ind w:right="17"/>
      <w:jc w:val="center"/>
    </w:pPr>
    <w:rPr>
      <w:rFonts w:ascii="Times New Roman" w:hAnsi="Times New Roman"/>
      <w:szCs w:val="20"/>
      <w:lang w:val="en-GB"/>
    </w:rPr>
  </w:style>
  <w:style w:type="paragraph" w:customStyle="1" w:styleId="CentreItalics">
    <w:name w:val="Centre Italics"/>
    <w:basedOn w:val="Normal"/>
    <w:qFormat/>
    <w:rsid w:val="00E97682"/>
    <w:pPr>
      <w:tabs>
        <w:tab w:val="clear" w:pos="2160"/>
        <w:tab w:val="clear" w:pos="2880"/>
        <w:tab w:val="clear" w:pos="3600"/>
        <w:tab w:val="clear" w:pos="4320"/>
        <w:tab w:val="clear" w:pos="5040"/>
        <w:tab w:val="clear" w:pos="5760"/>
        <w:tab w:val="clear" w:pos="6480"/>
        <w:tab w:val="clear" w:pos="7200"/>
      </w:tabs>
      <w:spacing w:line="240" w:lineRule="auto"/>
      <w:ind w:right="17" w:firstLine="0"/>
      <w:jc w:val="center"/>
    </w:pPr>
    <w:rPr>
      <w:rFonts w:ascii="Times New Roman" w:hAnsi="Times New Roman"/>
      <w:i/>
      <w:iCs/>
      <w:szCs w:val="20"/>
    </w:rPr>
  </w:style>
  <w:style w:type="paragraph" w:customStyle="1" w:styleId="Notice">
    <w:name w:val="Notice"/>
    <w:rsid w:val="00E97682"/>
    <w:pPr>
      <w:tabs>
        <w:tab w:val="left" w:pos="5103"/>
        <w:tab w:val="right" w:pos="7797"/>
      </w:tabs>
      <w:ind w:left="851" w:right="17"/>
      <w:jc w:val="both"/>
    </w:pPr>
    <w:rPr>
      <w:rFonts w:ascii="Times New Roman" w:hAnsi="Times New Roman"/>
      <w:szCs w:val="20"/>
      <w:lang w:val="en-GB"/>
    </w:rPr>
  </w:style>
  <w:style w:type="paragraph" w:customStyle="1" w:styleId="OrderCentre">
    <w:name w:val="Order Centre"/>
    <w:rsid w:val="00E97682"/>
    <w:pPr>
      <w:jc w:val="center"/>
    </w:pPr>
    <w:rPr>
      <w:rFonts w:ascii="Times New Roman" w:hAnsi="Times New Roman"/>
      <w:bCs/>
      <w:szCs w:val="20"/>
      <w:lang w:val="en-GB"/>
    </w:rPr>
  </w:style>
  <w:style w:type="paragraph" w:customStyle="1" w:styleId="Default">
    <w:name w:val="Default"/>
    <w:rsid w:val="00FF2E95"/>
    <w:pPr>
      <w:autoSpaceDE w:val="0"/>
      <w:autoSpaceDN w:val="0"/>
      <w:adjustRightInd w:val="0"/>
    </w:pPr>
    <w:rPr>
      <w:rFonts w:ascii="Times New Roman" w:eastAsia="Calibri" w:hAnsi="Times New Roman"/>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header" Target="header9.xml"/><Relationship Id="rId21" Type="http://schemas.openxmlformats.org/officeDocument/2006/relationships/header" Target="header6.xml"/><Relationship Id="rId34" Type="http://schemas.openxmlformats.org/officeDocument/2006/relationships/header" Target="header14.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eader" Target="header8.xml"/><Relationship Id="rId33" Type="http://schemas.openxmlformats.org/officeDocument/2006/relationships/header" Target="header13.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eader" Target="header7.xml"/><Relationship Id="rId32" Type="http://schemas.openxmlformats.org/officeDocument/2006/relationships/footer" Target="footer9.xm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image" Target="media/image1.png"/><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4.xml"/><Relationship Id="rId31" Type="http://schemas.openxmlformats.org/officeDocument/2006/relationships/header" Target="header1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footer" Target="footer8.xml"/><Relationship Id="rId35" Type="http://schemas.openxmlformats.org/officeDocument/2006/relationships/header" Target="header15.xml"/><Relationship Id="rId8" Type="http://schemas.openxmlformats.org/officeDocument/2006/relationships/webSettings" Target="webSettings.xml"/><Relationship Id="rId3"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hca.local\shares\MasterTemplates\Chambers\Chambers%20V1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cc3f26d-d9cc-46f3-89c7-f1482de8c8f1">
      <Terms xmlns="http://schemas.microsoft.com/office/infopath/2007/PartnerControls"/>
    </lcf76f155ced4ddcb4097134ff3c332f>
    <TaxCatchAll xmlns="cbc5b7fd-636f-49ec-b8cc-eb8a3f2ba19e"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F32D2EC4F8DE44A8C0C478B82839881" ma:contentTypeVersion="17" ma:contentTypeDescription="Create a new document." ma:contentTypeScope="" ma:versionID="d3d0a8378352b5763bc515572bd2d873">
  <xsd:schema xmlns:xsd="http://www.w3.org/2001/XMLSchema" xmlns:xs="http://www.w3.org/2001/XMLSchema" xmlns:p="http://schemas.microsoft.com/office/2006/metadata/properties" xmlns:ns2="cbc5b7fd-636f-49ec-b8cc-eb8a3f2ba19e" xmlns:ns3="3cc3f26d-d9cc-46f3-89c7-f1482de8c8f1" targetNamespace="http://schemas.microsoft.com/office/2006/metadata/properties" ma:root="true" ma:fieldsID="45eda7b729c33eeb9e4c121fa375b4d1" ns2:_="" ns3:_="">
    <xsd:import namespace="cbc5b7fd-636f-49ec-b8cc-eb8a3f2ba19e"/>
    <xsd:import namespace="3cc3f26d-d9cc-46f3-89c7-f1482de8c8f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lcf76f155ced4ddcb4097134ff3c332f" minOccurs="0"/>
                <xsd:element ref="ns2:TaxCatchAll" minOccurs="0"/>
                <xsd:element ref="ns3:MediaServiceDateTaken" minOccurs="0"/>
                <xsd:element ref="ns3:MediaServiceObjectDetectorVersions" minOccurs="0"/>
                <xsd:element ref="ns3:MediaServiceLocatio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c5b7fd-636f-49ec-b8cc-eb8a3f2ba19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f3917a95-3fa1-418e-808a-c77197b9d2d6}" ma:internalName="TaxCatchAll" ma:showField="CatchAllData" ma:web="cbc5b7fd-636f-49ec-b8cc-eb8a3f2ba19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cc3f26d-d9cc-46f3-89c7-f1482de8c8f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c5e3044c-c92f-4775-8f51-280d1277677b"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ternalName="MediaServiceDateTake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CF51E2A-5120-49B8-B8A9-580B46FA2AC5}">
  <ds:schemaRefs>
    <ds:schemaRef ds:uri="http://schemas.microsoft.com/sharepoint/v3/contenttype/forms"/>
  </ds:schemaRefs>
</ds:datastoreItem>
</file>

<file path=customXml/itemProps2.xml><?xml version="1.0" encoding="utf-8"?>
<ds:datastoreItem xmlns:ds="http://schemas.openxmlformats.org/officeDocument/2006/customXml" ds:itemID="{45EC6EDD-F216-48FC-9330-62E6B57D55A7}">
  <ds:schemaRefs>
    <ds:schemaRef ds:uri="http://schemas.openxmlformats.org/officeDocument/2006/bibliography"/>
  </ds:schemaRefs>
</ds:datastoreItem>
</file>

<file path=customXml/itemProps3.xml><?xml version="1.0" encoding="utf-8"?>
<ds:datastoreItem xmlns:ds="http://schemas.openxmlformats.org/officeDocument/2006/customXml" ds:itemID="{CC7DD54D-5AB1-4084-B29D-C530544F59D2}">
  <ds:schemaRefs>
    <ds:schemaRef ds:uri="http://schemas.microsoft.com/office/2006/metadata/properties"/>
    <ds:schemaRef ds:uri="http://schemas.microsoft.com/office/infopath/2007/PartnerControls"/>
    <ds:schemaRef ds:uri="3cc3f26d-d9cc-46f3-89c7-f1482de8c8f1"/>
    <ds:schemaRef ds:uri="cbc5b7fd-636f-49ec-b8cc-eb8a3f2ba19e"/>
  </ds:schemaRefs>
</ds:datastoreItem>
</file>

<file path=customXml/itemProps4.xml><?xml version="1.0" encoding="utf-8"?>
<ds:datastoreItem xmlns:ds="http://schemas.openxmlformats.org/officeDocument/2006/customXml" ds:itemID="{DED25B93-59A1-4383-BFCA-AEBF6112C3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c5b7fd-636f-49ec-b8cc-eb8a3f2ba19e"/>
    <ds:schemaRef ds:uri="3cc3f26d-d9cc-46f3-89c7-f1482de8c8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Chambers V11</Template>
  <TotalTime>0</TotalTime>
  <Pages>111</Pages>
  <Words>37332</Words>
  <Characters>202345</Characters>
  <Application>Microsoft Office Word</Application>
  <DocSecurity>0</DocSecurity>
  <Lines>3488</Lines>
  <Paragraphs>665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2026-10-02T05:03:00Z</dcterms:created>
  <dcterms:modified xsi:type="dcterms:W3CDTF">2026-10-06T01:41:00Z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ies>
</file>